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12, 2020 (August 7, 2020)</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REGENERON PHARMACEUTICALS,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Commission File Number 000-19034</w:t>
            </w:r>
          </w:p>
        </w:tc>
        <w:tc>
          <w:tcPr>
            <w:tcW w:w="1660" w:type="dxa"/>
            <w:vAlign w:val="bottom"/>
          </w:tcPr>
          <w:p>
            <w:pPr>
              <w:spacing w:after="0"/>
              <w:rPr>
                <w:sz w:val="20"/>
                <w:szCs w:val="20"/>
                <w:color w:val="auto"/>
              </w:rPr>
            </w:pPr>
          </w:p>
        </w:tc>
      </w:tr>
      <w:tr>
        <w:trPr>
          <w:trHeight w:val="418"/>
        </w:trPr>
        <w:tc>
          <w:tcPr>
            <w:tcW w:w="2180" w:type="dxa"/>
            <w:vAlign w:val="bottom"/>
          </w:tcPr>
          <w:p>
            <w:pPr>
              <w:ind w:left="640"/>
              <w:spacing w:after="0"/>
              <w:rPr>
                <w:sz w:val="20"/>
                <w:szCs w:val="20"/>
                <w:color w:val="auto"/>
              </w:rPr>
            </w:pPr>
            <w:r>
              <w:rPr>
                <w:rFonts w:ascii="Arial" w:cs="Arial" w:eastAsia="Arial" w:hAnsi="Arial"/>
                <w:sz w:val="18"/>
                <w:szCs w:val="18"/>
                <w:b w:val="1"/>
                <w:bCs w:val="1"/>
                <w:color w:val="auto"/>
              </w:rPr>
              <w:t>New York</w:t>
            </w:r>
          </w:p>
        </w:tc>
        <w:tc>
          <w:tcPr>
            <w:tcW w:w="5360" w:type="dxa"/>
            <w:vAlign w:val="bottom"/>
          </w:tcPr>
          <w:p>
            <w:pPr>
              <w:jc w:val="right"/>
              <w:ind w:right="2230"/>
              <w:spacing w:after="0"/>
              <w:rPr>
                <w:sz w:val="20"/>
                <w:szCs w:val="20"/>
                <w:color w:val="auto"/>
              </w:rPr>
            </w:pPr>
            <w:r>
              <w:rPr>
                <w:rFonts w:ascii="Arial" w:cs="Arial" w:eastAsia="Arial" w:hAnsi="Arial"/>
                <w:sz w:val="18"/>
                <w:szCs w:val="18"/>
                <w:b w:val="1"/>
                <w:bCs w:val="1"/>
                <w:color w:val="auto"/>
              </w:rPr>
              <w:t>000-19034</w:t>
            </w:r>
          </w:p>
        </w:tc>
        <w:tc>
          <w:tcPr>
            <w:tcW w:w="1660" w:type="dxa"/>
            <w:vAlign w:val="bottom"/>
          </w:tcPr>
          <w:p>
            <w:pPr>
              <w:jc w:val="center"/>
              <w:ind w:left="230"/>
              <w:spacing w:after="0"/>
              <w:rPr>
                <w:sz w:val="20"/>
                <w:szCs w:val="20"/>
                <w:color w:val="auto"/>
              </w:rPr>
            </w:pPr>
            <w:r>
              <w:rPr>
                <w:rFonts w:ascii="Arial" w:cs="Arial" w:eastAsia="Arial" w:hAnsi="Arial"/>
                <w:sz w:val="18"/>
                <w:szCs w:val="18"/>
                <w:b w:val="1"/>
                <w:bCs w:val="1"/>
                <w:color w:val="auto"/>
                <w:w w:val="89"/>
              </w:rPr>
              <w:t>13-3444607</w:t>
            </w:r>
          </w:p>
        </w:tc>
      </w:tr>
      <w:tr>
        <w:trPr>
          <w:trHeight w:val="216"/>
        </w:trPr>
        <w:tc>
          <w:tcPr>
            <w:tcW w:w="218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 of</w:t>
            </w:r>
          </w:p>
        </w:tc>
        <w:tc>
          <w:tcPr>
            <w:tcW w:w="536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2"/>
              </w:rPr>
              <w:t>(I.R.S. Employer</w:t>
            </w:r>
          </w:p>
        </w:tc>
      </w:tr>
      <w:tr>
        <w:trPr>
          <w:trHeight w:val="230"/>
        </w:trPr>
        <w:tc>
          <w:tcPr>
            <w:tcW w:w="2180" w:type="dxa"/>
            <w:vAlign w:val="bottom"/>
          </w:tcPr>
          <w:p>
            <w:pPr>
              <w:jc w:val="center"/>
              <w:spacing w:after="0"/>
              <w:rPr>
                <w:sz w:val="20"/>
                <w:szCs w:val="20"/>
                <w:color w:val="auto"/>
              </w:rPr>
            </w:pPr>
            <w:r>
              <w:rPr>
                <w:rFonts w:ascii="Arial" w:cs="Arial" w:eastAsia="Arial" w:hAnsi="Arial"/>
                <w:sz w:val="18"/>
                <w:szCs w:val="18"/>
                <w:color w:val="auto"/>
                <w:w w:val="94"/>
              </w:rPr>
              <w:t>incorporation)</w:t>
            </w:r>
          </w:p>
        </w:tc>
        <w:tc>
          <w:tcPr>
            <w:tcW w:w="5360" w:type="dxa"/>
            <w:vAlign w:val="bottom"/>
          </w:tcPr>
          <w:p>
            <w:pPr>
              <w:spacing w:after="0"/>
              <w:rPr>
                <w:sz w:val="20"/>
                <w:szCs w:val="20"/>
                <w:color w:val="auto"/>
              </w:rPr>
            </w:pP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2180" w:type="dxa"/>
            <w:vAlign w:val="bottom"/>
          </w:tcPr>
          <w:p>
            <w:pPr>
              <w:spacing w:after="0"/>
              <w:rPr>
                <w:sz w:val="24"/>
                <w:szCs w:val="24"/>
                <w:color w:val="auto"/>
              </w:rPr>
            </w:pPr>
          </w:p>
        </w:tc>
        <w:tc>
          <w:tcPr>
            <w:tcW w:w="536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660" w:type="dxa"/>
            <w:vAlign w:val="bottom"/>
          </w:tcPr>
          <w:p>
            <w:pPr>
              <w:spacing w:after="0"/>
              <w:rPr>
                <w:sz w:val="24"/>
                <w:szCs w:val="24"/>
                <w:color w:val="auto"/>
              </w:rPr>
            </w:pPr>
          </w:p>
        </w:tc>
      </w:tr>
      <w:tr>
        <w:trPr>
          <w:trHeight w:val="230"/>
        </w:trPr>
        <w:tc>
          <w:tcPr>
            <w:tcW w:w="2180" w:type="dxa"/>
            <w:vAlign w:val="bottom"/>
          </w:tcPr>
          <w:p>
            <w:pPr>
              <w:spacing w:after="0"/>
              <w:rPr>
                <w:sz w:val="20"/>
                <w:szCs w:val="20"/>
                <w:color w:val="auto"/>
              </w:rPr>
            </w:pPr>
          </w:p>
        </w:tc>
        <w:tc>
          <w:tcPr>
            <w:tcW w:w="5360" w:type="dxa"/>
            <w:vAlign w:val="bottom"/>
          </w:tcPr>
          <w:p>
            <w:pPr>
              <w:jc w:val="center"/>
              <w:ind w:right="11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166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(914) 847-7000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980" w:hanging="3552"/>
        <w:spacing w:after="0" w:line="572" w:lineRule="auto"/>
        <w:tabs>
          <w:tab w:leader="none" w:pos="225"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93"/>
        </w:trPr>
        <w:tc>
          <w:tcPr>
            <w:tcW w:w="4760" w:type="dxa"/>
            <w:vAlign w:val="bottom"/>
            <w:tcBorders>
              <w:top w:val="single" w:sz="8" w:color="auto"/>
              <w:left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87"/>
              </w:rPr>
              <w:t>Title of each class</w:t>
            </w:r>
          </w:p>
        </w:tc>
        <w:tc>
          <w:tcPr>
            <w:tcW w:w="2240" w:type="dxa"/>
            <w:vAlign w:val="bottom"/>
            <w:tcBorders>
              <w:top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91"/>
              </w:rPr>
              <w:t>Trading Symbol(s)</w:t>
            </w:r>
          </w:p>
        </w:tc>
        <w:tc>
          <w:tcPr>
            <w:tcW w:w="4240" w:type="dxa"/>
            <w:vAlign w:val="bottom"/>
            <w:tcBorders>
              <w:top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w w:val="89"/>
              </w:rPr>
              <w:t>Name of Each Exchange</w:t>
            </w:r>
          </w:p>
        </w:tc>
      </w:tr>
      <w:tr>
        <w:trPr>
          <w:trHeight w:val="234"/>
        </w:trPr>
        <w:tc>
          <w:tcPr>
            <w:tcW w:w="476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on Which Registered</w:t>
            </w:r>
          </w:p>
        </w:tc>
      </w:tr>
      <w:tr>
        <w:trPr>
          <w:trHeight w:val="27"/>
        </w:trPr>
        <w:tc>
          <w:tcPr>
            <w:tcW w:w="476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right w:val="single" w:sz="8" w:color="auto"/>
            </w:tcBorders>
          </w:tcPr>
          <w:p>
            <w:pPr>
              <w:spacing w:after="0"/>
              <w:rPr>
                <w:sz w:val="2"/>
                <w:szCs w:val="2"/>
                <w:color w:val="auto"/>
              </w:rPr>
            </w:pPr>
          </w:p>
        </w:tc>
      </w:tr>
      <w:tr>
        <w:trPr>
          <w:trHeight w:val="230"/>
        </w:trPr>
        <w:tc>
          <w:tcPr>
            <w:tcW w:w="47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REGN</w:t>
            </w:r>
          </w:p>
        </w:tc>
        <w:tc>
          <w:tcPr>
            <w:tcW w:w="4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202"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1.750% Senior Notes due 2030 and 2.800% Senior Notes due 2050; Base Indenture and First Supplemental Indenture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12, 2020, Regeneron Pharmaceuticals, Inc. (“</w:t>
      </w:r>
      <w:r>
        <w:rPr>
          <w:rFonts w:ascii="Arial" w:cs="Arial" w:eastAsia="Arial" w:hAnsi="Arial"/>
          <w:sz w:val="17"/>
          <w:szCs w:val="17"/>
          <w:u w:val="single" w:color="auto"/>
          <w:color w:val="auto"/>
        </w:rPr>
        <w:t>Regeneron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issued and sold $1.250 billion aggregate principal amount of the Company’s 1.750% Senior Notes due 2030 (the “</w:t>
      </w:r>
      <w:r>
        <w:rPr>
          <w:rFonts w:ascii="Arial" w:cs="Arial" w:eastAsia="Arial" w:hAnsi="Arial"/>
          <w:sz w:val="17"/>
          <w:szCs w:val="17"/>
          <w:u w:val="single" w:color="auto"/>
          <w:color w:val="auto"/>
        </w:rPr>
        <w:t>2030 Notes</w:t>
      </w:r>
      <w:r>
        <w:rPr>
          <w:rFonts w:ascii="Arial" w:cs="Arial" w:eastAsia="Arial" w:hAnsi="Arial"/>
          <w:sz w:val="17"/>
          <w:szCs w:val="17"/>
          <w:color w:val="auto"/>
        </w:rPr>
        <w:t>”) and $750 million aggregate principal amount of the Company’s 2.800% Senior Notes due 2050 (the “</w:t>
      </w:r>
      <w:r>
        <w:rPr>
          <w:rFonts w:ascii="Arial" w:cs="Arial" w:eastAsia="Arial" w:hAnsi="Arial"/>
          <w:sz w:val="17"/>
          <w:szCs w:val="17"/>
          <w:u w:val="single" w:color="auto"/>
          <w:color w:val="auto"/>
        </w:rPr>
        <w:t>2050 Notes</w:t>
      </w:r>
      <w:r>
        <w:rPr>
          <w:rFonts w:ascii="Arial" w:cs="Arial" w:eastAsia="Arial" w:hAnsi="Arial"/>
          <w:sz w:val="17"/>
          <w:szCs w:val="17"/>
          <w:color w:val="auto"/>
        </w:rPr>
        <w:t>” and, together with the 2030 Notes, the “</w:t>
      </w:r>
      <w:r>
        <w:rPr>
          <w:rFonts w:ascii="Arial" w:cs="Arial" w:eastAsia="Arial" w:hAnsi="Arial"/>
          <w:sz w:val="17"/>
          <w:szCs w:val="17"/>
          <w:u w:val="single" w:color="auto"/>
          <w:color w:val="auto"/>
        </w:rPr>
        <w:t>Notes</w:t>
      </w:r>
      <w:r>
        <w:rPr>
          <w:rFonts w:ascii="Arial" w:cs="Arial" w:eastAsia="Arial" w:hAnsi="Arial"/>
          <w:sz w:val="17"/>
          <w:szCs w:val="17"/>
          <w:color w:val="auto"/>
        </w:rPr>
        <w:t>”). The Notes were registered pursuant to an automatic shelf registration statement on Form S-3 under the Securities Act of 1933, as amended (Registration Statement No. 333-228352) (filed with the Securities and Exchange Commission on November 13, 2018)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and were issued pursuant to an Indenture, dated as of August 12, 2020 (the “</w:t>
      </w:r>
      <w:r>
        <w:rPr>
          <w:rFonts w:ascii="Arial" w:cs="Arial" w:eastAsia="Arial" w:hAnsi="Arial"/>
          <w:sz w:val="17"/>
          <w:szCs w:val="17"/>
          <w:u w:val="single" w:color="auto"/>
          <w:color w:val="auto"/>
        </w:rPr>
        <w:t>Base Indenture</w:t>
      </w:r>
      <w:r>
        <w:rPr>
          <w:rFonts w:ascii="Arial" w:cs="Arial" w:eastAsia="Arial" w:hAnsi="Arial"/>
          <w:sz w:val="17"/>
          <w:szCs w:val="17"/>
          <w:color w:val="auto"/>
        </w:rPr>
        <w:t>”), between the Company and U.S.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as supplemented by the First Supplemental Indenture thereto, dated as of August 12, 2020 (the “</w:t>
      </w:r>
      <w:r>
        <w:rPr>
          <w:rFonts w:ascii="Arial" w:cs="Arial" w:eastAsia="Arial" w:hAnsi="Arial"/>
          <w:sz w:val="17"/>
          <w:szCs w:val="17"/>
          <w:u w:val="single" w:color="auto"/>
          <w:color w:val="auto"/>
        </w:rPr>
        <w:t>First Supplemental Indenture</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between the Company and the Trustee. Net proceeds to the Company from the issuance and sale of the Notes were approximately $1,977 million (after deducting underwriting discounts and the Company’s estimated offering expenses) and were used in part to repay in full the Sanofi Repurchase Bridge Facility (as defined in Item 8.01 below) and to pay accrued interest and related fees and expenses in connection therewith.</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Notes are senior unsecured obligations of the Company and rank equal in right of payment with Regeneron’s other existing and future senior unsecured obligations that are not, by their terms, expressly subordinated in right of payment to the Notes, and senior in right of payment to any of Regeneron’s future subordinated indebtedness. The Notes are effectively subordinated to all of Regeneron’s existing and future secured indebtedness and other secured liabilities, if any, to the extent of the value of the assets securing such indebtedness and liabilities; and are structurally subordinated to all existing and future obligations of Regeneron’s subsidiaries. The 2030 Notes will accrue interest at the rate of 1.750% per year and will mature on September 15, 2030. The 2050 Notes will accrue interest at the rate of 2.800% per year and will mature on September 15, 2050. Interest on each series of Notes will be payable semi-annually in arrears on March 15 and September 15 of each year, commencing on March 15, 2021, until their respective maturity dates.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Notes may be redeemed at the Company’s option at any time at 100% of the principal amount plus accrued and unpaid interest to, but not including, the redemption date and, until a specified period before maturity, a specified make-whole amount. The Notes contain a change-of-control provision that, under certain circumstances, may require the Company to offer to repurchase the Notes at a price equal to 101% of the principal amount plus accrued and unpaid interest to, but not including, the date of repurchase.</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Indenture also contains certain limitations on the Company’s ability to incur liens and enter into sale and leaseback transactions, as well as customary events of default.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summary of the Indenture is not complete and is qualified in its entirety by reference to the full and complete text of the Base Indenture, a copy of which is attached hereto as Exhibit 4.1 and is incorporated by reference herein, and the First Supplemental Indenture, a copy of which is attached hereto as Exhibit 4.2 and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set forth in Item 1.01 above with respect to the Notes and the Indenture is hereby incorporated by reference into this Item 2.03 insofar as it relates to the creation of a direct financial obligation.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offering of the Notes, the Company entered into an underwriting agreement, dated August 7, 2020 (the “</w:t>
      </w:r>
      <w:r>
        <w:rPr>
          <w:rFonts w:ascii="Arial" w:cs="Arial" w:eastAsia="Arial" w:hAnsi="Arial"/>
          <w:sz w:val="18"/>
          <w:szCs w:val="18"/>
          <w:u w:val="single" w:color="auto"/>
          <w:color w:val="auto"/>
        </w:rPr>
        <w:t>Underwriting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the Company and Goldman Sachs &amp; Co. LLC, BofA Securities, Inc., and J.P. Morgan Securities LLC, as representatives of the several underwriters named therein (the “</w:t>
      </w:r>
      <w:r>
        <w:rPr>
          <w:rFonts w:ascii="Arial" w:cs="Arial" w:eastAsia="Arial" w:hAnsi="Arial"/>
          <w:sz w:val="18"/>
          <w:szCs w:val="18"/>
          <w:u w:val="single" w:color="auto"/>
          <w:color w:val="auto"/>
        </w:rPr>
        <w:t>Underwriters</w:t>
      </w:r>
      <w:r>
        <w:rPr>
          <w:rFonts w:ascii="Arial" w:cs="Arial" w:eastAsia="Arial" w:hAnsi="Arial"/>
          <w:sz w:val="18"/>
          <w:szCs w:val="18"/>
          <w:color w:val="auto"/>
        </w:rPr>
        <w:t>”), providing for the issuance and sale by the Company to the Underwriters of the Notes. The Underwriting Agreement contains customary representations and warranties, conditions to closing, indemnification rights, obligations of the parties, and termination provisions.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ind w:firstLine="648"/>
        <w:spacing w:after="0" w:line="277" w:lineRule="auto"/>
        <w:rPr>
          <w:sz w:val="20"/>
          <w:szCs w:val="20"/>
          <w:color w:val="auto"/>
        </w:rPr>
      </w:pPr>
      <w:r>
        <w:rPr>
          <w:rFonts w:ascii="Arial" w:cs="Arial" w:eastAsia="Arial" w:hAnsi="Arial"/>
          <w:sz w:val="18"/>
          <w:szCs w:val="18"/>
          <w:color w:val="auto"/>
        </w:rPr>
        <w:t>The foregoing summary of the Underwriting Agreement is not complete and is qualified in its entirety by reference to the full and complete text of the Underwriting Agreement, a copy of which is attached hereto as Exhibit 1.1 and is incorporated by reference herein.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Following the closing of the issuance and sale of the Notes, the Company repaid in full the $1.5 billion principal amount of loans outstanding under the credit agreement by and among the Company, as the borrower, Goldman Sachs Bank USA, as administrative agent, sole bookrunner, sole lead arranger, and a lender, and the other lenders party thereto from time to time (the “</w:t>
      </w:r>
      <w:r>
        <w:rPr>
          <w:rFonts w:ascii="Arial" w:cs="Arial" w:eastAsia="Arial" w:hAnsi="Arial"/>
          <w:sz w:val="16"/>
          <w:szCs w:val="16"/>
          <w:u w:val="single" w:color="auto"/>
          <w:color w:val="auto"/>
        </w:rPr>
        <w:t>Sanofi Repurchase Bridge Facility</w:t>
      </w:r>
      <w:r>
        <w:rPr>
          <w:rFonts w:ascii="Arial" w:cs="Arial" w:eastAsia="Arial" w:hAnsi="Arial"/>
          <w:sz w:val="16"/>
          <w:szCs w:val="16"/>
          <w:color w:val="auto"/>
        </w:rPr>
        <w:t>”), as well as accrued interest and related fees and expenses in connection therewith. The proceeds of the loans under the Sanofi Repurchase Bridge Facility were previously used to fund, in part, the purchase by Regeneron of shares of Regeneron common stock held by Sanofi and to pay related fees, costs, and expenses.</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copy of the opinion of Skadden, Arps, Slate, Meagher &amp; Flom LLP relating to the legality of the issuance and sale of the Notes is attached hereto as Exhibit 5.1.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180" w:hanging="52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gridSpan w:val="2"/>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140" w:type="dxa"/>
            <w:vAlign w:val="bottom"/>
            <w:tcBorders>
              <w:top w:val="single" w:sz="8" w:color="auto"/>
            </w:tcBorders>
          </w:tcPr>
          <w:p>
            <w:pPr>
              <w:spacing w:after="0" w:line="16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1.1</w:t>
              </w:r>
            </w:hyperlink>
          </w:p>
        </w:tc>
        <w:tc>
          <w:tcPr>
            <w:tcW w:w="220" w:type="dxa"/>
            <w:vAlign w:val="bottom"/>
          </w:tcPr>
          <w:p>
            <w:pPr>
              <w:spacing w:after="0"/>
              <w:rPr>
                <w:sz w:val="14"/>
                <w:szCs w:val="14"/>
                <w:color w:val="auto"/>
              </w:rPr>
            </w:pPr>
          </w:p>
        </w:tc>
        <w:tc>
          <w:tcPr>
            <w:tcW w:w="988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Underwriting Agreement, dated August 7, 2020, by and among the Company, Goldman Sachs &amp; Co. LLC, BofA Securities, Inc., and</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J.P. Morgan Securities LLC, as representatives of the several underwriters named therein.</w:t>
              </w:r>
            </w:hyperlink>
          </w:p>
        </w:tc>
        <w:tc>
          <w:tcPr>
            <w:tcW w:w="3440" w:type="dxa"/>
            <w:vAlign w:val="bottom"/>
          </w:tcPr>
          <w:p>
            <w:pPr>
              <w:spacing w:after="0"/>
              <w:rPr>
                <w:sz w:val="17"/>
                <w:szCs w:val="17"/>
                <w:color w:val="auto"/>
              </w:rPr>
            </w:pPr>
          </w:p>
        </w:tc>
      </w:tr>
      <w:tr>
        <w:trPr>
          <w:trHeight w:val="222"/>
        </w:trPr>
        <w:tc>
          <w:tcPr>
            <w:tcW w:w="114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4.1</w:t>
              </w:r>
            </w:hyperlink>
          </w:p>
        </w:tc>
        <w:tc>
          <w:tcPr>
            <w:tcW w:w="220" w:type="dxa"/>
            <w:vAlign w:val="bottom"/>
          </w:tcPr>
          <w:p>
            <w:pPr>
              <w:spacing w:after="0"/>
              <w:rPr>
                <w:sz w:val="19"/>
                <w:szCs w:val="19"/>
                <w:color w:val="auto"/>
              </w:rPr>
            </w:pPr>
          </w:p>
        </w:tc>
        <w:tc>
          <w:tcPr>
            <w:tcW w:w="9880" w:type="dxa"/>
            <w:vAlign w:val="bottom"/>
            <w:gridSpan w:val="2"/>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Indenture, dated August 12, 2020, between the Company and U.S. Bank National Association.</w:t>
              </w:r>
            </w:hyperlink>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4.2</w:t>
              </w:r>
            </w:hyperlink>
          </w:p>
        </w:tc>
        <w:tc>
          <w:tcPr>
            <w:tcW w:w="220" w:type="dxa"/>
            <w:vAlign w:val="bottom"/>
          </w:tcPr>
          <w:p>
            <w:pPr>
              <w:spacing w:after="0"/>
              <w:rPr>
                <w:sz w:val="18"/>
                <w:szCs w:val="18"/>
                <w:color w:val="auto"/>
              </w:rPr>
            </w:pPr>
          </w:p>
        </w:tc>
        <w:tc>
          <w:tcPr>
            <w:tcW w:w="9880" w:type="dxa"/>
            <w:vAlign w:val="bottom"/>
            <w:gridSpan w:val="2"/>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First Supplemental Indenture, dated August 12, 2020, between the Company and U.S. Bank National Association.</w:t>
              </w:r>
            </w:hyperlink>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4.3</w:t>
              </w:r>
            </w:hyperlink>
          </w:p>
        </w:tc>
        <w:tc>
          <w:tcPr>
            <w:tcW w:w="220" w:type="dxa"/>
            <w:vAlign w:val="bottom"/>
          </w:tcPr>
          <w:p>
            <w:pPr>
              <w:spacing w:after="0"/>
              <w:rPr>
                <w:sz w:val="18"/>
                <w:szCs w:val="18"/>
                <w:color w:val="auto"/>
              </w:rPr>
            </w:pPr>
          </w:p>
        </w:tc>
        <w:tc>
          <w:tcPr>
            <w:tcW w:w="9880" w:type="dxa"/>
            <w:vAlign w:val="bottom"/>
            <w:gridSpan w:val="2"/>
          </w:tcPr>
          <w:p>
            <w:pPr>
              <w:spacing w:after="0"/>
              <w:rPr>
                <w:rFonts w:ascii="Arial" w:cs="Arial" w:eastAsia="Arial" w:hAnsi="Arial"/>
                <w:sz w:val="18"/>
                <w:szCs w:val="18"/>
                <w:color w:val="0000EE"/>
              </w:rPr>
            </w:pPr>
            <w:hyperlink w:anchor="page81">
              <w:r>
                <w:rPr>
                  <w:rFonts w:ascii="Arial" w:cs="Arial" w:eastAsia="Arial" w:hAnsi="Arial"/>
                  <w:sz w:val="18"/>
                  <w:szCs w:val="18"/>
                  <w:u w:val="single" w:color="auto"/>
                  <w:color w:val="0000EE"/>
                </w:rPr>
                <w:t>Form of 1.750% Senior Note due 2030 (included in Exhibit 4.2)</w:t>
              </w:r>
              <w:r>
                <w:rPr>
                  <w:rFonts w:ascii="Arial" w:cs="Arial" w:eastAsia="Arial" w:hAnsi="Arial"/>
                  <w:sz w:val="18"/>
                  <w:szCs w:val="18"/>
                  <w:color w:val="0000EE"/>
                </w:rPr>
                <w:t>.</w:t>
              </w:r>
            </w:hyperlink>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4.4</w:t>
              </w:r>
            </w:hyperlink>
          </w:p>
        </w:tc>
        <w:tc>
          <w:tcPr>
            <w:tcW w:w="220" w:type="dxa"/>
            <w:vAlign w:val="bottom"/>
          </w:tcPr>
          <w:p>
            <w:pPr>
              <w:spacing w:after="0"/>
              <w:rPr>
                <w:sz w:val="18"/>
                <w:szCs w:val="18"/>
                <w:color w:val="auto"/>
              </w:rPr>
            </w:pPr>
          </w:p>
        </w:tc>
        <w:tc>
          <w:tcPr>
            <w:tcW w:w="9880" w:type="dxa"/>
            <w:vAlign w:val="bottom"/>
            <w:gridSpan w:val="2"/>
          </w:tcPr>
          <w:p>
            <w:pPr>
              <w:spacing w:after="0"/>
              <w:rPr>
                <w:rFonts w:ascii="Arial" w:cs="Arial" w:eastAsia="Arial" w:hAnsi="Arial"/>
                <w:sz w:val="18"/>
                <w:szCs w:val="18"/>
                <w:color w:val="0000EE"/>
              </w:rPr>
            </w:pPr>
            <w:hyperlink w:anchor="page81">
              <w:r>
                <w:rPr>
                  <w:rFonts w:ascii="Arial" w:cs="Arial" w:eastAsia="Arial" w:hAnsi="Arial"/>
                  <w:sz w:val="18"/>
                  <w:szCs w:val="18"/>
                  <w:u w:val="single" w:color="auto"/>
                  <w:color w:val="0000EE"/>
                </w:rPr>
                <w:t>Form of 2.800% Senior Note due 2050 (included in Exhibit 4.2)</w:t>
              </w:r>
              <w:r>
                <w:rPr>
                  <w:rFonts w:ascii="Arial" w:cs="Arial" w:eastAsia="Arial" w:hAnsi="Arial"/>
                  <w:sz w:val="18"/>
                  <w:szCs w:val="18"/>
                  <w:color w:val="0000EE"/>
                </w:rPr>
                <w:t>.</w:t>
              </w:r>
            </w:hyperlink>
          </w:p>
        </w:tc>
      </w:tr>
      <w:tr>
        <w:trPr>
          <w:trHeight w:val="216"/>
        </w:trPr>
        <w:tc>
          <w:tcPr>
            <w:tcW w:w="1140" w:type="dxa"/>
            <w:vAlign w:val="bottom"/>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5.1</w:t>
              </w:r>
            </w:hyperlink>
          </w:p>
        </w:tc>
        <w:tc>
          <w:tcPr>
            <w:tcW w:w="220" w:type="dxa"/>
            <w:vAlign w:val="bottom"/>
          </w:tcPr>
          <w:p>
            <w:pPr>
              <w:spacing w:after="0"/>
              <w:rPr>
                <w:sz w:val="18"/>
                <w:szCs w:val="18"/>
                <w:color w:val="auto"/>
              </w:rPr>
            </w:pPr>
          </w:p>
        </w:tc>
        <w:tc>
          <w:tcPr>
            <w:tcW w:w="9880" w:type="dxa"/>
            <w:vAlign w:val="bottom"/>
            <w:gridSpan w:val="2"/>
          </w:tcPr>
          <w:p>
            <w:pPr>
              <w:spacing w:after="0"/>
              <w:rPr>
                <w:rFonts w:ascii="Arial" w:cs="Arial" w:eastAsia="Arial" w:hAnsi="Arial"/>
                <w:sz w:val="18"/>
                <w:szCs w:val="18"/>
                <w:color w:val="0000EE"/>
              </w:rPr>
            </w:pPr>
            <w:hyperlink w:anchor="page109">
              <w:r>
                <w:rPr>
                  <w:rFonts w:ascii="Arial" w:cs="Arial" w:eastAsia="Arial" w:hAnsi="Arial"/>
                  <w:sz w:val="18"/>
                  <w:szCs w:val="18"/>
                  <w:u w:val="single" w:color="auto"/>
                  <w:color w:val="0000EE"/>
                </w:rPr>
                <w:t>Opinion of Skadden, Arps, Slate, Meagher &amp; Flom LLP</w:t>
              </w:r>
              <w:r>
                <w:rPr>
                  <w:rFonts w:ascii="Arial" w:cs="Arial" w:eastAsia="Arial" w:hAnsi="Arial"/>
                  <w:sz w:val="18"/>
                  <w:szCs w:val="18"/>
                  <w:color w:val="0000EE"/>
                </w:rPr>
                <w:t>.</w:t>
              </w:r>
            </w:hyperlink>
          </w:p>
        </w:tc>
      </w:tr>
      <w:tr>
        <w:trPr>
          <w:trHeight w:val="230"/>
        </w:trPr>
        <w:tc>
          <w:tcPr>
            <w:tcW w:w="1140" w:type="dxa"/>
            <w:vAlign w:val="bottom"/>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23.1</w:t>
              </w:r>
            </w:hyperlink>
          </w:p>
        </w:tc>
        <w:tc>
          <w:tcPr>
            <w:tcW w:w="220" w:type="dxa"/>
            <w:vAlign w:val="bottom"/>
          </w:tcPr>
          <w:p>
            <w:pPr>
              <w:spacing w:after="0"/>
              <w:rPr>
                <w:sz w:val="20"/>
                <w:szCs w:val="20"/>
                <w:color w:val="auto"/>
              </w:rPr>
            </w:pPr>
          </w:p>
        </w:tc>
        <w:tc>
          <w:tcPr>
            <w:tcW w:w="9880" w:type="dxa"/>
            <w:vAlign w:val="bottom"/>
            <w:gridSpan w:val="2"/>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Consent of Skadden, Arps, Slate, Meagher &amp; Flom LLP (included in Exhibit 5.1).</w:t>
              </w:r>
            </w:hyperlink>
          </w:p>
        </w:tc>
      </w:tr>
    </w:tbl>
    <w:p>
      <w:pPr>
        <w:ind w:left="5580" w:right="4100" w:hanging="5572"/>
        <w:spacing w:after="0" w:line="761" w:lineRule="auto"/>
        <w:tabs>
          <w:tab w:leader="none" w:pos="1359"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Arial" w:cs="Arial" w:eastAsia="Arial" w:hAnsi="Arial"/>
                <w:sz w:val="18"/>
                <w:szCs w:val="18"/>
                <w:b w:val="1"/>
                <w:bCs w:val="1"/>
                <w:color w:val="auto"/>
              </w:rPr>
              <w:t>REGENERON PHARMACEUTICALS, INC.</w:t>
            </w:r>
          </w:p>
        </w:tc>
      </w:tr>
      <w:tr>
        <w:trPr>
          <w:trHeight w:val="648"/>
        </w:trPr>
        <w:tc>
          <w:tcPr>
            <w:tcW w:w="3600" w:type="dxa"/>
            <w:vAlign w:val="bottom"/>
          </w:tcPr>
          <w:p>
            <w:pPr>
              <w:spacing w:after="0"/>
              <w:rPr>
                <w:sz w:val="20"/>
                <w:szCs w:val="20"/>
                <w:color w:val="auto"/>
              </w:rPr>
            </w:pPr>
            <w:r>
              <w:rPr>
                <w:rFonts w:ascii="Arial" w:cs="Arial" w:eastAsia="Arial" w:hAnsi="Arial"/>
                <w:sz w:val="18"/>
                <w:szCs w:val="18"/>
                <w:color w:val="auto"/>
              </w:rPr>
              <w:t>Date: August 12, 2020</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195"/>
        </w:trPr>
        <w:tc>
          <w:tcPr>
            <w:tcW w:w="3600" w:type="dxa"/>
            <w:vAlign w:val="bottom"/>
          </w:tcPr>
          <w:p>
            <w:pPr>
              <w:spacing w:after="0"/>
              <w:rPr>
                <w:sz w:val="16"/>
                <w:szCs w:val="16"/>
                <w:color w:val="auto"/>
              </w:rPr>
            </w:pPr>
          </w:p>
        </w:tc>
        <w:tc>
          <w:tcPr>
            <w:tcW w:w="2700" w:type="dxa"/>
            <w:vAlign w:val="bottom"/>
          </w:tcPr>
          <w:p>
            <w:pPr>
              <w:ind w:left="20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Pr>
          <w:p>
            <w:pPr>
              <w:spacing w:after="0" w:line="195" w:lineRule="exact"/>
              <w:rPr>
                <w:sz w:val="20"/>
                <w:szCs w:val="20"/>
                <w:color w:val="auto"/>
              </w:rPr>
            </w:pPr>
            <w:r>
              <w:rPr>
                <w:rFonts w:ascii="Arial" w:cs="Arial" w:eastAsia="Arial" w:hAnsi="Arial"/>
                <w:sz w:val="18"/>
                <w:szCs w:val="18"/>
                <w:color w:val="auto"/>
              </w:rPr>
              <w:t>Joseph J. LaRosa</w:t>
            </w:r>
          </w:p>
        </w:tc>
      </w:tr>
      <w:tr>
        <w:trPr>
          <w:trHeight w:val="230"/>
        </w:trPr>
        <w:tc>
          <w:tcPr>
            <w:tcW w:w="360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r>
        <w:trPr>
          <w:trHeight w:val="648"/>
        </w:trPr>
        <w:tc>
          <w:tcPr>
            <w:tcW w:w="36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4</w:t>
            </w:r>
          </w:p>
        </w:tc>
        <w:tc>
          <w:tcPr>
            <w:tcW w:w="4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$1,250,000,000 1.750% Senior Notes due 2030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$750,000,000 2.800% Senior Notes due 2050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August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10179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A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Regeneron Pharmaceuticals, Inc., a corporation organized under the laws of New York (the “</w:t>
      </w:r>
      <w:r>
        <w:rPr>
          <w:rFonts w:ascii="Arial" w:cs="Arial" w:eastAsia="Arial" w:hAnsi="Arial"/>
          <w:sz w:val="16"/>
          <w:szCs w:val="16"/>
          <w:u w:val="single" w:color="auto"/>
          <w:color w:val="auto"/>
        </w:rPr>
        <w:t>Company</w:t>
      </w:r>
      <w:r>
        <w:rPr>
          <w:rFonts w:ascii="Arial" w:cs="Arial" w:eastAsia="Arial" w:hAnsi="Arial"/>
          <w:sz w:val="16"/>
          <w:szCs w:val="16"/>
          <w:color w:val="auto"/>
        </w:rPr>
        <w:t>”), confirms its agreement with the several underwriters named in Schedule A hereto, acting severally and not jointly (the “</w:t>
      </w:r>
      <w:r>
        <w:rPr>
          <w:rFonts w:ascii="Arial" w:cs="Arial" w:eastAsia="Arial" w:hAnsi="Arial"/>
          <w:sz w:val="16"/>
          <w:szCs w:val="16"/>
          <w:u w:val="single" w:color="auto"/>
          <w:color w:val="auto"/>
        </w:rPr>
        <w:t>Underwriters</w:t>
      </w:r>
      <w:r>
        <w:rPr>
          <w:rFonts w:ascii="Arial" w:cs="Arial" w:eastAsia="Arial" w:hAnsi="Arial"/>
          <w:sz w:val="16"/>
          <w:szCs w:val="16"/>
          <w:color w:val="auto"/>
        </w:rPr>
        <w:t>”), for whom you (in such capacity,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are acting as representatives, with respect to the issuance of an aggregate of $1,250,000,000 principal amount of the 1.750% Senior Notes due 2030 (the “</w:t>
      </w:r>
      <w:r>
        <w:rPr>
          <w:rFonts w:ascii="Arial" w:cs="Arial" w:eastAsia="Arial" w:hAnsi="Arial"/>
          <w:sz w:val="16"/>
          <w:szCs w:val="16"/>
          <w:u w:val="single" w:color="auto"/>
          <w:color w:val="auto"/>
        </w:rPr>
        <w:t>2030</w:t>
      </w:r>
      <w:r>
        <w:rPr>
          <w:rFonts w:ascii="Arial" w:cs="Arial" w:eastAsia="Arial" w:hAnsi="Arial"/>
          <w:sz w:val="16"/>
          <w:szCs w:val="16"/>
          <w:color w:val="auto"/>
        </w:rPr>
        <w:t xml:space="preserve"> </w:t>
      </w:r>
      <w:r>
        <w:rPr>
          <w:rFonts w:ascii="Arial" w:cs="Arial" w:eastAsia="Arial" w:hAnsi="Arial"/>
          <w:sz w:val="16"/>
          <w:szCs w:val="16"/>
          <w:u w:val="single" w:color="auto"/>
          <w:color w:val="auto"/>
        </w:rPr>
        <w:t>Note</w:t>
      </w:r>
      <w:r>
        <w:rPr>
          <w:rFonts w:ascii="Arial" w:cs="Arial" w:eastAsia="Arial" w:hAnsi="Arial"/>
          <w:sz w:val="16"/>
          <w:szCs w:val="16"/>
          <w:color w:val="auto"/>
        </w:rPr>
        <w:t>s”) and $750,000,000 principal amount of the 2.800% Senior Notes due 2050 (the “</w:t>
      </w:r>
      <w:r>
        <w:rPr>
          <w:rFonts w:ascii="Arial" w:cs="Arial" w:eastAsia="Arial" w:hAnsi="Arial"/>
          <w:sz w:val="16"/>
          <w:szCs w:val="16"/>
          <w:u w:val="single" w:color="auto"/>
          <w:color w:val="auto"/>
        </w:rPr>
        <w:t>2050 Notes</w:t>
      </w:r>
      <w:r>
        <w:rPr>
          <w:rFonts w:ascii="Arial" w:cs="Arial" w:eastAsia="Arial" w:hAnsi="Arial"/>
          <w:sz w:val="16"/>
          <w:szCs w:val="16"/>
          <w:color w:val="auto"/>
        </w:rPr>
        <w:t>”, and together with the 2030 Notes, the “</w:t>
      </w:r>
      <w:r>
        <w:rPr>
          <w:rFonts w:ascii="Arial" w:cs="Arial" w:eastAsia="Arial" w:hAnsi="Arial"/>
          <w:sz w:val="16"/>
          <w:szCs w:val="16"/>
          <w:u w:val="single" w:color="auto"/>
          <w:color w:val="auto"/>
        </w:rPr>
        <w:t>Securities</w:t>
      </w:r>
      <w:r>
        <w:rPr>
          <w:rFonts w:ascii="Arial" w:cs="Arial" w:eastAsia="Arial" w:hAnsi="Arial"/>
          <w:sz w:val="16"/>
          <w:szCs w:val="16"/>
          <w:color w:val="auto"/>
        </w:rPr>
        <w:t>”) and the purchase by the Underwriters, acting severally and not jointly, of the respective amounts set forth on Schedule A hereto. To the extent there are no additional Underwriters named in Schedule A other than you, the term Representatives as used herein shall mean you, as Underwriters, and the terms Representatives and Underwriters shall mean either the singular or plural as the context requires. Any reference herein to the Registration Statement, the Base Prospectus, any Preliminary Prospectus, or the Final Prospectus shall be deemed to refer to and include the documents incorporated by reference therein as of the Execution Time; and any reference herein to the terms “amend,” “amendment,” or “supplement” with respect to the Registration Statement, the Base Prospectus, any Preliminary Prospectus, or the Final Prospectus 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 Certain terms used herein are defined in Section 21 hereof.</w:t>
      </w:r>
    </w:p>
    <w:p>
      <w:pPr>
        <w:spacing w:after="0" w:line="168" w:lineRule="exact"/>
        <w:rPr>
          <w:sz w:val="20"/>
          <w:szCs w:val="20"/>
          <w:color w:val="auto"/>
        </w:rPr>
      </w:pPr>
    </w:p>
    <w:p>
      <w:pPr>
        <w:ind w:left="1420" w:hanging="440"/>
        <w:spacing w:after="0"/>
        <w:tabs>
          <w:tab w:leader="none" w:pos="142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Underwriter as set forth below in this Section 1(a).</w:t>
      </w:r>
    </w:p>
    <w:p>
      <w:pPr>
        <w:spacing w:after="0" w:line="225" w:lineRule="exact"/>
        <w:rPr>
          <w:sz w:val="20"/>
          <w:szCs w:val="20"/>
          <w:color w:val="auto"/>
        </w:rPr>
      </w:pPr>
    </w:p>
    <w:p>
      <w:pPr>
        <w:ind w:left="660" w:right="60" w:firstLine="320"/>
        <w:spacing w:after="0" w:line="268" w:lineRule="auto"/>
        <w:tabs>
          <w:tab w:leader="none" w:pos="182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meets the requirements for use of Form S-3 under the Act and has prepared and filed with the Commission an automatic shelf registration statement, as defined in Rule 405, on Form S-3 (File No. 333- 228352), including a related Base Prospectus, for registration under the Act of the offering and sale of securities of the Company, including the Securities. Such Registration Statement, including any amendments thereto filed prior to the Execution Time, became effective upon filing. The Company may have filed with the Commission, as part of an amendment to the Registration Statement or pursuant to Rule 424(b), one or more preliminary prospectus supplements relating to the Securities, each of which has previously been furnished to you. The Company will file with the Commission a final prospectus supplement relating to the Securities in accordance with Rule 424(b). As filed, such final prospectus supplement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the information contained in the Base Prospectus and any Preliminary Prospectus) as the Company has advised you, prior to the Execution Time, will be included or made therein. The Registration Statement, at the Execution Time, meets the requirements set forth in Rule 415(a)(1)(i).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320" w:right="20" w:firstLine="320"/>
        <w:spacing w:after="0" w:line="286" w:lineRule="auto"/>
        <w:tabs>
          <w:tab w:leader="none" w:pos="809"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the most recent Effective Date, the Registration Statement did, and as of its date and on the Closing Date (as defined herein), the Final Prospectus (and any supplement thereto) will, comply in all material respects with the applicable requirements of the Act, the Exchange Act, and the respective rules thereunder; on the most recent Effective Date and at the Execution Time, the Registration Statement did not and does not contain any untrue statement of a material fact or omit to state any material fact required to be stated therein or necessary in order to make the statements therein not misleading; at the Execution Time, the Disclosure Package does not include any untrue statement of a material fact or omit to state a material fact necessary in order to make the statements therein, in the light of the circumstances under which they were made, not misleading; and as of its date and on the Closing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provided, however, that the Company makes no representations or warranties as to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 it being understood and agreed that the only such information furnished by or on behalf of any Underwriter consists of the information described as such in Section 8(b) hereof.</w:t>
      </w:r>
    </w:p>
    <w:p>
      <w:pPr>
        <w:spacing w:after="0" w:line="173" w:lineRule="exact"/>
        <w:rPr>
          <w:rFonts w:ascii="Arial" w:cs="Arial" w:eastAsia="Arial" w:hAnsi="Arial"/>
          <w:sz w:val="16"/>
          <w:szCs w:val="16"/>
          <w:color w:val="auto"/>
        </w:rPr>
      </w:pPr>
    </w:p>
    <w:p>
      <w:pPr>
        <w:ind w:left="-320" w:firstLine="320"/>
        <w:spacing w:after="0" w:line="271" w:lineRule="auto"/>
        <w:tabs>
          <w:tab w:leader="none" w:pos="859"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Company is not an “ineligible issuer” pursuant to Rules 164, 405, and 433 under the Act in connection with the offering. Any Issuer Free Writing Prospectus that the Company is required to file pursuant to Rule 433(d) under the Act has been, or will be, filed with the Commission in accordance with the requirements of the Act and the applicable rules and regulations of the Commission thereunder. Each Issuer Free Writing Prospectus that the Company has filed, or is required to file, pursuant to Rule 433(d) under the Act or that was prepared by or on behalf of or used or referred to by the Company complies or will comply in all material respects with the requirements of the Act and the applicable rules and regulations of the Commission thereunder. Except for each Issuer Free Writing Prospectus identified in Schedule B hereto, and electronic road shows, if any, each furnished to you before first use, the Company has not prepared, used, or referred to, and will not, without your prior consent, prepare, use, or refer to, any Issuer Free Writing Prospectus.</w:t>
      </w:r>
    </w:p>
    <w:p>
      <w:pPr>
        <w:spacing w:after="0" w:line="178" w:lineRule="exact"/>
        <w:rPr>
          <w:rFonts w:ascii="Arial" w:cs="Arial" w:eastAsia="Arial" w:hAnsi="Arial"/>
          <w:sz w:val="17"/>
          <w:szCs w:val="17"/>
          <w:color w:val="auto"/>
        </w:rPr>
      </w:pPr>
    </w:p>
    <w:p>
      <w:pPr>
        <w:ind w:left="-320" w:firstLine="320"/>
        <w:spacing w:after="0" w:line="270" w:lineRule="auto"/>
        <w:tabs>
          <w:tab w:leader="none" w:pos="848"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documents incorporated or deemed to be incorporated by reference in the Registration Statement, the Preliminary Prospectus, and the Final Prospectus, at the time they were or hereafter are filed with the Commission (or, in the case of the Preliminary Prospectus, first used, and, in the case of the Final Prospectus, for so long as a prospectus is required to be delivered in connection with the sale of the Securities), complied and will comply in all material respects with the requirements of the Exchange Act and the rules and regulations of the Commission thereunder and, when read together with the other information in (i) the Preliminary Prospectus, at the time the Registration Statement became effective and at the time of each sale of Securities in the offering when the Final Prospectus is not yet available to prospective purchasers, (ii) the Disclosure Package, at the Execution Time, and (iii) the Final Prospectus at the time the Final Prospectus was issued and at the Closing Date, in each case, did not and will not contain an untrue statement of a material fact or omit to state a material fact required to be stated therein or necessary to make the statements therein not misleading.</w:t>
      </w:r>
    </w:p>
    <w:p>
      <w:pPr>
        <w:spacing w:after="0" w:line="39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20"/>
          </w:cols>
          <w:pgMar w:left="1300" w:top="908" w:right="379" w:bottom="1440" w:gutter="0" w:footer="0" w:header="0"/>
        </w:sectPr>
      </w:pPr>
    </w:p>
    <w:bookmarkStart w:id="6" w:name="page7"/>
    <w:bookmarkEnd w:id="6"/>
    <w:p>
      <w:pPr>
        <w:ind w:left="-320" w:right="240" w:firstLine="320"/>
        <w:spacing w:after="0" w:line="296" w:lineRule="auto"/>
        <w:tabs>
          <w:tab w:leader="none" w:pos="843" w:val="left"/>
        </w:tabs>
        <w:numPr>
          <w:ilvl w:val="0"/>
          <w:numId w:val="8"/>
        </w:numPr>
        <w:rPr>
          <w:rFonts w:ascii="Arial" w:cs="Arial" w:eastAsia="Arial" w:hAnsi="Arial"/>
          <w:sz w:val="16"/>
          <w:szCs w:val="16"/>
          <w:color w:val="auto"/>
        </w:rPr>
      </w:pPr>
      <w:r>
        <w:rPr>
          <w:rFonts w:ascii="Arial" w:cs="Arial" w:eastAsia="Arial" w:hAnsi="Arial"/>
          <w:sz w:val="16"/>
          <w:szCs w:val="16"/>
          <w:color w:val="auto"/>
        </w:rPr>
        <w:t>(A) At the original effectiveness of the Registration Statement, (B) at the time of the most recent amendment thereto for the purposes of complying with Section 10(a)(3) of the Act (whether such amendment was by post-effective amendment, incorporated report filed pursuant to Section 13 or 15(d) of the Exchange Act, or form of prospectus), (C) at the time the Company or any person acting on its behalf (within the meaning, for this clause only, of Rule 163(c) under the Act) made any offer relating to the Securities in reliance on the exemption of Rule 163 under the Act, and (D) as of the Execution Time, the Company was and is a “well-known seasoned issuer” (as defined in Rule 405).</w:t>
      </w:r>
    </w:p>
    <w:p>
      <w:pPr>
        <w:spacing w:after="0" w:line="161" w:lineRule="exact"/>
        <w:rPr>
          <w:rFonts w:ascii="Arial" w:cs="Arial" w:eastAsia="Arial" w:hAnsi="Arial"/>
          <w:sz w:val="16"/>
          <w:szCs w:val="16"/>
          <w:color w:val="auto"/>
        </w:rPr>
      </w:pPr>
    </w:p>
    <w:p>
      <w:pPr>
        <w:ind w:left="-320" w:right="140" w:firstLine="320"/>
        <w:spacing w:after="0" w:line="311" w:lineRule="auto"/>
        <w:tabs>
          <w:tab w:leader="none" w:pos="84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accountants who certified the consolidated historical financial statements of the Company and its consolidated subsidiaries incorporated by reference in the Preliminary Prospectus, the Final Prospectus, and the Registration Statement are independent public accountants as required by the Act and the rules and regulations of the Commission under the Act (the “</w:t>
      </w:r>
      <w:r>
        <w:rPr>
          <w:rFonts w:ascii="Arial" w:cs="Arial" w:eastAsia="Arial" w:hAnsi="Arial"/>
          <w:sz w:val="16"/>
          <w:szCs w:val="16"/>
          <w:u w:val="single" w:color="auto"/>
          <w:color w:val="auto"/>
        </w:rPr>
        <w:t>1933 Act Regulations</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left="-320" w:right="60" w:firstLine="320"/>
        <w:spacing w:after="0" w:line="269" w:lineRule="auto"/>
        <w:tabs>
          <w:tab w:leader="none" w:pos="853"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consolidated historical financial statements of the Company and its consolidated subsidiaries incorporated by reference in the Preliminary Prospectus, the Final Prospectus, and the Registration Statement, together with the related schedules and notes, present fairly, in all material respects, the respective financial positions of the Company at the dates indicated and the statement of operations, stockholders’ equity, and cash flows of the Company for the periods specified; said financial statements have been prepared in conformity with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applied on a consistent basis throughout the periods involved, except as disclosed in the Registration Statement, the Disclosure Package, and the Final Prospectus. The selected financial data included in the Final Prospectus present fairly, in all material respects, the information shown therein and have been compiled on a basis consistent with that of the audited financial statements included in the Registration Statement, except as disclosed in the Registration Statement, the Disclosure Package, and the Final Prospectus. All disclosures in the Registration Statement, the Disclosure Package, and the Final Prospectus regarding “non-GAAP financial measures” (as such term is defined by the rules and regulations of the Commission) comply with Regulation G under the Exchange Act and Item 10(e) of Regulation S-K of the 1933 Act Regulations, to the extent applicable.</w:t>
      </w:r>
    </w:p>
    <w:p>
      <w:pPr>
        <w:spacing w:after="0" w:line="181" w:lineRule="exact"/>
        <w:rPr>
          <w:rFonts w:ascii="Arial" w:cs="Arial" w:eastAsia="Arial" w:hAnsi="Arial"/>
          <w:sz w:val="17"/>
          <w:szCs w:val="17"/>
          <w:color w:val="auto"/>
        </w:rPr>
      </w:pPr>
    </w:p>
    <w:p>
      <w:pPr>
        <w:ind w:left="-320" w:firstLine="320"/>
        <w:spacing w:after="0" w:line="288" w:lineRule="auto"/>
        <w:tabs>
          <w:tab w:leader="none" w:pos="858"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and its subsidiaries maintain systems of “internal control over financial reporting” (as defined in Rule 13a-15(f) of the Exchange Act) that are designed to comply with the requirements of the Exchange Act and have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in the United States, including, but not limited to, internal accounting controls sufficient to provide reasonable assurance that (A) transactions are executed in accordance with management’s general or specific authorizations;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disclosed in the Registration Statement, the Disclosure Package, and the Final Prospectus, the Company is not aware of any material weaknesses in the Company’s internal controls.</w:t>
      </w:r>
    </w:p>
    <w:p>
      <w:pPr>
        <w:spacing w:after="0" w:line="168" w:lineRule="exact"/>
        <w:rPr>
          <w:rFonts w:ascii="Arial" w:cs="Arial" w:eastAsia="Arial" w:hAnsi="Arial"/>
          <w:sz w:val="16"/>
          <w:szCs w:val="16"/>
          <w:color w:val="auto"/>
        </w:rPr>
      </w:pPr>
    </w:p>
    <w:p>
      <w:pPr>
        <w:ind w:left="-320" w:right="100" w:firstLine="320"/>
        <w:spacing w:after="0" w:line="263" w:lineRule="auto"/>
        <w:tabs>
          <w:tab w:leader="none" w:pos="848" w:val="left"/>
        </w:tabs>
        <w:numPr>
          <w:ilvl w:val="0"/>
          <w:numId w:val="8"/>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Preliminary Prospectus, there has been no change in the Company’s internal control over financial reporting that has materially affected, or is reasonably likely to materially affect, the Company’s internal control over financial reporting.</w:t>
      </w:r>
    </w:p>
    <w:p>
      <w:pPr>
        <w:spacing w:after="0" w:line="40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7" w:name="page8"/>
    <w:bookmarkEnd w:id="7"/>
    <w:p>
      <w:pPr>
        <w:ind w:right="100" w:firstLine="320"/>
        <w:spacing w:after="0" w:line="273" w:lineRule="auto"/>
        <w:tabs>
          <w:tab w:leader="none" w:pos="1163" w:val="left"/>
        </w:tabs>
        <w:numPr>
          <w:ilvl w:val="0"/>
          <w:numId w:val="9"/>
        </w:numPr>
        <w:rPr>
          <w:rFonts w:ascii="Arial" w:cs="Arial" w:eastAsia="Arial" w:hAnsi="Arial"/>
          <w:sz w:val="17"/>
          <w:szCs w:val="17"/>
          <w:color w:val="auto"/>
        </w:rPr>
      </w:pPr>
      <w:r>
        <w:rPr>
          <w:rFonts w:ascii="Arial" w:cs="Arial" w:eastAsia="Arial" w:hAnsi="Arial"/>
          <w:sz w:val="17"/>
          <w:szCs w:val="17"/>
          <w:color w:val="auto"/>
        </w:rPr>
        <w:t>Since the respective dates as of which information is given in the Registration Statement, the Disclosure Package, and the Final Prospectus, except as otherwise stated therein, (A) there has been no material adverse change or a development known to the Company involving a prospective material adverse change, in the condition, financial or otherwise, or in the earnings or business affairs of the Company, whether or not arising in the ordinary course of business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(B) there have been no transactions entered into by the Company, other than those in the ordinary course of business, which are material with respect to the Company, and (C) there has been no dividend or distribution of any kind declared, paid, or made by the Company on any class of its capital stock.</w:t>
      </w:r>
    </w:p>
    <w:p>
      <w:pPr>
        <w:spacing w:after="0" w:line="177" w:lineRule="exact"/>
        <w:rPr>
          <w:rFonts w:ascii="Arial" w:cs="Arial" w:eastAsia="Arial" w:hAnsi="Arial"/>
          <w:sz w:val="17"/>
          <w:szCs w:val="17"/>
          <w:color w:val="auto"/>
        </w:rPr>
      </w:pPr>
    </w:p>
    <w:p>
      <w:pPr>
        <w:ind w:left="1160" w:hanging="840"/>
        <w:spacing w:after="0"/>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Each of the Company and each significant subsidiary of the Company, as defined by Rule 1-02(w) of Regulation S-X (the</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subsidiaries</w:t>
      </w:r>
      <w:r>
        <w:rPr>
          <w:rFonts w:ascii="Arial" w:cs="Arial" w:eastAsia="Arial" w:hAnsi="Arial"/>
          <w:sz w:val="16"/>
          <w:szCs w:val="16"/>
          <w:color w:val="auto"/>
        </w:rPr>
        <w:t>”), has been duly incorporated or organized and is validly existing and in good standing (to the extent such concept is recognized by its jurisdiction of incorporation or organization) under the laws of the jurisdiction in which it is chartered or organized with full power and authority to own or lease, as the case may be, and to operate its properties and conduct its business as described in the Disclosure Package and the Final Prospectus, and is duly qualified to do business as a foreign corporation and is in good standing (to the extent such concept is recognized by such jurisdiction) under the laws of each jurisdiction which requires such qualification, except where the failure to be so qualified would not result in a Material Adverse Effect, except as set forth in or contemplated in the Disclosure Package and the Final Prospectus.</w:t>
      </w:r>
    </w:p>
    <w:p>
      <w:pPr>
        <w:spacing w:after="0" w:line="164" w:lineRule="exact"/>
        <w:rPr>
          <w:sz w:val="20"/>
          <w:szCs w:val="20"/>
          <w:color w:val="auto"/>
        </w:rPr>
      </w:pPr>
    </w:p>
    <w:p>
      <w:pPr>
        <w:ind w:left="1160" w:hanging="840"/>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25" w:lineRule="exact"/>
        <w:rPr>
          <w:rFonts w:ascii="Arial" w:cs="Arial" w:eastAsia="Arial" w:hAnsi="Arial"/>
          <w:sz w:val="18"/>
          <w:szCs w:val="18"/>
          <w:color w:val="auto"/>
        </w:rPr>
      </w:pPr>
    </w:p>
    <w:p>
      <w:pPr>
        <w:ind w:right="40" w:firstLine="320"/>
        <w:spacing w:after="0" w:line="254" w:lineRule="auto"/>
        <w:tabs>
          <w:tab w:leader="none" w:pos="117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outstanding shares of capital stock of the Company have been duly authorized and validly issued and are fully paid and non-assessable. The authorized, issued, and outstanding shares of capital stock of the Company are as set forth in the Disclosure Package and the Final Prospectus in the column entitled “Actual” under the caption “Capitalization” (except for subsequent conversions and issuances, if any, pursuant to this Agreement, pursuant to reservations, agreements, or employee benefit plans referred to in the Disclosure Package and the Final Prospectus or pursuant to the disposition or exercise of convertible securities or options referred to in the Disclosure Package and the Final Prospectus). None of the outstanding shares of capital stock of the Company were issued in violation of the preemptive or other similar rights of any securityholder of the Company.</w:t>
      </w:r>
    </w:p>
    <w:p>
      <w:pPr>
        <w:spacing w:after="0" w:line="194" w:lineRule="exact"/>
        <w:rPr>
          <w:rFonts w:ascii="Arial" w:cs="Arial" w:eastAsia="Arial" w:hAnsi="Arial"/>
          <w:sz w:val="18"/>
          <w:szCs w:val="18"/>
          <w:color w:val="auto"/>
        </w:rPr>
      </w:pPr>
    </w:p>
    <w:p>
      <w:pPr>
        <w:ind w:firstLine="320"/>
        <w:spacing w:after="0" w:line="269" w:lineRule="auto"/>
        <w:tabs>
          <w:tab w:leader="none" w:pos="116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Securities have been duly authorized and, when issued and delivered by the Company against payment therefor pursuant to this Agreement, will have been duly executed, authenticated, issued, and delivered and will constitute valid and legally binding obligations of the Company entitled to the benefits provided by the Indenture between the Company and U.S. Bank National Association (the “</w:t>
      </w:r>
      <w:r>
        <w:rPr>
          <w:rFonts w:ascii="Arial" w:cs="Arial" w:eastAsia="Arial" w:hAnsi="Arial"/>
          <w:sz w:val="17"/>
          <w:szCs w:val="17"/>
          <w:u w:val="single" w:color="auto"/>
          <w:color w:val="auto"/>
        </w:rPr>
        <w:t>Trustee</w:t>
      </w:r>
      <w:r>
        <w:rPr>
          <w:rFonts w:ascii="Arial" w:cs="Arial" w:eastAsia="Arial" w:hAnsi="Arial"/>
          <w:sz w:val="17"/>
          <w:szCs w:val="17"/>
          <w:color w:val="auto"/>
        </w:rPr>
        <w:t>”), to be dated as of August 12, 2020 (the “</w:t>
      </w:r>
      <w:r>
        <w:rPr>
          <w:rFonts w:ascii="Arial" w:cs="Arial" w:eastAsia="Arial" w:hAnsi="Arial"/>
          <w:sz w:val="17"/>
          <w:szCs w:val="17"/>
          <w:u w:val="single" w:color="auto"/>
          <w:color w:val="auto"/>
        </w:rPr>
        <w:t>Base Indenture</w:t>
      </w:r>
      <w:r>
        <w:rPr>
          <w:rFonts w:ascii="Arial" w:cs="Arial" w:eastAsia="Arial" w:hAnsi="Arial"/>
          <w:sz w:val="17"/>
          <w:szCs w:val="17"/>
          <w:color w:val="auto"/>
        </w:rPr>
        <w:t>”), as supplemented by a related supplemental indenture to be dated as of August 12, 2020 (the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by and between the Company and Trustee, under which the Securities are to be issued, which, in the case of the Base Indenture, is substantially in the form filed as an exhibit to the Registration Statement; the Indenture has been duly authorized and duly qualified under the Trust Indenture Act of 1939, as amended (the “</w:t>
      </w:r>
      <w:r>
        <w:rPr>
          <w:rFonts w:ascii="Arial" w:cs="Arial" w:eastAsia="Arial" w:hAnsi="Arial"/>
          <w:sz w:val="17"/>
          <w:szCs w:val="17"/>
          <w:u w:val="single" w:color="auto"/>
          <w:color w:val="auto"/>
        </w:rPr>
        <w:t>Trust Indenture Act</w:t>
      </w:r>
      <w:r>
        <w:rPr>
          <w:rFonts w:ascii="Arial" w:cs="Arial" w:eastAsia="Arial" w:hAnsi="Arial"/>
          <w:sz w:val="17"/>
          <w:szCs w:val="17"/>
          <w:color w:val="auto"/>
        </w:rPr>
        <w:t>”), and, when executed and delivered by the Company and the Trustee, will constitute a valid and legally binding instrument, enforceable in accordance with its terms, subject, as to enforcement, to bankruptcy, insolvency, reorganization, and other laws of general applicability relating to or affecting creditors' rights and to general equity principles; and the Securities and the Indenture will conform to the descriptions thereof in the Disclosure Package and the Final Prospectus.</w:t>
      </w:r>
    </w:p>
    <w:p>
      <w:pPr>
        <w:spacing w:after="0" w:line="181" w:lineRule="exact"/>
        <w:rPr>
          <w:rFonts w:ascii="Arial" w:cs="Arial" w:eastAsia="Arial" w:hAnsi="Arial"/>
          <w:sz w:val="17"/>
          <w:szCs w:val="17"/>
          <w:color w:val="auto"/>
        </w:rPr>
      </w:pPr>
    </w:p>
    <w:p>
      <w:pPr>
        <w:ind w:right="40" w:firstLine="320"/>
        <w:spacing w:after="0" w:line="286" w:lineRule="auto"/>
        <w:tabs>
          <w:tab w:leader="none" w:pos="1164"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is not in violation of its charter or by-laws or in default in the performance or observance of any obligation, agreement, covenant, or condition contained in any contract, indenture, mortgage, deed of trust, loan or credit agreement, note, lease, or other agreement or instrument to which the Company is a party or by which it may be bound, or to which any of the property or assets of the Company is subject (collectively, “</w:t>
      </w:r>
      <w:r>
        <w:rPr>
          <w:rFonts w:ascii="Arial" w:cs="Arial" w:eastAsia="Arial" w:hAnsi="Arial"/>
          <w:sz w:val="16"/>
          <w:szCs w:val="16"/>
          <w:u w:val="single" w:color="auto"/>
          <w:color w:val="auto"/>
        </w:rPr>
        <w:t>Agreements and Instruments</w:t>
      </w:r>
      <w:r>
        <w:rPr>
          <w:rFonts w:ascii="Arial" w:cs="Arial" w:eastAsia="Arial" w:hAnsi="Arial"/>
          <w:sz w:val="16"/>
          <w:szCs w:val="16"/>
          <w:color w:val="auto"/>
        </w:rPr>
        <w:t>”) except for such defaults that would not result in a Material Adverse Effect; and the execution, delivery, and performance of this Agreement by the Company and the consummation by the Company of the transactions contemplated herein and in the Final Prospectus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property or assets of the Company pursuant to, the Agreements and Instruments (except for such conflicts, breaches, or defaults or liens, charges, or encumbrances that would not result in a Material Adverse Effect), nor will such action result in any violation of the provisions of the charter or by-laws of the Company, or any applicable law, statute, rule, regulation, judgment, order, writ, or decree of any government, government instrumentality, or court, domestic or foreign, having jurisdiction over the Company or any of its assets, properties, or operations except for any such violation that could not be expected to result in a Material Adverse Effect. As used herein, a “</w:t>
      </w:r>
      <w:r>
        <w:rPr>
          <w:rFonts w:ascii="Arial" w:cs="Arial" w:eastAsia="Arial" w:hAnsi="Arial"/>
          <w:sz w:val="16"/>
          <w:szCs w:val="16"/>
          <w:u w:val="single" w:color="auto"/>
          <w:color w:val="auto"/>
        </w:rPr>
        <w:t>Repayment Event</w:t>
      </w:r>
      <w:r>
        <w:rPr>
          <w:rFonts w:ascii="Arial" w:cs="Arial" w:eastAsia="Arial" w:hAnsi="Arial"/>
          <w:sz w:val="16"/>
          <w:szCs w:val="16"/>
          <w:color w:val="auto"/>
        </w:rPr>
        <w:t>” means any event or condition which gives the holder of any note, debenture, or other evidence of indebtedness (or any person acting on such holder’s behalf) the right to require the repurchase, redemption, or repayment of all or a portion of such indebtedness by the Company.</w:t>
      </w:r>
    </w:p>
    <w:p>
      <w:pPr>
        <w:spacing w:after="0" w:line="38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60"/>
          </w:cols>
          <w:pgMar w:left="980" w:top="908" w:right="359" w:bottom="1440" w:gutter="0" w:footer="0" w:header="0"/>
        </w:sectPr>
      </w:pPr>
    </w:p>
    <w:bookmarkStart w:id="8" w:name="page9"/>
    <w:bookmarkEnd w:id="8"/>
    <w:p>
      <w:pPr>
        <w:ind w:left="-320" w:right="100" w:firstLine="320"/>
        <w:spacing w:after="0" w:line="263" w:lineRule="auto"/>
        <w:tabs>
          <w:tab w:leader="none" w:pos="8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labor dispute with the employees of the Company exists or, to the knowledge of the Company, is imminent, and the Company is not aware of any existing or imminent labor disturbance by the employees of any of its principal suppliers, manufacturers, customers, or contractors, which, in any case, may reasonably be expected to result in a Material Adverse Effect.</w:t>
      </w:r>
    </w:p>
    <w:p>
      <w:pPr>
        <w:spacing w:after="0" w:line="183" w:lineRule="exact"/>
        <w:rPr>
          <w:rFonts w:ascii="Arial" w:cs="Arial" w:eastAsia="Arial" w:hAnsi="Arial"/>
          <w:sz w:val="18"/>
          <w:szCs w:val="18"/>
          <w:color w:val="auto"/>
        </w:rPr>
      </w:pPr>
    </w:p>
    <w:p>
      <w:pPr>
        <w:ind w:left="-320" w:right="80" w:firstLine="320"/>
        <w:spacing w:after="0" w:line="273" w:lineRule="auto"/>
        <w:tabs>
          <w:tab w:leader="none" w:pos="853"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than as disclosed in the Registration Statement, the Disclosure Package, and the Final Prospectus, there is no action, suit, proceeding, inquiry, or investigation before or brought by any court or governmental agency or body, domestic or foreign, now pending, or, to the knowledge of the Company, threatened, against, or affecting the Company, which is required to be disclosed in the Registration Statement, the Disclosure Package, and the Final Prospectus, or which might reasonably be expected to result in a Material Adverse Effect, or which might reasonably be expected to materially and adversely affect the properties or assets thereof or the consummation of the transactions contemplated in this Agreement or the performance by the Company of its obligations hereunder.</w:t>
      </w:r>
    </w:p>
    <w:p>
      <w:pPr>
        <w:spacing w:after="0" w:line="177" w:lineRule="exact"/>
        <w:rPr>
          <w:rFonts w:ascii="Arial" w:cs="Arial" w:eastAsia="Arial" w:hAnsi="Arial"/>
          <w:sz w:val="17"/>
          <w:szCs w:val="17"/>
          <w:color w:val="auto"/>
        </w:rPr>
      </w:pPr>
    </w:p>
    <w:p>
      <w:pPr>
        <w:ind w:left="-320" w:firstLine="320"/>
        <w:spacing w:after="0" w:line="291" w:lineRule="auto"/>
        <w:tabs>
          <w:tab w:leader="none" w:pos="859"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Neither the Company nor any of its subsidiaries or affiliates, nor any director, officer, or employee, nor any agent or representative of the Company or of any of its subsidiaries or affiliates, in each case, to the Company’s knowledge,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to the Company’s knowledge, the Company and its subsidiaries and affiliates have conducted their businesses in compliance with applicable anti-corruption laws.</w:t>
      </w:r>
    </w:p>
    <w:p>
      <w:pPr>
        <w:spacing w:after="0" w:line="166" w:lineRule="exact"/>
        <w:rPr>
          <w:rFonts w:ascii="Arial" w:cs="Arial" w:eastAsia="Arial" w:hAnsi="Arial"/>
          <w:sz w:val="16"/>
          <w:szCs w:val="16"/>
          <w:color w:val="auto"/>
        </w:rPr>
      </w:pPr>
    </w:p>
    <w:p>
      <w:pPr>
        <w:ind w:left="-320" w:right="60" w:firstLine="320"/>
        <w:spacing w:after="0" w:line="254" w:lineRule="auto"/>
        <w:tabs>
          <w:tab w:leader="none" w:pos="8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and no action, suit, or proceeding by or before any court or governmental agency, authority, or body or any arbitrator involving the Company or its subsidiaries with respect to the Anti-Money Laundering Laws is pending or, to the knowledge of the Company, threatened.</w:t>
      </w:r>
    </w:p>
    <w:p>
      <w:pPr>
        <w:spacing w:after="0" w:line="191" w:lineRule="exact"/>
        <w:rPr>
          <w:rFonts w:ascii="Arial" w:cs="Arial" w:eastAsia="Arial" w:hAnsi="Arial"/>
          <w:sz w:val="18"/>
          <w:szCs w:val="18"/>
          <w:color w:val="auto"/>
        </w:rPr>
      </w:pPr>
    </w:p>
    <w:p>
      <w:pPr>
        <w:ind w:left="-320" w:firstLine="320"/>
        <w:spacing w:after="0" w:line="272" w:lineRule="auto"/>
        <w:tabs>
          <w:tab w:leader="none" w:pos="86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Company represents that neither the Company, any of its subsidiaries, or, to the Company’s knowledge, any director, officer, employee, agent, affiliate, or representative of the Company, is an individual or entity (each, a “</w:t>
      </w:r>
      <w:r>
        <w:rPr>
          <w:rFonts w:ascii="Arial" w:cs="Arial" w:eastAsia="Arial" w:hAnsi="Arial"/>
          <w:sz w:val="17"/>
          <w:szCs w:val="17"/>
          <w:u w:val="single" w:color="auto"/>
          <w:color w:val="auto"/>
        </w:rPr>
        <w:t>Person</w:t>
      </w:r>
      <w:r>
        <w:rPr>
          <w:rFonts w:ascii="Arial" w:cs="Arial" w:eastAsia="Arial" w:hAnsi="Arial"/>
          <w:sz w:val="17"/>
          <w:szCs w:val="17"/>
          <w:color w:val="auto"/>
        </w:rPr>
        <w:t>”) that is, or is owned or controlled by a Person that is: (A) the subject of any sanctions administered or enforced by the U.S. Department of Treasury’s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the United Nations Security Council (“</w:t>
      </w:r>
      <w:r>
        <w:rPr>
          <w:rFonts w:ascii="Arial" w:cs="Arial" w:eastAsia="Arial" w:hAnsi="Arial"/>
          <w:sz w:val="17"/>
          <w:szCs w:val="17"/>
          <w:u w:val="single" w:color="auto"/>
          <w:color w:val="auto"/>
        </w:rPr>
        <w:t>UNSC</w:t>
      </w:r>
      <w:r>
        <w:rPr>
          <w:rFonts w:ascii="Arial" w:cs="Arial" w:eastAsia="Arial" w:hAnsi="Arial"/>
          <w:sz w:val="17"/>
          <w:szCs w:val="17"/>
          <w:color w:val="auto"/>
        </w:rPr>
        <w:t>”), the European Union (“</w:t>
      </w:r>
      <w:r>
        <w:rPr>
          <w:rFonts w:ascii="Arial" w:cs="Arial" w:eastAsia="Arial" w:hAnsi="Arial"/>
          <w:sz w:val="17"/>
          <w:szCs w:val="17"/>
          <w:u w:val="single" w:color="auto"/>
          <w:color w:val="auto"/>
        </w:rPr>
        <w:t>EU</w:t>
      </w:r>
      <w:r>
        <w:rPr>
          <w:rFonts w:ascii="Arial" w:cs="Arial" w:eastAsia="Arial" w:hAnsi="Arial"/>
          <w:sz w:val="17"/>
          <w:szCs w:val="17"/>
          <w:color w:val="auto"/>
        </w:rPr>
        <w:t>”), Her Majesty’s Treasury (“</w:t>
      </w:r>
      <w:r>
        <w:rPr>
          <w:rFonts w:ascii="Arial" w:cs="Arial" w:eastAsia="Arial" w:hAnsi="Arial"/>
          <w:sz w:val="17"/>
          <w:szCs w:val="17"/>
          <w:u w:val="single" w:color="auto"/>
          <w:color w:val="auto"/>
        </w:rPr>
        <w:t>HMT</w:t>
      </w:r>
      <w:r>
        <w:rPr>
          <w:rFonts w:ascii="Arial" w:cs="Arial" w:eastAsia="Arial" w:hAnsi="Arial"/>
          <w:sz w:val="17"/>
          <w:szCs w:val="17"/>
          <w:color w:val="auto"/>
        </w:rPr>
        <w:t>”), or other relevant sanctions authority (collectively, “</w:t>
      </w:r>
      <w:r>
        <w:rPr>
          <w:rFonts w:ascii="Arial" w:cs="Arial" w:eastAsia="Arial" w:hAnsi="Arial"/>
          <w:sz w:val="17"/>
          <w:szCs w:val="17"/>
          <w:u w:val="single" w:color="auto"/>
          <w:color w:val="auto"/>
        </w:rPr>
        <w:t>Sanctions</w:t>
      </w:r>
      <w:r>
        <w:rPr>
          <w:rFonts w:ascii="Arial" w:cs="Arial" w:eastAsia="Arial" w:hAnsi="Arial"/>
          <w:sz w:val="17"/>
          <w:szCs w:val="17"/>
          <w:color w:val="auto"/>
        </w:rPr>
        <w:t>”), or (B) located, organized, or resident in a country or territory that is the subject of Sanctions. The Company represents that it is not knowingly engaged in any dealings or transactions with any Person, or in any country or territory, that at the time of the dealing or transaction is or was the subject of Sanctions.</w:t>
      </w:r>
    </w:p>
    <w:p>
      <w:pPr>
        <w:spacing w:after="0" w:line="39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9" w:name="page10"/>
    <w:bookmarkEnd w:id="9"/>
    <w:p>
      <w:pPr>
        <w:ind w:left="-320" w:right="20" w:firstLine="320"/>
        <w:spacing w:after="0" w:line="263" w:lineRule="auto"/>
        <w:tabs>
          <w:tab w:leader="none" w:pos="8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There are no contracts or documents which are required to be described in the Registration Statement, the Disclosure Package, the Final Prospectus, or the documents incorporated by reference therein or to be filed as exhibits thereto which have not been so described and filed as required.</w:t>
      </w:r>
    </w:p>
    <w:p>
      <w:pPr>
        <w:spacing w:after="0" w:line="183" w:lineRule="exact"/>
        <w:rPr>
          <w:rFonts w:ascii="Arial" w:cs="Arial" w:eastAsia="Arial" w:hAnsi="Arial"/>
          <w:sz w:val="18"/>
          <w:szCs w:val="18"/>
          <w:color w:val="auto"/>
        </w:rPr>
      </w:pPr>
    </w:p>
    <w:p>
      <w:pPr>
        <w:ind w:left="-320" w:firstLine="320"/>
        <w:spacing w:after="0" w:line="268" w:lineRule="auto"/>
        <w:tabs>
          <w:tab w:leader="none" w:pos="85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Company owns or possesses, or will use its commercially reasonable efforts to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w:t>
      </w:r>
      <w:r>
        <w:rPr>
          <w:rFonts w:ascii="Arial" w:cs="Arial" w:eastAsia="Arial" w:hAnsi="Arial"/>
          <w:sz w:val="17"/>
          <w:szCs w:val="17"/>
          <w:u w:val="single" w:color="auto"/>
          <w:color w:val="auto"/>
        </w:rPr>
        <w:t>Intellectual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Property</w:t>
      </w:r>
      <w:r>
        <w:rPr>
          <w:rFonts w:ascii="Arial" w:cs="Arial" w:eastAsia="Arial" w:hAnsi="Arial"/>
          <w:sz w:val="17"/>
          <w:szCs w:val="17"/>
          <w:color w:val="auto"/>
        </w:rPr>
        <w:t>”) necessary to carry on the business now operated by the Company, except where the failure to own or possess such Intellectual Property would not be reasonably likely to have a Material Adverse Effect. Except as disclosed in the Disclosure Package and Final Prospectus, (i) there is no litigation or other proceeding pending or, to the Company’s knowledge, threatened and no claims (such litigation, other proceedings, and claims, collectively, “</w:t>
      </w:r>
      <w:r>
        <w:rPr>
          <w:rFonts w:ascii="Arial" w:cs="Arial" w:eastAsia="Arial" w:hAnsi="Arial"/>
          <w:sz w:val="17"/>
          <w:szCs w:val="17"/>
          <w:u w:val="single" w:color="auto"/>
          <w:color w:val="auto"/>
        </w:rPr>
        <w:t>IP Proceedings and Claims</w:t>
      </w:r>
      <w:r>
        <w:rPr>
          <w:rFonts w:ascii="Arial" w:cs="Arial" w:eastAsia="Arial" w:hAnsi="Arial"/>
          <w:sz w:val="17"/>
          <w:szCs w:val="17"/>
          <w:color w:val="auto"/>
        </w:rPr>
        <w:t>”) are presently being asserted by any third party challenging or questioning the ownership, validity, enforceability of the Company’s right to use or own any Intellectual Property, or asserting that the use of any Intellectual Property by the Company or the operation of the business of the Company infringes upon or misappropriates the Intellectual Property of any third party, other than IP Proceedings and Claims which would not be reasonably likely to have a Material Adverse Effect, and (ii) the Company is not otherwise aware of any infringement of or conflict with asserted rights of others with respect to any Intellectual Property or of any facts or circumstances which would render any Intellectual Property invalid or inadequate to protect the interest of the Company therein, and which infringement or conflict (if the subject of any unfavorable decision, ruling, or finding) or invalidity or inadequacy, singly or in the aggregate, would result in a Material Adverse Effect.</w:t>
      </w:r>
    </w:p>
    <w:p>
      <w:pPr>
        <w:spacing w:after="0" w:line="184" w:lineRule="exact"/>
        <w:rPr>
          <w:rFonts w:ascii="Arial" w:cs="Arial" w:eastAsia="Arial" w:hAnsi="Arial"/>
          <w:sz w:val="17"/>
          <w:szCs w:val="17"/>
          <w:color w:val="auto"/>
        </w:rPr>
      </w:pPr>
    </w:p>
    <w:p>
      <w:pPr>
        <w:ind w:left="-320" w:firstLine="320"/>
        <w:spacing w:after="0" w:line="279" w:lineRule="auto"/>
        <w:tabs>
          <w:tab w:leader="none" w:pos="881"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filing with, or authorization, approval, consent, license, order, registration, qualification, or decree of, any court or governmental authority or agency is necessary or required for the performance by the Company of its obligations hereunder, in connection with the offering or sale of the Securities hereunder or the consummation of the transactions contemplated by this Agreement, except such as have been already obtained or as may be required under the Act, state securities laws, or the Trust Indenture Act.</w:t>
      </w:r>
    </w:p>
    <w:p>
      <w:pPr>
        <w:spacing w:after="0" w:line="171" w:lineRule="exact"/>
        <w:rPr>
          <w:rFonts w:ascii="Arial" w:cs="Arial" w:eastAsia="Arial" w:hAnsi="Arial"/>
          <w:sz w:val="17"/>
          <w:szCs w:val="17"/>
          <w:color w:val="auto"/>
        </w:rPr>
      </w:pPr>
    </w:p>
    <w:p>
      <w:pPr>
        <w:ind w:left="-320" w:right="100" w:firstLine="320"/>
        <w:spacing w:after="0" w:line="254" w:lineRule="auto"/>
        <w:tabs>
          <w:tab w:leader="none" w:pos="84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possesses such permits, licenses, approvals, consents, and other authorizations (collectively, “</w:t>
      </w:r>
      <w:r>
        <w:rPr>
          <w:rFonts w:ascii="Arial" w:cs="Arial" w:eastAsia="Arial" w:hAnsi="Arial"/>
          <w:sz w:val="18"/>
          <w:szCs w:val="18"/>
          <w:u w:val="single" w:color="auto"/>
          <w:color w:val="auto"/>
        </w:rPr>
        <w:t>Governmental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Licenses</w:t>
      </w:r>
      <w:r>
        <w:rPr>
          <w:rFonts w:ascii="Arial" w:cs="Arial" w:eastAsia="Arial" w:hAnsi="Arial"/>
          <w:sz w:val="18"/>
          <w:szCs w:val="18"/>
          <w:color w:val="auto"/>
        </w:rPr>
        <w:t>”) issued by the appropriate federal, state, local, or foreign regulatory agencies or bodies necessary to conduct the business now operated by them; the Company is in compliance with the terms and conditions of all such Governmental Licenses, except where the failure so to comply would not, singly or in the aggregate, have a Material Adverse Effect; all of the Governmental Licenses are valid and in full force and effect, except when the invalidity of such Governmental Licenses or the failure of such Governmental Licenses to be in full force and effect would not have a Material Adverse Effect; and the Company has not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91" w:lineRule="exact"/>
        <w:rPr>
          <w:rFonts w:ascii="Arial" w:cs="Arial" w:eastAsia="Arial" w:hAnsi="Arial"/>
          <w:sz w:val="18"/>
          <w:szCs w:val="18"/>
          <w:color w:val="auto"/>
        </w:rPr>
      </w:pPr>
    </w:p>
    <w:p>
      <w:pPr>
        <w:ind w:left="-320" w:right="20" w:firstLine="320"/>
        <w:spacing w:after="0" w:line="290" w:lineRule="auto"/>
        <w:tabs>
          <w:tab w:leader="none" w:pos="843"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has good and marketable title to all real property owned by the Company and good title to all other properties owned by it, in each case, free and clear of all mortgages, pledges, liens, security interests, claims, restrictions, or encumbrances of any kind except such as (a) are described in the Disclosure Package and the Final Prospectus or (b) do not, singly or in the aggregate, materially affect the value of such property and do not interfere with the use made and proposed to be made of such property by the Company; and all of the leases and subleases material to the business of the Company considered as one enterprise, and under which the Company holds properties described in the Disclosure Package and the Final Prospectus, are in full force and effect, and the Company has no notice of any material claim of any sort that has been asserted by anyone adverse to the rights of the Company any of the leases or subleases mentioned above, or affecting or questioning the rights of the Company to the continued possession of the leased or subleased premises under any such lease or sublease.</w:t>
      </w:r>
    </w:p>
    <w:p>
      <w:pPr>
        <w:spacing w:after="0" w:line="38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40"/>
          </w:cols>
          <w:pgMar w:left="1300" w:top="908" w:right="359" w:bottom="1440" w:gutter="0" w:footer="0" w:header="0"/>
        </w:sectPr>
      </w:pPr>
    </w:p>
    <w:bookmarkStart w:id="10" w:name="page11"/>
    <w:bookmarkEnd w:id="10"/>
    <w:p>
      <w:pPr>
        <w:ind w:left="320" w:right="20" w:firstLine="320"/>
        <w:spacing w:after="0" w:line="268" w:lineRule="auto"/>
        <w:tabs>
          <w:tab w:leader="none" w:pos="1488" w:val="left"/>
        </w:tabs>
        <w:numPr>
          <w:ilvl w:val="1"/>
          <w:numId w:val="13"/>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Disclosure Package, and the Final Prospectus and except as would not, singly or in the aggregate, result in a Material Adverse Effect, (A) the Company is not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or to the manufacture, processing, distribution, use, treatment, storage, disposal, transport, or handling of Hazardous Materials (collectively, “</w:t>
      </w:r>
      <w:r>
        <w:rPr>
          <w:rFonts w:ascii="Arial" w:cs="Arial" w:eastAsia="Arial" w:hAnsi="Arial"/>
          <w:sz w:val="17"/>
          <w:szCs w:val="17"/>
          <w:u w:val="single" w:color="auto"/>
          <w:color w:val="auto"/>
        </w:rPr>
        <w:t>Environmental Laws</w:t>
      </w:r>
      <w:r>
        <w:rPr>
          <w:rFonts w:ascii="Arial" w:cs="Arial" w:eastAsia="Arial" w:hAnsi="Arial"/>
          <w:sz w:val="17"/>
          <w:szCs w:val="17"/>
          <w:color w:val="auto"/>
        </w:rPr>
        <w:t>”), (B) the Company has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and (D) there are no events or circumstances that might reasonably be expected to form the basis of an order for clean-up or remediation, or an action, suit, or proceeding by any private party or governmental body.</w:t>
      </w:r>
    </w:p>
    <w:p>
      <w:pPr>
        <w:spacing w:after="0" w:line="186" w:lineRule="exact"/>
        <w:rPr>
          <w:rFonts w:ascii="Arial" w:cs="Arial" w:eastAsia="Arial" w:hAnsi="Arial"/>
          <w:sz w:val="17"/>
          <w:szCs w:val="17"/>
          <w:color w:val="auto"/>
        </w:rPr>
      </w:pPr>
    </w:p>
    <w:p>
      <w:pPr>
        <w:ind w:left="320" w:right="220" w:firstLine="320"/>
        <w:spacing w:after="0" w:line="263" w:lineRule="auto"/>
        <w:tabs>
          <w:tab w:leader="none" w:pos="14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is not, and upon the sale of the Securities as herein contemplated as described in the Disclosure Package and the Final Prospectus will not be, required to register as an “investment company” or an entity controlled by an “investment company” as such terms are defined in the Investment Company Act of 1940, as amended.</w:t>
      </w:r>
    </w:p>
    <w:p>
      <w:pPr>
        <w:spacing w:after="0" w:line="183" w:lineRule="exact"/>
        <w:rPr>
          <w:rFonts w:ascii="Arial" w:cs="Arial" w:eastAsia="Arial" w:hAnsi="Arial"/>
          <w:sz w:val="18"/>
          <w:szCs w:val="18"/>
          <w:color w:val="auto"/>
        </w:rPr>
      </w:pPr>
    </w:p>
    <w:p>
      <w:pPr>
        <w:ind w:left="320" w:right="40" w:firstLine="320"/>
        <w:spacing w:after="0" w:line="275" w:lineRule="auto"/>
        <w:tabs>
          <w:tab w:leader="none" w:pos="1499" w:val="left"/>
        </w:tabs>
        <w:numPr>
          <w:ilvl w:val="1"/>
          <w:numId w:val="13"/>
        </w:numPr>
        <w:rPr>
          <w:rFonts w:ascii="Arial" w:cs="Arial" w:eastAsia="Arial" w:hAnsi="Arial"/>
          <w:sz w:val="17"/>
          <w:szCs w:val="17"/>
          <w:color w:val="auto"/>
        </w:rPr>
      </w:pPr>
      <w:r>
        <w:rPr>
          <w:rFonts w:ascii="Arial" w:cs="Arial" w:eastAsia="Arial" w:hAnsi="Arial"/>
          <w:sz w:val="17"/>
          <w:szCs w:val="17"/>
          <w:color w:val="auto"/>
        </w:rPr>
        <w:t>Except as described in the Preliminary Prospectus, the Company and its subsidiaries are in compliance with all statutes, rules, regulations, ordinances, orders, decrees, and guidance applicable to the ownership, testing, in humans or laboratory models, development, manufacture, formulation, packaging, processing, recordkeeping, use, distribution, marketing, labeling, promotion, sale, offer for sale, storage, import, export, or disposal of any product manufactured or distributed by or for the Company or any of its subsidiaries, except where the failure to so comply would not, individually or in the aggregate, reasonably be expected to have a Material Adverse Effect.</w:t>
      </w:r>
    </w:p>
    <w:p>
      <w:pPr>
        <w:spacing w:after="0" w:line="176" w:lineRule="exact"/>
        <w:rPr>
          <w:rFonts w:ascii="Arial" w:cs="Arial" w:eastAsia="Arial" w:hAnsi="Arial"/>
          <w:sz w:val="17"/>
          <w:szCs w:val="17"/>
          <w:color w:val="auto"/>
        </w:rPr>
      </w:pPr>
    </w:p>
    <w:p>
      <w:pPr>
        <w:ind w:left="320" w:right="40" w:firstLine="320"/>
        <w:spacing w:after="0" w:line="286" w:lineRule="auto"/>
        <w:tabs>
          <w:tab w:leader="none" w:pos="1533" w:val="left"/>
        </w:tabs>
        <w:numPr>
          <w:ilvl w:val="1"/>
          <w:numId w:val="13"/>
        </w:numPr>
        <w:rPr>
          <w:rFonts w:ascii="Arial" w:cs="Arial" w:eastAsia="Arial" w:hAnsi="Arial"/>
          <w:sz w:val="16"/>
          <w:szCs w:val="16"/>
          <w:color w:val="auto"/>
        </w:rPr>
      </w:pPr>
      <w:r>
        <w:rPr>
          <w:rFonts w:ascii="Arial" w:cs="Arial" w:eastAsia="Arial" w:hAnsi="Arial"/>
          <w:sz w:val="16"/>
          <w:szCs w:val="16"/>
          <w:color w:val="auto"/>
        </w:rPr>
        <w:t>Except as would not, singly or in the aggregate, result in a Material Adverse Effect, (A) each of the Company’s and its subsidiaries’ information technology assets and equipment, computers, systems, networks, hardware, software, websites, applications, and databases (collectively, “</w:t>
      </w:r>
      <w:r>
        <w:rPr>
          <w:rFonts w:ascii="Arial" w:cs="Arial" w:eastAsia="Arial" w:hAnsi="Arial"/>
          <w:sz w:val="16"/>
          <w:szCs w:val="16"/>
          <w:u w:val="single" w:color="auto"/>
          <w:color w:val="auto"/>
        </w:rPr>
        <w:t>IT Systems</w:t>
      </w:r>
      <w:r>
        <w:rPr>
          <w:rFonts w:ascii="Arial" w:cs="Arial" w:eastAsia="Arial" w:hAnsi="Arial"/>
          <w:sz w:val="16"/>
          <w:szCs w:val="16"/>
          <w:color w:val="auto"/>
        </w:rPr>
        <w:t>”) are adequate for, and operate and perform in all respects as required in connection with, the operation of the business of the Company and the subsidiaries as currently conducted, and to the knowledge of the Company are free and clear of all bugs, errors, defects, Trojan horses, time bombs, malware, and other corruptants; (B) the Company and the subsidiaries have implemented and maintained commercially reasonably necessary controls, policies, procedures, and safeguards to maintain and protect their confidential information and the integrity, continuous operation, redundancy, and security of all IT Systems and data (including all personal, personally identifiable, sensitive, confidential, or regulated data (“</w:t>
      </w:r>
      <w:r>
        <w:rPr>
          <w:rFonts w:ascii="Arial" w:cs="Arial" w:eastAsia="Arial" w:hAnsi="Arial"/>
          <w:sz w:val="16"/>
          <w:szCs w:val="16"/>
          <w:u w:val="single" w:color="auto"/>
          <w:color w:val="auto"/>
        </w:rPr>
        <w:t>Personal Data</w:t>
      </w:r>
      <w:r>
        <w:rPr>
          <w:rFonts w:ascii="Arial" w:cs="Arial" w:eastAsia="Arial" w:hAnsi="Arial"/>
          <w:sz w:val="16"/>
          <w:szCs w:val="16"/>
          <w:color w:val="auto"/>
        </w:rPr>
        <w:t>”)) used in connection with their businesses, and, to the Company’s knowledge, there have been no breaches, violations, outages, or unauthorized uses of or accesses to same; and (C) the Company and its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including, to the extent applicable, HIPAA and the European Union General Data Protection Regulation (EU 2016/679).</w:t>
      </w:r>
    </w:p>
    <w:p>
      <w:pPr>
        <w:spacing w:after="0" w:line="173" w:lineRule="exact"/>
        <w:rPr>
          <w:rFonts w:ascii="Arial" w:cs="Arial" w:eastAsia="Arial" w:hAnsi="Arial"/>
          <w:sz w:val="16"/>
          <w:szCs w:val="16"/>
          <w:color w:val="auto"/>
        </w:rPr>
      </w:pPr>
    </w:p>
    <w:p>
      <w:pPr>
        <w:ind w:firstLine="316"/>
        <w:spacing w:after="0" w:line="342" w:lineRule="auto"/>
        <w:tabs>
          <w:tab w:leader="none" w:pos="71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34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1" w:name="page12"/>
    <w:bookmarkEnd w:id="11"/>
    <w:p>
      <w:pPr>
        <w:ind w:left="1088" w:hanging="440"/>
        <w:spacing w:after="0"/>
        <w:tabs>
          <w:tab w:leader="none" w:pos="1088"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220" w:firstLine="316"/>
        <w:spacing w:after="0" w:line="301" w:lineRule="auto"/>
        <w:tabs>
          <w:tab w:leader="none" w:pos="756"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Subject to the terms and conditions and in reliance upon the representations and warranties herein set forth, the Company agrees to sell to each Underwriter, and each Underwriter agrees, severally and not jointly, to purchase from the Company the principal amount of Securities set forth opposite the name of such Underwriter in Schedule A at a purchase price of 99.248% of the principal amount of 2030 Notes and 98.840% of the principal amount of the 2050 Notes, plus, in each case, accrued interest, if any, from August 12, 2020 to the Closing Date.</w:t>
      </w:r>
    </w:p>
    <w:p>
      <w:pPr>
        <w:spacing w:after="0" w:line="157" w:lineRule="exact"/>
        <w:rPr>
          <w:rFonts w:ascii="Arial" w:cs="Arial" w:eastAsia="Arial" w:hAnsi="Arial"/>
          <w:sz w:val="16"/>
          <w:szCs w:val="16"/>
          <w:color w:val="auto"/>
        </w:rPr>
      </w:pPr>
    </w:p>
    <w:p>
      <w:pPr>
        <w:ind w:left="1088" w:hanging="440"/>
        <w:spacing w:after="0"/>
        <w:tabs>
          <w:tab w:leader="none" w:pos="1088"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Delivery and Payment</w:t>
      </w:r>
      <w:r>
        <w:rPr>
          <w:rFonts w:ascii="Arial" w:cs="Arial" w:eastAsia="Arial" w:hAnsi="Arial"/>
          <w:sz w:val="18"/>
          <w:szCs w:val="18"/>
          <w:color w:val="auto"/>
        </w:rPr>
        <w:t>.</w:t>
      </w:r>
    </w:p>
    <w:p>
      <w:pPr>
        <w:spacing w:after="0" w:line="225" w:lineRule="exact"/>
        <w:rPr>
          <w:sz w:val="20"/>
          <w:szCs w:val="20"/>
          <w:color w:val="auto"/>
        </w:rPr>
      </w:pPr>
    </w:p>
    <w:p>
      <w:pPr>
        <w:jc w:val="both"/>
        <w:ind w:left="8" w:right="120" w:firstLine="316"/>
        <w:spacing w:after="0" w:line="279" w:lineRule="auto"/>
        <w:tabs>
          <w:tab w:leader="none" w:pos="75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Delivery of and payment for the Securities shall be made at the offices of Ropes &amp; Gray LLP, 800 Boylston Street Boston, Massachusetts 02199-3600 on August 12, 2020 or at such time on such later date not more than three Business Days after the foregoing date as the Representatives shall designate, which date and time may be postponed by agreement among the Representatives and the Company or as provided in Section 9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8" w:right="100" w:firstLine="316"/>
        <w:spacing w:after="0" w:line="257" w:lineRule="auto"/>
        <w:tabs>
          <w:tab w:leader="none" w:pos="7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The Securities to be purchased by each Underwriter hereunder will be represented by one or more definitive global Securities in book-entry form, which will be deposited by or on behalf of the Company with The Depository Trust Company (“</w:t>
      </w:r>
      <w:r>
        <w:rPr>
          <w:rFonts w:ascii="Arial" w:cs="Arial" w:eastAsia="Arial" w:hAnsi="Arial"/>
          <w:sz w:val="18"/>
          <w:szCs w:val="18"/>
          <w:u w:val="single" w:color="auto"/>
          <w:color w:val="auto"/>
        </w:rPr>
        <w:t>DTC</w:t>
      </w:r>
      <w:r>
        <w:rPr>
          <w:rFonts w:ascii="Arial" w:cs="Arial" w:eastAsia="Arial" w:hAnsi="Arial"/>
          <w:sz w:val="18"/>
          <w:szCs w:val="18"/>
          <w:color w:val="auto"/>
        </w:rPr>
        <w:t>”) or its designated custodian.</w:t>
      </w:r>
    </w:p>
    <w:p>
      <w:pPr>
        <w:spacing w:after="0" w:line="187" w:lineRule="exact"/>
        <w:rPr>
          <w:rFonts w:ascii="Arial" w:cs="Arial" w:eastAsia="Arial" w:hAnsi="Arial"/>
          <w:sz w:val="18"/>
          <w:szCs w:val="18"/>
          <w:color w:val="auto"/>
        </w:rPr>
      </w:pPr>
    </w:p>
    <w:p>
      <w:pPr>
        <w:ind w:left="328" w:right="40" w:firstLine="320"/>
        <w:spacing w:after="0" w:line="277" w:lineRule="auto"/>
        <w:tabs>
          <w:tab w:leader="none" w:pos="1102"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Final Prospectus.</w:t>
      </w:r>
    </w:p>
    <w:p>
      <w:pPr>
        <w:spacing w:after="0" w:line="170" w:lineRule="exact"/>
        <w:rPr>
          <w:rFonts w:ascii="Arial" w:cs="Arial" w:eastAsia="Arial" w:hAnsi="Arial"/>
          <w:sz w:val="18"/>
          <w:szCs w:val="18"/>
          <w:color w:val="auto"/>
        </w:rPr>
      </w:pPr>
    </w:p>
    <w:p>
      <w:pPr>
        <w:ind w:left="1088" w:hanging="440"/>
        <w:spacing w:after="0"/>
        <w:tabs>
          <w:tab w:leader="none" w:pos="1088"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each Underwriter that:</w:t>
      </w:r>
    </w:p>
    <w:p>
      <w:pPr>
        <w:spacing w:after="0" w:line="225" w:lineRule="exact"/>
        <w:rPr>
          <w:sz w:val="20"/>
          <w:szCs w:val="20"/>
          <w:color w:val="auto"/>
        </w:rPr>
      </w:pPr>
    </w:p>
    <w:p>
      <w:pPr>
        <w:ind w:left="8" w:firstLine="316"/>
        <w:spacing w:after="0" w:line="283" w:lineRule="auto"/>
        <w:tabs>
          <w:tab w:leader="none" w:pos="756" w:val="left"/>
        </w:tabs>
        <w:numPr>
          <w:ilvl w:val="1"/>
          <w:numId w:val="18"/>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(including the Final Prospectus or any Preliminary Prospectus) to the Base Prospectus unless the Company has furnished you a copy for your review prior to filing and will not file any such proposed amendment or supplement to which you reasonably object. The Company will cause the Final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Final Prospectus, and any supplement thereto, shall have been filed (if required) with the Commission pursuant to Rule 424(b),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Final Prospectus or for any additional information,</w:t>
      </w:r>
    </w:p>
    <w:p>
      <w:pPr>
        <w:spacing w:after="0" w:line="5" w:lineRule="exact"/>
        <w:rPr>
          <w:rFonts w:ascii="Arial" w:cs="Arial" w:eastAsia="Arial" w:hAnsi="Arial"/>
          <w:sz w:val="16"/>
          <w:szCs w:val="16"/>
          <w:color w:val="auto"/>
        </w:rPr>
      </w:pPr>
    </w:p>
    <w:p>
      <w:pPr>
        <w:ind w:left="8" w:right="80" w:hanging="8"/>
        <w:spacing w:after="0" w:line="288" w:lineRule="auto"/>
        <w:tabs>
          <w:tab w:leader="none" w:pos="313" w:val="left"/>
        </w:tabs>
        <w:numPr>
          <w:ilvl w:val="0"/>
          <w:numId w:val="19"/>
        </w:numPr>
        <w:rPr>
          <w:rFonts w:ascii="Arial" w:cs="Arial" w:eastAsia="Arial" w:hAnsi="Arial"/>
          <w:sz w:val="16"/>
          <w:szCs w:val="16"/>
          <w:color w:val="auto"/>
        </w:rPr>
      </w:pPr>
      <w:r>
        <w:rPr>
          <w:rFonts w:ascii="Arial" w:cs="Arial" w:eastAsia="Arial" w:hAnsi="Arial"/>
          <w:sz w:val="16"/>
          <w:szCs w:val="16"/>
          <w:color w:val="auto"/>
        </w:rPr>
        <w:t>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168" w:lineRule="exact"/>
        <w:rPr>
          <w:rFonts w:ascii="Arial" w:cs="Arial" w:eastAsia="Arial" w:hAnsi="Arial"/>
          <w:sz w:val="16"/>
          <w:szCs w:val="16"/>
          <w:color w:val="auto"/>
        </w:rPr>
      </w:pPr>
    </w:p>
    <w:p>
      <w:pPr>
        <w:ind w:left="8" w:firstLine="316"/>
        <w:spacing w:after="0" w:line="296" w:lineRule="auto"/>
        <w:tabs>
          <w:tab w:leader="none" w:pos="722" w:val="left"/>
        </w:tabs>
        <w:numPr>
          <w:ilvl w:val="1"/>
          <w:numId w:val="19"/>
        </w:numPr>
        <w:rPr>
          <w:rFonts w:ascii="Arial" w:cs="Arial" w:eastAsia="Arial" w:hAnsi="Arial"/>
          <w:sz w:val="16"/>
          <w:szCs w:val="16"/>
          <w:color w:val="auto"/>
        </w:rPr>
      </w:pPr>
      <w:r>
        <w:rPr>
          <w:rFonts w:ascii="Arial" w:cs="Arial" w:eastAsia="Arial" w:hAnsi="Arial"/>
          <w:sz w:val="16"/>
          <w:szCs w:val="16"/>
          <w:color w:val="auto"/>
        </w:rPr>
        <w:t>If, at any time prior to the filing of the Final Prospectus pursuant to Rule 424(b), any event occurs as a result of which the Disclosure Package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Representatives so that any use of the Disclosure Package may cease until it is amended or supplemented; (ii) amend or supplement the Disclosure Package to correct such statement or omission; and (iii) supply any amendment or supplement to you in such quantities as you may reasonably request.</w:t>
      </w:r>
    </w:p>
    <w:p>
      <w:pPr>
        <w:spacing w:after="0" w:line="377"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8"/>
          </w:cols>
          <w:pgMar w:left="652" w:top="908" w:right="359" w:bottom="1440" w:gutter="0" w:footer="0" w:header="0"/>
        </w:sectPr>
      </w:pPr>
    </w:p>
    <w:bookmarkStart w:id="12" w:name="page13"/>
    <w:bookmarkEnd w:id="12"/>
    <w:p>
      <w:pPr>
        <w:ind w:firstLine="316"/>
        <w:spacing w:after="0" w:line="288" w:lineRule="auto"/>
        <w:tabs>
          <w:tab w:leader="none" w:pos="748"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at any time when a prospectus relating to the Securities is required to be delivered under the Act (including in circumstances where such requirement may be satisfied pursuant to Rule 172), any event occurs as a result of which the Final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Final Prospectus to comply with the Act, the Exchange Act, the Trust Indenture Act, or the respective rules thereunder, including in connection with use or delivery of the Final Prospectus, the Company promptly will (i) notify the Representatives of any such event, (ii) prepare and file with the Commission, subject to the second sentence of paragraph (a) of this Section 5, an amendment or supplement or new registration statement which will correct such statement or omission or effect such compliance, (iii) use its best efforts to have any amendment to the Registration Statement or new registration statement declared effective as soon as practicable in order to avoid any disruption in use of the Final Prospectus, and (iv) supply any supplemented Final Prospectus to you in such quantities as you may reasonably request.</w:t>
      </w:r>
    </w:p>
    <w:p>
      <w:pPr>
        <w:spacing w:after="0" w:line="168" w:lineRule="exact"/>
        <w:rPr>
          <w:rFonts w:ascii="Arial" w:cs="Arial" w:eastAsia="Arial" w:hAnsi="Arial"/>
          <w:sz w:val="16"/>
          <w:szCs w:val="16"/>
          <w:color w:val="auto"/>
        </w:rPr>
      </w:pPr>
    </w:p>
    <w:p>
      <w:pPr>
        <w:ind w:right="40" w:firstLine="316"/>
        <w:spacing w:after="0" w:line="308" w:lineRule="auto"/>
        <w:tabs>
          <w:tab w:leader="none" w:pos="7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w:t>
      </w:r>
    </w:p>
    <w:p>
      <w:pPr>
        <w:spacing w:after="0" w:line="146" w:lineRule="exact"/>
        <w:rPr>
          <w:rFonts w:ascii="Arial" w:cs="Arial" w:eastAsia="Arial" w:hAnsi="Arial"/>
          <w:sz w:val="17"/>
          <w:szCs w:val="17"/>
          <w:color w:val="auto"/>
        </w:rPr>
      </w:pPr>
    </w:p>
    <w:p>
      <w:pPr>
        <w:ind w:right="80" w:firstLine="316"/>
        <w:spacing w:after="0" w:line="255" w:lineRule="auto"/>
        <w:tabs>
          <w:tab w:leader="none" w:pos="7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will furnish to the Representatives and counsel for the Underwriters, without charge, a reasonable number of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Final Prospectus, and each Issuer Free Writing Prospectus and any supplement thereto as the Representatives may reasonably request. The Company will pay the reasonable expenses of printing or other production of all documents relating to the offering.</w:t>
      </w:r>
    </w:p>
    <w:p>
      <w:pPr>
        <w:spacing w:after="0" w:line="192" w:lineRule="exact"/>
        <w:rPr>
          <w:rFonts w:ascii="Arial" w:cs="Arial" w:eastAsia="Arial" w:hAnsi="Arial"/>
          <w:sz w:val="18"/>
          <w:szCs w:val="18"/>
          <w:color w:val="auto"/>
        </w:rPr>
      </w:pPr>
    </w:p>
    <w:p>
      <w:pPr>
        <w:ind w:right="100" w:firstLine="316"/>
        <w:spacing w:after="0" w:line="257" w:lineRule="auto"/>
        <w:tabs>
          <w:tab w:leader="none" w:pos="72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will arrange, if necessary, for the qualification of the Securities for sale under the laws of such jurisdictions as the Representatives may designate and will maintain such qualifications in effect so long as required for the distribution of the Securities; provided that in no event shall the Company be obligated to qualify to do business in any jurisdiction where it is not now so qualified or to take any action that would subject it to any taxation of its income or any service of process in suits, other than those arising out of the offering or sale of the Securities, in any jurisdiction where it is not now so subject.</w:t>
      </w:r>
    </w:p>
    <w:p>
      <w:pPr>
        <w:spacing w:after="0" w:line="187" w:lineRule="exact"/>
        <w:rPr>
          <w:rFonts w:ascii="Arial" w:cs="Arial" w:eastAsia="Arial" w:hAnsi="Arial"/>
          <w:sz w:val="18"/>
          <w:szCs w:val="18"/>
          <w:color w:val="auto"/>
        </w:rPr>
      </w:pPr>
    </w:p>
    <w:p>
      <w:pPr>
        <w:ind w:right="40" w:firstLine="316"/>
        <w:spacing w:after="0" w:line="269" w:lineRule="auto"/>
        <w:tabs>
          <w:tab w:leader="none" w:pos="7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agrees that, unless it has or shall have obtained the prior written consent (not to be unreasonably withheld)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an Issuer Free Writing Prospectus or that would otherwise constitute a “free writing prospectus” (as defined in Rule 405) required to be filed by the Company with the Commission or retained by the Company under Rule 433; provided that the prior written consent of the parties hereto shall be deemed to have been given in respect of the Free Writing Prospectuses included in Schedule B hereto and any electronic road show. Any such free writing prospectus consented to by the Representatives or the Company is hereinafter referred to as a “</w:t>
      </w:r>
      <w:r>
        <w:rPr>
          <w:rFonts w:ascii="Arial" w:cs="Arial" w:eastAsia="Arial" w:hAnsi="Arial"/>
          <w:sz w:val="17"/>
          <w:szCs w:val="17"/>
          <w:u w:val="single" w:color="auto"/>
          <w:color w:val="auto"/>
        </w:rPr>
        <w:t>Permitted Free Writing Prospectus</w:t>
      </w:r>
      <w:r>
        <w:rPr>
          <w:rFonts w:ascii="Arial" w:cs="Arial" w:eastAsia="Arial" w:hAnsi="Arial"/>
          <w:sz w:val="17"/>
          <w:szCs w:val="17"/>
          <w:color w:val="auto"/>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185" w:lineRule="exact"/>
        <w:rPr>
          <w:rFonts w:ascii="Arial" w:cs="Arial" w:eastAsia="Arial" w:hAnsi="Arial"/>
          <w:sz w:val="17"/>
          <w:szCs w:val="17"/>
          <w:color w:val="auto"/>
        </w:rPr>
      </w:pPr>
    </w:p>
    <w:p>
      <w:pPr>
        <w:ind w:right="180" w:firstLine="316"/>
        <w:spacing w:after="0" w:line="286" w:lineRule="auto"/>
        <w:tabs>
          <w:tab w:leader="none" w:pos="7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During the period beginning from the date hereof and continuing to and including the later of the Closing Date and such earlier time as you may notify the Company, the Company may not offer, sell, contract to sell, pledge, grant any option to purchase, make any short sale, or otherwise dispose of, except as provided hereunder, any securities of the Company that are substantially similar to the Securities;</w:t>
      </w:r>
    </w:p>
    <w:p>
      <w:pPr>
        <w:spacing w:after="0" w:line="3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3" w:name="page14"/>
    <w:bookmarkEnd w:id="13"/>
    <w:p>
      <w:pPr>
        <w:ind w:left="8" w:right="80" w:firstLine="316"/>
        <w:spacing w:after="0" w:line="263" w:lineRule="auto"/>
        <w:tabs>
          <w:tab w:leader="none" w:pos="7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ind w:left="8" w:right="100" w:firstLine="316"/>
        <w:spacing w:after="0" w:line="263" w:lineRule="auto"/>
        <w:tabs>
          <w:tab w:leader="none" w:pos="77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Company, during the period when a prospectus relating to the Securities is (or, but for the exception afforded by Rule 172, would be) required to be delivered under the Act, will file all documents required to be filed with the Commission pursuant to the Exchange Act within the time periods required by the Exchange Act and the regulations of the Commission promulgated thereunder.</w:t>
      </w:r>
    </w:p>
    <w:p>
      <w:pPr>
        <w:spacing w:after="0" w:line="183" w:lineRule="exact"/>
        <w:rPr>
          <w:rFonts w:ascii="Arial" w:cs="Arial" w:eastAsia="Arial" w:hAnsi="Arial"/>
          <w:sz w:val="18"/>
          <w:szCs w:val="18"/>
          <w:color w:val="auto"/>
        </w:rPr>
      </w:pPr>
    </w:p>
    <w:p>
      <w:pPr>
        <w:ind w:left="8" w:right="80" w:firstLine="316"/>
        <w:spacing w:after="0" w:line="284" w:lineRule="auto"/>
        <w:tabs>
          <w:tab w:leader="none" w:pos="722"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Final Prospectus, each Issuer Free Writing Prospectus, the Indenture, and each amendment or supplement to any of them; (ii) the printing (or reproduction) and delivery (including postage, air freight charges, and charges for counting and packaging) of such copies of the Registration Statement, each Preliminary Prospectus, the Final Prospectus, each Issuer Free Writing Prospectus, the Indenture, and all amendments or supplements to any of them, as may, in each case, be reasonably requested for use in connection with the offering and sale of the Securities; (iii) the preparation of the Securities;</w:t>
      </w:r>
    </w:p>
    <w:p>
      <w:pPr>
        <w:spacing w:after="0" w:line="4" w:lineRule="exact"/>
        <w:rPr>
          <w:rFonts w:ascii="Arial" w:cs="Arial" w:eastAsia="Arial" w:hAnsi="Arial"/>
          <w:sz w:val="16"/>
          <w:szCs w:val="16"/>
          <w:color w:val="auto"/>
        </w:rPr>
      </w:pPr>
    </w:p>
    <w:p>
      <w:pPr>
        <w:ind w:left="8" w:right="80" w:hanging="8"/>
        <w:spacing w:after="0" w:line="285" w:lineRule="auto"/>
        <w:tabs>
          <w:tab w:leader="none" w:pos="313"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printing (or reproduction) and delivery of this Agreement, any blue sky memorandum, and all other agreements or documents printed (or reproduced) and delivered in connection with the offering of the Securities; (v) the registration, if any, of the Securities under the Exchange Act; (vi) any registration or qualification of the Securities for offer and sale under the securities or blue sky laws of the several states (including filing fees and the reasonable fees and expenses of counsel for the Underwriters relating to such registration and qualification); (vii) any filings required to be made with FINRA (including filing fees and the reasonable fees and expenses of counsel for the Underwriters relating to such filings), together with the expenses described in clause (vi) above in an amount not to exceed $10,000 (excluding filing fees); (vii) fees charged by securities rating services for rating of the Securities; (viii) the fees and expenses of the Trustee and any agent of the Trustee and the fees and disbursements of counsel for the Trustee in connection with the Indenture and the Securities; (ix) the reasonable and documented transportation and other expenses incurred by or on behalf of Company representatives in connection with presentations to prospective purchasers of the Securities; (x) the fees and expenses of the Company’s accountants and the fees and expenses of counsel (including local and special counsel) for the Company; and (xi) all other reasonable and documented costs and expenses incident to the performance by the Company of its obligations hereunder.</w:t>
      </w:r>
    </w:p>
    <w:p>
      <w:pPr>
        <w:spacing w:after="0" w:line="174" w:lineRule="exact"/>
        <w:rPr>
          <w:rFonts w:ascii="Arial" w:cs="Arial" w:eastAsia="Arial" w:hAnsi="Arial"/>
          <w:sz w:val="16"/>
          <w:szCs w:val="16"/>
          <w:color w:val="auto"/>
        </w:rPr>
      </w:pPr>
    </w:p>
    <w:p>
      <w:pPr>
        <w:ind w:left="8" w:firstLine="316"/>
        <w:spacing w:after="0" w:line="275" w:lineRule="auto"/>
        <w:tabs>
          <w:tab w:leader="none" w:pos="727" w:val="left"/>
        </w:tabs>
        <w:numPr>
          <w:ilvl w:val="1"/>
          <w:numId w:val="22"/>
        </w:numPr>
        <w:rPr>
          <w:rFonts w:ascii="Arial" w:cs="Arial" w:eastAsia="Arial" w:hAnsi="Arial"/>
          <w:sz w:val="17"/>
          <w:szCs w:val="17"/>
          <w:color w:val="auto"/>
        </w:rPr>
      </w:pPr>
      <w:r>
        <w:rPr>
          <w:rFonts w:ascii="Arial" w:cs="Arial" w:eastAsia="Arial" w:hAnsi="Arial"/>
          <w:sz w:val="17"/>
          <w:szCs w:val="17"/>
          <w:color w:val="auto"/>
        </w:rPr>
        <w:t>Except as otherwise provided in this Section 5, and in Sections 7 and 8 hereof, the Underwriters will pay all expenses incident to the performance of their respective obligations under, and the consummation of the transactions contemplated by, this Agreement including (i) any stamp and other duties and transfer taxes, if any, payable upon the sale of the Securities to the Underwriters, their transfer between the Underwriters pursuant to an agreement between such Underwriters, or their resale by the Underwriters, (ii) the fees and disbursements of their respective counsel and other advisors, and (iii) any advertising expenses connected with any offers they may make.</w:t>
      </w:r>
    </w:p>
    <w:p>
      <w:pPr>
        <w:spacing w:after="0" w:line="176" w:lineRule="exact"/>
        <w:rPr>
          <w:rFonts w:ascii="Arial" w:cs="Arial" w:eastAsia="Arial" w:hAnsi="Arial"/>
          <w:sz w:val="17"/>
          <w:szCs w:val="17"/>
          <w:color w:val="auto"/>
        </w:rPr>
      </w:pPr>
    </w:p>
    <w:p>
      <w:pPr>
        <w:jc w:val="both"/>
        <w:ind w:left="328" w:right="20" w:firstLine="320"/>
        <w:spacing w:after="0" w:line="259" w:lineRule="auto"/>
        <w:tabs>
          <w:tab w:leader="none" w:pos="1102"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contained herein as of the Execution Time and the Closing Date, to the accuracy of the statements of the Company made in any certificates pursuant to the provisions hereof, to the performance by the Company of its obligations hereunder, and to the following additional conditions:</w:t>
      </w:r>
    </w:p>
    <w:p>
      <w:pPr>
        <w:spacing w:after="0" w:line="187" w:lineRule="exact"/>
        <w:rPr>
          <w:sz w:val="20"/>
          <w:szCs w:val="20"/>
          <w:color w:val="auto"/>
        </w:rPr>
      </w:pPr>
    </w:p>
    <w:p>
      <w:pPr>
        <w:jc w:val="both"/>
        <w:ind w:left="8" w:right="180" w:firstLine="316"/>
        <w:spacing w:after="0" w:line="301" w:lineRule="auto"/>
        <w:tabs>
          <w:tab w:leader="none" w:pos="711"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Final Prospectus, and any supplement thereto, shall have been filed in the manner and within the time period required by Rule 424(b);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373" w:lineRule="exact"/>
        <w:rPr>
          <w:sz w:val="20"/>
          <w:szCs w:val="20"/>
          <w:color w:val="auto"/>
        </w:rPr>
      </w:pPr>
    </w:p>
    <w:p>
      <w:pPr>
        <w:jc w:val="center"/>
        <w:ind w:right="25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8"/>
          </w:cols>
          <w:pgMar w:left="652" w:top="908" w:right="399" w:bottom="1440" w:gutter="0" w:footer="0" w:header="0"/>
        </w:sectPr>
      </w:pPr>
    </w:p>
    <w:bookmarkStart w:id="14" w:name="page15"/>
    <w:bookmarkEnd w:id="14"/>
    <w:p>
      <w:pPr>
        <w:ind w:right="180" w:firstLine="316"/>
        <w:spacing w:after="0" w:line="308" w:lineRule="auto"/>
        <w:tabs>
          <w:tab w:leader="none" w:pos="71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Company shall have requested and caused Skadden, Arps, Slate, Meagher &amp; Flom LLP, counsel for the Company, to have furnished to the Representatives their opinion and negative assurance letter, dated the Closing Date and addressed to the Representatives.</w:t>
      </w:r>
    </w:p>
    <w:p>
      <w:pPr>
        <w:spacing w:after="0" w:line="146" w:lineRule="exact"/>
        <w:rPr>
          <w:rFonts w:ascii="Arial" w:cs="Arial" w:eastAsia="Arial" w:hAnsi="Arial"/>
          <w:sz w:val="17"/>
          <w:szCs w:val="17"/>
          <w:color w:val="auto"/>
        </w:rPr>
      </w:pPr>
    </w:p>
    <w:p>
      <w:pPr>
        <w:ind w:right="80" w:firstLine="316"/>
        <w:spacing w:after="0" w:line="277" w:lineRule="auto"/>
        <w:tabs>
          <w:tab w:leader="none" w:pos="7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Representatives shall have received from Joseph J. LaRosa, Executive Vice President, General Counsel, and Secretary of the Company, his opinion, dated the Closing Date and addressed to the Representatives.</w:t>
      </w:r>
    </w:p>
    <w:p>
      <w:pPr>
        <w:spacing w:after="0" w:line="170" w:lineRule="exact"/>
        <w:rPr>
          <w:rFonts w:ascii="Arial" w:cs="Arial" w:eastAsia="Arial" w:hAnsi="Arial"/>
          <w:sz w:val="18"/>
          <w:szCs w:val="18"/>
          <w:color w:val="auto"/>
        </w:rPr>
      </w:pPr>
    </w:p>
    <w:p>
      <w:pPr>
        <w:ind w:right="160" w:firstLine="316"/>
        <w:spacing w:after="0" w:line="311" w:lineRule="auto"/>
        <w:tabs>
          <w:tab w:leader="none" w:pos="7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Representatives shall have received from Ropes &amp; Gray LLP, counsel for the Underwriters, their opinion and negative assurance letter, dated the Closing Date and addressed to the Representatives, with respect to such matters as the Representatives may reasonably require, and the Company shall have furnished to such counsel such documents as they request for the purpose of enabling them to pass upon such matters.</w:t>
      </w:r>
    </w:p>
    <w:p>
      <w:pPr>
        <w:spacing w:after="0" w:line="148" w:lineRule="exact"/>
        <w:rPr>
          <w:rFonts w:ascii="Arial" w:cs="Arial" w:eastAsia="Arial" w:hAnsi="Arial"/>
          <w:sz w:val="16"/>
          <w:szCs w:val="16"/>
          <w:color w:val="auto"/>
        </w:rPr>
      </w:pPr>
    </w:p>
    <w:p>
      <w:pPr>
        <w:ind w:right="700" w:firstLine="316"/>
        <w:spacing w:after="0" w:line="277" w:lineRule="auto"/>
        <w:tabs>
          <w:tab w:leader="none" w:pos="7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Representatives a certificate of the Company, signed by the Chief Financial Officer of the Company, dated the Closing Date, to the effect that:</w:t>
      </w:r>
    </w:p>
    <w:p>
      <w:pPr>
        <w:spacing w:after="0" w:line="170" w:lineRule="exact"/>
        <w:rPr>
          <w:rFonts w:ascii="Arial" w:cs="Arial" w:eastAsia="Arial" w:hAnsi="Arial"/>
          <w:sz w:val="18"/>
          <w:szCs w:val="18"/>
          <w:color w:val="auto"/>
        </w:rPr>
      </w:pPr>
    </w:p>
    <w:p>
      <w:pPr>
        <w:ind w:left="320" w:right="60" w:firstLine="320"/>
        <w:spacing w:after="0" w:line="263" w:lineRule="auto"/>
        <w:tabs>
          <w:tab w:leader="none" w:pos="1488"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183" w:lineRule="exact"/>
        <w:rPr>
          <w:rFonts w:ascii="Arial" w:cs="Arial" w:eastAsia="Arial" w:hAnsi="Arial"/>
          <w:sz w:val="18"/>
          <w:szCs w:val="18"/>
          <w:color w:val="auto"/>
        </w:rPr>
      </w:pPr>
    </w:p>
    <w:p>
      <w:pPr>
        <w:ind w:left="320" w:right="140" w:firstLine="320"/>
        <w:spacing w:after="0" w:line="277" w:lineRule="auto"/>
        <w:tabs>
          <w:tab w:leader="none" w:pos="1493"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70" w:lineRule="exact"/>
        <w:rPr>
          <w:rFonts w:ascii="Arial" w:cs="Arial" w:eastAsia="Arial" w:hAnsi="Arial"/>
          <w:sz w:val="18"/>
          <w:szCs w:val="18"/>
          <w:color w:val="auto"/>
        </w:rPr>
      </w:pPr>
    </w:p>
    <w:p>
      <w:pPr>
        <w:ind w:left="320" w:right="680" w:firstLine="320"/>
        <w:spacing w:after="0" w:line="263" w:lineRule="auto"/>
        <w:tabs>
          <w:tab w:leader="none" w:pos="1499" w:val="left"/>
        </w:tabs>
        <w:numPr>
          <w:ilvl w:val="1"/>
          <w:numId w:val="24"/>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incorporated by reference in the Disclosure Package and the Final Prospectus (exclusive of any supplement thereto), there has been no Material Adverse Effect, except as set forth in or contemplated in the Disclosure Package and the Final Prospectus (exclusive of any supplement thereto).</w:t>
      </w:r>
    </w:p>
    <w:p>
      <w:pPr>
        <w:spacing w:after="0" w:line="183" w:lineRule="exact"/>
        <w:rPr>
          <w:rFonts w:ascii="Arial" w:cs="Arial" w:eastAsia="Arial" w:hAnsi="Arial"/>
          <w:sz w:val="18"/>
          <w:szCs w:val="18"/>
          <w:color w:val="auto"/>
        </w:rPr>
      </w:pPr>
    </w:p>
    <w:p>
      <w:pPr>
        <w:ind w:firstLine="316"/>
        <w:spacing w:after="0" w:line="254" w:lineRule="auto"/>
        <w:tabs>
          <w:tab w:leader="none" w:pos="72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shall have requested and caused PricewaterhouseCoopers LLP to have furnished to the Representatives, at the Execution Time and at the Closing Date, letters (which may refer to letters previously delivered to one or more of the Representatives), dated respectively as of the Execution Time and as of the Closing Date, in form and substance satisfactory to the Representatives, containing statements and information of the type ordinarily included in accountants’ “comfort letters” to underwriters with respect to the financial statements and certain financial information with respect to the Company incorporated by reference in the Registration Statement and the Final Prospectus; provided that the letter delivered on the Closing Date shall use a “cut-off date” not earlier than the date hereof. References to the Final Prospectus in this paragraph (f) include any supplement thereto at the date of such letter.</w:t>
      </w:r>
    </w:p>
    <w:p>
      <w:pPr>
        <w:spacing w:after="0" w:line="194" w:lineRule="exact"/>
        <w:rPr>
          <w:rFonts w:ascii="Arial" w:cs="Arial" w:eastAsia="Arial" w:hAnsi="Arial"/>
          <w:sz w:val="18"/>
          <w:szCs w:val="18"/>
          <w:color w:val="auto"/>
        </w:rPr>
      </w:pPr>
    </w:p>
    <w:p>
      <w:pPr>
        <w:ind w:right="60" w:firstLine="316"/>
        <w:spacing w:after="0" w:line="254" w:lineRule="auto"/>
        <w:tabs>
          <w:tab w:leader="none" w:pos="7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Subsequent to the Execution Time, there shall not have been (i) any change or decrease specified in the letter or letters referred to in paragraph (f) of this Section 6 or (ii) any change, or any development involving a reasonably foreseeable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Disclosure Package and the Final Prospectus (exclusive of any amendment or supplement thereto) the effect of which, in any case referred to in clause (i) or (ii) above, is, in the judgment of the Representatives, so material and adverse as to make it impractical or inadvisable to proceed with the offering or delivery of the Securities as contemplated by the Registration Statement (exclusive of any amendment thereof), the Disclosure Package, and the Final Prospectus (exclusive of any amendment or supplement thereto).</w:t>
      </w:r>
    </w:p>
    <w:p>
      <w:pPr>
        <w:spacing w:after="0" w:line="191" w:lineRule="exact"/>
        <w:rPr>
          <w:rFonts w:ascii="Arial" w:cs="Arial" w:eastAsia="Arial" w:hAnsi="Arial"/>
          <w:sz w:val="18"/>
          <w:szCs w:val="18"/>
          <w:color w:val="auto"/>
        </w:rPr>
      </w:pPr>
    </w:p>
    <w:p>
      <w:pPr>
        <w:ind w:right="60" w:firstLine="316"/>
        <w:spacing w:after="0" w:line="277" w:lineRule="auto"/>
        <w:tabs>
          <w:tab w:leader="none" w:pos="71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Representatives shall have received on and as of a recent date satisfactory evidence of the existence of the Company in the State of New York from the office of the Secretary of State of the State of New York .</w:t>
      </w: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5" w:name="page16"/>
    <w:bookmarkEnd w:id="15"/>
    <w:p>
      <w:pPr>
        <w:ind w:left="340" w:right="100" w:firstLine="316"/>
        <w:spacing w:after="0" w:line="277" w:lineRule="auto"/>
        <w:tabs>
          <w:tab w:leader="none" w:pos="11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Representatives such further information, certificates, and documents as the Representatives may reasonably request.</w:t>
      </w:r>
    </w:p>
    <w:p>
      <w:pPr>
        <w:spacing w:after="0" w:line="170"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Representatives and counsel for the Underwriters, this Agreement and all other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188"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The documents required to be delivered by this Section 6 shall be delivered at the office of Ropes &amp; Gray LLP, counsel for the Underwriters, at 800 Boylston Street Boston, Massachusetts 02199-3600, on the Closing Date. Such documents may be delivered via facsimile, electronic mail, or other transmission method and any document so delivered shall be deemed to have been duly and validly delivered.</w:t>
      </w:r>
    </w:p>
    <w:p>
      <w:pPr>
        <w:spacing w:after="0" w:line="165" w:lineRule="exact"/>
        <w:rPr>
          <w:sz w:val="20"/>
          <w:szCs w:val="20"/>
          <w:color w:val="auto"/>
        </w:rPr>
      </w:pPr>
    </w:p>
    <w:p>
      <w:pPr>
        <w:ind w:left="660" w:right="20" w:firstLine="320"/>
        <w:spacing w:after="0" w:line="255" w:lineRule="auto"/>
        <w:tabs>
          <w:tab w:leader="none" w:pos="1434"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Representatives on demand for all expenses (including reasonable fees and disbursements of counsel) that shall have been incurred by them in connection with the proposed purchase and sale of the Securities.</w:t>
      </w:r>
    </w:p>
    <w:p>
      <w:pPr>
        <w:spacing w:after="0" w:line="192" w:lineRule="exact"/>
        <w:rPr>
          <w:rFonts w:ascii="Arial" w:cs="Arial" w:eastAsia="Arial" w:hAnsi="Arial"/>
          <w:sz w:val="18"/>
          <w:szCs w:val="18"/>
          <w:color w:val="auto"/>
        </w:rPr>
      </w:pPr>
    </w:p>
    <w:p>
      <w:pPr>
        <w:ind w:left="1420" w:hanging="440"/>
        <w:spacing w:after="0"/>
        <w:tabs>
          <w:tab w:leader="none" w:pos="142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40" w:firstLine="316"/>
        <w:spacing w:after="0" w:line="286" w:lineRule="auto"/>
        <w:tabs>
          <w:tab w:leader="none" w:pos="108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the Base Prospectus, any Preliminary Prospectus or any other preliminary prospectus supplement relating to the Securities, the Disclosure Package, the Final Prospectus, any Issuer Free Writing Prospectus (including, for the avoidance of doubt, any “roadshow” as defined in Rule 433(h) under the Act (a “roadshow”)), or in any amendment thereof or supplement thereto, or arise out of or are based upon the omission or alleged omission to state therein a material fact required to be stated therein or necessary to make the statements therein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provided, however,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which the Company may otherwise have.</w:t>
      </w:r>
    </w:p>
    <w:p>
      <w:pPr>
        <w:spacing w:after="0" w:line="167" w:lineRule="exact"/>
        <w:rPr>
          <w:rFonts w:ascii="Arial" w:cs="Arial" w:eastAsia="Arial" w:hAnsi="Arial"/>
          <w:sz w:val="16"/>
          <w:szCs w:val="16"/>
          <w:color w:val="auto"/>
        </w:rPr>
      </w:pPr>
    </w:p>
    <w:p>
      <w:pPr>
        <w:ind w:left="340" w:firstLine="316"/>
        <w:spacing w:after="0" w:line="269" w:lineRule="auto"/>
        <w:tabs>
          <w:tab w:leader="none" w:pos="1054" w:val="left"/>
        </w:tabs>
        <w:numPr>
          <w:ilvl w:val="0"/>
          <w:numId w:val="27"/>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The Company acknowledges that the statements set forth (i) in the last paragraph of the cover page regarding delivery of the Securities and (ii) under the heading “Underwriting”, (A) the names of Underwriters, (B) the sentences related to concessions and reallowances, (C) the paragraphs related to stabilization and syndicate covering transactions, and (D) the sentences related to market making in any Preliminary Prospectus and the Final Prospectus constitute the only information furnished in writing by or on behalf of the several Underwriters for inclusion in any Preliminary Prospectus, the Final Prospectus, any Issuer Free Writing Prospectus, or any roadshow.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6" w:name="page17"/>
    <w:bookmarkEnd w:id="16"/>
    <w:p>
      <w:pPr>
        <w:ind w:right="40" w:firstLine="316"/>
        <w:spacing w:after="0" w:line="284" w:lineRule="auto"/>
        <w:tabs>
          <w:tab w:leader="none" w:pos="748"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as applicable,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as applicable.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provided, however,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(which consent will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 indemnifying party shall not be liable under this Section 8 to any indemnified party regarding any settlement or compromise or consent to the entry of any judgment with respect to any pending or threatened claim, action, suit, or proceeding to which such indemnified party is or could have been a party and in respect of which indemnification or contribution may be sought hereunder unless such settlement, compromise, or consent is consented to by such indemnifying party (which consent shall not be unreasonably withheld) in which case such indemnifying party agrees to indemnify and hold harmless the indemnified parties from and against any loss or liability by reason of such settlement, compromise, or consent.</w:t>
      </w:r>
    </w:p>
    <w:p>
      <w:pPr>
        <w:spacing w:after="0" w:line="171" w:lineRule="exact"/>
        <w:rPr>
          <w:rFonts w:ascii="Arial" w:cs="Arial" w:eastAsia="Arial" w:hAnsi="Arial"/>
          <w:sz w:val="16"/>
          <w:szCs w:val="16"/>
          <w:color w:val="auto"/>
        </w:rPr>
      </w:pPr>
    </w:p>
    <w:p>
      <w:pPr>
        <w:ind w:firstLine="316"/>
        <w:spacing w:after="0" w:line="284" w:lineRule="auto"/>
        <w:tabs>
          <w:tab w:leader="none" w:pos="714"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to which the Company and one or more of the Underwriters may be subject in such proportion as is appropriate to reflect the benefits received by the Company on the one hand and by the Underwriters on the other from the offering of the Securities; provided, however,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them, respectively,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and agent of an Underwriter shall have the same rights to contribution as such Underwriter, each person who controls the Company within the meaning of either the Act or the Exchange Act, each officer of the Company who shall have signed the Registration Statement, and each director of the Company shall have the same rights to contribution as the Company, subject to the applicable terms and conditions of this paragraph (d).</w:t>
      </w:r>
    </w:p>
    <w:p>
      <w:pPr>
        <w:spacing w:after="0" w:line="39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17" w:name="page18"/>
    <w:bookmarkEnd w:id="17"/>
    <w:p>
      <w:pPr>
        <w:ind w:left="1088" w:hanging="440"/>
        <w:spacing w:after="0"/>
        <w:tabs>
          <w:tab w:leader="none" w:pos="1088" w:val="left"/>
        </w:tabs>
        <w:numPr>
          <w:ilvl w:val="2"/>
          <w:numId w:val="29"/>
        </w:numPr>
        <w:rPr>
          <w:rFonts w:ascii="Arial" w:cs="Arial" w:eastAsia="Arial" w:hAnsi="Arial"/>
          <w:sz w:val="18"/>
          <w:szCs w:val="18"/>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8" w:right="40" w:firstLine="316"/>
        <w:spacing w:after="0" w:line="287" w:lineRule="auto"/>
        <w:tabs>
          <w:tab w:leader="none" w:pos="756"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Representatives may in their discretion arrange for the remaining Underwriters or another party to purchase the Securities which the defaulting Underwriter or Underwriters agreed but failed to purchase. If within thirty-six hours after such default by any Underwriter, the Representatives do not arrange for the purchase of such Securities, then the Company shall be entitled to a further period of thirty-six hours within which to procure another party or other parties satisfactory to the Representatives to purchase such Securities on such terms. In the event that, within the respective prescribed periods as set forth in this Section 9, the Representatives notify the Company that they have so arranged for the purchase of such Securities, or the Company notifies the Representatives that it has so arranged for the purchase of such Securities, the Closing Date shall be postponed for such period, not exceeding five Business Days, in order that the required changes in the Registration Statement and the Final Prospectus or in any other documents or arrangements may be effected. The term “Underwriter” as used in this Agreement shall include any person substituted under this Section 9 with like effect as if such person had originally been a party to this Agreement with respect to such Securities.</w:t>
      </w:r>
    </w:p>
    <w:p>
      <w:pPr>
        <w:spacing w:after="0" w:line="171" w:lineRule="exact"/>
        <w:rPr>
          <w:rFonts w:ascii="Arial" w:cs="Arial" w:eastAsia="Arial" w:hAnsi="Arial"/>
          <w:sz w:val="16"/>
          <w:szCs w:val="16"/>
          <w:color w:val="auto"/>
        </w:rPr>
      </w:pPr>
    </w:p>
    <w:p>
      <w:pPr>
        <w:ind w:left="8" w:firstLine="316"/>
        <w:spacing w:after="0" w:line="293" w:lineRule="auto"/>
        <w:tabs>
          <w:tab w:leader="none" w:pos="767"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Underwriter or Underwriters by the Representatives and the Company as provided in paragraph (a) above, the aggregate principal amount of such Securities which remains unpurchased does not exceed one eleventh of the aggregate principal amount of all the Securities, then the Company shall have the right to require each non-defaulting Underwriter to purchase the principal amount of Securities which such Underwriter agreed to purchase hereunder and, in addition, to require each non-defaulting Underwriter to purchase its pro rata share (based on the principal amount of Securities which such Underwriter agreed to purchase hereunder) of the Securities of such defaulting Underwriter or Underwriters for which such arrangements have not been made.</w:t>
      </w:r>
    </w:p>
    <w:p>
      <w:pPr>
        <w:spacing w:after="0" w:line="164" w:lineRule="exact"/>
        <w:rPr>
          <w:rFonts w:ascii="Arial" w:cs="Arial" w:eastAsia="Arial" w:hAnsi="Arial"/>
          <w:sz w:val="16"/>
          <w:szCs w:val="16"/>
          <w:color w:val="auto"/>
        </w:rPr>
      </w:pPr>
    </w:p>
    <w:p>
      <w:pPr>
        <w:ind w:left="8" w:right="440" w:firstLine="316"/>
        <w:spacing w:after="0" w:line="287" w:lineRule="auto"/>
        <w:tabs>
          <w:tab w:leader="none" w:pos="801" w:val="left"/>
        </w:tabs>
        <w:numPr>
          <w:ilvl w:val="1"/>
          <w:numId w:val="30"/>
        </w:numPr>
        <w:rPr>
          <w:rFonts w:ascii="Arial" w:cs="Arial" w:eastAsia="Arial" w:hAnsi="Arial"/>
          <w:sz w:val="16"/>
          <w:szCs w:val="16"/>
          <w:color w:val="auto"/>
        </w:rPr>
      </w:pPr>
      <w:r>
        <w:rPr>
          <w:rFonts w:ascii="Arial" w:cs="Arial" w:eastAsia="Arial" w:hAnsi="Arial"/>
          <w:sz w:val="16"/>
          <w:szCs w:val="16"/>
          <w:color w:val="auto"/>
        </w:rPr>
        <w:t>If, after giving effect to any arrangements for the purchase of the Securities of a defaulting Underwriter or Underwriters by the Representatives and the Company as provided in paragraph (a) above, the aggregate principal amount of Securities which remains unpurchased exceeds one eleventh of the aggregate principal amount of all the Securities, or if the Company shall not exercise the right described in paragraph</w:t>
      </w:r>
    </w:p>
    <w:p>
      <w:pPr>
        <w:spacing w:after="0" w:line="2" w:lineRule="exact"/>
        <w:rPr>
          <w:rFonts w:ascii="Arial" w:cs="Arial" w:eastAsia="Arial" w:hAnsi="Arial"/>
          <w:sz w:val="16"/>
          <w:szCs w:val="16"/>
          <w:color w:val="auto"/>
        </w:rPr>
      </w:pPr>
    </w:p>
    <w:p>
      <w:pPr>
        <w:jc w:val="both"/>
        <w:ind w:left="8" w:right="560" w:hanging="8"/>
        <w:spacing w:after="0" w:line="302" w:lineRule="auto"/>
        <w:tabs>
          <w:tab w:leader="none" w:pos="263" w:val="left"/>
        </w:tabs>
        <w:numPr>
          <w:ilvl w:val="0"/>
          <w:numId w:val="31"/>
        </w:numPr>
        <w:rPr>
          <w:rFonts w:ascii="Arial" w:cs="Arial" w:eastAsia="Arial" w:hAnsi="Arial"/>
          <w:sz w:val="16"/>
          <w:szCs w:val="16"/>
          <w:color w:val="auto"/>
        </w:rPr>
      </w:pPr>
      <w:r>
        <w:rPr>
          <w:rFonts w:ascii="Arial" w:cs="Arial" w:eastAsia="Arial" w:hAnsi="Arial"/>
          <w:sz w:val="16"/>
          <w:szCs w:val="16"/>
          <w:color w:val="auto"/>
        </w:rPr>
        <w:t>above to require non-defaulting Underwriters to purchase Securities of a defaulting Underwriter or Underwriters, then this Agreement shall thereupon terminate, without liability on the part of any non-defaulting Underwriter or the Company, except for the expenses to be borne by the Company and the Underwriters as provided in Section 5 hereof and the indemnity and contribution agreements in Section 8 hereof.</w:t>
      </w:r>
    </w:p>
    <w:p>
      <w:pPr>
        <w:spacing w:after="0" w:line="155" w:lineRule="exact"/>
        <w:rPr>
          <w:rFonts w:ascii="Arial" w:cs="Arial" w:eastAsia="Arial" w:hAnsi="Arial"/>
          <w:sz w:val="16"/>
          <w:szCs w:val="16"/>
          <w:color w:val="auto"/>
        </w:rPr>
      </w:pPr>
    </w:p>
    <w:p>
      <w:pPr>
        <w:ind w:left="8" w:right="100" w:firstLine="316"/>
        <w:spacing w:after="0" w:line="277" w:lineRule="auto"/>
        <w:tabs>
          <w:tab w:leader="none" w:pos="767"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Nothing contained in this Agreement shall relieve any defaulting Underwriter of its liability, if any, to the Company and any non-defaulting Underwriter for damages occasioned by its default hereunder.</w:t>
      </w:r>
    </w:p>
    <w:p>
      <w:pPr>
        <w:spacing w:after="0" w:line="386"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18" w:name="page19"/>
    <w:bookmarkEnd w:id="18"/>
    <w:p>
      <w:pPr>
        <w:ind w:left="-320" w:right="20" w:firstLine="320"/>
        <w:spacing w:after="0" w:line="290" w:lineRule="auto"/>
        <w:tabs>
          <w:tab w:leader="none" w:pos="409"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Representatives, by notice given to the Company prior to delivery of and payment for the Securities, if at any time prior to such delivery and payment (i) trading in the Company’s common stock shall have been suspended by the Commission or the Nasdaq Global Select Market or trading in securities generally on the Nasdaq Global Select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any Preliminary Prospectus or the Final Prospectus (exclusive of any amendment or supplement thereto).</w:t>
      </w:r>
    </w:p>
    <w:p>
      <w:pPr>
        <w:spacing w:after="0" w:line="165" w:lineRule="exact"/>
        <w:rPr>
          <w:rFonts w:ascii="Arial" w:cs="Arial" w:eastAsia="Arial" w:hAnsi="Arial"/>
          <w:sz w:val="16"/>
          <w:szCs w:val="16"/>
          <w:color w:val="auto"/>
        </w:rPr>
      </w:pPr>
    </w:p>
    <w:p>
      <w:pPr>
        <w:ind w:left="-320" w:right="20" w:firstLine="320"/>
        <w:spacing w:after="0" w:line="257" w:lineRule="auto"/>
        <w:tabs>
          <w:tab w:leader="none" w:pos="447"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and the Underwriters set forth in or made pursuant to this Agreement will remain in full force and effect, regardless of any investigation made by or on behalf of any Underwriter or the Company or any of the officers, directors, employees, agents, or controlling persons referred to in Section 8 hereof, and will survive delivery of and payment for the Securities. The provisions of Sections 7 and 8 hereof shall survive the termination or cancellation of this Agreement.</w:t>
      </w:r>
    </w:p>
    <w:p>
      <w:pPr>
        <w:spacing w:after="0" w:line="187" w:lineRule="exact"/>
        <w:rPr>
          <w:rFonts w:ascii="Arial" w:cs="Arial" w:eastAsia="Arial" w:hAnsi="Arial"/>
          <w:sz w:val="18"/>
          <w:szCs w:val="18"/>
          <w:color w:val="auto"/>
        </w:rPr>
      </w:pPr>
    </w:p>
    <w:p>
      <w:pPr>
        <w:ind w:left="-320" w:right="220" w:firstLine="320"/>
        <w:spacing w:after="0" w:line="273" w:lineRule="auto"/>
        <w:tabs>
          <w:tab w:leader="none" w:pos="45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communications hereunder will be in writing and effective only on receipt, and, (a) if sent to the Underwriters, will be mailed, delivered, or telefaxed to (i) Goldman Sachs &amp; Co. LLC, 200 West Street, New York, New York 10282, Attention: Registration Department; and (ii) BofA Securities, Inc., One Bryant Park, New York, New York 10036, Attention: High Grade Debt Capital Markets Transaction Management/Legal, fax number (212) 901-7881; and (iii) J.P. Morgan Securities LLC, 383 Madison Avenue, New York, New York 10179, Attention: Equity Syndicate Desk; and (b) if sent to the Company, will be mailed, delivered, or telefaxed to Regeneron Pharmaceuticals, Inc., 777 Old Saw Mill River Road Tarrytown, New York 10591-6707, attention of the General Counsel.</w:t>
      </w:r>
    </w:p>
    <w:p>
      <w:pPr>
        <w:spacing w:after="0" w:line="177" w:lineRule="exact"/>
        <w:rPr>
          <w:rFonts w:ascii="Arial" w:cs="Arial" w:eastAsia="Arial" w:hAnsi="Arial"/>
          <w:sz w:val="17"/>
          <w:szCs w:val="17"/>
          <w:color w:val="auto"/>
        </w:rPr>
      </w:pPr>
    </w:p>
    <w:p>
      <w:pPr>
        <w:ind w:left="-320" w:right="40" w:firstLine="320"/>
        <w:spacing w:after="0" w:line="263" w:lineRule="auto"/>
        <w:tabs>
          <w:tab w:leader="none" w:pos="45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83" w:lineRule="exact"/>
        <w:rPr>
          <w:rFonts w:ascii="Arial" w:cs="Arial" w:eastAsia="Arial" w:hAnsi="Arial"/>
          <w:sz w:val="18"/>
          <w:szCs w:val="18"/>
          <w:color w:val="auto"/>
        </w:rPr>
      </w:pPr>
    </w:p>
    <w:p>
      <w:pPr>
        <w:ind w:left="-320" w:firstLine="320"/>
        <w:spacing w:after="0" w:line="271" w:lineRule="auto"/>
        <w:tabs>
          <w:tab w:leader="none" w:pos="45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78" w:lineRule="exact"/>
        <w:rPr>
          <w:rFonts w:ascii="Arial" w:cs="Arial" w:eastAsia="Arial" w:hAnsi="Arial"/>
          <w:sz w:val="17"/>
          <w:szCs w:val="17"/>
          <w:color w:val="auto"/>
        </w:rPr>
      </w:pPr>
    </w:p>
    <w:p>
      <w:pPr>
        <w:ind w:left="-320" w:right="80" w:firstLine="320"/>
        <w:spacing w:after="0" w:line="277" w:lineRule="auto"/>
        <w:tabs>
          <w:tab w:leader="none" w:pos="45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among the Company and the Underwriters, or any of them, with respect to the subject matter hereof.</w:t>
      </w:r>
    </w:p>
    <w:p>
      <w:pPr>
        <w:spacing w:after="0" w:line="170" w:lineRule="exact"/>
        <w:rPr>
          <w:rFonts w:ascii="Arial" w:cs="Arial" w:eastAsia="Arial" w:hAnsi="Arial"/>
          <w:sz w:val="18"/>
          <w:szCs w:val="18"/>
          <w:color w:val="auto"/>
        </w:rPr>
      </w:pPr>
    </w:p>
    <w:p>
      <w:pPr>
        <w:ind w:left="-320" w:right="20" w:firstLine="320"/>
        <w:spacing w:after="0" w:line="301" w:lineRule="auto"/>
        <w:tabs>
          <w:tab w:leader="none" w:pos="454"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Recognition of the U.S. Special Resolution Regimes</w:t>
      </w:r>
      <w:r>
        <w:rPr>
          <w:rFonts w:ascii="Arial" w:cs="Arial" w:eastAsia="Arial" w:hAnsi="Arial"/>
          <w:sz w:val="16"/>
          <w:szCs w:val="16"/>
          <w:color w:val="auto"/>
        </w:rPr>
        <w:t>. (a) 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37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8" w:right="339" w:bottom="1440" w:gutter="0" w:footer="0" w:header="0"/>
        </w:sectPr>
      </w:pPr>
    </w:p>
    <w:bookmarkStart w:id="19" w:name="page20"/>
    <w:bookmarkEnd w:id="19"/>
    <w:p>
      <w:pPr>
        <w:ind w:left="340" w:firstLine="316"/>
        <w:spacing w:after="0" w:line="259" w:lineRule="auto"/>
        <w:tabs>
          <w:tab w:leader="none" w:pos="1054"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purposes of this Section a “</w:t>
      </w:r>
      <w:r>
        <w:rPr>
          <w:rFonts w:ascii="Arial" w:cs="Arial" w:eastAsia="Arial" w:hAnsi="Arial"/>
          <w:sz w:val="18"/>
          <w:szCs w:val="18"/>
          <w:u w:val="single" w:color="auto"/>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5" w:lineRule="exact"/>
        <w:rPr>
          <w:sz w:val="20"/>
          <w:szCs w:val="20"/>
          <w:color w:val="auto"/>
        </w:rPr>
      </w:pPr>
    </w:p>
    <w:p>
      <w:pPr>
        <w:ind w:left="660" w:right="20" w:firstLine="320"/>
        <w:spacing w:after="0" w:line="277" w:lineRule="auto"/>
        <w:tabs>
          <w:tab w:leader="none" w:pos="138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66" w:lineRule="exact"/>
        <w:rPr>
          <w:rFonts w:ascii="Arial" w:cs="Arial" w:eastAsia="Arial" w:hAnsi="Arial"/>
          <w:sz w:val="18"/>
          <w:szCs w:val="18"/>
          <w:color w:val="auto"/>
        </w:rPr>
      </w:pPr>
    </w:p>
    <w:p>
      <w:pPr>
        <w:ind w:left="660" w:right="380" w:firstLine="320"/>
        <w:spacing w:after="0" w:line="266" w:lineRule="auto"/>
        <w:tabs>
          <w:tab w:leader="none" w:pos="1389"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179" w:lineRule="exact"/>
        <w:rPr>
          <w:rFonts w:ascii="Arial" w:cs="Arial" w:eastAsia="Arial" w:hAnsi="Arial"/>
          <w:sz w:val="18"/>
          <w:szCs w:val="18"/>
          <w:color w:val="auto"/>
        </w:rPr>
      </w:pPr>
    </w:p>
    <w:p>
      <w:pPr>
        <w:ind w:left="660" w:right="60" w:firstLine="320"/>
        <w:spacing w:after="0" w:line="257" w:lineRule="auto"/>
        <w:tabs>
          <w:tab w:leader="none" w:pos="1389"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xml:space="preserve">. This Agreement may be signed in one or more counterparts, each of which shall constitute an original and all of which together shall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w:t>
      </w:r>
      <w:r>
        <w:rPr>
          <w:rFonts w:ascii="Arial" w:cs="Arial" w:eastAsia="Arial" w:hAnsi="Arial"/>
          <w:sz w:val="18"/>
          <w:szCs w:val="18"/>
          <w:i w:val="1"/>
          <w:iCs w:val="1"/>
          <w:color w:val="auto"/>
        </w:rPr>
        <w:t>e.g.</w:t>
      </w:r>
      <w:r>
        <w:rPr>
          <w:rFonts w:ascii="Arial" w:cs="Arial" w:eastAsia="Arial" w:hAnsi="Arial"/>
          <w:sz w:val="18"/>
          <w:szCs w:val="18"/>
          <w:color w:val="auto"/>
        </w:rPr>
        <w:t>, www.docusign.com), or other transmission method and any counterpart so delivered shall be deemed to have been duly and validly delivered and be valid and effective for all purposes.</w:t>
      </w:r>
    </w:p>
    <w:p>
      <w:pPr>
        <w:spacing w:after="0" w:line="187" w:lineRule="exact"/>
        <w:rPr>
          <w:rFonts w:ascii="Arial" w:cs="Arial" w:eastAsia="Arial" w:hAnsi="Arial"/>
          <w:sz w:val="18"/>
          <w:szCs w:val="18"/>
          <w:color w:val="auto"/>
        </w:rPr>
      </w:pPr>
    </w:p>
    <w:p>
      <w:pPr>
        <w:ind w:left="1380" w:hanging="400"/>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380" w:hanging="400"/>
        <w:spacing w:after="0"/>
        <w:tabs>
          <w:tab w:leader="none" w:pos="13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Prospectus</w:t>
      </w:r>
      <w:r>
        <w:rPr>
          <w:rFonts w:ascii="Arial" w:cs="Arial" w:eastAsia="Arial" w:hAnsi="Arial"/>
          <w:sz w:val="16"/>
          <w:szCs w:val="16"/>
          <w:color w:val="auto"/>
        </w:rPr>
        <w:t>” shall mean the base prospectus referred to in Section 1(a)(i) above contained in the Registration Statement at the Execution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a Sunday, or a legal holiday or a day on which banking institutions or trust companies are authorized or obligated by law to close in New York City.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Disclosure Package</w:t>
      </w:r>
      <w:r>
        <w:rPr>
          <w:rFonts w:ascii="Arial" w:cs="Arial" w:eastAsia="Arial" w:hAnsi="Arial"/>
          <w:sz w:val="17"/>
          <w:szCs w:val="17"/>
          <w:color w:val="auto"/>
        </w:rPr>
        <w:t>” shall mean (i) the Base Prospectus, (ii) the Preliminary Prospectus used most recently prior to the Execution Time, together with the information set forth on Exhibit A, (iii) the Issuer Free Writing Prospectuses, if any, identified in Schedule B hereto, and (iv) any other Free Writing Prospectus that the parties hereto shall hereafter expressly agree in writing to treat as part of the Disclosure Package.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0" w:name="page21"/>
    <w:bookmarkEnd w:id="20"/>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and any post-effective amendment or amendments thereto became or becomes effective.</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Final Prospectus</w:t>
      </w:r>
      <w:r>
        <w:rPr>
          <w:rFonts w:ascii="Arial" w:cs="Arial" w:eastAsia="Arial" w:hAnsi="Arial"/>
          <w:sz w:val="18"/>
          <w:szCs w:val="18"/>
          <w:color w:val="auto"/>
        </w:rPr>
        <w:t>” shall mean the prospectus supplement relating to the Securities that was first filed pursuant to Rule 424(b) after the Execution Time, together with the Base Prospectus.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shall mean a free writing prospectus, as defined in Rule 405.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Preliminary Prospectus</w:t>
      </w:r>
      <w:r>
        <w:rPr>
          <w:rFonts w:ascii="Arial" w:cs="Arial" w:eastAsia="Arial" w:hAnsi="Arial"/>
          <w:sz w:val="16"/>
          <w:szCs w:val="16"/>
          <w:color w:val="auto"/>
        </w:rPr>
        <w:t>” shall mean any preliminary prospectus supplement to the Base Prospectus referred to in paragraph 1(a)(i) above which is filed with the Commission pursuant to Rule 424(b) under the Act and used prior to the filing of the Final Prospectus, together with the Base Prospectus.</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the registration statement referred to in Section 1(a)(i) above, including exhibits and financial statements and any prospectus supplement relating to the Securities that is filed with the Commission pursuant to Rule 424(b) and deemed part of such registration statement pursuant to Rule 430B, as amended on each Effective Date and, in the event any post-effective amendment thereto becomes effective prior to the Closing Date, shall also mean such registration statement as so amended.</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163</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Act.</w:t>
      </w:r>
    </w:p>
    <w:p>
      <w:pPr>
        <w:spacing w:after="0" w:line="225" w:lineRule="exact"/>
        <w:rPr>
          <w:sz w:val="20"/>
          <w:szCs w:val="20"/>
          <w:color w:val="auto"/>
        </w:rPr>
      </w:pPr>
    </w:p>
    <w:p>
      <w:pPr>
        <w:ind w:left="660" w:right="180" w:firstLine="320"/>
        <w:spacing w:after="0" w:line="259" w:lineRule="auto"/>
        <w:tabs>
          <w:tab w:leader="none" w:pos="1389"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ind w:left="55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332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tbl>
      <w:tblPr>
        <w:tblLayout w:type="fixed"/>
        <w:tblInd w:w="55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E. Landry</w:t>
            </w: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Robert E. Landry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20" w:type="dxa"/>
            <w:vAlign w:val="bottom"/>
          </w:tcPr>
          <w:p>
            <w:pPr>
              <w:spacing w:after="0"/>
              <w:rPr>
                <w:sz w:val="20"/>
                <w:szCs w:val="20"/>
                <w:color w:val="auto"/>
              </w:rPr>
            </w:pPr>
            <w:r>
              <w:rPr>
                <w:rFonts w:ascii="Arial" w:cs="Arial" w:eastAsia="Arial" w:hAnsi="Arial"/>
                <w:sz w:val="18"/>
                <w:szCs w:val="18"/>
                <w:color w:val="auto"/>
              </w:rPr>
              <w:t>Executive Vice President, Finance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written above.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 Chaffin</w:t>
            </w:r>
          </w:p>
        </w:tc>
        <w:tc>
          <w:tcPr>
            <w:tcW w:w="20" w:type="dxa"/>
            <w:vAlign w:val="bottom"/>
          </w:tcPr>
          <w:p>
            <w:pPr>
              <w:spacing w:after="0"/>
              <w:rPr>
                <w:sz w:val="20"/>
                <w:szCs w:val="20"/>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Sam Chaffin</w:t>
            </w:r>
          </w:p>
        </w:tc>
        <w:tc>
          <w:tcPr>
            <w:tcW w:w="2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Vice President</w:t>
            </w:r>
          </w:p>
        </w:tc>
        <w:tc>
          <w:tcPr>
            <w:tcW w:w="20" w:type="dxa"/>
            <w:vAlign w:val="bottom"/>
          </w:tcPr>
          <w:p>
            <w:pPr>
              <w:spacing w:after="0"/>
              <w:rPr>
                <w:sz w:val="20"/>
                <w:szCs w:val="20"/>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Muller</w:t>
            </w:r>
          </w:p>
        </w:tc>
        <w:tc>
          <w:tcPr>
            <w:tcW w:w="20" w:type="dxa"/>
            <w:vAlign w:val="bottom"/>
            <w:tcBorders>
              <w:bottom w:val="single" w:sz="8" w:color="auto"/>
            </w:tcBorders>
          </w:tcPr>
          <w:p>
            <w:pPr>
              <w:spacing w:after="0"/>
              <w:rPr>
                <w:sz w:val="24"/>
                <w:szCs w:val="24"/>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Douglas Muller</w:t>
            </w:r>
          </w:p>
        </w:tc>
        <w:tc>
          <w:tcPr>
            <w:tcW w:w="2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Managing Director</w:t>
            </w:r>
          </w:p>
        </w:tc>
        <w:tc>
          <w:tcPr>
            <w:tcW w:w="20" w:type="dxa"/>
            <w:vAlign w:val="bottom"/>
          </w:tcPr>
          <w:p>
            <w:pPr>
              <w:spacing w:after="0"/>
              <w:rPr>
                <w:sz w:val="20"/>
                <w:szCs w:val="20"/>
                <w:color w:val="auto"/>
              </w:rPr>
            </w:pPr>
          </w:p>
        </w:tc>
      </w:tr>
      <w:tr>
        <w:trPr>
          <w:trHeight w:val="432"/>
        </w:trPr>
        <w:tc>
          <w:tcPr>
            <w:tcW w:w="568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Som Bhattacharyya</w:t>
            </w:r>
          </w:p>
        </w:tc>
        <w:tc>
          <w:tcPr>
            <w:tcW w:w="20" w:type="dxa"/>
            <w:vAlign w:val="bottom"/>
            <w:tcBorders>
              <w:bottom w:val="single" w:sz="8" w:color="auto"/>
            </w:tcBorders>
          </w:tcPr>
          <w:p>
            <w:pPr>
              <w:spacing w:after="0"/>
              <w:rPr>
                <w:sz w:val="24"/>
                <w:szCs w:val="24"/>
                <w:color w:val="auto"/>
              </w:rPr>
            </w:pPr>
          </w:p>
        </w:tc>
      </w:tr>
      <w:tr>
        <w:trPr>
          <w:trHeight w:val="195"/>
        </w:trPr>
        <w:tc>
          <w:tcPr>
            <w:tcW w:w="58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Som Bhattacharyya</w:t>
            </w:r>
          </w:p>
        </w:tc>
        <w:tc>
          <w:tcPr>
            <w:tcW w:w="20" w:type="dxa"/>
            <w:vAlign w:val="bottom"/>
          </w:tcPr>
          <w:p>
            <w:pPr>
              <w:spacing w:after="0"/>
              <w:rPr>
                <w:sz w:val="16"/>
                <w:szCs w:val="16"/>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100" w:type="dxa"/>
            <w:vAlign w:val="bottom"/>
          </w:tcPr>
          <w:p>
            <w:pPr>
              <w:spacing w:after="0"/>
              <w:rPr>
                <w:sz w:val="20"/>
                <w:szCs w:val="20"/>
                <w:color w:val="auto"/>
              </w:rPr>
            </w:pPr>
            <w:r>
              <w:rPr>
                <w:rFonts w:ascii="Arial" w:cs="Arial" w:eastAsia="Arial" w:hAnsi="Arial"/>
                <w:sz w:val="18"/>
                <w:szCs w:val="18"/>
                <w:color w:val="auto"/>
              </w:rPr>
              <w:t>Executive Director</w:t>
            </w:r>
          </w:p>
        </w:tc>
        <w:tc>
          <w:tcPr>
            <w:tcW w:w="20" w:type="dxa"/>
            <w:vAlign w:val="bottom"/>
          </w:tcPr>
          <w:p>
            <w:pPr>
              <w:spacing w:after="0"/>
              <w:rPr>
                <w:sz w:val="20"/>
                <w:szCs w:val="20"/>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 if any, named in Schedule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to the 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2"/>
          </w:tcPr>
          <w:p>
            <w:pPr>
              <w:ind w:left="920"/>
              <w:spacing w:after="0"/>
              <w:rPr>
                <w:sz w:val="20"/>
                <w:szCs w:val="20"/>
                <w:color w:val="auto"/>
              </w:rPr>
            </w:pPr>
            <w:r>
              <w:rPr>
                <w:rFonts w:ascii="Arial" w:cs="Arial" w:eastAsia="Arial" w:hAnsi="Arial"/>
                <w:sz w:val="18"/>
                <w:szCs w:val="18"/>
                <w:b w:val="1"/>
                <w:bCs w:val="1"/>
                <w:color w:val="auto"/>
                <w:w w:val="97"/>
              </w:rPr>
              <w:t>SCHEDULE A</w:t>
            </w:r>
          </w:p>
        </w:tc>
      </w:tr>
      <w:tr>
        <w:trPr>
          <w:trHeight w:val="414"/>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w w:val="99"/>
              </w:rPr>
              <w:t>Principal Amount of 2030</w:t>
            </w:r>
          </w:p>
        </w:tc>
        <w:tc>
          <w:tcPr>
            <w:tcW w:w="2080" w:type="dxa"/>
            <w:vAlign w:val="bottom"/>
            <w:gridSpan w:val="2"/>
          </w:tcPr>
          <w:p>
            <w:pPr>
              <w:spacing w:after="0"/>
              <w:rPr>
                <w:sz w:val="20"/>
                <w:szCs w:val="20"/>
                <w:color w:val="auto"/>
              </w:rPr>
            </w:pPr>
            <w:r>
              <w:rPr>
                <w:rFonts w:ascii="Arial" w:cs="Arial" w:eastAsia="Arial" w:hAnsi="Arial"/>
                <w:sz w:val="18"/>
                <w:szCs w:val="18"/>
                <w:b w:val="1"/>
                <w:bCs w:val="1"/>
                <w:color w:val="auto"/>
                <w:w w:val="95"/>
              </w:rPr>
              <w:t>Principal Amount of 2050</w:t>
            </w:r>
          </w:p>
        </w:tc>
      </w:t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Underwriter</w:t>
            </w:r>
          </w:p>
        </w:tc>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Notes to be Purchased</w:t>
            </w:r>
          </w:p>
        </w:tc>
        <w:tc>
          <w:tcPr>
            <w:tcW w:w="2080" w:type="dxa"/>
            <w:vAlign w:val="bottom"/>
            <w:gridSpan w:val="2"/>
          </w:tcPr>
          <w:p>
            <w:pPr>
              <w:spacing w:after="0"/>
              <w:rPr>
                <w:sz w:val="20"/>
                <w:szCs w:val="20"/>
                <w:color w:val="auto"/>
              </w:rPr>
            </w:pPr>
            <w:r>
              <w:rPr>
                <w:rFonts w:ascii="Arial" w:cs="Arial" w:eastAsia="Arial" w:hAnsi="Arial"/>
                <w:sz w:val="18"/>
                <w:szCs w:val="18"/>
                <w:b w:val="1"/>
                <w:bCs w:val="1"/>
                <w:color w:val="auto"/>
              </w:rPr>
              <w:t>Notes to be Purchased</w:t>
            </w:r>
          </w:p>
        </w:tc>
      </w:tr>
      <w:tr>
        <w:trPr>
          <w:trHeight w:val="209"/>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312,500,000</w:t>
            </w:r>
          </w:p>
        </w:tc>
        <w:tc>
          <w:tcPr>
            <w:tcW w:w="2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187,500,000</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112,500,000</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187,500,000</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112,500,000</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U.S. Bancorp Investments, Inc.</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125,000,000</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75,000,000</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87,500,000</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52,500,000</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87,500,000</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52,500,000</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Fifth Third Securities, Inc.</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87,500,000</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52,500,000</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MUFG Securities Americas Inc.</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87,500,000</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52,500,000</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Citizens Capital Markets, Inc.</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21,875,000</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13,125,000</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Loop Capital Markets LLC</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21,875,000</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13,125,000</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21,875,000</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13,125,000</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The Governor and Company of the Bank of Ireland</w:t>
            </w:r>
          </w:p>
        </w:tc>
        <w:tc>
          <w:tcPr>
            <w:tcW w:w="2180" w:type="dxa"/>
            <w:vAlign w:val="bottom"/>
            <w:gridSpan w:val="2"/>
          </w:tcPr>
          <w:p>
            <w:pPr>
              <w:jc w:val="right"/>
              <w:ind w:right="220"/>
              <w:spacing w:after="0"/>
              <w:rPr>
                <w:sz w:val="20"/>
                <w:szCs w:val="20"/>
                <w:color w:val="auto"/>
              </w:rPr>
            </w:pPr>
            <w:r>
              <w:rPr>
                <w:rFonts w:ascii="Arial" w:cs="Arial" w:eastAsia="Arial" w:hAnsi="Arial"/>
                <w:sz w:val="18"/>
                <w:szCs w:val="18"/>
                <w:color w:val="auto"/>
              </w:rPr>
              <w:t>21,875,000</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13,125,000</w:t>
            </w:r>
          </w:p>
        </w:tc>
      </w:tr>
      <w:tr>
        <w:trPr>
          <w:trHeight w:val="210"/>
        </w:trPr>
        <w:tc>
          <w:tcPr>
            <w:tcW w:w="6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1,250,000,000</w:t>
            </w:r>
          </w:p>
        </w:tc>
        <w:tc>
          <w:tcPr>
            <w:tcW w:w="2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6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SCHEDULE B</w:t>
      </w:r>
    </w:p>
    <w:p>
      <w:pPr>
        <w:spacing w:after="0" w:line="225" w:lineRule="exact"/>
        <w:rPr>
          <w:sz w:val="20"/>
          <w:szCs w:val="20"/>
          <w:color w:val="auto"/>
        </w:rPr>
      </w:pPr>
    </w:p>
    <w:p>
      <w:pPr>
        <w:ind w:left="3908"/>
        <w:spacing w:after="0"/>
        <w:rPr>
          <w:sz w:val="20"/>
          <w:szCs w:val="20"/>
          <w:color w:val="auto"/>
        </w:rPr>
      </w:pPr>
      <w:r>
        <w:rPr>
          <w:rFonts w:ascii="Arial" w:cs="Arial" w:eastAsia="Arial" w:hAnsi="Arial"/>
          <w:sz w:val="18"/>
          <w:szCs w:val="18"/>
          <w:b w:val="1"/>
          <w:bCs w:val="1"/>
          <w:color w:val="auto"/>
        </w:rPr>
        <w:t>Issuer Free Writing Prospectus</w:t>
      </w:r>
    </w:p>
    <w:p>
      <w:pPr>
        <w:spacing w:after="0" w:line="229" w:lineRule="exact"/>
        <w:rPr>
          <w:sz w:val="20"/>
          <w:szCs w:val="20"/>
          <w:color w:val="auto"/>
        </w:rPr>
      </w:pPr>
    </w:p>
    <w:p>
      <w:pPr>
        <w:ind w:left="328" w:hanging="328"/>
        <w:spacing w:after="0"/>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443230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8040" w:type="dxa"/>
            <w:vAlign w:val="bottom"/>
          </w:tcPr>
          <w:p>
            <w:pPr>
              <w:ind w:left="7100"/>
              <w:spacing w:after="0"/>
              <w:rPr>
                <w:sz w:val="20"/>
                <w:szCs w:val="20"/>
                <w:color w:val="auto"/>
              </w:rPr>
            </w:pPr>
            <w:r>
              <w:rPr>
                <w:rFonts w:ascii="Arial" w:cs="Arial" w:eastAsia="Arial" w:hAnsi="Arial"/>
                <w:sz w:val="18"/>
                <w:szCs w:val="18"/>
                <w:b w:val="1"/>
                <w:bCs w:val="1"/>
                <w:color w:val="auto"/>
              </w:rPr>
              <w:t>EXHIBIT A</w:t>
            </w:r>
          </w:p>
        </w:tc>
      </w:tr>
      <w:tr>
        <w:trPr>
          <w:trHeight w:val="432"/>
        </w:trPr>
        <w:tc>
          <w:tcPr>
            <w:tcW w:w="3200" w:type="dxa"/>
            <w:vAlign w:val="bottom"/>
          </w:tcPr>
          <w:p>
            <w:pPr>
              <w:spacing w:after="0"/>
              <w:rPr>
                <w:sz w:val="24"/>
                <w:szCs w:val="24"/>
                <w:color w:val="auto"/>
              </w:rPr>
            </w:pPr>
          </w:p>
        </w:tc>
        <w:tc>
          <w:tcPr>
            <w:tcW w:w="8040" w:type="dxa"/>
            <w:vAlign w:val="bottom"/>
          </w:tcPr>
          <w:p>
            <w:pPr>
              <w:jc w:val="center"/>
              <w:ind w:right="3090"/>
              <w:spacing w:after="0"/>
              <w:rPr>
                <w:sz w:val="20"/>
                <w:szCs w:val="20"/>
                <w:color w:val="auto"/>
              </w:rPr>
            </w:pPr>
            <w:r>
              <w:rPr>
                <w:rFonts w:ascii="Arial" w:cs="Arial" w:eastAsia="Arial" w:hAnsi="Arial"/>
                <w:sz w:val="18"/>
                <w:szCs w:val="18"/>
                <w:b w:val="1"/>
                <w:bCs w:val="1"/>
                <w:color w:val="auto"/>
                <w:w w:val="89"/>
              </w:rPr>
              <w:t>Regeneron Pharmaceuticals, Inc.</w:t>
            </w:r>
          </w:p>
        </w:tc>
      </w:tr>
      <w:tr>
        <w:trPr>
          <w:trHeight w:val="414"/>
        </w:trPr>
        <w:tc>
          <w:tcPr>
            <w:tcW w:w="3200" w:type="dxa"/>
            <w:vAlign w:val="bottom"/>
          </w:tcPr>
          <w:p>
            <w:pPr>
              <w:spacing w:after="0"/>
              <w:rPr>
                <w:sz w:val="24"/>
                <w:szCs w:val="24"/>
                <w:color w:val="auto"/>
              </w:rPr>
            </w:pPr>
          </w:p>
        </w:tc>
        <w:tc>
          <w:tcPr>
            <w:tcW w:w="8040" w:type="dxa"/>
            <w:vAlign w:val="bottom"/>
          </w:tcPr>
          <w:p>
            <w:pPr>
              <w:jc w:val="center"/>
              <w:ind w:right="3090"/>
              <w:spacing w:after="0"/>
              <w:rPr>
                <w:sz w:val="20"/>
                <w:szCs w:val="20"/>
                <w:color w:val="auto"/>
              </w:rPr>
            </w:pPr>
            <w:r>
              <w:rPr>
                <w:rFonts w:ascii="Arial" w:cs="Arial" w:eastAsia="Arial" w:hAnsi="Arial"/>
                <w:sz w:val="18"/>
                <w:szCs w:val="18"/>
                <w:b w:val="1"/>
                <w:bCs w:val="1"/>
                <w:color w:val="auto"/>
                <w:w w:val="90"/>
              </w:rPr>
              <w:t>$1,250,000,000 1.750% Senior Notes Due 2030</w:t>
            </w:r>
          </w:p>
        </w:tc>
      </w:tr>
      <w:tr>
        <w:trPr>
          <w:trHeight w:val="234"/>
        </w:trPr>
        <w:tc>
          <w:tcPr>
            <w:tcW w:w="3200" w:type="dxa"/>
            <w:vAlign w:val="bottom"/>
          </w:tcPr>
          <w:p>
            <w:pPr>
              <w:spacing w:after="0"/>
              <w:rPr>
                <w:sz w:val="20"/>
                <w:szCs w:val="20"/>
                <w:color w:val="auto"/>
              </w:rPr>
            </w:pPr>
          </w:p>
        </w:tc>
        <w:tc>
          <w:tcPr>
            <w:tcW w:w="8040" w:type="dxa"/>
            <w:vAlign w:val="bottom"/>
          </w:tcPr>
          <w:p>
            <w:pPr>
              <w:jc w:val="center"/>
              <w:ind w:right="3110"/>
              <w:spacing w:after="0"/>
              <w:rPr>
                <w:sz w:val="20"/>
                <w:szCs w:val="20"/>
                <w:color w:val="auto"/>
              </w:rPr>
            </w:pPr>
            <w:r>
              <w:rPr>
                <w:rFonts w:ascii="Arial" w:cs="Arial" w:eastAsia="Arial" w:hAnsi="Arial"/>
                <w:sz w:val="18"/>
                <w:szCs w:val="18"/>
                <w:b w:val="1"/>
                <w:bCs w:val="1"/>
                <w:color w:val="auto"/>
                <w:w w:val="90"/>
              </w:rPr>
              <w:t>$750,000,000 2.800% Senior Notes Due 2050</w:t>
            </w:r>
          </w:p>
        </w:tc>
      </w:tr>
      <w:tr>
        <w:trPr>
          <w:trHeight w:val="432"/>
        </w:trPr>
        <w:tc>
          <w:tcPr>
            <w:tcW w:w="3200" w:type="dxa"/>
            <w:vAlign w:val="bottom"/>
          </w:tcPr>
          <w:p>
            <w:pPr>
              <w:spacing w:after="0"/>
              <w:rPr>
                <w:sz w:val="24"/>
                <w:szCs w:val="24"/>
                <w:color w:val="auto"/>
              </w:rPr>
            </w:pPr>
          </w:p>
        </w:tc>
        <w:tc>
          <w:tcPr>
            <w:tcW w:w="8040" w:type="dxa"/>
            <w:vAlign w:val="bottom"/>
          </w:tcPr>
          <w:p>
            <w:pPr>
              <w:jc w:val="center"/>
              <w:ind w:right="3110"/>
              <w:spacing w:after="0"/>
              <w:rPr>
                <w:sz w:val="20"/>
                <w:szCs w:val="20"/>
                <w:color w:val="auto"/>
              </w:rPr>
            </w:pPr>
            <w:r>
              <w:rPr>
                <w:rFonts w:ascii="Arial" w:cs="Arial" w:eastAsia="Arial" w:hAnsi="Arial"/>
                <w:sz w:val="18"/>
                <w:szCs w:val="18"/>
                <w:b w:val="1"/>
                <w:bCs w:val="1"/>
                <w:color w:val="auto"/>
              </w:rPr>
              <w:t>PRICING TERM SHEET</w:t>
            </w:r>
          </w:p>
        </w:tc>
      </w:tr>
      <w:tr>
        <w:trPr>
          <w:trHeight w:val="432"/>
        </w:trPr>
        <w:tc>
          <w:tcPr>
            <w:tcW w:w="3200" w:type="dxa"/>
            <w:vAlign w:val="bottom"/>
          </w:tcPr>
          <w:p>
            <w:pPr>
              <w:spacing w:after="0"/>
              <w:rPr>
                <w:sz w:val="24"/>
                <w:szCs w:val="24"/>
                <w:color w:val="auto"/>
              </w:rPr>
            </w:pPr>
          </w:p>
        </w:tc>
        <w:tc>
          <w:tcPr>
            <w:tcW w:w="8040" w:type="dxa"/>
            <w:vAlign w:val="bottom"/>
          </w:tcPr>
          <w:p>
            <w:pPr>
              <w:jc w:val="center"/>
              <w:ind w:right="3090"/>
              <w:spacing w:after="0"/>
              <w:rPr>
                <w:sz w:val="20"/>
                <w:szCs w:val="20"/>
                <w:color w:val="auto"/>
              </w:rPr>
            </w:pPr>
            <w:r>
              <w:rPr>
                <w:rFonts w:ascii="Arial" w:cs="Arial" w:eastAsia="Arial" w:hAnsi="Arial"/>
                <w:sz w:val="18"/>
                <w:szCs w:val="18"/>
                <w:b w:val="1"/>
                <w:bCs w:val="1"/>
                <w:color w:val="auto"/>
                <w:w w:val="90"/>
              </w:rPr>
              <w:t>$1,250,000,000 1.750% Senior Notes Due 2030</w:t>
            </w:r>
          </w:p>
        </w:tc>
      </w:tr>
      <w:tr>
        <w:trPr>
          <w:trHeight w:val="432"/>
        </w:trPr>
        <w:tc>
          <w:tcPr>
            <w:tcW w:w="3200" w:type="dxa"/>
            <w:vAlign w:val="bottom"/>
          </w:tcPr>
          <w:p>
            <w:pPr>
              <w:ind w:left="20"/>
              <w:spacing w:after="0"/>
              <w:rPr>
                <w:sz w:val="20"/>
                <w:szCs w:val="20"/>
                <w:color w:val="auto"/>
              </w:rPr>
            </w:pPr>
            <w:r>
              <w:rPr>
                <w:rFonts w:ascii="Arial" w:cs="Arial" w:eastAsia="Arial" w:hAnsi="Arial"/>
                <w:sz w:val="18"/>
                <w:szCs w:val="18"/>
                <w:color w:val="auto"/>
              </w:rPr>
              <w:t>Issuer</w:t>
            </w:r>
          </w:p>
        </w:tc>
        <w:tc>
          <w:tcPr>
            <w:tcW w:w="8040" w:type="dxa"/>
            <w:vAlign w:val="bottom"/>
          </w:tcPr>
          <w:p>
            <w:pPr>
              <w:ind w:left="266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200" w:type="dxa"/>
            <w:vAlign w:val="bottom"/>
          </w:tcPr>
          <w:p>
            <w:pPr>
              <w:ind w:left="20"/>
              <w:spacing w:after="0"/>
              <w:rPr>
                <w:sz w:val="20"/>
                <w:szCs w:val="20"/>
                <w:color w:val="auto"/>
              </w:rPr>
            </w:pPr>
            <w:r>
              <w:rPr>
                <w:rFonts w:ascii="Arial" w:cs="Arial" w:eastAsia="Arial" w:hAnsi="Arial"/>
                <w:sz w:val="18"/>
                <w:szCs w:val="18"/>
                <w:color w:val="auto"/>
              </w:rPr>
              <w:t>Principal Amount</w:t>
            </w:r>
          </w:p>
        </w:tc>
        <w:tc>
          <w:tcPr>
            <w:tcW w:w="8040" w:type="dxa"/>
            <w:vAlign w:val="bottom"/>
          </w:tcPr>
          <w:p>
            <w:pPr>
              <w:ind w:left="2660"/>
              <w:spacing w:after="0"/>
              <w:rPr>
                <w:sz w:val="20"/>
                <w:szCs w:val="20"/>
                <w:color w:val="auto"/>
              </w:rPr>
            </w:pPr>
            <w:r>
              <w:rPr>
                <w:rFonts w:ascii="Arial" w:cs="Arial" w:eastAsia="Arial" w:hAnsi="Arial"/>
                <w:sz w:val="18"/>
                <w:szCs w:val="18"/>
                <w:color w:val="auto"/>
              </w:rPr>
              <w:t>$1,250,000,000</w:t>
            </w:r>
          </w:p>
        </w:tc>
      </w:tr>
      <w:tr>
        <w:trPr>
          <w:trHeight w:val="432"/>
        </w:trPr>
        <w:tc>
          <w:tcPr>
            <w:tcW w:w="320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8040" w:type="dxa"/>
            <w:vAlign w:val="bottom"/>
          </w:tcPr>
          <w:p>
            <w:pPr>
              <w:ind w:left="2660"/>
              <w:spacing w:after="0"/>
              <w:rPr>
                <w:sz w:val="20"/>
                <w:szCs w:val="20"/>
                <w:color w:val="auto"/>
              </w:rPr>
            </w:pPr>
            <w:r>
              <w:rPr>
                <w:rFonts w:ascii="Arial" w:cs="Arial" w:eastAsia="Arial" w:hAnsi="Arial"/>
                <w:sz w:val="18"/>
                <w:szCs w:val="18"/>
                <w:color w:val="auto"/>
              </w:rPr>
              <w:t>September 15, 2030</w:t>
            </w:r>
          </w:p>
        </w:tc>
      </w:tr>
      <w:tr>
        <w:trPr>
          <w:trHeight w:val="432"/>
        </w:trPr>
        <w:tc>
          <w:tcPr>
            <w:tcW w:w="3200" w:type="dxa"/>
            <w:vAlign w:val="bottom"/>
          </w:tcPr>
          <w:p>
            <w:pPr>
              <w:ind w:left="20"/>
              <w:spacing w:after="0"/>
              <w:rPr>
                <w:sz w:val="20"/>
                <w:szCs w:val="20"/>
                <w:color w:val="auto"/>
              </w:rPr>
            </w:pPr>
            <w:r>
              <w:rPr>
                <w:rFonts w:ascii="Arial" w:cs="Arial" w:eastAsia="Arial" w:hAnsi="Arial"/>
                <w:sz w:val="18"/>
                <w:szCs w:val="18"/>
                <w:color w:val="auto"/>
              </w:rPr>
              <w:t>Issue Price (Price to Public)</w:t>
            </w:r>
          </w:p>
        </w:tc>
        <w:tc>
          <w:tcPr>
            <w:tcW w:w="8040" w:type="dxa"/>
            <w:vAlign w:val="bottom"/>
          </w:tcPr>
          <w:p>
            <w:pPr>
              <w:ind w:left="2660"/>
              <w:spacing w:after="0"/>
              <w:rPr>
                <w:sz w:val="20"/>
                <w:szCs w:val="20"/>
                <w:color w:val="auto"/>
              </w:rPr>
            </w:pPr>
            <w:r>
              <w:rPr>
                <w:rFonts w:ascii="Arial" w:cs="Arial" w:eastAsia="Arial" w:hAnsi="Arial"/>
                <w:sz w:val="18"/>
                <w:szCs w:val="18"/>
                <w:color w:val="auto"/>
              </w:rPr>
              <w:t>99.898%</w:t>
            </w:r>
          </w:p>
        </w:tc>
      </w:tr>
      <w:tr>
        <w:trPr>
          <w:trHeight w:val="432"/>
        </w:trPr>
        <w:tc>
          <w:tcPr>
            <w:tcW w:w="320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8040" w:type="dxa"/>
            <w:vAlign w:val="bottom"/>
          </w:tcPr>
          <w:p>
            <w:pPr>
              <w:ind w:left="2660"/>
              <w:spacing w:after="0"/>
              <w:rPr>
                <w:sz w:val="20"/>
                <w:szCs w:val="20"/>
                <w:color w:val="auto"/>
              </w:rPr>
            </w:pPr>
            <w:r>
              <w:rPr>
                <w:rFonts w:ascii="Arial" w:cs="Arial" w:eastAsia="Arial" w:hAnsi="Arial"/>
                <w:sz w:val="18"/>
                <w:szCs w:val="18"/>
                <w:color w:val="auto"/>
              </w:rPr>
              <w:t>1.750% per annum beginning on the Original Issue Date</w:t>
            </w:r>
          </w:p>
        </w:tc>
      </w:tr>
      <w:tr>
        <w:trPr>
          <w:trHeight w:val="418"/>
        </w:trPr>
        <w:tc>
          <w:tcPr>
            <w:tcW w:w="3200" w:type="dxa"/>
            <w:vAlign w:val="bottom"/>
          </w:tcPr>
          <w:p>
            <w:pPr>
              <w:ind w:left="20"/>
              <w:spacing w:after="0"/>
              <w:rPr>
                <w:sz w:val="20"/>
                <w:szCs w:val="20"/>
                <w:color w:val="auto"/>
              </w:rPr>
            </w:pPr>
            <w:r>
              <w:rPr>
                <w:rFonts w:ascii="Arial" w:cs="Arial" w:eastAsia="Arial" w:hAnsi="Arial"/>
                <w:sz w:val="18"/>
                <w:szCs w:val="18"/>
                <w:color w:val="auto"/>
              </w:rPr>
              <w:t>Interest Payment Dates</w:t>
            </w:r>
          </w:p>
        </w:tc>
        <w:tc>
          <w:tcPr>
            <w:tcW w:w="8040" w:type="dxa"/>
            <w:vAlign w:val="bottom"/>
          </w:tcPr>
          <w:p>
            <w:pPr>
              <w:ind w:left="2660"/>
              <w:spacing w:after="0"/>
              <w:rPr>
                <w:sz w:val="20"/>
                <w:szCs w:val="20"/>
                <w:color w:val="auto"/>
              </w:rPr>
            </w:pPr>
            <w:r>
              <w:rPr>
                <w:rFonts w:ascii="Arial" w:cs="Arial" w:eastAsia="Arial" w:hAnsi="Arial"/>
                <w:sz w:val="18"/>
                <w:szCs w:val="18"/>
                <w:color w:val="auto"/>
                <w:w w:val="90"/>
              </w:rPr>
              <w:t>Semi-annually, each March 15 and September 15, commencing March 15,</w:t>
            </w:r>
          </w:p>
        </w:tc>
      </w:tr>
      <w:tr>
        <w:trPr>
          <w:trHeight w:val="230"/>
        </w:trPr>
        <w:tc>
          <w:tcPr>
            <w:tcW w:w="3200" w:type="dxa"/>
            <w:vAlign w:val="bottom"/>
          </w:tcPr>
          <w:p>
            <w:pPr>
              <w:spacing w:after="0"/>
              <w:rPr>
                <w:sz w:val="20"/>
                <w:szCs w:val="20"/>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rPr>
              <w:t>2021</w:t>
            </w:r>
          </w:p>
        </w:tc>
      </w:tr>
      <w:tr>
        <w:trPr>
          <w:trHeight w:val="432"/>
        </w:trPr>
        <w:tc>
          <w:tcPr>
            <w:tcW w:w="3200" w:type="dxa"/>
            <w:vAlign w:val="bottom"/>
          </w:tcPr>
          <w:p>
            <w:pPr>
              <w:ind w:left="20"/>
              <w:spacing w:after="0"/>
              <w:rPr>
                <w:sz w:val="20"/>
                <w:szCs w:val="20"/>
                <w:color w:val="auto"/>
              </w:rPr>
            </w:pPr>
            <w:r>
              <w:rPr>
                <w:rFonts w:ascii="Arial" w:cs="Arial" w:eastAsia="Arial" w:hAnsi="Arial"/>
                <w:sz w:val="18"/>
                <w:szCs w:val="18"/>
                <w:color w:val="auto"/>
              </w:rPr>
              <w:t>Record Dates</w:t>
            </w:r>
          </w:p>
        </w:tc>
        <w:tc>
          <w:tcPr>
            <w:tcW w:w="8040" w:type="dxa"/>
            <w:vAlign w:val="bottom"/>
          </w:tcPr>
          <w:p>
            <w:pPr>
              <w:ind w:left="2660"/>
              <w:spacing w:after="0"/>
              <w:rPr>
                <w:sz w:val="20"/>
                <w:szCs w:val="20"/>
                <w:color w:val="auto"/>
              </w:rPr>
            </w:pPr>
            <w:r>
              <w:rPr>
                <w:rFonts w:ascii="Arial" w:cs="Arial" w:eastAsia="Arial" w:hAnsi="Arial"/>
                <w:sz w:val="18"/>
                <w:szCs w:val="18"/>
                <w:color w:val="auto"/>
              </w:rPr>
              <w:t>March 1 and September 1</w:t>
            </w:r>
          </w:p>
        </w:tc>
      </w:tr>
      <w:tr>
        <w:trPr>
          <w:trHeight w:val="432"/>
        </w:trPr>
        <w:tc>
          <w:tcPr>
            <w:tcW w:w="3200" w:type="dxa"/>
            <w:vAlign w:val="bottom"/>
          </w:tcPr>
          <w:p>
            <w:pPr>
              <w:ind w:left="20"/>
              <w:spacing w:after="0"/>
              <w:rPr>
                <w:sz w:val="20"/>
                <w:szCs w:val="20"/>
                <w:color w:val="auto"/>
              </w:rPr>
            </w:pPr>
            <w:r>
              <w:rPr>
                <w:rFonts w:ascii="Arial" w:cs="Arial" w:eastAsia="Arial" w:hAnsi="Arial"/>
                <w:sz w:val="18"/>
                <w:szCs w:val="18"/>
                <w:color w:val="auto"/>
              </w:rPr>
              <w:t>Treasury Benchmark</w:t>
            </w:r>
          </w:p>
        </w:tc>
        <w:tc>
          <w:tcPr>
            <w:tcW w:w="8040" w:type="dxa"/>
            <w:vAlign w:val="bottom"/>
          </w:tcPr>
          <w:p>
            <w:pPr>
              <w:ind w:left="2660"/>
              <w:spacing w:after="0"/>
              <w:rPr>
                <w:sz w:val="20"/>
                <w:szCs w:val="20"/>
                <w:color w:val="auto"/>
              </w:rPr>
            </w:pPr>
            <w:r>
              <w:rPr>
                <w:rFonts w:ascii="Arial" w:cs="Arial" w:eastAsia="Arial" w:hAnsi="Arial"/>
                <w:sz w:val="18"/>
                <w:szCs w:val="18"/>
                <w:color w:val="auto"/>
              </w:rPr>
              <w:t>0.625% due May 15, 2030</w:t>
            </w:r>
          </w:p>
        </w:tc>
      </w:tr>
      <w:tr>
        <w:trPr>
          <w:trHeight w:val="432"/>
        </w:trPr>
        <w:tc>
          <w:tcPr>
            <w:tcW w:w="3200" w:type="dxa"/>
            <w:vAlign w:val="bottom"/>
          </w:tcPr>
          <w:p>
            <w:pPr>
              <w:ind w:left="20"/>
              <w:spacing w:after="0"/>
              <w:rPr>
                <w:sz w:val="20"/>
                <w:szCs w:val="20"/>
                <w:color w:val="auto"/>
              </w:rPr>
            </w:pPr>
            <w:r>
              <w:rPr>
                <w:rFonts w:ascii="Arial" w:cs="Arial" w:eastAsia="Arial" w:hAnsi="Arial"/>
                <w:sz w:val="18"/>
                <w:szCs w:val="18"/>
                <w:color w:val="auto"/>
              </w:rPr>
              <w:t>Spread to Benchmark Treasury</w:t>
            </w:r>
          </w:p>
        </w:tc>
        <w:tc>
          <w:tcPr>
            <w:tcW w:w="8040" w:type="dxa"/>
            <w:vAlign w:val="bottom"/>
          </w:tcPr>
          <w:p>
            <w:pPr>
              <w:ind w:left="2660"/>
              <w:spacing w:after="0"/>
              <w:rPr>
                <w:sz w:val="20"/>
                <w:szCs w:val="20"/>
                <w:color w:val="auto"/>
              </w:rPr>
            </w:pPr>
            <w:r>
              <w:rPr>
                <w:rFonts w:ascii="Arial" w:cs="Arial" w:eastAsia="Arial" w:hAnsi="Arial"/>
                <w:sz w:val="18"/>
                <w:szCs w:val="18"/>
                <w:color w:val="auto"/>
              </w:rPr>
              <w:t>120 bps</w:t>
            </w:r>
          </w:p>
        </w:tc>
      </w:tr>
      <w:tr>
        <w:trPr>
          <w:trHeight w:val="432"/>
        </w:trPr>
        <w:tc>
          <w:tcPr>
            <w:tcW w:w="3200" w:type="dxa"/>
            <w:vAlign w:val="bottom"/>
          </w:tcPr>
          <w:p>
            <w:pPr>
              <w:ind w:left="20"/>
              <w:spacing w:after="0"/>
              <w:rPr>
                <w:sz w:val="20"/>
                <w:szCs w:val="20"/>
                <w:color w:val="auto"/>
              </w:rPr>
            </w:pPr>
            <w:r>
              <w:rPr>
                <w:rFonts w:ascii="Arial" w:cs="Arial" w:eastAsia="Arial" w:hAnsi="Arial"/>
                <w:sz w:val="18"/>
                <w:szCs w:val="18"/>
                <w:color w:val="auto"/>
              </w:rPr>
              <w:t>Benchmark Treasury Price &amp; Yield</w:t>
            </w:r>
          </w:p>
        </w:tc>
        <w:tc>
          <w:tcPr>
            <w:tcW w:w="8040" w:type="dxa"/>
            <w:vAlign w:val="bottom"/>
          </w:tcPr>
          <w:p>
            <w:pPr>
              <w:ind w:left="2660"/>
              <w:spacing w:after="0"/>
              <w:rPr>
                <w:sz w:val="20"/>
                <w:szCs w:val="20"/>
                <w:color w:val="auto"/>
              </w:rPr>
            </w:pPr>
            <w:r>
              <w:rPr>
                <w:rFonts w:ascii="Arial" w:cs="Arial" w:eastAsia="Arial" w:hAnsi="Arial"/>
                <w:sz w:val="18"/>
                <w:szCs w:val="18"/>
                <w:color w:val="auto"/>
              </w:rPr>
              <w:t>100-19+ / 0.561%</w:t>
            </w:r>
          </w:p>
        </w:tc>
      </w:tr>
      <w:tr>
        <w:trPr>
          <w:trHeight w:val="432"/>
        </w:trPr>
        <w:tc>
          <w:tcPr>
            <w:tcW w:w="3200" w:type="dxa"/>
            <w:vAlign w:val="bottom"/>
          </w:tcPr>
          <w:p>
            <w:pPr>
              <w:ind w:left="20"/>
              <w:spacing w:after="0"/>
              <w:rPr>
                <w:sz w:val="20"/>
                <w:szCs w:val="20"/>
                <w:color w:val="auto"/>
              </w:rPr>
            </w:pPr>
            <w:r>
              <w:rPr>
                <w:rFonts w:ascii="Arial" w:cs="Arial" w:eastAsia="Arial" w:hAnsi="Arial"/>
                <w:sz w:val="18"/>
                <w:szCs w:val="18"/>
                <w:color w:val="auto"/>
              </w:rPr>
              <w:t>Yield to Maturity</w:t>
            </w:r>
          </w:p>
        </w:tc>
        <w:tc>
          <w:tcPr>
            <w:tcW w:w="8040" w:type="dxa"/>
            <w:vAlign w:val="bottom"/>
          </w:tcPr>
          <w:p>
            <w:pPr>
              <w:ind w:left="2660"/>
              <w:spacing w:after="0"/>
              <w:rPr>
                <w:sz w:val="20"/>
                <w:szCs w:val="20"/>
                <w:color w:val="auto"/>
              </w:rPr>
            </w:pPr>
            <w:r>
              <w:rPr>
                <w:rFonts w:ascii="Arial" w:cs="Arial" w:eastAsia="Arial" w:hAnsi="Arial"/>
                <w:sz w:val="18"/>
                <w:szCs w:val="18"/>
                <w:color w:val="auto"/>
              </w:rPr>
              <w:t>1.761%</w:t>
            </w:r>
          </w:p>
        </w:tc>
      </w:tr>
      <w:tr>
        <w:trPr>
          <w:trHeight w:val="418"/>
        </w:trPr>
        <w:tc>
          <w:tcPr>
            <w:tcW w:w="3200" w:type="dxa"/>
            <w:vAlign w:val="bottom"/>
          </w:tcPr>
          <w:p>
            <w:pPr>
              <w:ind w:left="20"/>
              <w:spacing w:after="0"/>
              <w:rPr>
                <w:sz w:val="20"/>
                <w:szCs w:val="20"/>
                <w:color w:val="auto"/>
              </w:rPr>
            </w:pPr>
            <w:r>
              <w:rPr>
                <w:rFonts w:ascii="Arial" w:cs="Arial" w:eastAsia="Arial" w:hAnsi="Arial"/>
                <w:sz w:val="18"/>
                <w:szCs w:val="18"/>
                <w:color w:val="auto"/>
              </w:rPr>
              <w:t>Optional Redemption</w:t>
            </w:r>
          </w:p>
        </w:tc>
        <w:tc>
          <w:tcPr>
            <w:tcW w:w="8040" w:type="dxa"/>
            <w:vAlign w:val="bottom"/>
          </w:tcPr>
          <w:p>
            <w:pPr>
              <w:ind w:left="2660"/>
              <w:spacing w:after="0"/>
              <w:rPr>
                <w:sz w:val="20"/>
                <w:szCs w:val="20"/>
                <w:color w:val="auto"/>
              </w:rPr>
            </w:pPr>
            <w:r>
              <w:rPr>
                <w:rFonts w:ascii="Arial" w:cs="Arial" w:eastAsia="Arial" w:hAnsi="Arial"/>
                <w:sz w:val="18"/>
                <w:szCs w:val="18"/>
                <w:color w:val="auto"/>
              </w:rPr>
              <w:t>Make whole call, in whole or in part, as set forth in the preliminary</w:t>
            </w:r>
          </w:p>
        </w:tc>
      </w:tr>
      <w:tr>
        <w:trPr>
          <w:trHeight w:val="216"/>
        </w:trPr>
        <w:tc>
          <w:tcPr>
            <w:tcW w:w="3200" w:type="dxa"/>
            <w:vAlign w:val="bottom"/>
          </w:tcPr>
          <w:p>
            <w:pPr>
              <w:spacing w:after="0"/>
              <w:rPr>
                <w:sz w:val="18"/>
                <w:szCs w:val="18"/>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w w:val="93"/>
              </w:rPr>
              <w:t>prospectus supplement to which this pricing term sheet relates (treasury</w:t>
            </w:r>
          </w:p>
        </w:tc>
      </w:tr>
      <w:tr>
        <w:trPr>
          <w:trHeight w:val="216"/>
        </w:trPr>
        <w:tc>
          <w:tcPr>
            <w:tcW w:w="3200" w:type="dxa"/>
            <w:vAlign w:val="bottom"/>
          </w:tcPr>
          <w:p>
            <w:pPr>
              <w:spacing w:after="0"/>
              <w:rPr>
                <w:sz w:val="18"/>
                <w:szCs w:val="18"/>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w w:val="96"/>
              </w:rPr>
              <w:t>rate plus 20 basis points) at any time prior to June 15, 2030 (3 months</w:t>
            </w:r>
          </w:p>
        </w:tc>
      </w:tr>
      <w:tr>
        <w:trPr>
          <w:trHeight w:val="230"/>
        </w:trPr>
        <w:tc>
          <w:tcPr>
            <w:tcW w:w="3200" w:type="dxa"/>
            <w:vAlign w:val="bottom"/>
          </w:tcPr>
          <w:p>
            <w:pPr>
              <w:spacing w:after="0"/>
              <w:rPr>
                <w:sz w:val="20"/>
                <w:szCs w:val="20"/>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rPr>
              <w:t>prior to the maturity date of the 2030 notes)</w:t>
            </w:r>
          </w:p>
        </w:tc>
      </w:tr>
      <w:tr>
        <w:trPr>
          <w:trHeight w:val="418"/>
        </w:trPr>
        <w:tc>
          <w:tcPr>
            <w:tcW w:w="3200" w:type="dxa"/>
            <w:vAlign w:val="bottom"/>
          </w:tcPr>
          <w:p>
            <w:pPr>
              <w:spacing w:after="0"/>
              <w:rPr>
                <w:sz w:val="24"/>
                <w:szCs w:val="24"/>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w w:val="99"/>
              </w:rPr>
              <w:t>Par call, in whole or in part, at any time on or after June 15, 2030 (3</w:t>
            </w:r>
          </w:p>
        </w:tc>
      </w:tr>
      <w:tr>
        <w:trPr>
          <w:trHeight w:val="230"/>
        </w:trPr>
        <w:tc>
          <w:tcPr>
            <w:tcW w:w="3200" w:type="dxa"/>
            <w:vAlign w:val="bottom"/>
          </w:tcPr>
          <w:p>
            <w:pPr>
              <w:spacing w:after="0"/>
              <w:rPr>
                <w:sz w:val="20"/>
                <w:szCs w:val="20"/>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rPr>
              <w:t>months prior to the maturity date of the 2030 notes)</w:t>
            </w:r>
          </w:p>
        </w:tc>
      </w:tr>
      <w:tr>
        <w:trPr>
          <w:trHeight w:val="432"/>
        </w:trPr>
        <w:tc>
          <w:tcPr>
            <w:tcW w:w="3200" w:type="dxa"/>
            <w:vAlign w:val="bottom"/>
          </w:tcPr>
          <w:p>
            <w:pPr>
              <w:ind w:left="20"/>
              <w:spacing w:after="0"/>
              <w:rPr>
                <w:sz w:val="20"/>
                <w:szCs w:val="20"/>
                <w:color w:val="auto"/>
              </w:rPr>
            </w:pPr>
            <w:r>
              <w:rPr>
                <w:rFonts w:ascii="Arial" w:cs="Arial" w:eastAsia="Arial" w:hAnsi="Arial"/>
                <w:sz w:val="18"/>
                <w:szCs w:val="18"/>
                <w:color w:val="auto"/>
              </w:rPr>
              <w:t>CUSIP/ISIN:</w:t>
            </w:r>
          </w:p>
        </w:tc>
        <w:tc>
          <w:tcPr>
            <w:tcW w:w="8040" w:type="dxa"/>
            <w:vAlign w:val="bottom"/>
          </w:tcPr>
          <w:p>
            <w:pPr>
              <w:ind w:left="2660"/>
              <w:spacing w:after="0"/>
              <w:rPr>
                <w:sz w:val="20"/>
                <w:szCs w:val="20"/>
                <w:color w:val="auto"/>
              </w:rPr>
            </w:pPr>
            <w:r>
              <w:rPr>
                <w:rFonts w:ascii="Arial" w:cs="Arial" w:eastAsia="Arial" w:hAnsi="Arial"/>
                <w:sz w:val="18"/>
                <w:szCs w:val="18"/>
                <w:color w:val="auto"/>
              </w:rPr>
              <w:t>75886F AE7 / US75886FAE79</w:t>
            </w:r>
          </w:p>
        </w:tc>
      </w:tr>
      <w:tr>
        <w:trPr>
          <w:trHeight w:val="418"/>
        </w:trPr>
        <w:tc>
          <w:tcPr>
            <w:tcW w:w="3200" w:type="dxa"/>
            <w:vAlign w:val="bottom"/>
          </w:tcPr>
          <w:p>
            <w:pPr>
              <w:ind w:left="20"/>
              <w:spacing w:after="0"/>
              <w:rPr>
                <w:sz w:val="20"/>
                <w:szCs w:val="20"/>
                <w:color w:val="auto"/>
              </w:rPr>
            </w:pPr>
            <w:r>
              <w:rPr>
                <w:rFonts w:ascii="Arial" w:cs="Arial" w:eastAsia="Arial" w:hAnsi="Arial"/>
                <w:sz w:val="18"/>
                <w:szCs w:val="18"/>
                <w:color w:val="auto"/>
              </w:rPr>
              <w:t>Lead Book-Running Managers</w:t>
            </w:r>
          </w:p>
        </w:tc>
        <w:tc>
          <w:tcPr>
            <w:tcW w:w="8040" w:type="dxa"/>
            <w:vAlign w:val="bottom"/>
          </w:tcPr>
          <w:p>
            <w:pPr>
              <w:ind w:left="2660"/>
              <w:spacing w:after="0"/>
              <w:rPr>
                <w:sz w:val="20"/>
                <w:szCs w:val="20"/>
                <w:color w:val="auto"/>
              </w:rPr>
            </w:pPr>
            <w:r>
              <w:rPr>
                <w:rFonts w:ascii="Arial" w:cs="Arial" w:eastAsia="Arial" w:hAnsi="Arial"/>
                <w:sz w:val="18"/>
                <w:szCs w:val="18"/>
                <w:color w:val="auto"/>
              </w:rPr>
              <w:t>Goldman Sachs &amp; Co. LLC</w:t>
            </w:r>
          </w:p>
        </w:tc>
      </w:tr>
      <w:tr>
        <w:trPr>
          <w:trHeight w:val="216"/>
        </w:trPr>
        <w:tc>
          <w:tcPr>
            <w:tcW w:w="3200" w:type="dxa"/>
            <w:vAlign w:val="bottom"/>
          </w:tcPr>
          <w:p>
            <w:pPr>
              <w:spacing w:after="0"/>
              <w:rPr>
                <w:sz w:val="18"/>
                <w:szCs w:val="18"/>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rPr>
              <w:t>BofA Securities, Inc.</w:t>
            </w:r>
          </w:p>
        </w:tc>
      </w:tr>
      <w:tr>
        <w:trPr>
          <w:trHeight w:val="230"/>
        </w:trPr>
        <w:tc>
          <w:tcPr>
            <w:tcW w:w="3200" w:type="dxa"/>
            <w:vAlign w:val="bottom"/>
          </w:tcPr>
          <w:p>
            <w:pPr>
              <w:spacing w:after="0"/>
              <w:rPr>
                <w:sz w:val="20"/>
                <w:szCs w:val="20"/>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rPr>
              <w:t>J.P. Morgan Securities LLC</w:t>
            </w:r>
          </w:p>
        </w:tc>
      </w:tr>
      <w:tr>
        <w:trPr>
          <w:trHeight w:val="418"/>
        </w:trPr>
        <w:tc>
          <w:tcPr>
            <w:tcW w:w="3200" w:type="dxa"/>
            <w:vAlign w:val="bottom"/>
          </w:tcPr>
          <w:p>
            <w:pPr>
              <w:ind w:left="20"/>
              <w:spacing w:after="0"/>
              <w:rPr>
                <w:sz w:val="20"/>
                <w:szCs w:val="20"/>
                <w:color w:val="auto"/>
              </w:rPr>
            </w:pPr>
            <w:r>
              <w:rPr>
                <w:rFonts w:ascii="Arial" w:cs="Arial" w:eastAsia="Arial" w:hAnsi="Arial"/>
                <w:sz w:val="18"/>
                <w:szCs w:val="18"/>
                <w:color w:val="auto"/>
              </w:rPr>
              <w:t>Bookrunners</w:t>
            </w:r>
          </w:p>
        </w:tc>
        <w:tc>
          <w:tcPr>
            <w:tcW w:w="8040" w:type="dxa"/>
            <w:vAlign w:val="bottom"/>
          </w:tcPr>
          <w:p>
            <w:pPr>
              <w:ind w:left="2660"/>
              <w:spacing w:after="0"/>
              <w:rPr>
                <w:sz w:val="20"/>
                <w:szCs w:val="20"/>
                <w:color w:val="auto"/>
              </w:rPr>
            </w:pPr>
            <w:r>
              <w:rPr>
                <w:rFonts w:ascii="Arial" w:cs="Arial" w:eastAsia="Arial" w:hAnsi="Arial"/>
                <w:sz w:val="18"/>
                <w:szCs w:val="18"/>
                <w:color w:val="auto"/>
              </w:rPr>
              <w:t>U.S. Bancorp Investments, Inc.</w:t>
            </w:r>
          </w:p>
        </w:tc>
      </w:tr>
      <w:tr>
        <w:trPr>
          <w:trHeight w:val="216"/>
        </w:trPr>
        <w:tc>
          <w:tcPr>
            <w:tcW w:w="3200" w:type="dxa"/>
            <w:vAlign w:val="bottom"/>
          </w:tcPr>
          <w:p>
            <w:pPr>
              <w:spacing w:after="0"/>
              <w:rPr>
                <w:sz w:val="18"/>
                <w:szCs w:val="18"/>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rPr>
              <w:t>Barclays Capital Inc.</w:t>
            </w:r>
          </w:p>
        </w:tc>
      </w:tr>
      <w:tr>
        <w:trPr>
          <w:trHeight w:val="230"/>
        </w:trPr>
        <w:tc>
          <w:tcPr>
            <w:tcW w:w="3200" w:type="dxa"/>
            <w:vAlign w:val="bottom"/>
          </w:tcPr>
          <w:p>
            <w:pPr>
              <w:spacing w:after="0"/>
              <w:rPr>
                <w:sz w:val="20"/>
                <w:szCs w:val="20"/>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rPr>
              <w:t>Citigroup Global Markets Inc.</w:t>
            </w:r>
          </w:p>
        </w:tc>
      </w:tr>
      <w:tr>
        <w:trPr>
          <w:trHeight w:val="431"/>
        </w:trPr>
        <w:tc>
          <w:tcPr>
            <w:tcW w:w="3200" w:type="dxa"/>
            <w:vAlign w:val="bottom"/>
          </w:tcPr>
          <w:p>
            <w:pPr>
              <w:ind w:left="20"/>
              <w:spacing w:after="0"/>
              <w:rPr>
                <w:sz w:val="20"/>
                <w:szCs w:val="20"/>
                <w:color w:val="auto"/>
              </w:rPr>
            </w:pPr>
            <w:r>
              <w:rPr>
                <w:rFonts w:ascii="Arial" w:cs="Arial" w:eastAsia="Arial" w:hAnsi="Arial"/>
                <w:sz w:val="18"/>
                <w:szCs w:val="18"/>
                <w:color w:val="auto"/>
              </w:rPr>
              <w:t>Senior Co-Managers</w:t>
            </w:r>
          </w:p>
        </w:tc>
        <w:tc>
          <w:tcPr>
            <w:tcW w:w="8040" w:type="dxa"/>
            <w:vAlign w:val="bottom"/>
          </w:tcPr>
          <w:p>
            <w:pPr>
              <w:ind w:left="2660"/>
              <w:spacing w:after="0"/>
              <w:rPr>
                <w:sz w:val="20"/>
                <w:szCs w:val="20"/>
                <w:color w:val="auto"/>
              </w:rPr>
            </w:pPr>
            <w:r>
              <w:rPr>
                <w:rFonts w:ascii="Arial" w:cs="Arial" w:eastAsia="Arial" w:hAnsi="Arial"/>
                <w:sz w:val="18"/>
                <w:szCs w:val="18"/>
                <w:color w:val="auto"/>
              </w:rPr>
              <w:t>Fifth Third Securities, Inc.</w:t>
            </w:r>
          </w:p>
        </w:tc>
      </w:tr>
      <w:tr>
        <w:trPr>
          <w:trHeight w:val="230"/>
        </w:trPr>
        <w:tc>
          <w:tcPr>
            <w:tcW w:w="3200" w:type="dxa"/>
            <w:vAlign w:val="bottom"/>
          </w:tcPr>
          <w:p>
            <w:pPr>
              <w:spacing w:after="0"/>
              <w:rPr>
                <w:sz w:val="20"/>
                <w:szCs w:val="20"/>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rPr>
              <w:t>MUFG Securities Americas Inc.</w:t>
            </w:r>
          </w:p>
        </w:tc>
      </w:tr>
      <w:tr>
        <w:trPr>
          <w:trHeight w:val="431"/>
        </w:trPr>
        <w:tc>
          <w:tcPr>
            <w:tcW w:w="3200" w:type="dxa"/>
            <w:vAlign w:val="bottom"/>
          </w:tcPr>
          <w:p>
            <w:pPr>
              <w:ind w:left="20"/>
              <w:spacing w:after="0"/>
              <w:rPr>
                <w:sz w:val="20"/>
                <w:szCs w:val="20"/>
                <w:color w:val="auto"/>
              </w:rPr>
            </w:pPr>
            <w:r>
              <w:rPr>
                <w:rFonts w:ascii="Arial" w:cs="Arial" w:eastAsia="Arial" w:hAnsi="Arial"/>
                <w:sz w:val="18"/>
                <w:szCs w:val="18"/>
                <w:color w:val="auto"/>
              </w:rPr>
              <w:t>Co-Managers</w:t>
            </w:r>
          </w:p>
        </w:tc>
        <w:tc>
          <w:tcPr>
            <w:tcW w:w="8040" w:type="dxa"/>
            <w:vAlign w:val="bottom"/>
          </w:tcPr>
          <w:p>
            <w:pPr>
              <w:ind w:left="2660"/>
              <w:spacing w:after="0"/>
              <w:rPr>
                <w:sz w:val="20"/>
                <w:szCs w:val="20"/>
                <w:color w:val="auto"/>
              </w:rPr>
            </w:pPr>
            <w:r>
              <w:rPr>
                <w:rFonts w:ascii="Arial" w:cs="Arial" w:eastAsia="Arial" w:hAnsi="Arial"/>
                <w:sz w:val="18"/>
                <w:szCs w:val="18"/>
                <w:color w:val="auto"/>
              </w:rPr>
              <w:t>Citizens Capital Markets, Inc.</w:t>
            </w:r>
          </w:p>
        </w:tc>
      </w:tr>
      <w:tr>
        <w:trPr>
          <w:trHeight w:val="216"/>
        </w:trPr>
        <w:tc>
          <w:tcPr>
            <w:tcW w:w="3200" w:type="dxa"/>
            <w:vAlign w:val="bottom"/>
          </w:tcPr>
          <w:p>
            <w:pPr>
              <w:spacing w:after="0"/>
              <w:rPr>
                <w:sz w:val="18"/>
                <w:szCs w:val="18"/>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rPr>
              <w:t>Loop Capital Markets LLC</w:t>
            </w:r>
          </w:p>
        </w:tc>
      </w:tr>
      <w:tr>
        <w:trPr>
          <w:trHeight w:val="216"/>
        </w:trPr>
        <w:tc>
          <w:tcPr>
            <w:tcW w:w="3200" w:type="dxa"/>
            <w:vAlign w:val="bottom"/>
          </w:tcPr>
          <w:p>
            <w:pPr>
              <w:spacing w:after="0"/>
              <w:rPr>
                <w:sz w:val="18"/>
                <w:szCs w:val="18"/>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rPr>
              <w:t>PNC Capital Markets LLC</w:t>
            </w:r>
          </w:p>
        </w:tc>
      </w:tr>
      <w:tr>
        <w:trPr>
          <w:trHeight w:val="230"/>
        </w:trPr>
        <w:tc>
          <w:tcPr>
            <w:tcW w:w="3200" w:type="dxa"/>
            <w:vAlign w:val="bottom"/>
          </w:tcPr>
          <w:p>
            <w:pPr>
              <w:spacing w:after="0"/>
              <w:rPr>
                <w:sz w:val="20"/>
                <w:szCs w:val="20"/>
                <w:color w:val="auto"/>
              </w:rPr>
            </w:pPr>
          </w:p>
        </w:tc>
        <w:tc>
          <w:tcPr>
            <w:tcW w:w="8040" w:type="dxa"/>
            <w:vAlign w:val="bottom"/>
          </w:tcPr>
          <w:p>
            <w:pPr>
              <w:ind w:left="2660"/>
              <w:spacing w:after="0"/>
              <w:rPr>
                <w:sz w:val="20"/>
                <w:szCs w:val="20"/>
                <w:color w:val="auto"/>
              </w:rPr>
            </w:pPr>
            <w:r>
              <w:rPr>
                <w:rFonts w:ascii="Arial" w:cs="Arial" w:eastAsia="Arial" w:hAnsi="Arial"/>
                <w:sz w:val="18"/>
                <w:szCs w:val="18"/>
                <w:color w:val="auto"/>
              </w:rPr>
              <w:t>The Governor and Company of the Bank of Ireland</w:t>
            </w:r>
          </w:p>
        </w:tc>
      </w:tr>
      <w:tr>
        <w:trPr>
          <w:trHeight w:val="675"/>
        </w:trPr>
        <w:tc>
          <w:tcPr>
            <w:tcW w:w="320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8000" w:type="dxa"/>
            <w:vAlign w:val="bottom"/>
          </w:tcPr>
          <w:p>
            <w:pPr>
              <w:ind w:left="680"/>
              <w:spacing w:after="0"/>
              <w:rPr>
                <w:sz w:val="20"/>
                <w:szCs w:val="20"/>
                <w:color w:val="auto"/>
              </w:rPr>
            </w:pPr>
            <w:r>
              <w:rPr>
                <w:rFonts w:ascii="Arial" w:cs="Arial" w:eastAsia="Arial" w:hAnsi="Arial"/>
                <w:sz w:val="18"/>
                <w:szCs w:val="18"/>
                <w:b w:val="1"/>
                <w:bCs w:val="1"/>
                <w:color w:val="auto"/>
              </w:rPr>
              <w:t>$750,000,000 2.800% Senior Notes Due 2050</w:t>
            </w:r>
          </w:p>
        </w:tc>
      </w:tr>
      <w:tr>
        <w:trPr>
          <w:trHeight w:val="432"/>
        </w:trPr>
        <w:tc>
          <w:tcPr>
            <w:tcW w:w="3240" w:type="dxa"/>
            <w:vAlign w:val="bottom"/>
          </w:tcPr>
          <w:p>
            <w:pPr>
              <w:ind w:left="20"/>
              <w:spacing w:after="0"/>
              <w:rPr>
                <w:sz w:val="20"/>
                <w:szCs w:val="20"/>
                <w:color w:val="auto"/>
              </w:rPr>
            </w:pPr>
            <w:r>
              <w:rPr>
                <w:rFonts w:ascii="Arial" w:cs="Arial" w:eastAsia="Arial" w:hAnsi="Arial"/>
                <w:sz w:val="18"/>
                <w:szCs w:val="18"/>
                <w:color w:val="auto"/>
              </w:rPr>
              <w:t>Issuer</w:t>
            </w:r>
          </w:p>
        </w:tc>
        <w:tc>
          <w:tcPr>
            <w:tcW w:w="8000" w:type="dxa"/>
            <w:vAlign w:val="bottom"/>
          </w:tcPr>
          <w:p>
            <w:pPr>
              <w:ind w:left="262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240" w:type="dxa"/>
            <w:vAlign w:val="bottom"/>
          </w:tcPr>
          <w:p>
            <w:pPr>
              <w:ind w:left="20"/>
              <w:spacing w:after="0"/>
              <w:rPr>
                <w:sz w:val="20"/>
                <w:szCs w:val="20"/>
                <w:color w:val="auto"/>
              </w:rPr>
            </w:pPr>
            <w:r>
              <w:rPr>
                <w:rFonts w:ascii="Arial" w:cs="Arial" w:eastAsia="Arial" w:hAnsi="Arial"/>
                <w:sz w:val="18"/>
                <w:szCs w:val="18"/>
                <w:color w:val="auto"/>
              </w:rPr>
              <w:t>Principal Amount</w:t>
            </w:r>
          </w:p>
        </w:tc>
        <w:tc>
          <w:tcPr>
            <w:tcW w:w="8000" w:type="dxa"/>
            <w:vAlign w:val="bottom"/>
          </w:tcPr>
          <w:p>
            <w:pPr>
              <w:ind w:left="2620"/>
              <w:spacing w:after="0"/>
              <w:rPr>
                <w:sz w:val="20"/>
                <w:szCs w:val="20"/>
                <w:color w:val="auto"/>
              </w:rPr>
            </w:pPr>
            <w:r>
              <w:rPr>
                <w:rFonts w:ascii="Arial" w:cs="Arial" w:eastAsia="Arial" w:hAnsi="Arial"/>
                <w:sz w:val="18"/>
                <w:szCs w:val="18"/>
                <w:color w:val="auto"/>
              </w:rPr>
              <w:t>$750,000,000</w:t>
            </w:r>
          </w:p>
        </w:tc>
      </w:tr>
      <w:tr>
        <w:trPr>
          <w:trHeight w:val="432"/>
        </w:trPr>
        <w:tc>
          <w:tcPr>
            <w:tcW w:w="3240" w:type="dxa"/>
            <w:vAlign w:val="bottom"/>
          </w:tcPr>
          <w:p>
            <w:pPr>
              <w:ind w:left="20"/>
              <w:spacing w:after="0"/>
              <w:rPr>
                <w:sz w:val="20"/>
                <w:szCs w:val="20"/>
                <w:color w:val="auto"/>
              </w:rPr>
            </w:pPr>
            <w:r>
              <w:rPr>
                <w:rFonts w:ascii="Arial" w:cs="Arial" w:eastAsia="Arial" w:hAnsi="Arial"/>
                <w:sz w:val="18"/>
                <w:szCs w:val="18"/>
                <w:color w:val="auto"/>
              </w:rPr>
              <w:t>Maturity Date</w:t>
            </w:r>
          </w:p>
        </w:tc>
        <w:tc>
          <w:tcPr>
            <w:tcW w:w="8000" w:type="dxa"/>
            <w:vAlign w:val="bottom"/>
          </w:tcPr>
          <w:p>
            <w:pPr>
              <w:ind w:left="2620"/>
              <w:spacing w:after="0"/>
              <w:rPr>
                <w:sz w:val="20"/>
                <w:szCs w:val="20"/>
                <w:color w:val="auto"/>
              </w:rPr>
            </w:pPr>
            <w:r>
              <w:rPr>
                <w:rFonts w:ascii="Arial" w:cs="Arial" w:eastAsia="Arial" w:hAnsi="Arial"/>
                <w:sz w:val="18"/>
                <w:szCs w:val="18"/>
                <w:color w:val="auto"/>
              </w:rPr>
              <w:t>September 15, 2050</w:t>
            </w:r>
          </w:p>
        </w:tc>
      </w:tr>
      <w:tr>
        <w:trPr>
          <w:trHeight w:val="432"/>
        </w:trPr>
        <w:tc>
          <w:tcPr>
            <w:tcW w:w="3240" w:type="dxa"/>
            <w:vAlign w:val="bottom"/>
          </w:tcPr>
          <w:p>
            <w:pPr>
              <w:ind w:left="20"/>
              <w:spacing w:after="0"/>
              <w:rPr>
                <w:sz w:val="20"/>
                <w:szCs w:val="20"/>
                <w:color w:val="auto"/>
              </w:rPr>
            </w:pPr>
            <w:r>
              <w:rPr>
                <w:rFonts w:ascii="Arial" w:cs="Arial" w:eastAsia="Arial" w:hAnsi="Arial"/>
                <w:sz w:val="18"/>
                <w:szCs w:val="18"/>
                <w:color w:val="auto"/>
              </w:rPr>
              <w:t>Issue Price (Price to Public)</w:t>
            </w:r>
          </w:p>
        </w:tc>
        <w:tc>
          <w:tcPr>
            <w:tcW w:w="8000" w:type="dxa"/>
            <w:vAlign w:val="bottom"/>
          </w:tcPr>
          <w:p>
            <w:pPr>
              <w:ind w:left="2620"/>
              <w:spacing w:after="0"/>
              <w:rPr>
                <w:sz w:val="20"/>
                <w:szCs w:val="20"/>
                <w:color w:val="auto"/>
              </w:rPr>
            </w:pPr>
            <w:r>
              <w:rPr>
                <w:rFonts w:ascii="Arial" w:cs="Arial" w:eastAsia="Arial" w:hAnsi="Arial"/>
                <w:sz w:val="18"/>
                <w:szCs w:val="18"/>
                <w:color w:val="auto"/>
              </w:rPr>
              <w:t>99.715%</w:t>
            </w:r>
          </w:p>
        </w:tc>
      </w:tr>
      <w:tr>
        <w:trPr>
          <w:trHeight w:val="432"/>
        </w:trPr>
        <w:tc>
          <w:tcPr>
            <w:tcW w:w="3240" w:type="dxa"/>
            <w:vAlign w:val="bottom"/>
          </w:tcPr>
          <w:p>
            <w:pPr>
              <w:ind w:left="20"/>
              <w:spacing w:after="0"/>
              <w:rPr>
                <w:sz w:val="20"/>
                <w:szCs w:val="20"/>
                <w:color w:val="auto"/>
              </w:rPr>
            </w:pPr>
            <w:r>
              <w:rPr>
                <w:rFonts w:ascii="Arial" w:cs="Arial" w:eastAsia="Arial" w:hAnsi="Arial"/>
                <w:sz w:val="18"/>
                <w:szCs w:val="18"/>
                <w:color w:val="auto"/>
              </w:rPr>
              <w:t>Interest Rate</w:t>
            </w:r>
          </w:p>
        </w:tc>
        <w:tc>
          <w:tcPr>
            <w:tcW w:w="8000" w:type="dxa"/>
            <w:vAlign w:val="bottom"/>
          </w:tcPr>
          <w:p>
            <w:pPr>
              <w:ind w:left="2620"/>
              <w:spacing w:after="0"/>
              <w:rPr>
                <w:sz w:val="20"/>
                <w:szCs w:val="20"/>
                <w:color w:val="auto"/>
              </w:rPr>
            </w:pPr>
            <w:r>
              <w:rPr>
                <w:rFonts w:ascii="Arial" w:cs="Arial" w:eastAsia="Arial" w:hAnsi="Arial"/>
                <w:sz w:val="18"/>
                <w:szCs w:val="18"/>
                <w:color w:val="auto"/>
              </w:rPr>
              <w:t>2.800% per annum beginning on the Original Issue Date</w:t>
            </w:r>
          </w:p>
        </w:tc>
      </w:tr>
      <w:tr>
        <w:trPr>
          <w:trHeight w:val="418"/>
        </w:trPr>
        <w:tc>
          <w:tcPr>
            <w:tcW w:w="3240" w:type="dxa"/>
            <w:vAlign w:val="bottom"/>
          </w:tcPr>
          <w:p>
            <w:pPr>
              <w:ind w:left="20"/>
              <w:spacing w:after="0"/>
              <w:rPr>
                <w:sz w:val="20"/>
                <w:szCs w:val="20"/>
                <w:color w:val="auto"/>
              </w:rPr>
            </w:pPr>
            <w:r>
              <w:rPr>
                <w:rFonts w:ascii="Arial" w:cs="Arial" w:eastAsia="Arial" w:hAnsi="Arial"/>
                <w:sz w:val="18"/>
                <w:szCs w:val="18"/>
                <w:color w:val="auto"/>
              </w:rPr>
              <w:t>Interest Payment Dates</w:t>
            </w:r>
          </w:p>
        </w:tc>
        <w:tc>
          <w:tcPr>
            <w:tcW w:w="8000" w:type="dxa"/>
            <w:vAlign w:val="bottom"/>
          </w:tcPr>
          <w:p>
            <w:pPr>
              <w:ind w:left="2620"/>
              <w:spacing w:after="0"/>
              <w:rPr>
                <w:sz w:val="20"/>
                <w:szCs w:val="20"/>
                <w:color w:val="auto"/>
              </w:rPr>
            </w:pPr>
            <w:r>
              <w:rPr>
                <w:rFonts w:ascii="Arial" w:cs="Arial" w:eastAsia="Arial" w:hAnsi="Arial"/>
                <w:sz w:val="18"/>
                <w:szCs w:val="18"/>
                <w:color w:val="auto"/>
                <w:w w:val="91"/>
              </w:rPr>
              <w:t>Semi-annually, each March 15 and September 15 commencing March 15,</w:t>
            </w:r>
          </w:p>
        </w:tc>
      </w:tr>
      <w:tr>
        <w:trPr>
          <w:trHeight w:val="230"/>
        </w:trPr>
        <w:tc>
          <w:tcPr>
            <w:tcW w:w="324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rPr>
              <w:t>2021</w:t>
            </w:r>
          </w:p>
        </w:tc>
      </w:tr>
      <w:tr>
        <w:trPr>
          <w:trHeight w:val="432"/>
        </w:trPr>
        <w:tc>
          <w:tcPr>
            <w:tcW w:w="3240" w:type="dxa"/>
            <w:vAlign w:val="bottom"/>
          </w:tcPr>
          <w:p>
            <w:pPr>
              <w:ind w:left="20"/>
              <w:spacing w:after="0"/>
              <w:rPr>
                <w:sz w:val="20"/>
                <w:szCs w:val="20"/>
                <w:color w:val="auto"/>
              </w:rPr>
            </w:pPr>
            <w:r>
              <w:rPr>
                <w:rFonts w:ascii="Arial" w:cs="Arial" w:eastAsia="Arial" w:hAnsi="Arial"/>
                <w:sz w:val="18"/>
                <w:szCs w:val="18"/>
                <w:color w:val="auto"/>
              </w:rPr>
              <w:t>Record Date</w:t>
            </w:r>
          </w:p>
        </w:tc>
        <w:tc>
          <w:tcPr>
            <w:tcW w:w="8000" w:type="dxa"/>
            <w:vAlign w:val="bottom"/>
          </w:tcPr>
          <w:p>
            <w:pPr>
              <w:ind w:left="2620"/>
              <w:spacing w:after="0"/>
              <w:rPr>
                <w:sz w:val="20"/>
                <w:szCs w:val="20"/>
                <w:color w:val="auto"/>
              </w:rPr>
            </w:pPr>
            <w:r>
              <w:rPr>
                <w:rFonts w:ascii="Arial" w:cs="Arial" w:eastAsia="Arial" w:hAnsi="Arial"/>
                <w:sz w:val="18"/>
                <w:szCs w:val="18"/>
                <w:color w:val="auto"/>
              </w:rPr>
              <w:t>March 1 and September 1</w:t>
            </w:r>
          </w:p>
        </w:tc>
      </w:tr>
      <w:tr>
        <w:trPr>
          <w:trHeight w:val="432"/>
        </w:trPr>
        <w:tc>
          <w:tcPr>
            <w:tcW w:w="3240" w:type="dxa"/>
            <w:vAlign w:val="bottom"/>
          </w:tcPr>
          <w:p>
            <w:pPr>
              <w:ind w:left="20"/>
              <w:spacing w:after="0"/>
              <w:rPr>
                <w:sz w:val="20"/>
                <w:szCs w:val="20"/>
                <w:color w:val="auto"/>
              </w:rPr>
            </w:pPr>
            <w:r>
              <w:rPr>
                <w:rFonts w:ascii="Arial" w:cs="Arial" w:eastAsia="Arial" w:hAnsi="Arial"/>
                <w:sz w:val="18"/>
                <w:szCs w:val="18"/>
                <w:color w:val="auto"/>
              </w:rPr>
              <w:t>Treasury Benchmark</w:t>
            </w:r>
          </w:p>
        </w:tc>
        <w:tc>
          <w:tcPr>
            <w:tcW w:w="8000" w:type="dxa"/>
            <w:vAlign w:val="bottom"/>
          </w:tcPr>
          <w:p>
            <w:pPr>
              <w:ind w:left="2620"/>
              <w:spacing w:after="0"/>
              <w:rPr>
                <w:sz w:val="20"/>
                <w:szCs w:val="20"/>
                <w:color w:val="auto"/>
              </w:rPr>
            </w:pPr>
            <w:r>
              <w:rPr>
                <w:rFonts w:ascii="Arial" w:cs="Arial" w:eastAsia="Arial" w:hAnsi="Arial"/>
                <w:sz w:val="18"/>
                <w:szCs w:val="18"/>
                <w:color w:val="auto"/>
              </w:rPr>
              <w:t>2.000% due February 15, 2050</w:t>
            </w:r>
          </w:p>
        </w:tc>
      </w:tr>
      <w:tr>
        <w:trPr>
          <w:trHeight w:val="432"/>
        </w:trPr>
        <w:tc>
          <w:tcPr>
            <w:tcW w:w="3240" w:type="dxa"/>
            <w:vAlign w:val="bottom"/>
          </w:tcPr>
          <w:p>
            <w:pPr>
              <w:ind w:left="20"/>
              <w:spacing w:after="0"/>
              <w:rPr>
                <w:sz w:val="20"/>
                <w:szCs w:val="20"/>
                <w:color w:val="auto"/>
              </w:rPr>
            </w:pPr>
            <w:r>
              <w:rPr>
                <w:rFonts w:ascii="Arial" w:cs="Arial" w:eastAsia="Arial" w:hAnsi="Arial"/>
                <w:sz w:val="18"/>
                <w:szCs w:val="18"/>
                <w:color w:val="auto"/>
              </w:rPr>
              <w:t>Spread to Benchmark Treasury</w:t>
            </w:r>
          </w:p>
        </w:tc>
        <w:tc>
          <w:tcPr>
            <w:tcW w:w="8000" w:type="dxa"/>
            <w:vAlign w:val="bottom"/>
          </w:tcPr>
          <w:p>
            <w:pPr>
              <w:ind w:left="2620"/>
              <w:spacing w:after="0"/>
              <w:rPr>
                <w:sz w:val="20"/>
                <w:szCs w:val="20"/>
                <w:color w:val="auto"/>
              </w:rPr>
            </w:pPr>
            <w:r>
              <w:rPr>
                <w:rFonts w:ascii="Arial" w:cs="Arial" w:eastAsia="Arial" w:hAnsi="Arial"/>
                <w:sz w:val="18"/>
                <w:szCs w:val="18"/>
                <w:color w:val="auto"/>
              </w:rPr>
              <w:t>160 bps</w:t>
            </w:r>
          </w:p>
        </w:tc>
      </w:tr>
      <w:tr>
        <w:trPr>
          <w:trHeight w:val="432"/>
        </w:trPr>
        <w:tc>
          <w:tcPr>
            <w:tcW w:w="3240" w:type="dxa"/>
            <w:vAlign w:val="bottom"/>
          </w:tcPr>
          <w:p>
            <w:pPr>
              <w:ind w:left="20"/>
              <w:spacing w:after="0"/>
              <w:rPr>
                <w:sz w:val="20"/>
                <w:szCs w:val="20"/>
                <w:color w:val="auto"/>
              </w:rPr>
            </w:pPr>
            <w:r>
              <w:rPr>
                <w:rFonts w:ascii="Arial" w:cs="Arial" w:eastAsia="Arial" w:hAnsi="Arial"/>
                <w:sz w:val="18"/>
                <w:szCs w:val="18"/>
                <w:color w:val="auto"/>
              </w:rPr>
              <w:t>Benchmark Treasury Price &amp; Yield</w:t>
            </w:r>
          </w:p>
        </w:tc>
        <w:tc>
          <w:tcPr>
            <w:tcW w:w="8000" w:type="dxa"/>
            <w:vAlign w:val="bottom"/>
          </w:tcPr>
          <w:p>
            <w:pPr>
              <w:ind w:left="2620"/>
              <w:spacing w:after="0"/>
              <w:rPr>
                <w:sz w:val="20"/>
                <w:szCs w:val="20"/>
                <w:color w:val="auto"/>
              </w:rPr>
            </w:pPr>
            <w:r>
              <w:rPr>
                <w:rFonts w:ascii="Arial" w:cs="Arial" w:eastAsia="Arial" w:hAnsi="Arial"/>
                <w:sz w:val="18"/>
                <w:szCs w:val="18"/>
                <w:color w:val="auto"/>
              </w:rPr>
              <w:t>119-14 / 1.214%</w:t>
            </w:r>
          </w:p>
        </w:tc>
      </w:tr>
      <w:tr>
        <w:trPr>
          <w:trHeight w:val="432"/>
        </w:trPr>
        <w:tc>
          <w:tcPr>
            <w:tcW w:w="3240" w:type="dxa"/>
            <w:vAlign w:val="bottom"/>
          </w:tcPr>
          <w:p>
            <w:pPr>
              <w:ind w:left="20"/>
              <w:spacing w:after="0"/>
              <w:rPr>
                <w:sz w:val="20"/>
                <w:szCs w:val="20"/>
                <w:color w:val="auto"/>
              </w:rPr>
            </w:pPr>
            <w:r>
              <w:rPr>
                <w:rFonts w:ascii="Arial" w:cs="Arial" w:eastAsia="Arial" w:hAnsi="Arial"/>
                <w:sz w:val="18"/>
                <w:szCs w:val="18"/>
                <w:color w:val="auto"/>
              </w:rPr>
              <w:t>Yield to Maturity</w:t>
            </w:r>
          </w:p>
        </w:tc>
        <w:tc>
          <w:tcPr>
            <w:tcW w:w="8000" w:type="dxa"/>
            <w:vAlign w:val="bottom"/>
          </w:tcPr>
          <w:p>
            <w:pPr>
              <w:ind w:left="2620"/>
              <w:spacing w:after="0"/>
              <w:rPr>
                <w:sz w:val="20"/>
                <w:szCs w:val="20"/>
                <w:color w:val="auto"/>
              </w:rPr>
            </w:pPr>
            <w:r>
              <w:rPr>
                <w:rFonts w:ascii="Arial" w:cs="Arial" w:eastAsia="Arial" w:hAnsi="Arial"/>
                <w:sz w:val="18"/>
                <w:szCs w:val="18"/>
                <w:color w:val="auto"/>
              </w:rPr>
              <w:t>2.814%</w:t>
            </w:r>
          </w:p>
        </w:tc>
      </w:tr>
      <w:tr>
        <w:trPr>
          <w:trHeight w:val="418"/>
        </w:trPr>
        <w:tc>
          <w:tcPr>
            <w:tcW w:w="3240" w:type="dxa"/>
            <w:vAlign w:val="bottom"/>
          </w:tcPr>
          <w:p>
            <w:pPr>
              <w:ind w:left="20"/>
              <w:spacing w:after="0"/>
              <w:rPr>
                <w:sz w:val="20"/>
                <w:szCs w:val="20"/>
                <w:color w:val="auto"/>
              </w:rPr>
            </w:pPr>
            <w:r>
              <w:rPr>
                <w:rFonts w:ascii="Arial" w:cs="Arial" w:eastAsia="Arial" w:hAnsi="Arial"/>
                <w:sz w:val="18"/>
                <w:szCs w:val="18"/>
                <w:color w:val="auto"/>
              </w:rPr>
              <w:t>Optional Redemption</w:t>
            </w:r>
          </w:p>
        </w:tc>
        <w:tc>
          <w:tcPr>
            <w:tcW w:w="8000" w:type="dxa"/>
            <w:vAlign w:val="bottom"/>
          </w:tcPr>
          <w:p>
            <w:pPr>
              <w:ind w:left="2620"/>
              <w:spacing w:after="0"/>
              <w:rPr>
                <w:sz w:val="20"/>
                <w:szCs w:val="20"/>
                <w:color w:val="auto"/>
              </w:rPr>
            </w:pPr>
            <w:r>
              <w:rPr>
                <w:rFonts w:ascii="Arial" w:cs="Arial" w:eastAsia="Arial" w:hAnsi="Arial"/>
                <w:sz w:val="18"/>
                <w:szCs w:val="18"/>
                <w:color w:val="auto"/>
              </w:rPr>
              <w:t>Make whole call, in whole or in part, as set forth in the preliminary</w:t>
            </w:r>
          </w:p>
        </w:tc>
      </w:tr>
      <w:tr>
        <w:trPr>
          <w:trHeight w:val="216"/>
        </w:trPr>
        <w:tc>
          <w:tcPr>
            <w:tcW w:w="324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w w:val="93"/>
              </w:rPr>
              <w:t>prospectus supplement to which this pricing term sheet relates (treasury</w:t>
            </w:r>
          </w:p>
        </w:tc>
      </w:tr>
      <w:tr>
        <w:trPr>
          <w:trHeight w:val="216"/>
        </w:trPr>
        <w:tc>
          <w:tcPr>
            <w:tcW w:w="324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w w:val="94"/>
              </w:rPr>
              <w:t>rate plus 25 basis points) at any time prior to March 15, 2050 (6 months</w:t>
            </w:r>
          </w:p>
        </w:tc>
      </w:tr>
      <w:tr>
        <w:trPr>
          <w:trHeight w:val="230"/>
        </w:trPr>
        <w:tc>
          <w:tcPr>
            <w:tcW w:w="324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rPr>
              <w:t>prior to the maturity date of the 2050 notes)</w:t>
            </w:r>
          </w:p>
        </w:tc>
      </w:tr>
      <w:tr>
        <w:trPr>
          <w:trHeight w:val="418"/>
        </w:trPr>
        <w:tc>
          <w:tcPr>
            <w:tcW w:w="3240" w:type="dxa"/>
            <w:vAlign w:val="bottom"/>
          </w:tcPr>
          <w:p>
            <w:pPr>
              <w:spacing w:after="0"/>
              <w:rPr>
                <w:sz w:val="24"/>
                <w:szCs w:val="24"/>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w w:val="97"/>
              </w:rPr>
              <w:t>Par call, in whole or in part, at any time on or after March 15, 2050 (6</w:t>
            </w:r>
          </w:p>
        </w:tc>
      </w:tr>
      <w:tr>
        <w:trPr>
          <w:trHeight w:val="230"/>
        </w:trPr>
        <w:tc>
          <w:tcPr>
            <w:tcW w:w="324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rPr>
              <w:t>months prior to the maturity date of the 2050 notes)</w:t>
            </w:r>
          </w:p>
        </w:tc>
      </w:tr>
      <w:tr>
        <w:trPr>
          <w:trHeight w:val="432"/>
        </w:trPr>
        <w:tc>
          <w:tcPr>
            <w:tcW w:w="3240" w:type="dxa"/>
            <w:vAlign w:val="bottom"/>
          </w:tcPr>
          <w:p>
            <w:pPr>
              <w:ind w:left="20"/>
              <w:spacing w:after="0"/>
              <w:rPr>
                <w:sz w:val="20"/>
                <w:szCs w:val="20"/>
                <w:color w:val="auto"/>
              </w:rPr>
            </w:pPr>
            <w:r>
              <w:rPr>
                <w:rFonts w:ascii="Arial" w:cs="Arial" w:eastAsia="Arial" w:hAnsi="Arial"/>
                <w:sz w:val="18"/>
                <w:szCs w:val="18"/>
                <w:color w:val="auto"/>
              </w:rPr>
              <w:t>CUSIP/ISIN:</w:t>
            </w:r>
          </w:p>
        </w:tc>
        <w:tc>
          <w:tcPr>
            <w:tcW w:w="8000" w:type="dxa"/>
            <w:vAlign w:val="bottom"/>
          </w:tcPr>
          <w:p>
            <w:pPr>
              <w:ind w:left="2620"/>
              <w:spacing w:after="0"/>
              <w:rPr>
                <w:sz w:val="20"/>
                <w:szCs w:val="20"/>
                <w:color w:val="auto"/>
              </w:rPr>
            </w:pPr>
            <w:r>
              <w:rPr>
                <w:rFonts w:ascii="Arial" w:cs="Arial" w:eastAsia="Arial" w:hAnsi="Arial"/>
                <w:sz w:val="18"/>
                <w:szCs w:val="18"/>
                <w:color w:val="auto"/>
              </w:rPr>
              <w:t>75886F AF4 / US75886FAF45</w:t>
            </w:r>
          </w:p>
        </w:tc>
      </w:tr>
      <w:tr>
        <w:trPr>
          <w:trHeight w:val="418"/>
        </w:trPr>
        <w:tc>
          <w:tcPr>
            <w:tcW w:w="3240" w:type="dxa"/>
            <w:vAlign w:val="bottom"/>
          </w:tcPr>
          <w:p>
            <w:pPr>
              <w:ind w:left="20"/>
              <w:spacing w:after="0"/>
              <w:rPr>
                <w:sz w:val="20"/>
                <w:szCs w:val="20"/>
                <w:color w:val="auto"/>
              </w:rPr>
            </w:pPr>
            <w:r>
              <w:rPr>
                <w:rFonts w:ascii="Arial" w:cs="Arial" w:eastAsia="Arial" w:hAnsi="Arial"/>
                <w:sz w:val="18"/>
                <w:szCs w:val="18"/>
                <w:color w:val="auto"/>
              </w:rPr>
              <w:t>Lead Book-Running Managers</w:t>
            </w:r>
          </w:p>
        </w:tc>
        <w:tc>
          <w:tcPr>
            <w:tcW w:w="8000" w:type="dxa"/>
            <w:vAlign w:val="bottom"/>
          </w:tcPr>
          <w:p>
            <w:pPr>
              <w:ind w:left="2620"/>
              <w:spacing w:after="0"/>
              <w:rPr>
                <w:sz w:val="20"/>
                <w:szCs w:val="20"/>
                <w:color w:val="auto"/>
              </w:rPr>
            </w:pPr>
            <w:r>
              <w:rPr>
                <w:rFonts w:ascii="Arial" w:cs="Arial" w:eastAsia="Arial" w:hAnsi="Arial"/>
                <w:sz w:val="18"/>
                <w:szCs w:val="18"/>
                <w:color w:val="auto"/>
              </w:rPr>
              <w:t>Goldman Sachs &amp; Co. LLC</w:t>
            </w:r>
          </w:p>
        </w:tc>
      </w:tr>
      <w:tr>
        <w:trPr>
          <w:trHeight w:val="216"/>
        </w:trPr>
        <w:tc>
          <w:tcPr>
            <w:tcW w:w="324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rPr>
              <w:t>BofA Securities, Inc.</w:t>
            </w:r>
          </w:p>
        </w:tc>
      </w:tr>
      <w:tr>
        <w:trPr>
          <w:trHeight w:val="230"/>
        </w:trPr>
        <w:tc>
          <w:tcPr>
            <w:tcW w:w="324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rPr>
              <w:t>J.P. Morgan Securities LLC</w:t>
            </w:r>
          </w:p>
        </w:tc>
      </w:tr>
      <w:tr>
        <w:trPr>
          <w:trHeight w:val="418"/>
        </w:trPr>
        <w:tc>
          <w:tcPr>
            <w:tcW w:w="3240" w:type="dxa"/>
            <w:vAlign w:val="bottom"/>
          </w:tcPr>
          <w:p>
            <w:pPr>
              <w:ind w:left="20"/>
              <w:spacing w:after="0"/>
              <w:rPr>
                <w:sz w:val="20"/>
                <w:szCs w:val="20"/>
                <w:color w:val="auto"/>
              </w:rPr>
            </w:pPr>
            <w:r>
              <w:rPr>
                <w:rFonts w:ascii="Arial" w:cs="Arial" w:eastAsia="Arial" w:hAnsi="Arial"/>
                <w:sz w:val="18"/>
                <w:szCs w:val="18"/>
                <w:color w:val="auto"/>
              </w:rPr>
              <w:t>Bookrunners</w:t>
            </w:r>
          </w:p>
        </w:tc>
        <w:tc>
          <w:tcPr>
            <w:tcW w:w="8000" w:type="dxa"/>
            <w:vAlign w:val="bottom"/>
          </w:tcPr>
          <w:p>
            <w:pPr>
              <w:ind w:left="2620"/>
              <w:spacing w:after="0"/>
              <w:rPr>
                <w:sz w:val="20"/>
                <w:szCs w:val="20"/>
                <w:color w:val="auto"/>
              </w:rPr>
            </w:pPr>
            <w:r>
              <w:rPr>
                <w:rFonts w:ascii="Arial" w:cs="Arial" w:eastAsia="Arial" w:hAnsi="Arial"/>
                <w:sz w:val="18"/>
                <w:szCs w:val="18"/>
                <w:color w:val="auto"/>
              </w:rPr>
              <w:t>U.S. Bancorp Investments, Inc.</w:t>
            </w:r>
          </w:p>
        </w:tc>
      </w:tr>
      <w:tr>
        <w:trPr>
          <w:trHeight w:val="216"/>
        </w:trPr>
        <w:tc>
          <w:tcPr>
            <w:tcW w:w="324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rPr>
              <w:t>Fifth Third Securities, Inc.</w:t>
            </w:r>
          </w:p>
        </w:tc>
      </w:tr>
      <w:tr>
        <w:trPr>
          <w:trHeight w:val="230"/>
        </w:trPr>
        <w:tc>
          <w:tcPr>
            <w:tcW w:w="324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rPr>
              <w:t>MUFG Securities Americas Inc.</w:t>
            </w:r>
          </w:p>
        </w:tc>
      </w:tr>
      <w:tr>
        <w:trPr>
          <w:trHeight w:val="647"/>
        </w:trPr>
        <w:tc>
          <w:tcPr>
            <w:tcW w:w="3240" w:type="dxa"/>
            <w:vAlign w:val="bottom"/>
          </w:tcPr>
          <w:p>
            <w:pPr>
              <w:ind w:left="20"/>
              <w:spacing w:after="0"/>
              <w:rPr>
                <w:sz w:val="20"/>
                <w:szCs w:val="20"/>
                <w:color w:val="auto"/>
              </w:rPr>
            </w:pPr>
            <w:r>
              <w:rPr>
                <w:rFonts w:ascii="Arial" w:cs="Arial" w:eastAsia="Arial" w:hAnsi="Arial"/>
                <w:sz w:val="18"/>
                <w:szCs w:val="18"/>
                <w:color w:val="auto"/>
              </w:rPr>
              <w:t>Senior Co-Managers</w:t>
            </w:r>
          </w:p>
        </w:tc>
        <w:tc>
          <w:tcPr>
            <w:tcW w:w="8000" w:type="dxa"/>
            <w:vAlign w:val="bottom"/>
          </w:tcPr>
          <w:p>
            <w:pPr>
              <w:ind w:left="2620"/>
              <w:spacing w:after="0"/>
              <w:rPr>
                <w:sz w:val="20"/>
                <w:szCs w:val="20"/>
                <w:color w:val="auto"/>
              </w:rPr>
            </w:pPr>
            <w:r>
              <w:rPr>
                <w:rFonts w:ascii="Arial" w:cs="Arial" w:eastAsia="Arial" w:hAnsi="Arial"/>
                <w:sz w:val="18"/>
                <w:szCs w:val="18"/>
                <w:color w:val="auto"/>
              </w:rPr>
              <w:t>Barclays Capital Inc.</w:t>
            </w:r>
          </w:p>
        </w:tc>
      </w:tr>
      <w:tr>
        <w:trPr>
          <w:trHeight w:val="230"/>
        </w:trPr>
        <w:tc>
          <w:tcPr>
            <w:tcW w:w="324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rPr>
              <w:t>Citigroup Global Markets Inc.</w:t>
            </w:r>
          </w:p>
        </w:tc>
      </w:tr>
      <w:tr>
        <w:trPr>
          <w:trHeight w:val="634"/>
        </w:trPr>
        <w:tc>
          <w:tcPr>
            <w:tcW w:w="3240" w:type="dxa"/>
            <w:vAlign w:val="bottom"/>
          </w:tcPr>
          <w:p>
            <w:pPr>
              <w:ind w:left="20"/>
              <w:spacing w:after="0"/>
              <w:rPr>
                <w:sz w:val="20"/>
                <w:szCs w:val="20"/>
                <w:color w:val="auto"/>
              </w:rPr>
            </w:pPr>
            <w:r>
              <w:rPr>
                <w:rFonts w:ascii="Arial" w:cs="Arial" w:eastAsia="Arial" w:hAnsi="Arial"/>
                <w:sz w:val="18"/>
                <w:szCs w:val="18"/>
                <w:color w:val="auto"/>
              </w:rPr>
              <w:t>Co-Managers</w:t>
            </w:r>
          </w:p>
        </w:tc>
        <w:tc>
          <w:tcPr>
            <w:tcW w:w="8000" w:type="dxa"/>
            <w:vAlign w:val="bottom"/>
          </w:tcPr>
          <w:p>
            <w:pPr>
              <w:ind w:left="2620"/>
              <w:spacing w:after="0"/>
              <w:rPr>
                <w:sz w:val="20"/>
                <w:szCs w:val="20"/>
                <w:color w:val="auto"/>
              </w:rPr>
            </w:pPr>
            <w:r>
              <w:rPr>
                <w:rFonts w:ascii="Arial" w:cs="Arial" w:eastAsia="Arial" w:hAnsi="Arial"/>
                <w:sz w:val="18"/>
                <w:szCs w:val="18"/>
                <w:color w:val="auto"/>
              </w:rPr>
              <w:t>Citizens Capital Markets, Inc.</w:t>
            </w:r>
          </w:p>
        </w:tc>
      </w:tr>
      <w:tr>
        <w:trPr>
          <w:trHeight w:val="216"/>
        </w:trPr>
        <w:tc>
          <w:tcPr>
            <w:tcW w:w="324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rPr>
              <w:t>Loop Capital Markets LLC</w:t>
            </w:r>
          </w:p>
        </w:tc>
      </w:tr>
      <w:tr>
        <w:trPr>
          <w:trHeight w:val="216"/>
        </w:trPr>
        <w:tc>
          <w:tcPr>
            <w:tcW w:w="3240" w:type="dxa"/>
            <w:vAlign w:val="bottom"/>
          </w:tcPr>
          <w:p>
            <w:pPr>
              <w:spacing w:after="0"/>
              <w:rPr>
                <w:sz w:val="18"/>
                <w:szCs w:val="18"/>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rPr>
              <w:t>PNC Capital Markets LLC</w:t>
            </w:r>
          </w:p>
        </w:tc>
      </w:tr>
      <w:tr>
        <w:trPr>
          <w:trHeight w:val="230"/>
        </w:trPr>
        <w:tc>
          <w:tcPr>
            <w:tcW w:w="3240" w:type="dxa"/>
            <w:vAlign w:val="bottom"/>
          </w:tcPr>
          <w:p>
            <w:pPr>
              <w:spacing w:after="0"/>
              <w:rPr>
                <w:sz w:val="20"/>
                <w:szCs w:val="20"/>
                <w:color w:val="auto"/>
              </w:rPr>
            </w:pPr>
          </w:p>
        </w:tc>
        <w:tc>
          <w:tcPr>
            <w:tcW w:w="8000" w:type="dxa"/>
            <w:vAlign w:val="bottom"/>
          </w:tcPr>
          <w:p>
            <w:pPr>
              <w:ind w:left="2620"/>
              <w:spacing w:after="0"/>
              <w:rPr>
                <w:sz w:val="20"/>
                <w:szCs w:val="20"/>
                <w:color w:val="auto"/>
              </w:rPr>
            </w:pPr>
            <w:r>
              <w:rPr>
                <w:rFonts w:ascii="Arial" w:cs="Arial" w:eastAsia="Arial" w:hAnsi="Arial"/>
                <w:sz w:val="18"/>
                <w:szCs w:val="18"/>
                <w:color w:val="auto"/>
              </w:rPr>
              <w:t>The Governor and Company of the Bank of Ireland</w:t>
            </w:r>
          </w:p>
        </w:tc>
      </w:tr>
      <w:tr>
        <w:trPr>
          <w:trHeight w:val="675"/>
        </w:trPr>
        <w:tc>
          <w:tcPr>
            <w:tcW w:w="32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6"/>
          <w:szCs w:val="16"/>
          <w:b w:val="1"/>
          <w:bCs w:val="1"/>
          <w:color w:val="auto"/>
        </w:rPr>
        <w:t>Terms Applicable to Both Tranches</w:t>
      </w:r>
    </w:p>
    <w:p>
      <w:pPr>
        <w:sectPr>
          <w:pgSz w:w="11900" w:h="16838" w:orient="portrait"/>
          <w:cols w:equalWidth="0" w:num="1">
            <w:col w:w="11180"/>
          </w:cols>
          <w:pgMar w:left="320" w:top="904" w:right="399" w:bottom="1440" w:gutter="0" w:footer="0" w:header="0"/>
        </w:sect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5"/>
          <w:szCs w:val="15"/>
          <w:color w:val="auto"/>
        </w:rPr>
        <w:t>Ratings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Baa3 / BBB+ (Moody’s/S&amp;P)</w:t>
      </w:r>
    </w:p>
    <w:p>
      <w:pPr>
        <w:spacing w:after="0" w:line="200" w:lineRule="exact"/>
        <w:rPr>
          <w:sz w:val="20"/>
          <w:szCs w:val="20"/>
          <w:color w:val="auto"/>
        </w:rPr>
      </w:pPr>
    </w:p>
    <w:p>
      <w:pPr>
        <w:sectPr>
          <w:pgSz w:w="11900" w:h="16838" w:orient="portrait"/>
          <w:cols w:equalWidth="0" w:num="2">
            <w:col w:w="5140" w:space="720"/>
            <w:col w:w="5320"/>
          </w:cols>
          <w:pgMar w:left="320" w:top="904" w:right="399" w:bottom="1440" w:gutter="0" w:footer="0" w:header="0"/>
          <w:type w:val="continuous"/>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August 7, 2020</w:t>
      </w:r>
    </w:p>
    <w:p>
      <w:pPr>
        <w:spacing w:after="0" w:line="200" w:lineRule="exact"/>
        <w:rPr>
          <w:sz w:val="20"/>
          <w:szCs w:val="20"/>
          <w:color w:val="auto"/>
        </w:rPr>
      </w:pPr>
    </w:p>
    <w:p>
      <w:pPr>
        <w:sectPr>
          <w:pgSz w:w="11900" w:h="16838" w:orient="portrait"/>
          <w:cols w:equalWidth="0" w:num="2">
            <w:col w:w="5140" w:space="720"/>
            <w:col w:w="5320"/>
          </w:cols>
          <w:pgMar w:left="320" w:top="904" w:right="39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Original Issue Date (Settlement)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August 12, 2020</w:t>
      </w:r>
    </w:p>
    <w:p>
      <w:pPr>
        <w:spacing w:after="0" w:line="200" w:lineRule="exact"/>
        <w:rPr>
          <w:sz w:val="20"/>
          <w:szCs w:val="20"/>
          <w:color w:val="auto"/>
        </w:rPr>
      </w:pPr>
    </w:p>
    <w:p>
      <w:pPr>
        <w:sectPr>
          <w:pgSz w:w="11900" w:h="16838" w:orient="portrait"/>
          <w:cols w:equalWidth="0" w:num="2">
            <w:col w:w="5140" w:space="720"/>
            <w:col w:w="5320"/>
          </w:cols>
          <w:pgMar w:left="320" w:top="904" w:right="39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Change of Control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Upon the occurrence of a Change of Control Triggering Event (as defined in the preliminary prospectus supplement to which this pricing term sheet relates), Regeneron Pharmaceuticals, Inc. will be required to make an offer to purchase the notes at a price equal to 101% of their principal amount plus accrued and unpaid interest to but not including the date of repurchase</w:t>
      </w:r>
    </w:p>
    <w:p>
      <w:pPr>
        <w:spacing w:after="0" w:line="192" w:lineRule="exact"/>
        <w:rPr>
          <w:sz w:val="20"/>
          <w:szCs w:val="20"/>
          <w:color w:val="auto"/>
        </w:rPr>
      </w:pPr>
    </w:p>
    <w:p>
      <w:pPr>
        <w:sectPr>
          <w:pgSz w:w="11900" w:h="16838" w:orient="portrait"/>
          <w:cols w:equalWidth="0" w:num="2">
            <w:col w:w="5140" w:space="720"/>
            <w:col w:w="5320"/>
          </w:cols>
          <w:pgMar w:left="320" w:top="904" w:right="39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Minimum 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 and integral multiples of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166370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20"/>
          </w:cols>
          <w:pgMar w:left="320" w:top="904" w:right="399" w:bottom="1440" w:gutter="0" w:footer="0" w:header="0"/>
          <w:type w:val="continuous"/>
        </w:sectPr>
      </w:pPr>
    </w:p>
    <w:p>
      <w:pPr>
        <w:spacing w:after="0" w:line="2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i w:val="1"/>
          <w:iCs w:val="1"/>
          <w:color w:val="auto"/>
        </w:rPr>
        <w:t>None of the securities ratings is a recommendation to buy, sell, or hold the notes. Each rating may be subject to revision or withdrawal at any time, and should be evaluated independently of any other rating.</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The issuer has filed a registration statement (including a prospectus) and a preliminary prospectus supplement with the Securities and Exchange Commission (“SEC”) for the offerings to which this communication relates. Before you invest, you should read the prospectus in that registration statement, the preliminary prospectus supplement, and other documents the issuer has filed with the SEC for more complete information about the issuer and these offerings. You may get these documents for free by visiting EDGAR on the SEC Web site at www.sec.gov. Alternatively, the issuer, any underwriter, or any dealer participating in the offerings will arrange to send you the prospectus if you request it by calling Goldman Sachs &amp; Co. LLC toll free at 1 (866) 471-2526; BofA Securities toll free at 1 (800) 294-1322; J.P. Morgan collect at 1 (212) 834-4533.</w:t>
      </w:r>
    </w:p>
    <w:p>
      <w:pPr>
        <w:spacing w:after="0" w:line="178"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(OTHER THAN ANY STATEMENT RELATING TO THE IDENTITY OF THE LEGAL ENTITY AUTHORIZING OR SENDING THIS COMMUNICATION IN A NON-US JURISDICTION). SUCH DISCLAIMERS OR OTHER NOTICES WERE AUTOMATICALLY GENERATED AS A RESULT OF THIS COMMUNICATION HAVING BEEN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45"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REGENERON PHARMACEUTICALS, INC.,</w:t>
      </w:r>
    </w:p>
    <w:p>
      <w:pPr>
        <w:spacing w:after="0" w:line="3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ISSUER</w:t>
      </w:r>
    </w:p>
    <w:p>
      <w:pPr>
        <w:spacing w:after="0" w:line="21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177165</wp:posOffset>
            </wp:positionV>
            <wp:extent cx="17830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186055</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DATED AS OF AUGUST 12, 2020</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186055</wp:posOffset>
            </wp:positionV>
            <wp:extent cx="17830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511810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394"/>
        </w:trPr>
        <w:tc>
          <w:tcPr>
            <w:tcW w:w="1840" w:type="dxa"/>
            <w:vAlign w:val="bottom"/>
          </w:tcPr>
          <w:p>
            <w:pPr>
              <w:spacing w:after="0"/>
              <w:rPr>
                <w:sz w:val="24"/>
                <w:szCs w:val="24"/>
                <w:color w:val="auto"/>
              </w:rPr>
            </w:pPr>
          </w:p>
        </w:tc>
        <w:tc>
          <w:tcPr>
            <w:tcW w:w="8040" w:type="dxa"/>
            <w:vAlign w:val="bottom"/>
          </w:tcPr>
          <w:p>
            <w:pPr>
              <w:ind w:left="2780"/>
              <w:spacing w:after="0"/>
              <w:rPr>
                <w:sz w:val="20"/>
                <w:szCs w:val="20"/>
                <w:color w:val="auto"/>
              </w:rPr>
            </w:pPr>
            <w:r>
              <w:rPr>
                <w:rFonts w:ascii="Arial" w:cs="Arial" w:eastAsia="Arial" w:hAnsi="Arial"/>
                <w:sz w:val="18"/>
                <w:szCs w:val="18"/>
                <w:b w:val="1"/>
                <w:bCs w:val="1"/>
                <w:color w:val="auto"/>
              </w:rPr>
              <w:t>TABLE OF CONTENTS</w:t>
            </w:r>
            <w:r>
              <w:rPr>
                <w:rFonts w:ascii="Arial" w:cs="Arial" w:eastAsia="Arial" w:hAnsi="Arial"/>
                <w:sz w:val="29"/>
                <w:szCs w:val="29"/>
                <w:b w:val="1"/>
                <w:bCs w:val="1"/>
                <w:color w:val="auto"/>
                <w:vertAlign w:val="superscript"/>
              </w:rPr>
              <w:t>1</w:t>
            </w:r>
          </w:p>
        </w:tc>
        <w:tc>
          <w:tcPr>
            <w:tcW w:w="1360" w:type="dxa"/>
            <w:vAlign w:val="bottom"/>
          </w:tcPr>
          <w:p>
            <w:pPr>
              <w:spacing w:after="0"/>
              <w:rPr>
                <w:sz w:val="24"/>
                <w:szCs w:val="24"/>
                <w:color w:val="auto"/>
              </w:rPr>
            </w:pPr>
          </w:p>
        </w:tc>
      </w:tr>
      <w:tr>
        <w:trPr>
          <w:trHeight w:val="309"/>
        </w:trPr>
        <w:tc>
          <w:tcPr>
            <w:tcW w:w="9880" w:type="dxa"/>
            <w:vAlign w:val="bottom"/>
            <w:gridSpan w:val="2"/>
          </w:tcPr>
          <w:p>
            <w:pPr>
              <w:spacing w:after="0"/>
              <w:rPr>
                <w:sz w:val="20"/>
                <w:szCs w:val="20"/>
                <w:color w:val="auto"/>
              </w:rPr>
            </w:pPr>
            <w:r>
              <w:rPr>
                <w:rFonts w:ascii="Arial" w:cs="Arial" w:eastAsia="Arial" w:hAnsi="Arial"/>
                <w:sz w:val="18"/>
                <w:szCs w:val="18"/>
                <w:color w:val="auto"/>
              </w:rPr>
              <w:t>ARTICLE 1 DEFINITIONS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1.01  DEFINITIONS OF TERMS</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rPr>
              <w:t>ARTICLE 2 ISSUE, DESCRIPTION, TERMS, EXECUTION, REGISTRATION AND EXCHANGE OF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2.01  DESIGNATION AND TERMS OF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2.02  FORM OF SECURITIES AND TRUSTEE’S CERTIFICATE</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2.03  DENOMINATIONS: PROVISIONS FOR PAYMENT</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2.04  EXECUTION AND AUTHENTICATIONS</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2.05  REGISTRATION OF TRANSFER AND EXCHANGE</w:t>
            </w: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1840" w:type="dxa"/>
            <w:vAlign w:val="bottom"/>
          </w:tcPr>
          <w:p>
            <w:pPr>
              <w:ind w:left="660"/>
              <w:spacing w:after="0"/>
              <w:rPr>
                <w:sz w:val="20"/>
                <w:szCs w:val="20"/>
                <w:color w:val="auto"/>
              </w:rPr>
            </w:pPr>
            <w:r>
              <w:rPr>
                <w:rFonts w:ascii="Arial" w:cs="Arial" w:eastAsia="Arial" w:hAnsi="Arial"/>
                <w:sz w:val="18"/>
                <w:szCs w:val="18"/>
                <w:color w:val="auto"/>
                <w:w w:val="96"/>
              </w:rPr>
              <w:t>SECTION 2.06</w:t>
            </w:r>
          </w:p>
        </w:tc>
        <w:tc>
          <w:tcPr>
            <w:tcW w:w="8040" w:type="dxa"/>
            <w:vAlign w:val="bottom"/>
          </w:tcPr>
          <w:p>
            <w:pPr>
              <w:ind w:left="60"/>
              <w:spacing w:after="0"/>
              <w:rPr>
                <w:sz w:val="20"/>
                <w:szCs w:val="20"/>
                <w:color w:val="auto"/>
              </w:rPr>
            </w:pPr>
            <w:r>
              <w:rPr>
                <w:rFonts w:ascii="Arial" w:cs="Arial" w:eastAsia="Arial" w:hAnsi="Arial"/>
                <w:sz w:val="18"/>
                <w:szCs w:val="18"/>
                <w:color w:val="auto"/>
              </w:rPr>
              <w:t>TEMPORARY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2.07  MUTILATED, DESTROYED, LOST OR STOLEN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1840" w:type="dxa"/>
            <w:vAlign w:val="bottom"/>
          </w:tcPr>
          <w:p>
            <w:pPr>
              <w:ind w:left="660"/>
              <w:spacing w:after="0"/>
              <w:rPr>
                <w:sz w:val="20"/>
                <w:szCs w:val="20"/>
                <w:color w:val="auto"/>
              </w:rPr>
            </w:pPr>
            <w:r>
              <w:rPr>
                <w:rFonts w:ascii="Arial" w:cs="Arial" w:eastAsia="Arial" w:hAnsi="Arial"/>
                <w:sz w:val="18"/>
                <w:szCs w:val="18"/>
                <w:color w:val="auto"/>
                <w:w w:val="96"/>
              </w:rPr>
              <w:t>SECTION 2.08</w:t>
            </w:r>
          </w:p>
        </w:tc>
        <w:tc>
          <w:tcPr>
            <w:tcW w:w="8040" w:type="dxa"/>
            <w:vAlign w:val="bottom"/>
          </w:tcPr>
          <w:p>
            <w:pPr>
              <w:ind w:left="80"/>
              <w:spacing w:after="0"/>
              <w:rPr>
                <w:sz w:val="20"/>
                <w:szCs w:val="20"/>
                <w:color w:val="auto"/>
              </w:rPr>
            </w:pPr>
            <w:r>
              <w:rPr>
                <w:rFonts w:ascii="Arial" w:cs="Arial" w:eastAsia="Arial" w:hAnsi="Arial"/>
                <w:sz w:val="18"/>
                <w:szCs w:val="18"/>
                <w:color w:val="auto"/>
              </w:rPr>
              <w:t>CANCELLATION</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2.09  BENEFITS OF INDENTURE</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840" w:type="dxa"/>
            <w:vAlign w:val="bottom"/>
          </w:tcPr>
          <w:p>
            <w:pPr>
              <w:ind w:left="660"/>
              <w:spacing w:after="0"/>
              <w:rPr>
                <w:sz w:val="20"/>
                <w:szCs w:val="20"/>
                <w:color w:val="auto"/>
              </w:rPr>
            </w:pPr>
            <w:r>
              <w:rPr>
                <w:rFonts w:ascii="Arial" w:cs="Arial" w:eastAsia="Arial" w:hAnsi="Arial"/>
                <w:sz w:val="18"/>
                <w:szCs w:val="18"/>
                <w:color w:val="auto"/>
                <w:w w:val="96"/>
              </w:rPr>
              <w:t>SECTION 2.10</w:t>
            </w:r>
          </w:p>
        </w:tc>
        <w:tc>
          <w:tcPr>
            <w:tcW w:w="8040" w:type="dxa"/>
            <w:vAlign w:val="bottom"/>
          </w:tcPr>
          <w:p>
            <w:pPr>
              <w:ind w:left="60"/>
              <w:spacing w:after="0"/>
              <w:rPr>
                <w:sz w:val="20"/>
                <w:szCs w:val="20"/>
                <w:color w:val="auto"/>
              </w:rPr>
            </w:pPr>
            <w:r>
              <w:rPr>
                <w:rFonts w:ascii="Arial" w:cs="Arial" w:eastAsia="Arial" w:hAnsi="Arial"/>
                <w:sz w:val="18"/>
                <w:szCs w:val="18"/>
                <w:color w:val="auto"/>
              </w:rPr>
              <w:t>AUTHENTICATING AGENT</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1840" w:type="dxa"/>
            <w:vAlign w:val="bottom"/>
          </w:tcPr>
          <w:p>
            <w:pPr>
              <w:ind w:left="660"/>
              <w:spacing w:after="0"/>
              <w:rPr>
                <w:sz w:val="20"/>
                <w:szCs w:val="20"/>
                <w:color w:val="auto"/>
              </w:rPr>
            </w:pPr>
            <w:r>
              <w:rPr>
                <w:rFonts w:ascii="Arial" w:cs="Arial" w:eastAsia="Arial" w:hAnsi="Arial"/>
                <w:sz w:val="18"/>
                <w:szCs w:val="18"/>
                <w:color w:val="auto"/>
                <w:w w:val="96"/>
              </w:rPr>
              <w:t>SECTION 2.11</w:t>
            </w:r>
          </w:p>
        </w:tc>
        <w:tc>
          <w:tcPr>
            <w:tcW w:w="8040" w:type="dxa"/>
            <w:vAlign w:val="bottom"/>
          </w:tcPr>
          <w:p>
            <w:pPr>
              <w:ind w:left="60"/>
              <w:spacing w:after="0"/>
              <w:rPr>
                <w:sz w:val="20"/>
                <w:szCs w:val="20"/>
                <w:color w:val="auto"/>
              </w:rPr>
            </w:pPr>
            <w:r>
              <w:rPr>
                <w:rFonts w:ascii="Arial" w:cs="Arial" w:eastAsia="Arial" w:hAnsi="Arial"/>
                <w:sz w:val="18"/>
                <w:szCs w:val="18"/>
                <w:color w:val="auto"/>
              </w:rPr>
              <w:t>GLOBAL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rPr>
              <w:t>ARTICLE 3 REDEMPTION OF SECURITIES AND SINKING FUND PROVISIONS</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1840" w:type="dxa"/>
            <w:vAlign w:val="bottom"/>
          </w:tcPr>
          <w:p>
            <w:pPr>
              <w:ind w:left="660"/>
              <w:spacing w:after="0"/>
              <w:rPr>
                <w:sz w:val="20"/>
                <w:szCs w:val="20"/>
                <w:color w:val="auto"/>
              </w:rPr>
            </w:pPr>
            <w:r>
              <w:rPr>
                <w:rFonts w:ascii="Arial" w:cs="Arial" w:eastAsia="Arial" w:hAnsi="Arial"/>
                <w:sz w:val="18"/>
                <w:szCs w:val="18"/>
                <w:color w:val="auto"/>
                <w:w w:val="96"/>
              </w:rPr>
              <w:t>SECTION 3.01</w:t>
            </w:r>
          </w:p>
        </w:tc>
        <w:tc>
          <w:tcPr>
            <w:tcW w:w="8040" w:type="dxa"/>
            <w:vAlign w:val="bottom"/>
          </w:tcPr>
          <w:p>
            <w:pPr>
              <w:ind w:left="80"/>
              <w:spacing w:after="0"/>
              <w:rPr>
                <w:sz w:val="20"/>
                <w:szCs w:val="20"/>
                <w:color w:val="auto"/>
              </w:rPr>
            </w:pPr>
            <w:r>
              <w:rPr>
                <w:rFonts w:ascii="Arial" w:cs="Arial" w:eastAsia="Arial" w:hAnsi="Arial"/>
                <w:sz w:val="18"/>
                <w:szCs w:val="18"/>
                <w:color w:val="auto"/>
              </w:rPr>
              <w:t>REDEMPTION</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3.02  NOTICE OF REDEMPTION</w:t>
            </w: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3.03  PAYMENT UPON REDEMPTION</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1840" w:type="dxa"/>
            <w:vAlign w:val="bottom"/>
          </w:tcPr>
          <w:p>
            <w:pPr>
              <w:ind w:left="660"/>
              <w:spacing w:after="0"/>
              <w:rPr>
                <w:sz w:val="20"/>
                <w:szCs w:val="20"/>
                <w:color w:val="auto"/>
              </w:rPr>
            </w:pPr>
            <w:r>
              <w:rPr>
                <w:rFonts w:ascii="Arial" w:cs="Arial" w:eastAsia="Arial" w:hAnsi="Arial"/>
                <w:sz w:val="18"/>
                <w:szCs w:val="18"/>
                <w:color w:val="auto"/>
                <w:w w:val="96"/>
              </w:rPr>
              <w:t>SECTION 3.04</w:t>
            </w:r>
          </w:p>
        </w:tc>
        <w:tc>
          <w:tcPr>
            <w:tcW w:w="8040" w:type="dxa"/>
            <w:vAlign w:val="bottom"/>
          </w:tcPr>
          <w:p>
            <w:pPr>
              <w:ind w:left="80"/>
              <w:spacing w:after="0"/>
              <w:rPr>
                <w:sz w:val="20"/>
                <w:szCs w:val="20"/>
                <w:color w:val="auto"/>
              </w:rPr>
            </w:pPr>
            <w:r>
              <w:rPr>
                <w:rFonts w:ascii="Arial" w:cs="Arial" w:eastAsia="Arial" w:hAnsi="Arial"/>
                <w:sz w:val="18"/>
                <w:szCs w:val="18"/>
                <w:color w:val="auto"/>
              </w:rPr>
              <w:t>SINKING FUND</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3.05  SATISFACTION OF SINKING FUND PAYMENTS WITH SECURITIES</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3.06  REDEMPTION OF SECURITIES FOR SINKING FUND</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rPr>
              <w:t>ARTICLE 4 COVENANTS</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4.01  PAYMENT OF PRINCIPAL, PREMIUM AND INTEREST</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4.02  MAINTENANCE OF OFFICE OR AGENCY</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840" w:type="dxa"/>
            <w:vAlign w:val="bottom"/>
          </w:tcPr>
          <w:p>
            <w:pPr>
              <w:ind w:left="660"/>
              <w:spacing w:after="0"/>
              <w:rPr>
                <w:sz w:val="20"/>
                <w:szCs w:val="20"/>
                <w:color w:val="auto"/>
              </w:rPr>
            </w:pPr>
            <w:r>
              <w:rPr>
                <w:rFonts w:ascii="Arial" w:cs="Arial" w:eastAsia="Arial" w:hAnsi="Arial"/>
                <w:sz w:val="18"/>
                <w:szCs w:val="18"/>
                <w:color w:val="auto"/>
                <w:w w:val="96"/>
              </w:rPr>
              <w:t>SECTION 4.03</w:t>
            </w:r>
          </w:p>
        </w:tc>
        <w:tc>
          <w:tcPr>
            <w:tcW w:w="8040" w:type="dxa"/>
            <w:vAlign w:val="bottom"/>
          </w:tcPr>
          <w:p>
            <w:pPr>
              <w:ind w:left="80"/>
              <w:spacing w:after="0"/>
              <w:rPr>
                <w:sz w:val="20"/>
                <w:szCs w:val="20"/>
                <w:color w:val="auto"/>
              </w:rPr>
            </w:pPr>
            <w:r>
              <w:rPr>
                <w:rFonts w:ascii="Arial" w:cs="Arial" w:eastAsia="Arial" w:hAnsi="Arial"/>
                <w:sz w:val="18"/>
                <w:szCs w:val="18"/>
                <w:color w:val="auto"/>
              </w:rPr>
              <w:t>PAYING AGENTS</w:t>
            </w: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4.04  APPOINTMENT TO FILL VACANCY IN OFFICE OF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SECTION 4.05  COMPLIANCE WITH CONSOLIDATION PROVISIONS</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840" w:type="dxa"/>
            <w:vAlign w:val="bottom"/>
          </w:tcPr>
          <w:p>
            <w:pPr>
              <w:ind w:left="660"/>
              <w:spacing w:after="0"/>
              <w:rPr>
                <w:sz w:val="20"/>
                <w:szCs w:val="20"/>
                <w:color w:val="auto"/>
              </w:rPr>
            </w:pPr>
            <w:r>
              <w:rPr>
                <w:rFonts w:ascii="Arial" w:cs="Arial" w:eastAsia="Arial" w:hAnsi="Arial"/>
                <w:sz w:val="18"/>
                <w:szCs w:val="18"/>
                <w:color w:val="auto"/>
                <w:w w:val="96"/>
              </w:rPr>
              <w:t>SECTION 4.06</w:t>
            </w:r>
          </w:p>
        </w:tc>
        <w:tc>
          <w:tcPr>
            <w:tcW w:w="8040" w:type="dxa"/>
            <w:vAlign w:val="bottom"/>
          </w:tcPr>
          <w:p>
            <w:pPr>
              <w:ind w:left="80"/>
              <w:spacing w:after="0"/>
              <w:rPr>
                <w:sz w:val="20"/>
                <w:szCs w:val="20"/>
                <w:color w:val="auto"/>
              </w:rPr>
            </w:pPr>
            <w:r>
              <w:rPr>
                <w:rFonts w:ascii="Arial" w:cs="Arial" w:eastAsia="Arial" w:hAnsi="Arial"/>
                <w:sz w:val="18"/>
                <w:szCs w:val="18"/>
                <w:color w:val="auto"/>
              </w:rPr>
              <w:t>COMPLIANCE CERTIFICATE</w:t>
            </w: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783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6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7"/>
          <w:szCs w:val="27"/>
          <w:color w:val="auto"/>
          <w:vertAlign w:val="superscript"/>
        </w:rPr>
      </w:pPr>
      <w:r>
        <w:rPr>
          <w:rFonts w:ascii="Arial" w:cs="Arial" w:eastAsia="Arial" w:hAnsi="Arial"/>
          <w:sz w:val="16"/>
          <w:szCs w:val="16"/>
          <w:color w:val="auto"/>
        </w:rPr>
        <w:t>This Table of Contents does not constitute part of the Indenture and shall not have any bearing on the interpretation of any of its terms or provisions.</w:t>
      </w:r>
    </w:p>
    <w:p>
      <w:pPr>
        <w:spacing w:after="0" w:line="200" w:lineRule="exact"/>
        <w:rPr>
          <w:rFonts w:ascii="Arial" w:cs="Arial" w:eastAsia="Arial" w:hAnsi="Arial"/>
          <w:sz w:val="27"/>
          <w:szCs w:val="27"/>
          <w:color w:val="auto"/>
          <w:vertAlign w:val="superscript"/>
        </w:rPr>
      </w:pPr>
    </w:p>
    <w:p>
      <w:pPr>
        <w:spacing w:after="0" w:line="244" w:lineRule="exact"/>
        <w:rPr>
          <w:rFonts w:ascii="Arial" w:cs="Arial" w:eastAsia="Arial" w:hAnsi="Arial"/>
          <w:sz w:val="27"/>
          <w:szCs w:val="27"/>
          <w:color w:val="auto"/>
          <w:vertAlign w:val="superscript"/>
        </w:rPr>
      </w:pPr>
    </w:p>
    <w:p>
      <w:pPr>
        <w:ind w:left="5540"/>
        <w:spacing w:after="0"/>
        <w:rPr>
          <w:rFonts w:ascii="Arial" w:cs="Arial" w:eastAsia="Arial" w:hAnsi="Arial"/>
          <w:sz w:val="27"/>
          <w:szCs w:val="27"/>
          <w:color w:val="auto"/>
          <w:vertAlign w:val="superscript"/>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ARTICLE 5 SECURITYHOLDERS’ LISTS AND REPORTS BY THE COMPANY AND THE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5.01  COMPANY TO FURNISH TRUSTEE NAMES AND ADDRESSES OF SECURITYHOLDERS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5.02  PRESERVATION OF INFORMATION; COMMUNICATIONS WITH SECURITYHOLDERS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5.03  REPORTS BY THE COMPANY</w:t>
            </w: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5.04  REPORTS BY THE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ARTICLE 6 REMEDIES OF THE TRUSTEE AND SECURITYHOLDERS ON EVENT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6.01  EVENTS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6.02  COLLECTION OF INDEBTEDNESS AND SUITS FOR ENFORCEMENT BY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6.03  APPLICATION OF MONEYS COLLECTED</w:t>
            </w: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6.04  LIMITATION ON SUITS</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6.05  RIGHTS AND REMEDIES CUMULATIVE; DELAY OR OMISSION NOT WAIVER</w:t>
            </w: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6.06  CONTROL BY SECURITYHOLDERS</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6.07  UNDERTAKING TO PAY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9900" w:type="dxa"/>
            <w:vAlign w:val="bottom"/>
          </w:tcPr>
          <w:p>
            <w:pPr>
              <w:spacing w:after="0"/>
              <w:rPr>
                <w:sz w:val="20"/>
                <w:szCs w:val="20"/>
                <w:color w:val="auto"/>
              </w:rPr>
            </w:pPr>
            <w:r>
              <w:rPr>
                <w:rFonts w:ascii="Arial" w:cs="Arial" w:eastAsia="Arial" w:hAnsi="Arial"/>
                <w:sz w:val="18"/>
                <w:szCs w:val="18"/>
                <w:color w:val="auto"/>
              </w:rPr>
              <w:t>ARTICLE 7 CONCERNING THE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7.01  CERTAIN DUTIES AND RESPONSIBILITIES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7.02  CERTAIN RIGHTS OF TRUSTEE</w:t>
            </w: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7.03  TRUSTEE NOT RESPONSIBLE FOR RECITALS OR ISSUANCE OR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7.04  MAY HOLD SECURITIES</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7.05  MONEYS HELD IN TRUST</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7.06  COMPENSATION AND REIMBURSEMENT</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7.07  RELIANCE ON OFFICERS’ CERTIFICATE</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7.08  DISQUALIFICATION; CONFLICTING INTERESTS</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7.09  CORPORATE TRUSTEE REQUIRED; ELIGIBILITY</w:t>
            </w:r>
          </w:p>
        </w:tc>
        <w:tc>
          <w:tcPr>
            <w:tcW w:w="1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7.10  RESIGNATION AND REMOVAL; APPOINTMENT OF SUCCESSOR</w:t>
            </w: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7.11  ACCEPTANCE OF APPOINTMENT BY SUCCESSOR</w:t>
            </w:r>
          </w:p>
        </w:tc>
        <w:tc>
          <w:tcPr>
            <w:tcW w:w="13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7.12  MERGER, CONVERSION, CONSOLIDATION OR SUCCESSION TO BUSINESS</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7.13  PREFERENTIAL COLLECTION OF CLAIMS AGAINST THE COMPANY</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900" w:type="dxa"/>
            <w:vAlign w:val="bottom"/>
          </w:tcPr>
          <w:p>
            <w:pPr>
              <w:ind w:left="660"/>
              <w:spacing w:after="0"/>
              <w:rPr>
                <w:sz w:val="20"/>
                <w:szCs w:val="20"/>
                <w:color w:val="auto"/>
              </w:rPr>
            </w:pPr>
            <w:r>
              <w:rPr>
                <w:rFonts w:ascii="Arial" w:cs="Arial" w:eastAsia="Arial" w:hAnsi="Arial"/>
                <w:sz w:val="18"/>
                <w:szCs w:val="18"/>
                <w:color w:val="auto"/>
              </w:rPr>
              <w:t>SECTION 7.14  NOTICE OF DEFAULT</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(continued)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ARTICLE 8 CONCERNING THE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8.01  EVIDENCE OF ACTION BY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8.02  PROOF OF EXECUTION BY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8.03  WHO MAY BE DEEMED OWNERS</w:t>
            </w: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8.04  CERTAIN SECURITIES OWNED BY COMPANY DISREGARDED</w:t>
            </w: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8.05  ACTIONS BINDING ON FUTURE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ARTICLE 9 SUPPLEMENTAL INDENTURES</w:t>
            </w: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9.01  SUPPLEMENTAL INDENTURES WITHOUT THE CONSENT OF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9.02  SUPPLEMENTAL INDENTURES WITH CONSENT OF SECURITYHOLDERS</w:t>
            </w: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9.03  EFFECT OF SUPPLEMENTAL INDENTURES</w:t>
            </w: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9.04  SECURITIES AFFECTED BY SUPPLEMENTAL INDENTURES</w:t>
            </w: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9.05  EXECUTION OF SUPPLEMENTAL INDENTURES</w:t>
            </w: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ARTICLE 10 SUCCESSOR ENTITY</w:t>
            </w: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10.01  COMPANY MAY CONSOLIDATE, ETC.</w:t>
            </w: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10.02  SUCCESSOR ENTITY SUBSTITUTED</w:t>
            </w: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10.03  EVIDENCE OF CONSOLIDATION, ETC.</w:t>
            </w: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ARTICLE 11 SATISFACTION AND DISCHARGE</w:t>
            </w: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11.01  SATISFACTION AND DISCHARGE OF INDENTURE</w:t>
            </w: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11.02  DEFEASANCE UPON DEPOSIT OF MONEYS OR U.S. GOVERNMENT OBLIGATIONS</w:t>
            </w:r>
          </w:p>
        </w:tc>
        <w:tc>
          <w:tcPr>
            <w:tcW w:w="1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11.03  DEPOSITED MONEYS TO BE HELD IN TRUST</w:t>
            </w: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11.04  PAYMENT OF MONEYS HELD BY PAYING AGENTS</w:t>
            </w: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11.05  REPAYMENT TO COMPANY</w:t>
            </w:r>
          </w:p>
        </w:tc>
        <w:tc>
          <w:tcPr>
            <w:tcW w:w="1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ARTICLE 12 IMMUNITY OF INCORPORATORS, STOCKHOLDERS, OFFICERS AND DIRECTORS</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12.01  NO RECOURSE</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820" w:type="dxa"/>
            <w:vAlign w:val="bottom"/>
          </w:tcPr>
          <w:p>
            <w:pPr>
              <w:spacing w:after="0"/>
              <w:rPr>
                <w:sz w:val="20"/>
                <w:szCs w:val="20"/>
                <w:color w:val="auto"/>
              </w:rPr>
            </w:pPr>
            <w:r>
              <w:rPr>
                <w:rFonts w:ascii="Arial" w:cs="Arial" w:eastAsia="Arial" w:hAnsi="Arial"/>
                <w:sz w:val="18"/>
                <w:szCs w:val="18"/>
                <w:color w:val="auto"/>
              </w:rPr>
              <w:t>ARTICLE 13 MISCELLANEOUS PROVISIONS</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13.01  EFFECT ON SUCCESSORS AND ASSIGNS</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13.02  ACTIONS BY SUCCESSOR</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13.03  SURRENDER OF COMPANY POWERS</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13.04  NOTICES</w:t>
            </w: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820" w:type="dxa"/>
            <w:vAlign w:val="bottom"/>
          </w:tcPr>
          <w:p>
            <w:pPr>
              <w:ind w:left="660"/>
              <w:spacing w:after="0"/>
              <w:rPr>
                <w:sz w:val="20"/>
                <w:szCs w:val="20"/>
                <w:color w:val="auto"/>
              </w:rPr>
            </w:pPr>
            <w:r>
              <w:rPr>
                <w:rFonts w:ascii="Arial" w:cs="Arial" w:eastAsia="Arial" w:hAnsi="Arial"/>
                <w:sz w:val="18"/>
                <w:szCs w:val="18"/>
                <w:color w:val="auto"/>
              </w:rPr>
              <w:t>SECTION 13.05  GOVERNING LAW; JURISDICTION; WAIVER OF JURY TRIAL</w:t>
            </w:r>
          </w:p>
        </w:tc>
        <w:tc>
          <w:tcPr>
            <w:tcW w:w="142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767"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13.06  CERTIFICATES AND OPINIONS AS TO CONDITIONS PRECEDENT</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13.07  PAYMENTS ON BUSINESS DAYS</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13.08  CONFLICT WITH TRUST INDENTURE ACT</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color w:val="auto"/>
                <w:w w:val="96"/>
              </w:rPr>
              <w:t>SECTION 13.09</w:t>
            </w:r>
          </w:p>
        </w:tc>
        <w:tc>
          <w:tcPr>
            <w:tcW w:w="72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color w:val="auto"/>
                <w:w w:val="96"/>
              </w:rPr>
              <w:t>SECTION 13.10</w:t>
            </w:r>
          </w:p>
        </w:tc>
        <w:tc>
          <w:tcPr>
            <w:tcW w:w="7260" w:type="dxa"/>
            <w:vAlign w:val="bottom"/>
          </w:tcPr>
          <w:p>
            <w:pPr>
              <w:ind w:left="60"/>
              <w:spacing w:after="0"/>
              <w:rPr>
                <w:sz w:val="20"/>
                <w:szCs w:val="20"/>
                <w:color w:val="auto"/>
              </w:rPr>
            </w:pPr>
            <w:r>
              <w:rPr>
                <w:rFonts w:ascii="Arial" w:cs="Arial" w:eastAsia="Arial" w:hAnsi="Arial"/>
                <w:sz w:val="18"/>
                <w:szCs w:val="18"/>
                <w:color w:val="auto"/>
              </w:rPr>
              <w:t>SEPARABILITY</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9200" w:type="dxa"/>
            <w:vAlign w:val="bottom"/>
            <w:gridSpan w:val="2"/>
          </w:tcPr>
          <w:p>
            <w:pPr>
              <w:ind w:left="660"/>
              <w:spacing w:after="0"/>
              <w:rPr>
                <w:sz w:val="20"/>
                <w:szCs w:val="20"/>
                <w:color w:val="auto"/>
              </w:rPr>
            </w:pPr>
            <w:r>
              <w:rPr>
                <w:rFonts w:ascii="Arial" w:cs="Arial" w:eastAsia="Arial" w:hAnsi="Arial"/>
                <w:sz w:val="18"/>
                <w:szCs w:val="18"/>
                <w:color w:val="auto"/>
              </w:rPr>
              <w:t>SECTION 13.11  USA PATRIOT ACT.</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color w:val="auto"/>
                <w:w w:val="96"/>
              </w:rPr>
              <w:t>SECTION 13.12</w:t>
            </w:r>
          </w:p>
        </w:tc>
        <w:tc>
          <w:tcPr>
            <w:tcW w:w="726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9200" w:type="dxa"/>
            <w:vAlign w:val="bottom"/>
            <w:gridSpan w:val="2"/>
          </w:tcPr>
          <w:p>
            <w:pPr>
              <w:spacing w:after="0"/>
              <w:rPr>
                <w:sz w:val="20"/>
                <w:szCs w:val="20"/>
                <w:color w:val="auto"/>
              </w:rPr>
            </w:pPr>
            <w:r>
              <w:rPr>
                <w:rFonts w:ascii="Arial" w:cs="Arial" w:eastAsia="Arial" w:hAnsi="Arial"/>
                <w:sz w:val="18"/>
                <w:szCs w:val="18"/>
                <w:color w:val="auto"/>
              </w:rPr>
              <w:t>ARTICLE 14 SUBORDINATION OF SECURITIES</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1940" w:type="dxa"/>
            <w:vAlign w:val="bottom"/>
          </w:tcPr>
          <w:p>
            <w:pPr>
              <w:ind w:left="660"/>
              <w:spacing w:after="0"/>
              <w:rPr>
                <w:sz w:val="20"/>
                <w:szCs w:val="20"/>
                <w:color w:val="auto"/>
              </w:rPr>
            </w:pPr>
            <w:r>
              <w:rPr>
                <w:rFonts w:ascii="Arial" w:cs="Arial" w:eastAsia="Arial" w:hAnsi="Arial"/>
                <w:sz w:val="18"/>
                <w:szCs w:val="18"/>
                <w:color w:val="auto"/>
                <w:w w:val="96"/>
              </w:rPr>
              <w:t>SECTION 14.01</w:t>
            </w:r>
          </w:p>
        </w:tc>
        <w:tc>
          <w:tcPr>
            <w:tcW w:w="7260" w:type="dxa"/>
            <w:vAlign w:val="bottom"/>
          </w:tcPr>
          <w:p>
            <w:pPr>
              <w:ind w:left="60"/>
              <w:spacing w:after="0"/>
              <w:rPr>
                <w:sz w:val="20"/>
                <w:szCs w:val="20"/>
                <w:color w:val="auto"/>
              </w:rPr>
            </w:pPr>
            <w:r>
              <w:rPr>
                <w:rFonts w:ascii="Arial" w:cs="Arial" w:eastAsia="Arial" w:hAnsi="Arial"/>
                <w:sz w:val="18"/>
                <w:szCs w:val="18"/>
                <w:color w:val="auto"/>
              </w:rPr>
              <w:t>SUBORDINATION TERMS</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INDENTURE, dated as of August 12, 2020, among REGENERON PHARMACEUTICALS, INC., a New York corporation (the “Company”), and U.S. Bank National Association, as trustee (the “Trustee”): 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all things necessary to make this Indenture a valid agreement of the Company, in accordance with its terms, have been done.</w:t>
      </w:r>
    </w:p>
    <w:p>
      <w:pPr>
        <w:spacing w:after="0" w:line="23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7"/>
          <w:szCs w:val="17"/>
          <w:u w:val="single" w:color="auto"/>
          <w:color w:val="auto"/>
        </w:rPr>
        <w:t>DEFINITIONS OF TERMS</w:t>
      </w:r>
      <w:r>
        <w:rPr>
          <w:rFonts w:ascii="Arial" w:cs="Arial" w:eastAsia="Arial" w:hAnsi="Arial"/>
          <w:sz w:val="17"/>
          <w:szCs w:val="17"/>
          <w:color w:val="auto"/>
        </w:rPr>
        <w:t>.</w:t>
      </w:r>
    </w:p>
    <w:p>
      <w:pPr>
        <w:spacing w:after="0" w:line="22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(the “Securities Act”)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78"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by the Trustee pursuant to Section 2.10.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3" w:name="page34"/>
    <w:bookmarkEnd w:id="33"/>
    <w:p>
      <w:pPr>
        <w:ind w:right="280"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“BUSINESS DAY”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“CERTIFICATE” means a certificate signed by any Officer. The Certificate need not comply with the provisions of Section 13.06.</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“COMPANY” means Regeneron Pharmaceuticals, Inc., a corporation duly organized and existing under the laws of the State of New York, and, subject to the provisions of Article Ten, shall also include its successors and assigns.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ORDER” means a written order signed in the name of the Company by an Officer and delivered to the Trustee.</w:t>
      </w:r>
    </w:p>
    <w:p>
      <w:pPr>
        <w:spacing w:after="0" w:line="225" w:lineRule="exact"/>
        <w:rPr>
          <w:sz w:val="20"/>
          <w:szCs w:val="20"/>
          <w:color w:val="auto"/>
        </w:rPr>
      </w:pPr>
    </w:p>
    <w:p>
      <w:pPr>
        <w:ind w:right="920" w:firstLine="648"/>
        <w:spacing w:after="0" w:line="308" w:lineRule="auto"/>
        <w:rPr>
          <w:sz w:val="20"/>
          <w:szCs w:val="20"/>
          <w:color w:val="auto"/>
        </w:rPr>
      </w:pPr>
      <w:r>
        <w:rPr>
          <w:rFonts w:ascii="Arial" w:cs="Arial" w:eastAsia="Arial" w:hAnsi="Arial"/>
          <w:sz w:val="17"/>
          <w:szCs w:val="17"/>
          <w:color w:val="auto"/>
        </w:rPr>
        <w:t>“CORPORATE TRUST OFFICE” means the office of the Trustee at which, at any particular time, its corporate trust business shall be administered, which office at the date hereof is located at 225 Asylum Street, 23rd Floor, Hartford, Connecticut 06103.</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 means any event, act or condition that with notice or lapse of time, or both, would constitute an Event of Default.</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Securities and Exchange Act of 1934, as amended (the “Exchange Act”), or other applicable statute or regulation, which, in each case, shall be designated by the Company pursuant to either Section 2.01 or 2.11.</w:t>
      </w:r>
    </w:p>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“GLOBAL SECURITY”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spacing w:after="0" w:line="18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“GOVERNMENTAL OBLIGATIONS”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4" w:name="page35"/>
    <w:bookmarkEnd w:id="34"/>
    <w:p>
      <w:pPr>
        <w:ind w:right="420" w:firstLine="648"/>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a Company Order, a Board Resolution or in an indenture supplemental hereto with respect to such series as the fixed date on which an installment of interest with respect to Securities of that series is due and payable.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“OBLIGOR” on the Securities means the Company and any successor obligor on the Securities.</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“OFFICER” means, with respect to the Company, the chairman of the Board of Directors, a chief executive officer, a president, a chief operating officer, any senior vice president, any vice president or a chief financial officer, the treasurer or any assistant treasurer, the controller or any assistant controller or the secretary or any assistant secretary.</w:t>
      </w:r>
    </w:p>
    <w:p>
      <w:pPr>
        <w:spacing w:after="0" w:line="18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“OFFICERS’ CERTIFICATE” means a certificate signed by any two Officers. Each such certificate shall include the statements provided for in Section 13.06, if and to the extent required by the provisions thereof.</w:t>
      </w:r>
    </w:p>
    <w:p>
      <w:pPr>
        <w:spacing w:after="0" w:line="17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“OPINION OF COUNSEL” means an opinion in writing subject to customary exceptions of legal counsel, who may be an employee of or counsel for the Company, that is delivered to the Trustee in accordance with the terms hereof. Each such opinion shall include the statements provided for in Section 13.06, if and to the extent required by the provisions thereof.</w:t>
      </w:r>
    </w:p>
    <w:p>
      <w:pPr>
        <w:spacing w:after="0" w:line="18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Three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5" w:name="page36"/>
    <w:bookmarkEnd w:id="35"/>
    <w:p>
      <w:pPr>
        <w:ind w:right="540"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association, joint stock company, trust, unincorporated organization, or government or any agency or political subdivision thereof or other similar entity.</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6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“RESPONSIBLE OFFICER” when used with respect to the Trustee means the chairman of its board of directors, the chief executive officer, the president, any vice president, the secretary, the treasurer, any trust officer, any corporate trust officer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 and, with respect to any of the foregoing, who shall have direct responsibility for the administration of the Indenture.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“SECURITYHOLDER”, “holder of Securities”, “registered holder”, or other similar term, means the Person or Persons in whose name or names a particular Security shall be registered on the books of the Company kept for that purpose in accordance with the terms of this Indenture.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REGISTER” and “SECURITY REGISTRAR” shall have the meanings as set forth in Section 2.05.</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“TRUSTEE” means U.S. Bank National Association,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“TRUST INDENTURE ACT” means the Trust Indenture Act of 1939, as amended.</w:t>
      </w:r>
    </w:p>
    <w:p>
      <w:pPr>
        <w:spacing w:after="0" w:line="225"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b w:val="1"/>
          <w:bCs w:val="1"/>
          <w:u w:val="single" w:color="auto"/>
          <w:color w:val="auto"/>
        </w:rPr>
        <w:t>ISSUE, DESCRIPTION, TERMS, EXECUTION, REGISTRATION AND EXCHANGE OF SECURITIES</w:t>
      </w:r>
    </w:p>
    <w:p>
      <w:pPr>
        <w:spacing w:after="0" w:line="22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7"/>
          <w:szCs w:val="17"/>
          <w:u w:val="single" w:color="auto"/>
          <w:color w:val="auto"/>
        </w:rPr>
        <w:t>DESIGNATION AND TERMS OF SECURITIES.</w:t>
      </w:r>
    </w:p>
    <w:p>
      <w:pPr>
        <w:spacing w:after="0" w:line="225" w:lineRule="exact"/>
        <w:rPr>
          <w:sz w:val="20"/>
          <w:szCs w:val="20"/>
          <w:color w:val="auto"/>
        </w:rPr>
      </w:pPr>
    </w:p>
    <w:p>
      <w:pPr>
        <w:jc w:val="both"/>
        <w:ind w:right="100" w:firstLine="1304"/>
        <w:spacing w:after="0" w:line="279" w:lineRule="auto"/>
        <w:tabs>
          <w:tab w:leader="none" w:pos="2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Company Order or pursuant to one or more indentures supplemental hereto. Prior to the initial issuance of Securities of any series, there shall be established and set forth in a Company Order, or established in one or more indentures supplemental hereto:</w:t>
      </w:r>
    </w:p>
    <w:p>
      <w:pPr>
        <w:spacing w:after="0" w:line="171" w:lineRule="exact"/>
        <w:rPr>
          <w:rFonts w:ascii="Arial" w:cs="Arial" w:eastAsia="Arial" w:hAnsi="Arial"/>
          <w:sz w:val="17"/>
          <w:szCs w:val="17"/>
          <w:color w:val="auto"/>
        </w:rPr>
      </w:pPr>
    </w:p>
    <w:p>
      <w:pPr>
        <w:ind w:left="2840" w:hanging="888"/>
        <w:spacing w:after="0"/>
        <w:tabs>
          <w:tab w:leader="none" w:pos="28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title of the Securities of the series (which shall distinguish the Securities of that series from all other Securities);</w:t>
      </w:r>
    </w:p>
    <w:p>
      <w:pPr>
        <w:spacing w:after="0" w:line="248" w:lineRule="exact"/>
        <w:rPr>
          <w:rFonts w:ascii="Arial" w:cs="Arial" w:eastAsia="Arial" w:hAnsi="Arial"/>
          <w:sz w:val="16"/>
          <w:szCs w:val="16"/>
          <w:color w:val="auto"/>
        </w:rPr>
      </w:pPr>
    </w:p>
    <w:p>
      <w:pPr>
        <w:ind w:left="660" w:firstLine="1292"/>
        <w:spacing w:after="0" w:line="263" w:lineRule="auto"/>
        <w:tabs>
          <w:tab w:leader="none" w:pos="2828"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83" w:lineRule="exact"/>
        <w:rPr>
          <w:rFonts w:ascii="Arial" w:cs="Arial" w:eastAsia="Arial" w:hAnsi="Arial"/>
          <w:sz w:val="18"/>
          <w:szCs w:val="18"/>
          <w:color w:val="auto"/>
        </w:rPr>
      </w:pPr>
    </w:p>
    <w:p>
      <w:pPr>
        <w:ind w:left="660" w:right="320" w:firstLine="1292"/>
        <w:spacing w:after="0" w:line="342" w:lineRule="auto"/>
        <w:tabs>
          <w:tab w:leader="none" w:pos="2855"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date or dates on which the principal of the Securities of the series is payable, any original issue discount that may apply to the Securities of that series upon their issuance, the principal amount due at maturity, and the place(s) of payment;</w:t>
      </w:r>
    </w:p>
    <w:p>
      <w:pPr>
        <w:spacing w:after="0" w:line="123" w:lineRule="exact"/>
        <w:rPr>
          <w:rFonts w:ascii="Arial" w:cs="Arial" w:eastAsia="Arial" w:hAnsi="Arial"/>
          <w:sz w:val="16"/>
          <w:szCs w:val="16"/>
          <w:color w:val="auto"/>
        </w:rPr>
      </w:pPr>
    </w:p>
    <w:p>
      <w:pPr>
        <w:ind w:left="2840" w:hanging="888"/>
        <w:spacing w:after="0"/>
        <w:tabs>
          <w:tab w:leader="none" w:pos="28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or the manner of calculation of such rate 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rates, if any;</w:t>
      </w:r>
    </w:p>
    <w:p>
      <w:pPr>
        <w:spacing w:after="0" w:line="210" w:lineRule="exact"/>
        <w:rPr>
          <w:rFonts w:ascii="Arial" w:cs="Arial" w:eastAsia="Arial" w:hAnsi="Arial"/>
          <w:sz w:val="16"/>
          <w:szCs w:val="16"/>
          <w:color w:val="auto"/>
        </w:rPr>
      </w:pPr>
    </w:p>
    <w:p>
      <w:pPr>
        <w:ind w:left="660" w:right="280" w:firstLine="1292"/>
        <w:spacing w:after="0" w:line="311" w:lineRule="auto"/>
        <w:tabs>
          <w:tab w:leader="none" w:pos="284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ind w:left="2180" w:hanging="888"/>
        <w:spacing w:after="0"/>
        <w:tabs>
          <w:tab w:leader="none" w:pos="2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such extension;</w:t>
      </w:r>
    </w:p>
    <w:p>
      <w:pPr>
        <w:spacing w:after="0" w:line="225" w:lineRule="exact"/>
        <w:rPr>
          <w:rFonts w:ascii="Arial" w:cs="Arial" w:eastAsia="Arial" w:hAnsi="Arial"/>
          <w:sz w:val="18"/>
          <w:szCs w:val="18"/>
          <w:color w:val="auto"/>
        </w:rPr>
      </w:pPr>
    </w:p>
    <w:p>
      <w:pPr>
        <w:ind w:right="100" w:firstLine="1292"/>
        <w:spacing w:after="0" w:line="277" w:lineRule="auto"/>
        <w:tabs>
          <w:tab w:leader="none" w:pos="219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ind w:right="20" w:firstLine="1292"/>
        <w:spacing w:after="0" w:line="259" w:lineRule="auto"/>
        <w:tabs>
          <w:tab w:leader="none" w:pos="21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86" w:lineRule="exact"/>
        <w:rPr>
          <w:rFonts w:ascii="Arial" w:cs="Arial" w:eastAsia="Arial" w:hAnsi="Arial"/>
          <w:sz w:val="18"/>
          <w:szCs w:val="18"/>
          <w:color w:val="auto"/>
        </w:rPr>
      </w:pPr>
    </w:p>
    <w:p>
      <w:pPr>
        <w:ind w:left="2180" w:hanging="888"/>
        <w:spacing w:after="0"/>
        <w:tabs>
          <w:tab w:leader="none" w:pos="2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form of the Securities of the series including the form of the Certificate of Authentication for such series;</w:t>
      </w:r>
    </w:p>
    <w:p>
      <w:pPr>
        <w:spacing w:after="0" w:line="236" w:lineRule="exact"/>
        <w:rPr>
          <w:rFonts w:ascii="Arial" w:cs="Arial" w:eastAsia="Arial" w:hAnsi="Arial"/>
          <w:sz w:val="17"/>
          <w:szCs w:val="17"/>
          <w:color w:val="auto"/>
        </w:rPr>
      </w:pPr>
    </w:p>
    <w:p>
      <w:pPr>
        <w:ind w:right="1020" w:firstLine="1292"/>
        <w:spacing w:after="0" w:line="277" w:lineRule="auto"/>
        <w:tabs>
          <w:tab w:leader="none" w:pos="222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70" w:lineRule="exact"/>
        <w:rPr>
          <w:rFonts w:ascii="Arial" w:cs="Arial" w:eastAsia="Arial" w:hAnsi="Arial"/>
          <w:sz w:val="18"/>
          <w:szCs w:val="18"/>
          <w:color w:val="auto"/>
        </w:rPr>
      </w:pPr>
    </w:p>
    <w:p>
      <w:pPr>
        <w:ind w:left="2220" w:hanging="928"/>
        <w:spacing w:after="0"/>
        <w:tabs>
          <w:tab w:leader="none" w:pos="22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whether the Securities are issuable as a Global Security and, in such case, the terms and the identity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Depositary for such series;</w:t>
      </w:r>
    </w:p>
    <w:p>
      <w:pPr>
        <w:spacing w:after="0" w:line="210" w:lineRule="exact"/>
        <w:rPr>
          <w:rFonts w:ascii="Arial" w:cs="Arial" w:eastAsia="Arial" w:hAnsi="Arial"/>
          <w:sz w:val="17"/>
          <w:szCs w:val="17"/>
          <w:color w:val="auto"/>
        </w:rPr>
      </w:pPr>
    </w:p>
    <w:p>
      <w:pPr>
        <w:ind w:firstLine="1292"/>
        <w:spacing w:after="0" w:line="279" w:lineRule="auto"/>
        <w:tabs>
          <w:tab w:leader="none" w:pos="2213" w:val="left"/>
        </w:tabs>
        <w:numPr>
          <w:ilvl w:val="0"/>
          <w:numId w:val="39"/>
        </w:numPr>
        <w:rPr>
          <w:rFonts w:ascii="Arial" w:cs="Arial" w:eastAsia="Arial" w:hAnsi="Arial"/>
          <w:sz w:val="17"/>
          <w:szCs w:val="17"/>
          <w:color w:val="auto"/>
        </w:rPr>
      </w:pPr>
      <w:r>
        <w:rPr>
          <w:rFonts w:ascii="Arial" w:cs="Arial" w:eastAsia="Arial" w:hAnsi="Arial"/>
          <w:sz w:val="17"/>
          <w:szCs w:val="17"/>
          <w:color w:val="auto"/>
        </w:rPr>
        <w:t>whether the Securities will be convertible into or exchangeable for shares of common stock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1" w:lineRule="exact"/>
        <w:rPr>
          <w:rFonts w:ascii="Arial" w:cs="Arial" w:eastAsia="Arial" w:hAnsi="Arial"/>
          <w:sz w:val="17"/>
          <w:szCs w:val="17"/>
          <w:color w:val="auto"/>
        </w:rPr>
      </w:pPr>
    </w:p>
    <w:p>
      <w:pPr>
        <w:ind w:right="40" w:firstLine="1292"/>
        <w:spacing w:after="0" w:line="277" w:lineRule="auto"/>
        <w:tabs>
          <w:tab w:leader="none" w:pos="22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w:t>
      </w:r>
    </w:p>
    <w:p>
      <w:pPr>
        <w:spacing w:after="0" w:line="170" w:lineRule="exact"/>
        <w:rPr>
          <w:rFonts w:ascii="Arial" w:cs="Arial" w:eastAsia="Arial" w:hAnsi="Arial"/>
          <w:sz w:val="18"/>
          <w:szCs w:val="18"/>
          <w:color w:val="auto"/>
        </w:rPr>
      </w:pPr>
    </w:p>
    <w:p>
      <w:pPr>
        <w:ind w:right="500" w:firstLine="1292"/>
        <w:spacing w:after="0" w:line="277" w:lineRule="auto"/>
        <w:tabs>
          <w:tab w:leader="none" w:pos="22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additional or different Events of Default or restrictive covenants or financial covenants provided for with respect to the Securities of the series;</w:t>
      </w:r>
    </w:p>
    <w:p>
      <w:pPr>
        <w:spacing w:after="0" w:line="170" w:lineRule="exact"/>
        <w:rPr>
          <w:rFonts w:ascii="Arial" w:cs="Arial" w:eastAsia="Arial" w:hAnsi="Arial"/>
          <w:sz w:val="18"/>
          <w:szCs w:val="18"/>
          <w:color w:val="auto"/>
        </w:rPr>
      </w:pPr>
    </w:p>
    <w:p>
      <w:pPr>
        <w:ind w:left="2220" w:hanging="928"/>
        <w:spacing w:after="0"/>
        <w:tabs>
          <w:tab w:leader="none" w:pos="22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other than dollars, the coin or currency in which the Securities of the series are denominated (including, but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limited to, foreign currency);</w:t>
      </w:r>
    </w:p>
    <w:p>
      <w:pPr>
        <w:spacing w:after="0" w:line="210" w:lineRule="exact"/>
        <w:rPr>
          <w:rFonts w:ascii="Arial" w:cs="Arial" w:eastAsia="Arial" w:hAnsi="Arial"/>
          <w:sz w:val="16"/>
          <w:szCs w:val="16"/>
          <w:color w:val="auto"/>
        </w:rPr>
      </w:pPr>
    </w:p>
    <w:p>
      <w:pPr>
        <w:jc w:val="both"/>
        <w:ind w:right="420" w:firstLine="1292"/>
        <w:spacing w:after="0" w:line="263" w:lineRule="auto"/>
        <w:tabs>
          <w:tab w:leader="none" w:pos="22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8" w:name="page39"/>
    <w:bookmarkEnd w:id="38"/>
    <w:p>
      <w:pPr>
        <w:ind w:left="2900" w:hanging="948"/>
        <w:spacing w:after="0"/>
        <w:tabs>
          <w:tab w:leader="none" w:pos="2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restrictions on transfer, sale or assignment of the Securities of the series;</w:t>
      </w:r>
    </w:p>
    <w:p>
      <w:pPr>
        <w:spacing w:after="0" w:line="225" w:lineRule="exact"/>
        <w:rPr>
          <w:rFonts w:ascii="Arial" w:cs="Arial" w:eastAsia="Arial" w:hAnsi="Arial"/>
          <w:sz w:val="18"/>
          <w:szCs w:val="18"/>
          <w:color w:val="auto"/>
        </w:rPr>
      </w:pPr>
    </w:p>
    <w:p>
      <w:pPr>
        <w:ind w:left="2900" w:hanging="948"/>
        <w:spacing w:after="0"/>
        <w:tabs>
          <w:tab w:leader="none" w:pos="2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subordination terms, if any, of the Securities of the series; and</w:t>
      </w:r>
    </w:p>
    <w:p>
      <w:pPr>
        <w:spacing w:after="0" w:line="225" w:lineRule="exact"/>
        <w:rPr>
          <w:rFonts w:ascii="Arial" w:cs="Arial" w:eastAsia="Arial" w:hAnsi="Arial"/>
          <w:sz w:val="18"/>
          <w:szCs w:val="18"/>
          <w:color w:val="auto"/>
        </w:rPr>
      </w:pPr>
    </w:p>
    <w:p>
      <w:pPr>
        <w:ind w:left="660" w:right="280" w:firstLine="1292"/>
        <w:spacing w:after="0" w:line="308" w:lineRule="auto"/>
        <w:tabs>
          <w:tab w:leader="none" w:pos="2935" w:val="left"/>
        </w:tabs>
        <w:numPr>
          <w:ilvl w:val="0"/>
          <w:numId w:val="40"/>
        </w:numPr>
        <w:rPr>
          <w:rFonts w:ascii="Arial" w:cs="Arial" w:eastAsia="Arial" w:hAnsi="Arial"/>
          <w:sz w:val="17"/>
          <w:szCs w:val="17"/>
          <w:color w:val="auto"/>
        </w:rPr>
      </w:pPr>
      <w:r>
        <w:rPr>
          <w:rFonts w:ascii="Arial" w:cs="Arial" w:eastAsia="Arial" w:hAnsi="Arial"/>
          <w:sz w:val="17"/>
          <w:szCs w:val="17"/>
          <w:color w:val="auto"/>
        </w:rPr>
        <w:t>any other terms of the Securities of such series (which terms shall not be inconsistent with the provisions of the Trust Indenture Act, but may modify, amend, supplement or delete any of the terms of this Indenture with respect to such series).</w:t>
      </w:r>
    </w:p>
    <w:p>
      <w:pPr>
        <w:spacing w:after="0" w:line="14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Company Order or in any indentures supplemental hereto.</w:t>
      </w:r>
    </w:p>
    <w:p>
      <w:pPr>
        <w:spacing w:after="0" w:line="170"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7"/>
          <w:szCs w:val="17"/>
          <w:u w:val="single" w:color="auto"/>
          <w:color w:val="auto"/>
        </w:rPr>
        <w:t>FORM OF SECURITIES AND TRUSTEE’S CERTIFICATE</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The Securities of any series and the Trustee’s certificate of authentication to be borne by such Securities shall be substantially of the tenor and purport as set forth in one or more indentures supplemental hereto or as provided in a Company Order,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61"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7"/>
          <w:szCs w:val="17"/>
          <w:u w:val="single" w:color="auto"/>
          <w:color w:val="auto"/>
        </w:rPr>
        <w:t>DENOMINATIONS: PROVISIONS FOR PAYMENT</w:t>
      </w:r>
      <w:r>
        <w:rPr>
          <w:rFonts w:ascii="Arial" w:cs="Arial" w:eastAsia="Arial" w:hAnsi="Arial"/>
          <w:sz w:val="17"/>
          <w:szCs w:val="17"/>
          <w:color w:val="auto"/>
        </w:rPr>
        <w:t>.</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Securities shall be issuable as registered Securities and in the denominations of one thousand U.S. dollars ($1,000) or any integral multiple thereof, subject to Section 2.01(x). The Securities of a particular series shall bear interest payable on the dates and at the rate specified with respect to that series.</w:t>
      </w:r>
    </w:p>
    <w:p>
      <w:pPr>
        <w:spacing w:after="0" w:line="184"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71"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39" w:name="page40"/>
    <w:bookmarkEnd w:id="39"/>
    <w:p>
      <w:pPr>
        <w:ind w:right="160" w:firstLine="648"/>
        <w:spacing w:after="0" w:line="31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49" w:lineRule="exact"/>
        <w:rPr>
          <w:sz w:val="20"/>
          <w:szCs w:val="20"/>
          <w:color w:val="auto"/>
        </w:rPr>
      </w:pPr>
    </w:p>
    <w:p>
      <w:pPr>
        <w:ind w:left="660" w:firstLine="1292"/>
        <w:spacing w:after="0" w:line="286" w:lineRule="auto"/>
        <w:tabs>
          <w:tab w:leader="none" w:pos="284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70" w:lineRule="exact"/>
        <w:rPr>
          <w:rFonts w:ascii="Arial" w:cs="Arial" w:eastAsia="Arial" w:hAnsi="Arial"/>
          <w:sz w:val="16"/>
          <w:szCs w:val="16"/>
          <w:color w:val="auto"/>
        </w:rPr>
      </w:pPr>
    </w:p>
    <w:p>
      <w:pPr>
        <w:ind w:left="660" w:right="60" w:firstLine="1292"/>
        <w:spacing w:after="0" w:line="259" w:lineRule="auto"/>
        <w:tabs>
          <w:tab w:leader="none" w:pos="285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Unless otherwise set forth in a Company Order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0" w:name="page41"/>
    <w:bookmarkEnd w:id="40"/>
    <w:p>
      <w:pPr>
        <w:ind w:right="160" w:firstLine="648"/>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7"/>
          <w:szCs w:val="17"/>
          <w:u w:val="single" w:color="auto"/>
          <w:color w:val="auto"/>
        </w:rPr>
        <w:t>EXECUTION AND AUTHENTICATIONS</w:t>
      </w:r>
      <w:r>
        <w:rPr>
          <w:rFonts w:ascii="Arial" w:cs="Arial" w:eastAsia="Arial" w:hAnsi="Arial"/>
          <w:sz w:val="17"/>
          <w:szCs w:val="17"/>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Securities shall be signed on behalf of the Company by one of its Officers. Signatures may be in the form of a manual or facsimile signature.</w:t>
      </w:r>
    </w:p>
    <w:p>
      <w:pPr>
        <w:spacing w:after="0" w:line="24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8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such Company Order shall authenticate and deliver such Securities.</w:t>
      </w:r>
    </w:p>
    <w:p>
      <w:pPr>
        <w:spacing w:after="0" w:line="176"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84"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2.05</w:t>
      </w:r>
      <w:r>
        <w:rPr>
          <w:sz w:val="20"/>
          <w:szCs w:val="20"/>
          <w:color w:val="auto"/>
        </w:rPr>
        <w:tab/>
      </w:r>
      <w:r>
        <w:rPr>
          <w:rFonts w:ascii="Arial" w:cs="Arial" w:eastAsia="Arial" w:hAnsi="Arial"/>
          <w:sz w:val="17"/>
          <w:szCs w:val="17"/>
          <w:u w:val="single" w:color="auto"/>
          <w:color w:val="auto"/>
        </w:rPr>
        <w:t>REGISTRATION OF TRANSFER AND EXCHANGE</w:t>
      </w:r>
      <w:r>
        <w:rPr>
          <w:rFonts w:ascii="Arial" w:cs="Arial" w:eastAsia="Arial" w:hAnsi="Arial"/>
          <w:sz w:val="17"/>
          <w:szCs w:val="17"/>
          <w:color w:val="auto"/>
        </w:rPr>
        <w:t>.</w:t>
      </w:r>
    </w:p>
    <w:p>
      <w:pPr>
        <w:spacing w:after="0" w:line="225" w:lineRule="exact"/>
        <w:rPr>
          <w:sz w:val="20"/>
          <w:szCs w:val="20"/>
          <w:color w:val="auto"/>
        </w:rPr>
      </w:pPr>
    </w:p>
    <w:p>
      <w:pPr>
        <w:ind w:right="40" w:firstLine="1304"/>
        <w:spacing w:after="0" w:line="255" w:lineRule="auto"/>
        <w:tabs>
          <w:tab w:leader="none" w:pos="2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1" w:name="page42"/>
    <w:bookmarkEnd w:id="41"/>
    <w:p>
      <w:pPr>
        <w:ind w:firstLine="1304"/>
        <w:spacing w:after="0" w:line="275" w:lineRule="auto"/>
        <w:tabs>
          <w:tab w:leader="none" w:pos="21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a Company Order (the “Security Registrar”).</w:t>
      </w:r>
    </w:p>
    <w:p>
      <w:pPr>
        <w:spacing w:after="0" w:line="176"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84"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84" w:lineRule="exact"/>
        <w:rPr>
          <w:sz w:val="20"/>
          <w:szCs w:val="20"/>
          <w:color w:val="auto"/>
        </w:rPr>
      </w:pPr>
    </w:p>
    <w:p>
      <w:pPr>
        <w:ind w:right="100" w:firstLine="1304"/>
        <w:spacing w:after="0" w:line="279" w:lineRule="auto"/>
        <w:tabs>
          <w:tab w:leader="none" w:pos="21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Except as provided pursuant to Section 2.01 pursuant to a Company Order,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3.03(2) and Section 9.04 not involving any transfer.</w:t>
      </w:r>
    </w:p>
    <w:p>
      <w:pPr>
        <w:spacing w:after="0" w:line="171" w:lineRule="exact"/>
        <w:rPr>
          <w:rFonts w:ascii="Arial" w:cs="Arial" w:eastAsia="Arial" w:hAnsi="Arial"/>
          <w:sz w:val="17"/>
          <w:szCs w:val="17"/>
          <w:color w:val="auto"/>
        </w:rPr>
      </w:pPr>
    </w:p>
    <w:p>
      <w:pPr>
        <w:ind w:right="100" w:firstLine="1304"/>
        <w:spacing w:after="0" w:line="257" w:lineRule="auto"/>
        <w:tabs>
          <w:tab w:leader="none" w:pos="2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88"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7"/>
          <w:szCs w:val="17"/>
          <w:u w:val="single" w:color="auto"/>
          <w:color w:val="auto"/>
        </w:rPr>
        <w:t>TEMPORARY SECURITIES</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ind w:left="660"/>
        <w:spacing w:after="0"/>
        <w:tabs>
          <w:tab w:leader="none" w:pos="2580" w:val="left"/>
        </w:tabs>
        <w:rPr>
          <w:sz w:val="20"/>
          <w:szCs w:val="20"/>
          <w:color w:val="auto"/>
        </w:rPr>
      </w:pPr>
      <w:r>
        <w:rPr>
          <w:rFonts w:ascii="Arial" w:cs="Arial" w:eastAsia="Arial" w:hAnsi="Arial"/>
          <w:sz w:val="18"/>
          <w:szCs w:val="18"/>
          <w:color w:val="auto"/>
        </w:rPr>
        <w:t>SECTION 2.07</w:t>
      </w:r>
      <w:r>
        <w:rPr>
          <w:sz w:val="20"/>
          <w:szCs w:val="20"/>
          <w:color w:val="auto"/>
        </w:rPr>
        <w:tab/>
      </w:r>
      <w:r>
        <w:rPr>
          <w:rFonts w:ascii="Arial" w:cs="Arial" w:eastAsia="Arial" w:hAnsi="Arial"/>
          <w:sz w:val="17"/>
          <w:szCs w:val="17"/>
          <w:u w:val="single" w:color="auto"/>
          <w:color w:val="auto"/>
        </w:rPr>
        <w:t>MUTILATED, DESTROYED, LOST OR STOLEN SECURITIES</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43" w:name="page44"/>
    <w:bookmarkEnd w:id="43"/>
    <w:p>
      <w:pPr>
        <w:ind w:left="660"/>
        <w:spacing w:after="0"/>
        <w:tabs>
          <w:tab w:leader="none" w:pos="2580" w:val="left"/>
        </w:tabs>
        <w:rPr>
          <w:sz w:val="20"/>
          <w:szCs w:val="20"/>
          <w:color w:val="auto"/>
        </w:rPr>
      </w:pPr>
      <w:r>
        <w:rPr>
          <w:rFonts w:ascii="Arial" w:cs="Arial" w:eastAsia="Arial" w:hAnsi="Arial"/>
          <w:sz w:val="18"/>
          <w:szCs w:val="18"/>
          <w:color w:val="auto"/>
        </w:rPr>
        <w:t>SECTION 2.08</w:t>
      </w:r>
      <w:r>
        <w:rPr>
          <w:sz w:val="20"/>
          <w:szCs w:val="20"/>
          <w:color w:val="auto"/>
        </w:rPr>
        <w:tab/>
      </w:r>
      <w:r>
        <w:rPr>
          <w:rFonts w:ascii="Arial" w:cs="Arial" w:eastAsia="Arial" w:hAnsi="Arial"/>
          <w:sz w:val="17"/>
          <w:szCs w:val="17"/>
          <w:u w:val="single" w:color="auto"/>
          <w:color w:val="auto"/>
        </w:rPr>
        <w:t>CANCELLATION</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7"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7"/>
          <w:szCs w:val="17"/>
          <w:u w:val="single" w:color="auto"/>
          <w:color w:val="auto"/>
        </w:rPr>
        <w:t>BENEFITS OF INDENTURE</w:t>
      </w:r>
      <w:r>
        <w:rPr>
          <w:rFonts w:ascii="Arial" w:cs="Arial" w:eastAsia="Arial" w:hAnsi="Arial"/>
          <w:sz w:val="17"/>
          <w:szCs w:val="17"/>
          <w:color w:val="auto"/>
        </w:rPr>
        <w:t>.</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spacing w:after="0" w:line="19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7"/>
          <w:szCs w:val="17"/>
          <w:u w:val="single" w:color="auto"/>
          <w:color w:val="auto"/>
        </w:rPr>
        <w:t>AUTHENTICATING AGENT</w:t>
      </w:r>
      <w:r>
        <w:rPr>
          <w:rFonts w:ascii="Arial" w:cs="Arial" w:eastAsia="Arial" w:hAnsi="Arial"/>
          <w:sz w:val="17"/>
          <w:szCs w:val="17"/>
          <w:color w:val="auto"/>
        </w:rPr>
        <w:t>.</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4" w:name="page45"/>
    <w:bookmarkEnd w:id="44"/>
    <w:p>
      <w:pPr>
        <w:ind w:right="180" w:firstLine="648"/>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9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7"/>
          <w:szCs w:val="17"/>
          <w:u w:val="single" w:color="auto"/>
          <w:color w:val="auto"/>
        </w:rPr>
        <w:t>GLOBAL SECURITIES</w:t>
      </w:r>
      <w:r>
        <w:rPr>
          <w:rFonts w:ascii="Arial" w:cs="Arial" w:eastAsia="Arial" w:hAnsi="Arial"/>
          <w:sz w:val="17"/>
          <w:szCs w:val="17"/>
          <w:color w:val="auto"/>
        </w:rPr>
        <w:t>.</w:t>
      </w:r>
    </w:p>
    <w:p>
      <w:pPr>
        <w:spacing w:after="0" w:line="225" w:lineRule="exact"/>
        <w:rPr>
          <w:sz w:val="20"/>
          <w:szCs w:val="20"/>
          <w:color w:val="auto"/>
        </w:rPr>
      </w:pPr>
    </w:p>
    <w:p>
      <w:pPr>
        <w:ind w:right="40" w:firstLine="1304"/>
        <w:spacing w:after="0" w:line="293" w:lineRule="auto"/>
        <w:tabs>
          <w:tab w:leader="none" w:pos="2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64" w:lineRule="exact"/>
        <w:rPr>
          <w:rFonts w:ascii="Arial" w:cs="Arial" w:eastAsia="Arial" w:hAnsi="Arial"/>
          <w:sz w:val="16"/>
          <w:szCs w:val="16"/>
          <w:color w:val="auto"/>
        </w:rPr>
      </w:pPr>
    </w:p>
    <w:p>
      <w:pPr>
        <w:ind w:right="80" w:firstLine="1304"/>
        <w:spacing w:after="0" w:line="263" w:lineRule="auto"/>
        <w:tabs>
          <w:tab w:leader="none" w:pos="2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3" w:lineRule="exact"/>
        <w:rPr>
          <w:rFonts w:ascii="Arial" w:cs="Arial" w:eastAsia="Arial" w:hAnsi="Arial"/>
          <w:sz w:val="18"/>
          <w:szCs w:val="18"/>
          <w:color w:val="auto"/>
        </w:rPr>
      </w:pPr>
    </w:p>
    <w:p>
      <w:pPr>
        <w:ind w:firstLine="1304"/>
        <w:spacing w:after="0" w:line="287" w:lineRule="auto"/>
        <w:tabs>
          <w:tab w:leader="none" w:pos="21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(i)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(ii) an Event of Default has occurred and is continuing or (iii) the Company executes and delivers to the Trustee and the Registrar a Company Order stating that such Global Security shall be so exchangeable,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2.11(3)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u w:val="single" w:color="auto"/>
          <w:color w:val="auto"/>
        </w:rPr>
        <w:t>REDEMPTION OF SECURITIES AND SINKING FUND PROVISIONS</w:t>
      </w:r>
    </w:p>
    <w:p>
      <w:pPr>
        <w:spacing w:after="0" w:line="22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7"/>
          <w:szCs w:val="17"/>
          <w:u w:val="single" w:color="auto"/>
          <w:color w:val="auto"/>
        </w:rPr>
        <w:t>REDEMPTION</w:t>
      </w:r>
      <w:r>
        <w:rPr>
          <w:rFonts w:ascii="Arial" w:cs="Arial" w:eastAsia="Arial" w:hAnsi="Arial"/>
          <w:sz w:val="17"/>
          <w:szCs w:val="17"/>
          <w:color w:val="auto"/>
        </w:rPr>
        <w:t>.</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7"/>
          <w:szCs w:val="17"/>
          <w:u w:val="single" w:color="auto"/>
          <w:color w:val="auto"/>
        </w:rPr>
        <w:t>NOTICE OF REDEMPTION</w:t>
      </w:r>
      <w:r>
        <w:rPr>
          <w:rFonts w:ascii="Arial" w:cs="Arial" w:eastAsia="Arial" w:hAnsi="Arial"/>
          <w:sz w:val="17"/>
          <w:szCs w:val="17"/>
          <w:color w:val="auto"/>
        </w:rPr>
        <w:t>.</w:t>
      </w:r>
    </w:p>
    <w:p>
      <w:pPr>
        <w:spacing w:after="0" w:line="225" w:lineRule="exact"/>
        <w:rPr>
          <w:sz w:val="20"/>
          <w:szCs w:val="20"/>
          <w:color w:val="auto"/>
        </w:rPr>
      </w:pPr>
    </w:p>
    <w:p>
      <w:pPr>
        <w:ind w:firstLine="1304"/>
        <w:spacing w:after="0" w:line="269" w:lineRule="auto"/>
        <w:tabs>
          <w:tab w:leader="none" w:pos="21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10 days and not more than 60 days before the date fixed for redemption of that series to such holders at their last addresses as they shall appear upon the Security Register, unless a shorter period is specified in the Securities to be redeemed. The Company shall give the Trustee written notice of such notice of redemption to holders not less than 5 days in advance of the date on which such notice of redemption is to be delivered to holders (unless a shorter notice shall be satisfactory to the Trustee and agreed in writing).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w:t>
      </w:r>
    </w:p>
    <w:p>
      <w:pPr>
        <w:spacing w:after="0" w:line="18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6" w:name="page47"/>
    <w:bookmarkEnd w:id="46"/>
    <w:p>
      <w:pPr>
        <w:ind w:firstLine="1304"/>
        <w:spacing w:after="0" w:line="269" w:lineRule="auto"/>
        <w:tabs>
          <w:tab w:leader="none" w:pos="2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15 days’ written notice (unless a shorter notice shall be satisfactory to the Trustee and agreed in writing)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Company Order,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7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7"/>
          <w:szCs w:val="17"/>
          <w:u w:val="single" w:color="auto"/>
          <w:color w:val="auto"/>
        </w:rPr>
        <w:t>PAYMENT UPON REDEMPTION</w:t>
      </w:r>
      <w:r>
        <w:rPr>
          <w:rFonts w:ascii="Arial" w:cs="Arial" w:eastAsia="Arial" w:hAnsi="Arial"/>
          <w:sz w:val="17"/>
          <w:szCs w:val="17"/>
          <w:color w:val="auto"/>
        </w:rPr>
        <w:t>.</w:t>
      </w:r>
    </w:p>
    <w:p>
      <w:pPr>
        <w:spacing w:after="0" w:line="225" w:lineRule="exact"/>
        <w:rPr>
          <w:sz w:val="20"/>
          <w:szCs w:val="20"/>
          <w:color w:val="auto"/>
        </w:rPr>
      </w:pPr>
    </w:p>
    <w:p>
      <w:pPr>
        <w:ind w:right="20" w:firstLine="1304"/>
        <w:spacing w:after="0" w:line="290" w:lineRule="auto"/>
        <w:tabs>
          <w:tab w:leader="none" w:pos="2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65" w:lineRule="exact"/>
        <w:rPr>
          <w:rFonts w:ascii="Arial" w:cs="Arial" w:eastAsia="Arial" w:hAnsi="Arial"/>
          <w:sz w:val="16"/>
          <w:szCs w:val="16"/>
          <w:color w:val="auto"/>
        </w:rPr>
      </w:pPr>
    </w:p>
    <w:p>
      <w:pPr>
        <w:ind w:right="60" w:firstLine="1304"/>
        <w:spacing w:after="0" w:line="311" w:lineRule="auto"/>
        <w:tabs>
          <w:tab w:leader="none" w:pos="2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4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7"/>
          <w:szCs w:val="17"/>
          <w:u w:val="single" w:color="auto"/>
          <w:color w:val="auto"/>
        </w:rPr>
        <w:t>SINKING FUND</w:t>
      </w:r>
      <w:r>
        <w:rPr>
          <w:rFonts w:ascii="Arial" w:cs="Arial" w:eastAsia="Arial" w:hAnsi="Arial"/>
          <w:sz w:val="17"/>
          <w:szCs w:val="17"/>
          <w:color w:val="auto"/>
        </w:rPr>
        <w:t>.</w:t>
      </w:r>
    </w:p>
    <w:p>
      <w:pPr>
        <w:spacing w:after="0" w:line="22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7" w:name="page48"/>
    <w:bookmarkEnd w:id="47"/>
    <w:p>
      <w:pPr>
        <w:ind w:left="660"/>
        <w:spacing w:after="0"/>
        <w:tabs>
          <w:tab w:leader="none" w:pos="2580" w:val="left"/>
        </w:tabs>
        <w:rPr>
          <w:sz w:val="20"/>
          <w:szCs w:val="20"/>
          <w:color w:val="auto"/>
        </w:rPr>
      </w:pPr>
      <w:r>
        <w:rPr>
          <w:rFonts w:ascii="Arial" w:cs="Arial" w:eastAsia="Arial" w:hAnsi="Arial"/>
          <w:sz w:val="18"/>
          <w:szCs w:val="18"/>
          <w:color w:val="auto"/>
        </w:rPr>
        <w:t>SECTION 3.05</w:t>
      </w:r>
      <w:r>
        <w:rPr>
          <w:sz w:val="20"/>
          <w:szCs w:val="20"/>
          <w:color w:val="auto"/>
        </w:rPr>
        <w:tab/>
      </w:r>
      <w:r>
        <w:rPr>
          <w:rFonts w:ascii="Arial" w:cs="Arial" w:eastAsia="Arial" w:hAnsi="Arial"/>
          <w:sz w:val="17"/>
          <w:szCs w:val="17"/>
          <w:u w:val="single" w:color="auto"/>
          <w:color w:val="auto"/>
        </w:rPr>
        <w:t>SATISFACTION OF SINKING FUND PAYMENTS WITH SECURITIES</w:t>
      </w:r>
      <w:r>
        <w:rPr>
          <w:rFonts w:ascii="Arial" w:cs="Arial" w:eastAsia="Arial" w:hAnsi="Arial"/>
          <w:sz w:val="17"/>
          <w:szCs w:val="17"/>
          <w:color w:val="auto"/>
        </w:rPr>
        <w:t>.</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6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7"/>
          <w:szCs w:val="17"/>
          <w:u w:val="single" w:color="auto"/>
          <w:color w:val="auto"/>
        </w:rPr>
        <w:t>REDEMPTION OF SECURITIES FOR SINKING FUND</w:t>
      </w:r>
      <w:r>
        <w:rPr>
          <w:rFonts w:ascii="Arial" w:cs="Arial" w:eastAsia="Arial" w:hAnsi="Arial"/>
          <w:sz w:val="17"/>
          <w:szCs w:val="17"/>
          <w:color w:val="auto"/>
        </w:rPr>
        <w:t>.</w:t>
      </w:r>
    </w:p>
    <w:p>
      <w:pPr>
        <w:spacing w:after="0" w:line="225"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Not less than 15 days prior to each sinking fund payment date for any series of Securities (unless a shorter period shall be satisfactory to the Trustee), the Company will deliver a Company Order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Company Order, deliver to the Trustee any Securities to be so delivered. Not less than 20 days before each such sinking fund payment date the Trustee shall select the Securities to be redeemed upon such sinking fund payment date in the manner specified in Section</w:t>
      </w:r>
    </w:p>
    <w:p>
      <w:pPr>
        <w:spacing w:after="0" w:line="2"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COVENANTS</w:t>
      </w:r>
    </w:p>
    <w:p>
      <w:pPr>
        <w:spacing w:after="0" w:line="22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7"/>
          <w:szCs w:val="17"/>
          <w:u w:val="single" w:color="auto"/>
          <w:color w:val="auto"/>
        </w:rPr>
        <w:t>PAYMENT OF PRINCIPAL, PREMIUM AND INTEREST</w:t>
      </w:r>
      <w:r>
        <w:rPr>
          <w:rFonts w:ascii="Arial" w:cs="Arial" w:eastAsia="Arial" w:hAnsi="Arial"/>
          <w:sz w:val="17"/>
          <w:szCs w:val="17"/>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ind w:left="660"/>
        <w:spacing w:after="0"/>
        <w:tabs>
          <w:tab w:leader="none" w:pos="258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7"/>
          <w:szCs w:val="17"/>
          <w:u w:val="single" w:color="auto"/>
          <w:color w:val="auto"/>
        </w:rPr>
        <w:t>MAINTENANCE OF OFFICE OR AGENCY</w:t>
      </w:r>
      <w:r>
        <w:rPr>
          <w:rFonts w:ascii="Arial" w:cs="Arial" w:eastAsia="Arial" w:hAnsi="Arial"/>
          <w:sz w:val="17"/>
          <w:szCs w:val="17"/>
          <w:color w:val="auto"/>
        </w:rPr>
        <w:t>.</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Company Order,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located in the Borough of Manhattan, the City of New York as its paying agent with respect to the Securities.</w:t>
      </w:r>
    </w:p>
    <w:p>
      <w:pPr>
        <w:spacing w:after="0" w:line="166"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7"/>
          <w:szCs w:val="17"/>
          <w:u w:val="single" w:color="auto"/>
          <w:color w:val="auto"/>
        </w:rPr>
        <w:t>PAYING AGENTS</w:t>
      </w:r>
      <w:r>
        <w:rPr>
          <w:rFonts w:ascii="Arial" w:cs="Arial" w:eastAsia="Arial" w:hAnsi="Arial"/>
          <w:sz w:val="17"/>
          <w:szCs w:val="17"/>
          <w:color w:val="auto"/>
        </w:rPr>
        <w:t>.</w:t>
      </w:r>
    </w:p>
    <w:p>
      <w:pPr>
        <w:spacing w:after="0" w:line="225" w:lineRule="exact"/>
        <w:rPr>
          <w:sz w:val="20"/>
          <w:szCs w:val="20"/>
          <w:color w:val="auto"/>
        </w:rPr>
      </w:pPr>
    </w:p>
    <w:p>
      <w:pPr>
        <w:ind w:right="60" w:firstLine="1304"/>
        <w:spacing w:after="0" w:line="263" w:lineRule="auto"/>
        <w:tabs>
          <w:tab w:leader="none" w:pos="2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3" w:lineRule="exact"/>
        <w:rPr>
          <w:rFonts w:ascii="Arial" w:cs="Arial" w:eastAsia="Arial" w:hAnsi="Arial"/>
          <w:sz w:val="18"/>
          <w:szCs w:val="18"/>
          <w:color w:val="auto"/>
        </w:rPr>
      </w:pPr>
    </w:p>
    <w:p>
      <w:pPr>
        <w:jc w:val="both"/>
        <w:ind w:left="660" w:right="100" w:firstLine="1292"/>
        <w:spacing w:after="0" w:line="263" w:lineRule="auto"/>
        <w:tabs>
          <w:tab w:leader="none" w:pos="2711"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3" w:lineRule="exact"/>
        <w:rPr>
          <w:rFonts w:ascii="Arial" w:cs="Arial" w:eastAsia="Arial" w:hAnsi="Arial"/>
          <w:sz w:val="18"/>
          <w:szCs w:val="18"/>
          <w:color w:val="auto"/>
        </w:rPr>
      </w:pPr>
    </w:p>
    <w:p>
      <w:pPr>
        <w:ind w:left="660" w:right="100" w:firstLine="1292"/>
        <w:spacing w:after="0" w:line="342" w:lineRule="auto"/>
        <w:tabs>
          <w:tab w:leader="none" w:pos="2716" w:val="left"/>
        </w:tabs>
        <w:numPr>
          <w:ilvl w:val="1"/>
          <w:numId w:val="49"/>
        </w:numPr>
        <w:rPr>
          <w:rFonts w:ascii="Arial" w:cs="Arial" w:eastAsia="Arial" w:hAnsi="Arial"/>
          <w:sz w:val="16"/>
          <w:szCs w:val="16"/>
          <w:color w:val="auto"/>
        </w:rPr>
      </w:pPr>
      <w:r>
        <w:rPr>
          <w:rFonts w:ascii="Arial" w:cs="Arial" w:eastAsia="Arial" w:hAnsi="Arial"/>
          <w:sz w:val="16"/>
          <w:szCs w:val="16"/>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23" w:lineRule="exact"/>
        <w:rPr>
          <w:rFonts w:ascii="Arial" w:cs="Arial" w:eastAsia="Arial" w:hAnsi="Arial"/>
          <w:sz w:val="16"/>
          <w:szCs w:val="16"/>
          <w:color w:val="auto"/>
        </w:rPr>
      </w:pPr>
    </w:p>
    <w:p>
      <w:pPr>
        <w:ind w:left="660" w:right="20" w:firstLine="1292"/>
        <w:spacing w:after="0" w:line="277" w:lineRule="auto"/>
        <w:tabs>
          <w:tab w:leader="none" w:pos="27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that it will, at any time during the continuance of any failure referred to in the preceding paragraph (1)(ii) above, upon the written request of the Trustee, forthwith pay to the Trustee all sums so held in trust by such paying agent; and</w:t>
      </w:r>
    </w:p>
    <w:p>
      <w:pPr>
        <w:spacing w:after="0" w:line="170" w:lineRule="exact"/>
        <w:rPr>
          <w:rFonts w:ascii="Arial" w:cs="Arial" w:eastAsia="Arial" w:hAnsi="Arial"/>
          <w:sz w:val="18"/>
          <w:szCs w:val="18"/>
          <w:color w:val="auto"/>
        </w:rPr>
      </w:pPr>
    </w:p>
    <w:p>
      <w:pPr>
        <w:ind w:left="2660" w:hanging="708"/>
        <w:spacing w:after="0"/>
        <w:tabs>
          <w:tab w:leader="none" w:pos="26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color w:val="auto"/>
        </w:rPr>
      </w:pPr>
    </w:p>
    <w:p>
      <w:pPr>
        <w:ind w:firstLine="1304"/>
        <w:spacing w:after="0" w:line="290" w:lineRule="auto"/>
        <w:tabs>
          <w:tab w:leader="none" w:pos="2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ind w:firstLine="1304"/>
        <w:spacing w:after="0" w:line="255" w:lineRule="auto"/>
        <w:tabs>
          <w:tab w:leader="none" w:pos="2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9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7"/>
          <w:szCs w:val="17"/>
          <w:u w:val="single" w:color="auto"/>
          <w:color w:val="auto"/>
        </w:rPr>
        <w:t>APPOINTMENT TO FILL VACANCY IN OFFICE OF TRUSTEE</w:t>
      </w:r>
      <w:r>
        <w:rPr>
          <w:rFonts w:ascii="Arial" w:cs="Arial" w:eastAsia="Arial" w:hAnsi="Arial"/>
          <w:sz w:val="17"/>
          <w:szCs w:val="17"/>
          <w:color w:val="auto"/>
        </w:rPr>
        <w:t>.</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7"/>
          <w:szCs w:val="17"/>
          <w:u w:val="single" w:color="auto"/>
          <w:color w:val="auto"/>
        </w:rPr>
        <w:t>COMPLIANCE WITH CONSOLIDATION PROVISIONS</w:t>
      </w:r>
      <w:r>
        <w:rPr>
          <w:rFonts w:ascii="Arial" w:cs="Arial" w:eastAsia="Arial" w:hAnsi="Arial"/>
          <w:sz w:val="17"/>
          <w:szCs w:val="17"/>
          <w:color w:val="auto"/>
        </w:rPr>
        <w:t>.</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18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4.06</w:t>
      </w:r>
      <w:r>
        <w:rPr>
          <w:sz w:val="20"/>
          <w:szCs w:val="20"/>
          <w:color w:val="auto"/>
        </w:rPr>
        <w:tab/>
      </w:r>
      <w:r>
        <w:rPr>
          <w:rFonts w:ascii="Arial" w:cs="Arial" w:eastAsia="Arial" w:hAnsi="Arial"/>
          <w:sz w:val="17"/>
          <w:szCs w:val="17"/>
          <w:u w:val="single" w:color="auto"/>
          <w:color w:val="auto"/>
        </w:rPr>
        <w:t>COMPLIANCE CERTIFICATE</w:t>
      </w:r>
      <w:r>
        <w:rPr>
          <w:rFonts w:ascii="Arial" w:cs="Arial" w:eastAsia="Arial" w:hAnsi="Arial"/>
          <w:sz w:val="17"/>
          <w:szCs w:val="17"/>
          <w:color w:val="auto"/>
        </w:rPr>
        <w:t>.</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Except as otherwise provided as contemplated by Section 2.01 with respect to any series of Securities, the Company shall furnish to the Trustee annually, within 120 days after the end of each fiscal year, a brief certificate from the principal executive officer, principal financial officer, principal accounting officer or vice president and treasurer as to his or her knowledge of the Company’s compliance with all conditions and covenants under this Indenture (which compliance shall be determined without regard to any period of grace or requirement of notice provided under this Indenture) and of any Default or Event of Default that occurred during the prior fiscal year, specifying each such Default or Event of Default and the nature and status thereof of which such person may have knowledge. Such certificates need not comply with Section 13.06 of this Indenture.</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SECURITYHOLDERS’ LISTS AND REPORTS BY THE COMPANY AND THE TRUSTEE</w:t>
      </w:r>
    </w:p>
    <w:p>
      <w:pPr>
        <w:spacing w:after="0" w:line="22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7"/>
          <w:szCs w:val="17"/>
          <w:u w:val="single" w:color="auto"/>
          <w:color w:val="auto"/>
        </w:rPr>
        <w:t>COMPANY TO FURNISH TRUSTEE NAMES AND ADDRESSES OF SECURITYHOLDERS</w:t>
      </w:r>
      <w:r>
        <w:rPr>
          <w:rFonts w:ascii="Arial" w:cs="Arial" w:eastAsia="Arial" w:hAnsi="Arial"/>
          <w:sz w:val="17"/>
          <w:szCs w:val="17"/>
          <w:color w:val="auto"/>
        </w:rPr>
        <w:t>.</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6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7"/>
          <w:szCs w:val="17"/>
          <w:u w:val="single" w:color="auto"/>
          <w:color w:val="auto"/>
        </w:rPr>
        <w:t>PRESERVATION OF INFORMATION; COMMUNICATIONS WITH SECURITYHOLDERS</w:t>
      </w:r>
      <w:r>
        <w:rPr>
          <w:rFonts w:ascii="Arial" w:cs="Arial" w:eastAsia="Arial" w:hAnsi="Arial"/>
          <w:sz w:val="17"/>
          <w:szCs w:val="17"/>
          <w:color w:val="auto"/>
        </w:rPr>
        <w:t>.</w:t>
      </w:r>
    </w:p>
    <w:p>
      <w:pPr>
        <w:spacing w:after="0" w:line="225" w:lineRule="exact"/>
        <w:rPr>
          <w:sz w:val="20"/>
          <w:szCs w:val="20"/>
          <w:color w:val="auto"/>
        </w:rPr>
      </w:pPr>
    </w:p>
    <w:p>
      <w:pPr>
        <w:ind w:right="80" w:firstLine="1304"/>
        <w:spacing w:after="0" w:line="263" w:lineRule="auto"/>
        <w:tabs>
          <w:tab w:leader="none" w:pos="2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Trustee may destroy any list furnished to it as provided in Section 5.01 upon receipt of a new list so furnished.</w:t>
      </w:r>
    </w:p>
    <w:p>
      <w:pPr>
        <w:spacing w:after="0" w:line="236" w:lineRule="exact"/>
        <w:rPr>
          <w:rFonts w:ascii="Arial" w:cs="Arial" w:eastAsia="Arial" w:hAnsi="Arial"/>
          <w:sz w:val="17"/>
          <w:szCs w:val="17"/>
          <w:color w:val="auto"/>
        </w:rPr>
      </w:pPr>
    </w:p>
    <w:p>
      <w:pPr>
        <w:ind w:firstLine="1304"/>
        <w:spacing w:after="0" w:line="286" w:lineRule="auto"/>
        <w:tabs>
          <w:tab w:leader="none" w:pos="2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16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5.03</w:t>
      </w:r>
      <w:r>
        <w:rPr>
          <w:sz w:val="20"/>
          <w:szCs w:val="20"/>
          <w:color w:val="auto"/>
        </w:rPr>
        <w:tab/>
      </w:r>
      <w:r>
        <w:rPr>
          <w:rFonts w:ascii="Arial" w:cs="Arial" w:eastAsia="Arial" w:hAnsi="Arial"/>
          <w:sz w:val="17"/>
          <w:szCs w:val="17"/>
          <w:u w:val="single" w:color="auto"/>
          <w:color w:val="auto"/>
        </w:rPr>
        <w:t>REPORTS BY THE COMPANY</w:t>
      </w:r>
      <w:r>
        <w:rPr>
          <w:rFonts w:ascii="Arial" w:cs="Arial" w:eastAsia="Arial" w:hAnsi="Arial"/>
          <w:sz w:val="17"/>
          <w:szCs w:val="17"/>
          <w:color w:val="auto"/>
        </w:rPr>
        <w:t>.</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shall file with the Trustee and the Securities and Exchange Commission, and transmit to Securityholders, such information, documents and other reports, and such summaries thereof, as may be required pursuant to the Trust Indenture Act at the times and in the manner provided in the Trust Indenture Act; provided that, unless available on EDGAR, any such information, documents or reports required to be filed with the SEC pursuant to Section 13 or 15(d) of the Exchange Act shall be filed with the Trustee within 30 days after the same is filed with the Securities and Exchange Commission.</w:t>
      </w:r>
    </w:p>
    <w:p>
      <w:pPr>
        <w:spacing w:after="0" w:line="18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ind w:left="620"/>
        <w:spacing w:after="0"/>
        <w:tabs>
          <w:tab w:leader="none" w:pos="254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REPORTS BY THE TRUSTEE</w:t>
      </w:r>
      <w:r>
        <w:rPr>
          <w:rFonts w:ascii="Arial" w:cs="Arial" w:eastAsia="Arial" w:hAnsi="Arial"/>
          <w:sz w:val="16"/>
          <w:szCs w:val="16"/>
          <w:color w:val="auto"/>
        </w:rPr>
        <w:t>.</w:t>
      </w:r>
    </w:p>
    <w:p>
      <w:pPr>
        <w:spacing w:after="0" w:line="225" w:lineRule="exact"/>
        <w:rPr>
          <w:sz w:val="20"/>
          <w:szCs w:val="20"/>
          <w:color w:val="auto"/>
        </w:rPr>
      </w:pPr>
    </w:p>
    <w:p>
      <w:pPr>
        <w:jc w:val="both"/>
        <w:ind w:left="-40" w:right="180" w:firstLine="1304"/>
        <w:spacing w:after="0" w:line="259" w:lineRule="auto"/>
        <w:tabs>
          <w:tab w:leader="none" w:pos="2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 long as any Securities are outstanding, the Trustee shall transmit to Securityholders such reports concerning the Trustee and its actions under this Indenture as may be required pursuant to the Trust Indenture Act at the times and in the manner provided therein. If required by Section 313(a) of the Trust Indenture Act, the Trustee shall, within 60 days after each anniversary following the date of this Indenture deliver to Securityholders a brief report which complies with the provisions of such Section 313(a).</w:t>
      </w:r>
    </w:p>
    <w:p>
      <w:pPr>
        <w:spacing w:after="0" w:line="186" w:lineRule="exact"/>
        <w:rPr>
          <w:rFonts w:ascii="Arial" w:cs="Arial" w:eastAsia="Arial" w:hAnsi="Arial"/>
          <w:sz w:val="18"/>
          <w:szCs w:val="18"/>
          <w:color w:val="auto"/>
        </w:rPr>
      </w:pPr>
    </w:p>
    <w:p>
      <w:pPr>
        <w:ind w:left="-40" w:right="60" w:firstLine="1304"/>
        <w:spacing w:after="0" w:line="259" w:lineRule="auto"/>
        <w:tabs>
          <w:tab w:leader="none" w:pos="2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 shall, at the time of the transmission to the Securityholders of Securities of any report pursuant to the provisions of this Section 5.04, file a copy of such report with each stock exchange upon which the Securities are listed, if any, and also with the Securities and Exchange Commission in respect of a Security listed and registered on a national securities exchange, if any. The Company agrees to notify the Trustee when, as and if the Securities become listed on any stock exchange or any delisting thereof.</w:t>
      </w:r>
    </w:p>
    <w:p>
      <w:pPr>
        <w:spacing w:after="0" w:line="186" w:lineRule="exact"/>
        <w:rPr>
          <w:rFonts w:ascii="Arial" w:cs="Arial" w:eastAsia="Arial" w:hAnsi="Arial"/>
          <w:sz w:val="18"/>
          <w:szCs w:val="18"/>
          <w:color w:val="auto"/>
        </w:rPr>
      </w:pPr>
    </w:p>
    <w:p>
      <w:pPr>
        <w:ind w:left="-40" w:right="40" w:firstLine="1304"/>
        <w:spacing w:after="0" w:line="277" w:lineRule="auto"/>
        <w:tabs>
          <w:tab w:leader="none" w:pos="21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will reimburse the Trustee for all expenses incurred in the preparation and transmission of any report pursuant to the provisions of this Section 5.04 and of Section 5.03.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ind w:left="2080"/>
        <w:spacing w:after="0"/>
        <w:rPr>
          <w:sz w:val="20"/>
          <w:szCs w:val="20"/>
          <w:color w:val="auto"/>
        </w:rPr>
      </w:pPr>
      <w:r>
        <w:rPr>
          <w:rFonts w:ascii="Arial" w:cs="Arial" w:eastAsia="Arial" w:hAnsi="Arial"/>
          <w:sz w:val="18"/>
          <w:szCs w:val="18"/>
          <w:b w:val="1"/>
          <w:bCs w:val="1"/>
          <w:u w:val="single" w:color="auto"/>
          <w:color w:val="auto"/>
        </w:rPr>
        <w:t>REMEDIES OF THE TRUSTEE AND SECURITYHOLDERS ON EVENT OF DEFAULT</w:t>
      </w:r>
    </w:p>
    <w:p>
      <w:pPr>
        <w:spacing w:after="0" w:line="229" w:lineRule="exact"/>
        <w:rPr>
          <w:sz w:val="20"/>
          <w:szCs w:val="20"/>
          <w:color w:val="auto"/>
        </w:rPr>
      </w:pPr>
    </w:p>
    <w:p>
      <w:pPr>
        <w:ind w:left="620"/>
        <w:spacing w:after="0"/>
        <w:tabs>
          <w:tab w:leader="none" w:pos="254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7"/>
          <w:szCs w:val="17"/>
          <w:u w:val="single" w:color="auto"/>
          <w:color w:val="auto"/>
        </w:rPr>
        <w:t>EVENTS OF DEFAULT</w:t>
      </w:r>
      <w:r>
        <w:rPr>
          <w:rFonts w:ascii="Arial" w:cs="Arial" w:eastAsia="Arial" w:hAnsi="Arial"/>
          <w:sz w:val="17"/>
          <w:szCs w:val="17"/>
          <w:color w:val="auto"/>
        </w:rPr>
        <w:t>.</w:t>
      </w:r>
    </w:p>
    <w:p>
      <w:pPr>
        <w:spacing w:after="0" w:line="225" w:lineRule="exact"/>
        <w:rPr>
          <w:sz w:val="20"/>
          <w:szCs w:val="20"/>
          <w:color w:val="auto"/>
        </w:rPr>
      </w:pPr>
    </w:p>
    <w:p>
      <w:pPr>
        <w:ind w:left="-40" w:right="420" w:firstLine="1304"/>
        <w:spacing w:after="0" w:line="277" w:lineRule="auto"/>
        <w:tabs>
          <w:tab w:leader="none" w:pos="2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ind w:left="620" w:right="140" w:firstLine="1292"/>
        <w:spacing w:after="0" w:line="259" w:lineRule="auto"/>
        <w:tabs>
          <w:tab w:leader="none" w:pos="2671"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such default continues for a period of 30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ind w:left="620" w:right="20" w:firstLine="1292"/>
        <w:spacing w:after="0" w:line="257" w:lineRule="auto"/>
        <w:tabs>
          <w:tab w:leader="none" w:pos="263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7" w:lineRule="exact"/>
        <w:rPr>
          <w:rFonts w:ascii="Arial" w:cs="Arial" w:eastAsia="Arial" w:hAnsi="Arial"/>
          <w:sz w:val="18"/>
          <w:szCs w:val="18"/>
          <w:color w:val="auto"/>
        </w:rPr>
      </w:pPr>
    </w:p>
    <w:p>
      <w:pPr>
        <w:ind w:left="620" w:firstLine="1292"/>
        <w:spacing w:after="0" w:line="273" w:lineRule="auto"/>
        <w:tabs>
          <w:tab w:leader="none" w:pos="2680"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52" w:name="page53"/>
    <w:bookmarkEnd w:id="52"/>
    <w:p>
      <w:pPr>
        <w:jc w:val="both"/>
        <w:ind w:left="640" w:right="20" w:firstLine="1292"/>
        <w:spacing w:after="0" w:line="263" w:lineRule="auto"/>
        <w:tabs>
          <w:tab w:leader="none" w:pos="269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83" w:lineRule="exact"/>
        <w:rPr>
          <w:rFonts w:ascii="Arial" w:cs="Arial" w:eastAsia="Arial" w:hAnsi="Arial"/>
          <w:sz w:val="18"/>
          <w:szCs w:val="18"/>
          <w:color w:val="auto"/>
        </w:rPr>
      </w:pPr>
    </w:p>
    <w:p>
      <w:pPr>
        <w:ind w:left="640" w:right="120" w:firstLine="1292"/>
        <w:spacing w:after="0" w:line="263" w:lineRule="auto"/>
        <w:tabs>
          <w:tab w:leader="none" w:pos="2685" w:val="left"/>
        </w:tabs>
        <w:numPr>
          <w:ilvl w:val="1"/>
          <w:numId w:val="54"/>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83" w:lineRule="exact"/>
        <w:rPr>
          <w:rFonts w:ascii="Arial" w:cs="Arial" w:eastAsia="Arial" w:hAnsi="Arial"/>
          <w:sz w:val="18"/>
          <w:szCs w:val="18"/>
          <w:color w:val="auto"/>
        </w:rPr>
      </w:pPr>
    </w:p>
    <w:p>
      <w:pPr>
        <w:ind w:left="-20" w:right="80" w:firstLine="1304"/>
        <w:spacing w:after="0" w:line="291" w:lineRule="auto"/>
        <w:tabs>
          <w:tab w:leader="none" w:pos="2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each and every such case (other than an Event of Default specified in clause (iv) or clause (v)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66" w:lineRule="exact"/>
        <w:rPr>
          <w:rFonts w:ascii="Arial" w:cs="Arial" w:eastAsia="Arial" w:hAnsi="Arial"/>
          <w:sz w:val="16"/>
          <w:szCs w:val="16"/>
          <w:color w:val="auto"/>
        </w:rPr>
      </w:pPr>
    </w:p>
    <w:p>
      <w:pPr>
        <w:ind w:left="-20" w:firstLine="1304"/>
        <w:spacing w:after="0" w:line="288" w:lineRule="auto"/>
        <w:tabs>
          <w:tab w:leader="none" w:pos="21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ind w:right="20" w:firstLine="1304"/>
        <w:spacing w:after="0" w:line="257" w:lineRule="auto"/>
        <w:tabs>
          <w:tab w:leader="none" w:pos="2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88"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6.02</w:t>
      </w:r>
      <w:r>
        <w:rPr>
          <w:sz w:val="20"/>
          <w:szCs w:val="20"/>
          <w:color w:val="auto"/>
        </w:rPr>
        <w:tab/>
      </w:r>
      <w:r>
        <w:rPr>
          <w:rFonts w:ascii="Arial" w:cs="Arial" w:eastAsia="Arial" w:hAnsi="Arial"/>
          <w:sz w:val="17"/>
          <w:szCs w:val="17"/>
          <w:u w:val="single" w:color="auto"/>
          <w:color w:val="auto"/>
        </w:rPr>
        <w:t>COLLECTION OF INDEBTEDNESS AND SUITS FOR ENFORCEMENT BY TRUSTEE</w:t>
      </w:r>
      <w:r>
        <w:rPr>
          <w:rFonts w:ascii="Arial" w:cs="Arial" w:eastAsia="Arial" w:hAnsi="Arial"/>
          <w:sz w:val="17"/>
          <w:szCs w:val="17"/>
          <w:color w:val="auto"/>
        </w:rPr>
        <w:t>.</w:t>
      </w:r>
    </w:p>
    <w:p>
      <w:pPr>
        <w:spacing w:after="0" w:line="225" w:lineRule="exact"/>
        <w:rPr>
          <w:sz w:val="20"/>
          <w:szCs w:val="20"/>
          <w:color w:val="auto"/>
        </w:rPr>
      </w:pPr>
    </w:p>
    <w:p>
      <w:pPr>
        <w:ind w:firstLine="1304"/>
        <w:spacing w:after="0" w:line="289" w:lineRule="auto"/>
        <w:tabs>
          <w:tab w:leader="none" w:pos="2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30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66" w:lineRule="exact"/>
        <w:rPr>
          <w:rFonts w:ascii="Arial" w:cs="Arial" w:eastAsia="Arial" w:hAnsi="Arial"/>
          <w:sz w:val="16"/>
          <w:szCs w:val="16"/>
          <w:color w:val="auto"/>
        </w:rPr>
      </w:pPr>
    </w:p>
    <w:p>
      <w:pPr>
        <w:ind w:right="20" w:firstLine="1304"/>
        <w:spacing w:after="0" w:line="275" w:lineRule="auto"/>
        <w:tabs>
          <w:tab w:leader="none" w:pos="21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76" w:lineRule="exact"/>
        <w:rPr>
          <w:rFonts w:ascii="Arial" w:cs="Arial" w:eastAsia="Arial" w:hAnsi="Arial"/>
          <w:sz w:val="17"/>
          <w:szCs w:val="17"/>
          <w:color w:val="auto"/>
        </w:rPr>
      </w:pPr>
    </w:p>
    <w:p>
      <w:pPr>
        <w:ind w:firstLine="1304"/>
        <w:spacing w:after="0" w:line="289" w:lineRule="auto"/>
        <w:tabs>
          <w:tab w:leader="none" w:pos="21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right="20" w:firstLine="1304"/>
        <w:spacing w:after="0" w:line="257" w:lineRule="auto"/>
        <w:tabs>
          <w:tab w:leader="none" w:pos="2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5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7"/>
          <w:szCs w:val="17"/>
          <w:u w:val="single" w:color="auto"/>
          <w:color w:val="auto"/>
        </w:rPr>
        <w:t>APPLICATION OF MONEYS COLLECTED</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spacing w:after="0" w:line="16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FIRST: To the payment of all indebtedness of the Company to which such series of Securities is subordinated to the extent required by Section 7.06 and Article Fourteen;</w:t>
      </w:r>
    </w:p>
    <w:p>
      <w:pPr>
        <w:spacing w:after="0" w:line="170"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color w:val="auto"/>
        </w:rPr>
        <w:t>THIRD: To the payment of the remainder, if any, to the Company or any other Person lawfully entitled thereto.</w:t>
      </w:r>
    </w:p>
    <w:p>
      <w:pPr>
        <w:spacing w:after="0" w:line="225" w:lineRule="exact"/>
        <w:rPr>
          <w:sz w:val="20"/>
          <w:szCs w:val="20"/>
          <w:color w:val="auto"/>
        </w:rPr>
      </w:pPr>
    </w:p>
    <w:p>
      <w:pPr>
        <w:ind w:left="660"/>
        <w:spacing w:after="0"/>
        <w:tabs>
          <w:tab w:leader="none" w:pos="2740" w:val="left"/>
        </w:tabs>
        <w:rPr>
          <w:sz w:val="20"/>
          <w:szCs w:val="20"/>
          <w:color w:val="auto"/>
        </w:rPr>
      </w:pPr>
      <w:r>
        <w:rPr>
          <w:rFonts w:ascii="Arial" w:cs="Arial" w:eastAsia="Arial" w:hAnsi="Arial"/>
          <w:sz w:val="18"/>
          <w:szCs w:val="18"/>
          <w:color w:val="auto"/>
        </w:rPr>
        <w:t>SECTION 6.04</w:t>
      </w:r>
      <w:r>
        <w:rPr>
          <w:sz w:val="20"/>
          <w:szCs w:val="20"/>
          <w:color w:val="auto"/>
        </w:rPr>
        <w:tab/>
      </w:r>
      <w:r>
        <w:rPr>
          <w:rFonts w:ascii="Arial" w:cs="Arial" w:eastAsia="Arial" w:hAnsi="Arial"/>
          <w:sz w:val="17"/>
          <w:szCs w:val="17"/>
          <w:u w:val="single" w:color="auto"/>
          <w:color w:val="auto"/>
        </w:rPr>
        <w:t>LIMITATION ON SUITS</w:t>
      </w:r>
      <w:r>
        <w:rPr>
          <w:rFonts w:ascii="Arial" w:cs="Arial" w:eastAsia="Arial" w:hAnsi="Arial"/>
          <w:sz w:val="17"/>
          <w:szCs w:val="17"/>
          <w:color w:val="auto"/>
        </w:rPr>
        <w:t>.</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60 days after its receipt of such notice, request and offer of indemnity, shall have failed to institute any such action, suit or proceeding and (v) during such 60 day period, the holders of a majority in principal amount of the Securities of that series do not give the Trustee a direction inconsistent with the request.</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8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6.05</w:t>
      </w:r>
      <w:r>
        <w:rPr>
          <w:sz w:val="20"/>
          <w:szCs w:val="20"/>
          <w:color w:val="auto"/>
        </w:rPr>
        <w:tab/>
      </w:r>
      <w:r>
        <w:rPr>
          <w:rFonts w:ascii="Arial" w:cs="Arial" w:eastAsia="Arial" w:hAnsi="Arial"/>
          <w:sz w:val="17"/>
          <w:szCs w:val="17"/>
          <w:u w:val="single" w:color="auto"/>
          <w:color w:val="auto"/>
        </w:rPr>
        <w:t>RIGHTS AND REMEDIES CUMULATIVE; DELAY OR OMISSION NOT WAIVER</w:t>
      </w:r>
      <w:r>
        <w:rPr>
          <w:rFonts w:ascii="Arial" w:cs="Arial" w:eastAsia="Arial" w:hAnsi="Arial"/>
          <w:sz w:val="17"/>
          <w:szCs w:val="17"/>
          <w:color w:val="auto"/>
        </w:rPr>
        <w:t>.</w:t>
      </w:r>
    </w:p>
    <w:p>
      <w:pPr>
        <w:spacing w:after="0" w:line="225" w:lineRule="exact"/>
        <w:rPr>
          <w:sz w:val="20"/>
          <w:szCs w:val="20"/>
          <w:color w:val="auto"/>
        </w:rPr>
      </w:pPr>
    </w:p>
    <w:p>
      <w:pPr>
        <w:ind w:right="80" w:firstLine="1304"/>
        <w:spacing w:after="0" w:line="259" w:lineRule="auto"/>
        <w:tabs>
          <w:tab w:leader="none" w:pos="191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ind w:right="80" w:firstLine="1304"/>
        <w:spacing w:after="0" w:line="301" w:lineRule="auto"/>
        <w:tabs>
          <w:tab w:leader="none" w:pos="191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5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6.06</w:t>
      </w:r>
      <w:r>
        <w:rPr>
          <w:sz w:val="20"/>
          <w:szCs w:val="20"/>
          <w:color w:val="auto"/>
        </w:rPr>
        <w:tab/>
      </w:r>
      <w:r>
        <w:rPr>
          <w:rFonts w:ascii="Arial" w:cs="Arial" w:eastAsia="Arial" w:hAnsi="Arial"/>
          <w:sz w:val="17"/>
          <w:szCs w:val="17"/>
          <w:u w:val="single" w:color="auto"/>
          <w:color w:val="auto"/>
        </w:rPr>
        <w:t>CONTROL BY SECURITYHOLDERS</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6.01(3)).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71" w:lineRule="exact"/>
        <w:rPr>
          <w:sz w:val="20"/>
          <w:szCs w:val="20"/>
          <w:color w:val="auto"/>
        </w:rPr>
      </w:pPr>
    </w:p>
    <w:p>
      <w:pPr>
        <w:ind w:left="660"/>
        <w:spacing w:after="0"/>
        <w:tabs>
          <w:tab w:leader="none" w:pos="220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7"/>
          <w:szCs w:val="17"/>
          <w:u w:val="single" w:color="auto"/>
          <w:color w:val="auto"/>
        </w:rPr>
        <w:t>UNDERTAKING TO PAY COSTS</w:t>
      </w:r>
      <w:r>
        <w:rPr>
          <w:rFonts w:ascii="Arial" w:cs="Arial" w:eastAsia="Arial" w:hAnsi="Arial"/>
          <w:sz w:val="17"/>
          <w:szCs w:val="17"/>
          <w:color w:val="auto"/>
        </w:rPr>
        <w:t>.</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3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b w:val="1"/>
          <w:bCs w:val="1"/>
          <w:u w:val="single" w:color="auto"/>
          <w:color w:val="auto"/>
        </w:rPr>
        <w:t>CONCERNING THE TRUSTEE</w:t>
      </w:r>
    </w:p>
    <w:p>
      <w:pPr>
        <w:spacing w:after="0" w:line="229" w:lineRule="exact"/>
        <w:rPr>
          <w:sz w:val="20"/>
          <w:szCs w:val="20"/>
          <w:color w:val="auto"/>
        </w:rPr>
      </w:pPr>
    </w:p>
    <w:p>
      <w:pPr>
        <w:ind w:left="640"/>
        <w:spacing w:after="0"/>
        <w:tabs>
          <w:tab w:leader="none" w:pos="224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7"/>
          <w:szCs w:val="17"/>
          <w:u w:val="single" w:color="auto"/>
          <w:color w:val="auto"/>
        </w:rPr>
        <w:t>CERTAIN DUTIES AND RESPONSIBILITIES OF TRUSTEE</w:t>
      </w:r>
      <w:r>
        <w:rPr>
          <w:rFonts w:ascii="Arial" w:cs="Arial" w:eastAsia="Arial" w:hAnsi="Arial"/>
          <w:sz w:val="17"/>
          <w:szCs w:val="17"/>
          <w:color w:val="auto"/>
        </w:rPr>
        <w:t>.</w:t>
      </w:r>
    </w:p>
    <w:p>
      <w:pPr>
        <w:spacing w:after="0" w:line="225" w:lineRule="exact"/>
        <w:rPr>
          <w:sz w:val="20"/>
          <w:szCs w:val="20"/>
          <w:color w:val="auto"/>
        </w:rPr>
      </w:pPr>
    </w:p>
    <w:p>
      <w:pPr>
        <w:ind w:left="-20" w:right="20" w:firstLine="656"/>
        <w:spacing w:after="0" w:line="273" w:lineRule="auto"/>
        <w:tabs>
          <w:tab w:leader="none" w:pos="883"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77" w:lineRule="exact"/>
        <w:rPr>
          <w:rFonts w:ascii="Arial" w:cs="Arial" w:eastAsia="Arial" w:hAnsi="Arial"/>
          <w:sz w:val="17"/>
          <w:szCs w:val="17"/>
          <w:color w:val="auto"/>
        </w:rPr>
      </w:pPr>
    </w:p>
    <w:p>
      <w:pPr>
        <w:ind w:left="-20" w:right="20" w:firstLine="656"/>
        <w:spacing w:after="0" w:line="263" w:lineRule="auto"/>
        <w:tabs>
          <w:tab w:leader="none" w:pos="883"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 prior to the occurrence of an Event of Default with respect to the Securities of a series and after the curing or waiving of all such Events of Default with respect to that series that may have occurred:</w:t>
      </w:r>
    </w:p>
    <w:p>
      <w:pPr>
        <w:spacing w:after="0" w:line="183" w:lineRule="exact"/>
        <w:rPr>
          <w:rFonts w:ascii="Arial" w:cs="Arial" w:eastAsia="Arial" w:hAnsi="Arial"/>
          <w:sz w:val="18"/>
          <w:szCs w:val="18"/>
          <w:color w:val="auto"/>
        </w:rPr>
      </w:pPr>
    </w:p>
    <w:p>
      <w:pPr>
        <w:ind w:left="640" w:right="100" w:firstLine="1292"/>
        <w:spacing w:after="0" w:line="259" w:lineRule="auto"/>
        <w:tabs>
          <w:tab w:leader="none" w:pos="2815"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w:t>
      </w:r>
    </w:p>
    <w:p>
      <w:pPr>
        <w:spacing w:after="0" w:line="186" w:lineRule="exact"/>
        <w:rPr>
          <w:rFonts w:ascii="Arial" w:cs="Arial" w:eastAsia="Arial" w:hAnsi="Arial"/>
          <w:sz w:val="18"/>
          <w:szCs w:val="18"/>
          <w:color w:val="auto"/>
        </w:rPr>
      </w:pPr>
    </w:p>
    <w:p>
      <w:pPr>
        <w:ind w:left="640" w:firstLine="1292"/>
        <w:spacing w:after="0" w:line="257" w:lineRule="auto"/>
        <w:tabs>
          <w:tab w:leader="none" w:pos="2805" w:val="left"/>
        </w:tabs>
        <w:numPr>
          <w:ilvl w:val="1"/>
          <w:numId w:val="61"/>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only be under a duty to examine the same to determine whether or not they conform to the requirement of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58" w:name="page59"/>
    <w:bookmarkEnd w:id="58"/>
    <w:p>
      <w:pPr>
        <w:ind w:left="620" w:right="60" w:firstLine="1292"/>
        <w:spacing w:after="0" w:line="277" w:lineRule="auto"/>
        <w:tabs>
          <w:tab w:leader="none" w:pos="278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ind w:left="620" w:right="140" w:firstLine="1292"/>
        <w:spacing w:after="0" w:line="259" w:lineRule="auto"/>
        <w:tabs>
          <w:tab w:leader="none" w:pos="27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86" w:lineRule="exact"/>
        <w:rPr>
          <w:rFonts w:ascii="Arial" w:cs="Arial" w:eastAsia="Arial" w:hAnsi="Arial"/>
          <w:sz w:val="18"/>
          <w:szCs w:val="18"/>
          <w:color w:val="auto"/>
        </w:rPr>
      </w:pPr>
    </w:p>
    <w:p>
      <w:pPr>
        <w:jc w:val="both"/>
        <w:ind w:left="620" w:right="300" w:firstLine="1292"/>
        <w:spacing w:after="0" w:line="259" w:lineRule="auto"/>
        <w:tabs>
          <w:tab w:leader="none" w:pos="27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87" w:lineRule="exact"/>
        <w:rPr>
          <w:sz w:val="20"/>
          <w:szCs w:val="20"/>
          <w:color w:val="auto"/>
        </w:rPr>
      </w:pPr>
    </w:p>
    <w:p>
      <w:pPr>
        <w:ind w:left="620"/>
        <w:spacing w:after="0"/>
        <w:tabs>
          <w:tab w:leader="none" w:pos="22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CERTAIN RIGHTS OF TRUSTEE</w:t>
      </w:r>
      <w:r>
        <w:rPr>
          <w:rFonts w:ascii="Arial" w:cs="Arial" w:eastAsia="Arial" w:hAnsi="Arial"/>
          <w:sz w:val="16"/>
          <w:szCs w:val="16"/>
          <w:color w:val="auto"/>
        </w:rPr>
        <w:t>.</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ind w:left="-40" w:right="300" w:firstLine="1304"/>
        <w:spacing w:after="0" w:line="263" w:lineRule="auto"/>
        <w:tabs>
          <w:tab w:leader="none" w:pos="18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ind w:left="-40" w:right="20" w:firstLine="1304"/>
        <w:spacing w:after="0" w:line="263" w:lineRule="auto"/>
        <w:tabs>
          <w:tab w:leader="none" w:pos="18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83" w:lineRule="exact"/>
        <w:rPr>
          <w:rFonts w:ascii="Arial" w:cs="Arial" w:eastAsia="Arial" w:hAnsi="Arial"/>
          <w:sz w:val="18"/>
          <w:szCs w:val="18"/>
          <w:color w:val="auto"/>
        </w:rPr>
      </w:pPr>
    </w:p>
    <w:p>
      <w:pPr>
        <w:ind w:left="-40" w:right="440" w:firstLine="1304"/>
        <w:spacing w:after="0" w:line="308" w:lineRule="auto"/>
        <w:tabs>
          <w:tab w:leader="none" w:pos="187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may consult with counsel and the advice of such counsel or any Opinion of Counsel shall be full and complete authorization and protection in respect of any action taken or suffered or omitted hereunder in good faith and in reliance thereon;</w:t>
      </w:r>
    </w:p>
    <w:p>
      <w:pPr>
        <w:spacing w:after="0" w:line="146" w:lineRule="exact"/>
        <w:rPr>
          <w:rFonts w:ascii="Arial" w:cs="Arial" w:eastAsia="Arial" w:hAnsi="Arial"/>
          <w:sz w:val="17"/>
          <w:szCs w:val="17"/>
          <w:color w:val="auto"/>
        </w:rPr>
      </w:pPr>
    </w:p>
    <w:p>
      <w:pPr>
        <w:ind w:left="-40" w:firstLine="1304"/>
        <w:spacing w:after="0" w:line="273" w:lineRule="auto"/>
        <w:tabs>
          <w:tab w:leader="none" w:pos="187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60" w:top="908" w:right="359" w:bottom="1440" w:gutter="0" w:footer="0" w:header="0"/>
        </w:sectPr>
      </w:pPr>
    </w:p>
    <w:bookmarkStart w:id="59" w:name="page60"/>
    <w:bookmarkEnd w:id="59"/>
    <w:p>
      <w:pPr>
        <w:ind w:left="1920" w:hanging="616"/>
        <w:spacing w:after="0"/>
        <w:tabs>
          <w:tab w:leader="none" w:pos="1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w:t>
      </w:r>
    </w:p>
    <w:p>
      <w:pPr>
        <w:spacing w:after="0" w:line="225" w:lineRule="exact"/>
        <w:rPr>
          <w:rFonts w:ascii="Arial" w:cs="Arial" w:eastAsia="Arial" w:hAnsi="Arial"/>
          <w:sz w:val="18"/>
          <w:szCs w:val="18"/>
          <w:color w:val="auto"/>
        </w:rPr>
      </w:pPr>
    </w:p>
    <w:p>
      <w:pPr>
        <w:ind w:right="60" w:firstLine="1304"/>
        <w:spacing w:after="0" w:line="291" w:lineRule="auto"/>
        <w:tabs>
          <w:tab w:leader="none" w:pos="191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66" w:lineRule="exact"/>
        <w:rPr>
          <w:rFonts w:ascii="Arial" w:cs="Arial" w:eastAsia="Arial" w:hAnsi="Arial"/>
          <w:sz w:val="16"/>
          <w:szCs w:val="16"/>
          <w:color w:val="auto"/>
        </w:rPr>
      </w:pPr>
    </w:p>
    <w:p>
      <w:pPr>
        <w:ind w:right="140" w:firstLine="1304"/>
        <w:spacing w:after="0" w:line="263" w:lineRule="auto"/>
        <w:tabs>
          <w:tab w:leader="none" w:pos="191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acts or omissions on the part of any agent or attorney appointed with due care by it hereunder.</w:t>
      </w:r>
    </w:p>
    <w:p>
      <w:pPr>
        <w:spacing w:after="0" w:line="183" w:lineRule="exact"/>
        <w:rPr>
          <w:rFonts w:ascii="Arial" w:cs="Arial" w:eastAsia="Arial" w:hAnsi="Arial"/>
          <w:sz w:val="18"/>
          <w:szCs w:val="18"/>
          <w:color w:val="auto"/>
        </w:rPr>
      </w:pPr>
    </w:p>
    <w:p>
      <w:pPr>
        <w:ind w:right="140" w:firstLine="1304"/>
        <w:spacing w:after="0" w:line="342" w:lineRule="auto"/>
        <w:tabs>
          <w:tab w:leader="none" w:pos="191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no event shall the Trustee be liable for any consequential, punitive, special, or indirect loss or damage of any kind (including but not limited to lost profits), even if the Trustee has been advised of the likelihood of such loss or damage and regardless of the form of action.</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In addition, the Trustee shall not be deemed to have knowledge of any Default or Event of Default except any Default or Event of Default of which the Trustee shall have received written notification at its Corporate Trust Office in the manner set forth in this Indenture or a Responsible Officer of the Trustee shall have obtained actual knowledge.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shall have no liability or responsibility for the filing, timeliness, or content of such reports, information, or documents.</w:t>
      </w:r>
    </w:p>
    <w:p>
      <w:pPr>
        <w:spacing w:after="0" w:line="19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u w:val="single" w:color="auto"/>
          <w:color w:val="auto"/>
        </w:rPr>
        <w:t>TRUSTEE NOT RESPONSIBLE FOR RECITALS OR ISSUANCE OR SECURITIES</w:t>
      </w:r>
      <w:r>
        <w:rPr>
          <w:rFonts w:ascii="Arial" w:cs="Arial" w:eastAsia="Arial" w:hAnsi="Arial"/>
          <w:sz w:val="16"/>
          <w:szCs w:val="16"/>
          <w:color w:val="auto"/>
        </w:rPr>
        <w:t>.</w:t>
      </w:r>
    </w:p>
    <w:p>
      <w:pPr>
        <w:spacing w:after="0" w:line="225" w:lineRule="exact"/>
        <w:rPr>
          <w:sz w:val="20"/>
          <w:szCs w:val="20"/>
          <w:color w:val="auto"/>
        </w:rPr>
      </w:pPr>
    </w:p>
    <w:p>
      <w:pPr>
        <w:ind w:right="160" w:firstLine="1304"/>
        <w:spacing w:after="0" w:line="277" w:lineRule="auto"/>
        <w:tabs>
          <w:tab w:leader="none" w:pos="191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1920" w:hanging="616"/>
        <w:spacing w:after="0"/>
        <w:tabs>
          <w:tab w:leader="none" w:pos="1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0" w:name="page61"/>
    <w:bookmarkEnd w:id="60"/>
    <w:p>
      <w:pPr>
        <w:ind w:right="360" w:firstLine="1304"/>
        <w:spacing w:after="0" w:line="311" w:lineRule="auto"/>
        <w:tabs>
          <w:tab w:leader="none" w:pos="191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49"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7"/>
          <w:szCs w:val="17"/>
          <w:u w:val="single" w:color="auto"/>
          <w:color w:val="auto"/>
        </w:rPr>
        <w:t>MAY HOLD SECURITIES</w:t>
      </w:r>
      <w:r>
        <w:rPr>
          <w:rFonts w:ascii="Arial" w:cs="Arial" w:eastAsia="Arial" w:hAnsi="Arial"/>
          <w:sz w:val="17"/>
          <w:szCs w:val="17"/>
          <w:color w:val="auto"/>
        </w:rPr>
        <w:t>.</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7"/>
          <w:szCs w:val="17"/>
          <w:u w:val="single" w:color="auto"/>
          <w:color w:val="auto"/>
        </w:rPr>
        <w:t>MONEYS HELD IN TRUST</w:t>
      </w:r>
      <w:r>
        <w:rPr>
          <w:rFonts w:ascii="Arial" w:cs="Arial" w:eastAsia="Arial" w:hAnsi="Arial"/>
          <w:sz w:val="17"/>
          <w:szCs w:val="17"/>
          <w:color w:val="auto"/>
        </w:rPr>
        <w:t>.</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65"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7"/>
          <w:szCs w:val="17"/>
          <w:u w:val="single" w:color="auto"/>
          <w:color w:val="auto"/>
        </w:rPr>
        <w:t>COMPENSATION AND REIMBURSEMENT</w:t>
      </w:r>
      <w:r>
        <w:rPr>
          <w:rFonts w:ascii="Arial" w:cs="Arial" w:eastAsia="Arial" w:hAnsi="Arial"/>
          <w:sz w:val="17"/>
          <w:szCs w:val="17"/>
          <w:color w:val="auto"/>
        </w:rPr>
        <w:t>.</w:t>
      </w:r>
    </w:p>
    <w:p>
      <w:pPr>
        <w:spacing w:after="0" w:line="225" w:lineRule="exact"/>
        <w:rPr>
          <w:sz w:val="20"/>
          <w:szCs w:val="20"/>
          <w:color w:val="auto"/>
        </w:rPr>
      </w:pPr>
    </w:p>
    <w:p>
      <w:pPr>
        <w:ind w:firstLine="1304"/>
        <w:spacing w:after="0" w:line="268" w:lineRule="auto"/>
        <w:tabs>
          <w:tab w:leader="none" w:pos="191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willful misconduct as determined by a court of competent jurisdiction in a final and non-appealable decision and except as the Company and Trustee may from time to time agree in writing. The Company also covenants to indemnify the Trustee (and its officers, agents, directors and employees) for, and to hold it harmless against, any loss, claim, liability or expense incurred without negligence or willful misconduct as determined by a court of competent jurisdiction in a final and non-appealable decision on the part of the Trustee and arising out of or in connection with the acceptance or administration of its duties under this Indenture, including the reasonable costs and expenses of defending itself against any claim of liability in connection with the exercise or performance of any of its powers or duties under this Indenture, and the costs and expenses of enforcing this Indenture against the Company.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ind w:firstLine="1304"/>
        <w:spacing w:after="0" w:line="257" w:lineRule="auto"/>
        <w:tabs>
          <w:tab w:leader="none" w:pos="191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reasonable expenses, disbursements and advances shall (i) survive resignation or removal of the Trustee and termination of the Indenture, and (ii)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7.07</w:t>
      </w:r>
      <w:r>
        <w:rPr>
          <w:sz w:val="20"/>
          <w:szCs w:val="20"/>
          <w:color w:val="auto"/>
        </w:rPr>
        <w:tab/>
      </w:r>
      <w:r>
        <w:rPr>
          <w:rFonts w:ascii="Arial" w:cs="Arial" w:eastAsia="Arial" w:hAnsi="Arial"/>
          <w:sz w:val="17"/>
          <w:szCs w:val="17"/>
          <w:u w:val="single" w:color="auto"/>
          <w:color w:val="auto"/>
        </w:rPr>
        <w:t>RELIANCE ON OFFICERS’ CERTIFICATE</w:t>
      </w:r>
      <w:r>
        <w:rPr>
          <w:rFonts w:ascii="Arial" w:cs="Arial" w:eastAsia="Arial" w:hAnsi="Arial"/>
          <w:sz w:val="17"/>
          <w:szCs w:val="17"/>
          <w:color w:val="auto"/>
        </w:rPr>
        <w:t>.</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willful misconduct on the part of the Trustee, be deemed to be conclusively proved and established by an Officers’ Certificate delivered to the Trustee and such certificate, in the absence of negligence or willful misconduct on the part of the Trustee, shall be full warrant to the Trustee for any action taken, suffered or omitted to be taken by it under the provisions of this Indenture upon the faith thereof.</w:t>
      </w:r>
    </w:p>
    <w:p>
      <w:pPr>
        <w:spacing w:after="0" w:line="192"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7"/>
          <w:szCs w:val="17"/>
          <w:u w:val="single" w:color="auto"/>
          <w:color w:val="auto"/>
        </w:rPr>
        <w:t>DISQUALIFICATION; CONFLICTING INTERESTS</w:t>
      </w:r>
      <w:r>
        <w:rPr>
          <w:rFonts w:ascii="Arial" w:cs="Arial" w:eastAsia="Arial" w:hAnsi="Arial"/>
          <w:sz w:val="17"/>
          <w:szCs w:val="17"/>
          <w:color w:val="auto"/>
        </w:rPr>
        <w: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7.09</w:t>
      </w:r>
      <w:r>
        <w:rPr>
          <w:sz w:val="20"/>
          <w:szCs w:val="20"/>
          <w:color w:val="auto"/>
        </w:rPr>
        <w:tab/>
      </w:r>
      <w:r>
        <w:rPr>
          <w:rFonts w:ascii="Arial" w:cs="Arial" w:eastAsia="Arial" w:hAnsi="Arial"/>
          <w:sz w:val="17"/>
          <w:szCs w:val="17"/>
          <w:u w:val="single" w:color="auto"/>
          <w:color w:val="auto"/>
        </w:rPr>
        <w:t>CORPORATE TRUSTEE REQUIRED; ELIGIBILITY</w:t>
      </w:r>
      <w:r>
        <w:rPr>
          <w:rFonts w:ascii="Arial" w:cs="Arial" w:eastAsia="Arial" w:hAnsi="Arial"/>
          <w:sz w:val="17"/>
          <w:szCs w:val="17"/>
          <w:color w:val="auto"/>
        </w:rPr>
        <w:t>.</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Securities and Exchange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2" w:name="page63"/>
    <w:bookmarkEnd w:id="62"/>
    <w:p>
      <w:pPr>
        <w:ind w:left="660"/>
        <w:spacing w:after="0"/>
        <w:tabs>
          <w:tab w:leader="none" w:pos="226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RESIGNATION AND REMOVAL; APPOINTMENT OF SUCCESSOR</w:t>
      </w:r>
      <w:r>
        <w:rPr>
          <w:rFonts w:ascii="Arial" w:cs="Arial" w:eastAsia="Arial" w:hAnsi="Arial"/>
          <w:sz w:val="17"/>
          <w:szCs w:val="17"/>
          <w:color w:val="auto"/>
        </w:rPr>
        <w:t>.</w:t>
      </w:r>
    </w:p>
    <w:p>
      <w:pPr>
        <w:spacing w:after="0" w:line="225" w:lineRule="exact"/>
        <w:rPr>
          <w:sz w:val="20"/>
          <w:szCs w:val="20"/>
          <w:color w:val="auto"/>
        </w:rPr>
      </w:pPr>
    </w:p>
    <w:p>
      <w:pPr>
        <w:ind w:right="180" w:firstLine="1304"/>
        <w:spacing w:after="0" w:line="277" w:lineRule="auto"/>
        <w:tabs>
          <w:tab w:leader="none" w:pos="191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or any successor hereafter appointed may at any time resign with respect to the Securities of one or more series by giving written notice thereof to the Company.</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Upon receiving such notice of resignation, the Company shall promptly appoint a successor trustee with respect to Securities of such series by written instrument. If no successor trustee shall have been so appointed and have accepted appointment within 60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78" w:lineRule="exact"/>
        <w:rPr>
          <w:sz w:val="20"/>
          <w:szCs w:val="20"/>
          <w:color w:val="auto"/>
        </w:rPr>
      </w:pPr>
    </w:p>
    <w:p>
      <w:pPr>
        <w:ind w:left="1920" w:hanging="616"/>
        <w:spacing w:after="0"/>
        <w:tabs>
          <w:tab w:leader="none" w:pos="19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660" w:right="60" w:firstLine="1292"/>
        <w:spacing w:after="0" w:line="277" w:lineRule="auto"/>
        <w:tabs>
          <w:tab w:leader="none" w:pos="283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left="660" w:right="180" w:firstLine="1292"/>
        <w:spacing w:after="0" w:line="277" w:lineRule="auto"/>
        <w:tabs>
          <w:tab w:leader="none" w:pos="2825"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ind w:left="660" w:right="20" w:firstLine="1292"/>
        <w:spacing w:after="0" w:line="286" w:lineRule="auto"/>
        <w:tabs>
          <w:tab w:leader="none" w:pos="2825" w:val="left"/>
        </w:tabs>
        <w:numPr>
          <w:ilvl w:val="1"/>
          <w:numId w:val="70"/>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6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61" w:lineRule="exact"/>
        <w:rPr>
          <w:sz w:val="20"/>
          <w:szCs w:val="20"/>
          <w:color w:val="auto"/>
        </w:rPr>
      </w:pPr>
    </w:p>
    <w:p>
      <w:pPr>
        <w:ind w:right="80" w:firstLine="1304"/>
        <w:spacing w:after="0" w:line="263" w:lineRule="auto"/>
        <w:tabs>
          <w:tab w:leader="none" w:pos="19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in writing and may appoint a successor Trustee for such series with the consent of the Company.</w:t>
      </w:r>
    </w:p>
    <w:p>
      <w:pPr>
        <w:spacing w:after="0" w:line="183" w:lineRule="exact"/>
        <w:rPr>
          <w:rFonts w:ascii="Arial" w:cs="Arial" w:eastAsia="Arial" w:hAnsi="Arial"/>
          <w:sz w:val="18"/>
          <w:szCs w:val="18"/>
          <w:color w:val="auto"/>
        </w:rPr>
      </w:pPr>
    </w:p>
    <w:p>
      <w:pPr>
        <w:ind w:right="320" w:firstLine="1304"/>
        <w:spacing w:after="0" w:line="263" w:lineRule="auto"/>
        <w:tabs>
          <w:tab w:leader="none" w:pos="19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83" w:lineRule="exact"/>
        <w:rPr>
          <w:rFonts w:ascii="Arial" w:cs="Arial" w:eastAsia="Arial" w:hAnsi="Arial"/>
          <w:sz w:val="18"/>
          <w:szCs w:val="18"/>
          <w:color w:val="auto"/>
        </w:rPr>
      </w:pPr>
    </w:p>
    <w:p>
      <w:pPr>
        <w:ind w:right="40" w:firstLine="1304"/>
        <w:spacing w:after="0" w:line="277" w:lineRule="auto"/>
        <w:tabs>
          <w:tab w:leader="none" w:pos="191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3" w:name="page64"/>
    <w:bookmarkEnd w:id="63"/>
    <w:p>
      <w:pPr>
        <w:ind w:left="640"/>
        <w:spacing w:after="0"/>
        <w:tabs>
          <w:tab w:leader="none" w:pos="222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7"/>
          <w:szCs w:val="17"/>
          <w:u w:val="single" w:color="auto"/>
          <w:color w:val="auto"/>
        </w:rPr>
        <w:t>ACCEPTANCE OF APPOINTMENT BY SUCCESSOR</w:t>
      </w:r>
      <w:r>
        <w:rPr>
          <w:rFonts w:ascii="Arial" w:cs="Arial" w:eastAsia="Arial" w:hAnsi="Arial"/>
          <w:sz w:val="17"/>
          <w:szCs w:val="17"/>
          <w:color w:val="auto"/>
        </w:rPr>
        <w:t>.</w:t>
      </w:r>
    </w:p>
    <w:p>
      <w:pPr>
        <w:spacing w:after="0" w:line="225" w:lineRule="exact"/>
        <w:rPr>
          <w:sz w:val="20"/>
          <w:szCs w:val="20"/>
          <w:color w:val="auto"/>
        </w:rPr>
      </w:pPr>
    </w:p>
    <w:p>
      <w:pPr>
        <w:ind w:left="-20" w:right="40" w:firstLine="1304"/>
        <w:spacing w:after="0" w:line="293" w:lineRule="auto"/>
        <w:tabs>
          <w:tab w:leader="none" w:pos="189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 written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4" w:lineRule="exact"/>
        <w:rPr>
          <w:rFonts w:ascii="Arial" w:cs="Arial" w:eastAsia="Arial" w:hAnsi="Arial"/>
          <w:sz w:val="16"/>
          <w:szCs w:val="16"/>
          <w:color w:val="auto"/>
        </w:rPr>
      </w:pPr>
    </w:p>
    <w:p>
      <w:pPr>
        <w:ind w:left="-20" w:firstLine="1304"/>
        <w:spacing w:after="0" w:line="285" w:lineRule="auto"/>
        <w:tabs>
          <w:tab w:leader="none" w:pos="189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64" w:name="page65"/>
    <w:bookmarkEnd w:id="64"/>
    <w:p>
      <w:pPr>
        <w:ind w:right="140" w:firstLine="1304"/>
        <w:spacing w:after="0" w:line="342" w:lineRule="auto"/>
        <w:tabs>
          <w:tab w:leader="none" w:pos="1910" w:val="left"/>
        </w:tabs>
        <w:numPr>
          <w:ilvl w:val="0"/>
          <w:numId w:val="73"/>
        </w:numPr>
        <w:rPr>
          <w:rFonts w:ascii="Arial" w:cs="Arial" w:eastAsia="Arial" w:hAnsi="Arial"/>
          <w:sz w:val="16"/>
          <w:szCs w:val="16"/>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paragraph (1) or (2) of this Section, as the case may be.</w:t>
      </w:r>
    </w:p>
    <w:p>
      <w:pPr>
        <w:spacing w:after="0" w:line="123" w:lineRule="exact"/>
        <w:rPr>
          <w:rFonts w:ascii="Arial" w:cs="Arial" w:eastAsia="Arial" w:hAnsi="Arial"/>
          <w:sz w:val="16"/>
          <w:szCs w:val="16"/>
          <w:color w:val="auto"/>
        </w:rPr>
      </w:pPr>
    </w:p>
    <w:p>
      <w:pPr>
        <w:ind w:right="180" w:firstLine="1304"/>
        <w:spacing w:after="0" w:line="277" w:lineRule="auto"/>
        <w:tabs>
          <w:tab w:leader="none" w:pos="19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jc w:val="both"/>
        <w:ind w:right="200" w:firstLine="1304"/>
        <w:spacing w:after="0" w:line="259" w:lineRule="auto"/>
        <w:tabs>
          <w:tab w:leader="none" w:pos="19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8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7.12</w:t>
      </w:r>
      <w:r>
        <w:rPr>
          <w:sz w:val="20"/>
          <w:szCs w:val="20"/>
          <w:color w:val="auto"/>
        </w:rPr>
        <w:tab/>
      </w:r>
      <w:r>
        <w:rPr>
          <w:rFonts w:ascii="Arial" w:cs="Arial" w:eastAsia="Arial" w:hAnsi="Arial"/>
          <w:sz w:val="17"/>
          <w:szCs w:val="17"/>
          <w:u w:val="single" w:color="auto"/>
          <w:color w:val="auto"/>
        </w:rPr>
        <w:t>MERGER, CONVERSION, CONSOLIDATION OR SUCCESSION TO BUSINESS</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Any corporation into which the Trustee may be merged or converted or with which it may be consolidated or to which its assets may be sold, or any corporation resulting from any merger, conversion or consolidation or sale of assets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66"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7.13</w:t>
      </w:r>
      <w:r>
        <w:rPr>
          <w:sz w:val="20"/>
          <w:szCs w:val="20"/>
          <w:color w:val="auto"/>
        </w:rPr>
        <w:tab/>
      </w:r>
      <w:r>
        <w:rPr>
          <w:rFonts w:ascii="Arial" w:cs="Arial" w:eastAsia="Arial" w:hAnsi="Arial"/>
          <w:sz w:val="17"/>
          <w:szCs w:val="17"/>
          <w:u w:val="single" w:color="auto"/>
          <w:color w:val="auto"/>
        </w:rPr>
        <w:t>PREFERENTIAL COLLECTION OF CLAIMS AGAINST THE COMPANY</w:t>
      </w:r>
      <w:r>
        <w:rPr>
          <w:rFonts w:ascii="Arial" w:cs="Arial" w:eastAsia="Arial" w:hAnsi="Arial"/>
          <w:sz w:val="17"/>
          <w:szCs w:val="17"/>
          <w:color w:val="auto"/>
        </w:rPr>
        <w:t>.</w:t>
      </w:r>
    </w:p>
    <w:p>
      <w:pPr>
        <w:spacing w:after="0" w:line="22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84"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7.14</w:t>
      </w:r>
      <w:r>
        <w:rPr>
          <w:sz w:val="20"/>
          <w:szCs w:val="20"/>
          <w:color w:val="auto"/>
        </w:rPr>
        <w:tab/>
      </w:r>
      <w:r>
        <w:rPr>
          <w:rFonts w:ascii="Arial" w:cs="Arial" w:eastAsia="Arial" w:hAnsi="Arial"/>
          <w:sz w:val="17"/>
          <w:szCs w:val="17"/>
          <w:u w:val="single" w:color="auto"/>
          <w:color w:val="auto"/>
        </w:rPr>
        <w:t>NOTICE OF DEFAULT</w:t>
      </w:r>
      <w:r>
        <w:rPr>
          <w:rFonts w:ascii="Arial" w:cs="Arial" w:eastAsia="Arial" w:hAnsi="Arial"/>
          <w:sz w:val="17"/>
          <w:szCs w:val="17"/>
          <w:color w:val="auto"/>
        </w:rPr>
        <w:t>.</w:t>
      </w:r>
    </w:p>
    <w:p>
      <w:pPr>
        <w:spacing w:after="0" w:line="225"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If any Default or any Event of Default occurs and is continuing and if such Default or Event of Default is actually known to a Responsible Officer of the Trustee, the Trustee shall mail to each Securityholder in the manner and to the extent provided in Section 313(c) of the Trust Indenture Act notice of the Default or Event of Default within 90 days after it occurs, unless such Default or Event of Default has been cured; provided, however, that, except in the case of a default in the payment of the principal of (or premium, if any) or interest on any Security, the Trustee shall be 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CONCERNING THE SECURITYHOLDERS</w:t>
      </w:r>
    </w:p>
    <w:p>
      <w:pPr>
        <w:spacing w:after="0" w:line="229"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7"/>
          <w:szCs w:val="17"/>
          <w:u w:val="single" w:color="auto"/>
          <w:color w:val="auto"/>
        </w:rPr>
        <w:t>EVIDENCE OF ACTION BY SECURITYHOLDERS</w:t>
      </w:r>
      <w:r>
        <w:rPr>
          <w:rFonts w:ascii="Arial" w:cs="Arial" w:eastAsia="Arial" w:hAnsi="Arial"/>
          <w:sz w:val="17"/>
          <w:szCs w:val="17"/>
          <w:color w:val="auto"/>
        </w:rPr>
        <w:t>.</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Whenever in this Indenture it is provided that the Securityholders of a specified percentage or a majority in aggregate principal amount of the Securities or of any series of Securities may take any action (including the making of any demand or request, the giving of any notice, consent or waiver or the taking of any other action), the fact that at the time of taking any such action the Securityholders of such specified percentage or majority have joined therein may be evidenced by any instrument or any number of instruments of similar tenor executed by Securityholders in person, by an agent or by a proxy appointed in writing, including through an electronic system for tabulating consents operated by the Depositary for such series or otherwise (such action becoming effective, except as herein otherwise expressly provided, when such instruments or evidence of electronic consents are delivered to the Trustee and, where it is hereby expressly required, to the Company).</w:t>
      </w:r>
    </w:p>
    <w:p>
      <w:pPr>
        <w:spacing w:after="0" w:line="177"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If the Company shall solicit from the Securityholders of any series any request, demand, authorization, direction, notice, consent, waiver or other action, the Company may, at its option, as evidenced by a Company Order,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w:t>
      </w:r>
    </w:p>
    <w:p>
      <w:pPr>
        <w:spacing w:after="0" w:line="178"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7"/>
          <w:szCs w:val="17"/>
          <w:u w:val="single" w:color="auto"/>
          <w:color w:val="auto"/>
        </w:rPr>
        <w:t>PROOF OF EXECUTION BY SECURITYHOLDERS</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6" w:lineRule="exact"/>
        <w:rPr>
          <w:sz w:val="20"/>
          <w:szCs w:val="20"/>
          <w:color w:val="auto"/>
        </w:rPr>
      </w:pPr>
    </w:p>
    <w:p>
      <w:pPr>
        <w:ind w:left="1920" w:hanging="616"/>
        <w:spacing w:after="0"/>
        <w:tabs>
          <w:tab w:leader="none" w:pos="19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fact and date of the execution by any such Person of any instrument may be proved in any reasonable manner acceptable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Trustee.</w:t>
      </w:r>
    </w:p>
    <w:p>
      <w:pPr>
        <w:spacing w:after="0" w:line="211" w:lineRule="exact"/>
        <w:rPr>
          <w:sz w:val="20"/>
          <w:szCs w:val="20"/>
          <w:color w:val="auto"/>
        </w:rPr>
      </w:pPr>
    </w:p>
    <w:p>
      <w:pPr>
        <w:ind w:left="1920" w:hanging="616"/>
        <w:spacing w:after="0"/>
        <w:tabs>
          <w:tab w:leader="none" w:pos="192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ownership of Securities shall be proved by the Security Register of such Securities or by a certificate of the Security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Registrar thereof.</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25"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7"/>
          <w:szCs w:val="17"/>
          <w:u w:val="single" w:color="auto"/>
          <w:color w:val="auto"/>
        </w:rPr>
        <w:t>WHO MAY BE DEEMED OWNERS</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9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7"/>
          <w:szCs w:val="17"/>
          <w:u w:val="single" w:color="auto"/>
          <w:color w:val="auto"/>
        </w:rPr>
        <w:t>CERTAIN SECURITIES OWNED BY COMPANY DISREGARDED</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6"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7"/>
          <w:szCs w:val="17"/>
          <w:u w:val="single" w:color="auto"/>
          <w:color w:val="auto"/>
        </w:rPr>
        <w:t>ACTIONS BINDING ON FUTURE SECURITYHOLDERS</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SUPPLEMENTAL INDENTURES</w:t>
      </w:r>
    </w:p>
    <w:p>
      <w:pPr>
        <w:spacing w:after="0" w:line="22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7"/>
          <w:szCs w:val="17"/>
          <w:u w:val="single" w:color="auto"/>
          <w:color w:val="auto"/>
        </w:rPr>
        <w:t>SUPPLEMENTAL INDENTURES WITHOUT THE CONSENT OF SECURITYHOLDERS</w:t>
      </w:r>
      <w:r>
        <w:rPr>
          <w:rFonts w:ascii="Arial" w:cs="Arial" w:eastAsia="Arial" w:hAnsi="Arial"/>
          <w:sz w:val="17"/>
          <w:szCs w:val="17"/>
          <w:color w:val="auto"/>
        </w:rPr>
        <w:t>.</w:t>
      </w:r>
    </w:p>
    <w:p>
      <w:pPr>
        <w:spacing w:after="0" w:line="225"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4" w:lineRule="exact"/>
        <w:rPr>
          <w:sz w:val="20"/>
          <w:szCs w:val="20"/>
          <w:color w:val="auto"/>
        </w:rPr>
      </w:pPr>
    </w:p>
    <w:p>
      <w:pPr>
        <w:ind w:right="280" w:firstLine="1304"/>
        <w:spacing w:after="0" w:line="279" w:lineRule="auto"/>
        <w:tabs>
          <w:tab w:leader="none" w:pos="21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to cure any ambiguity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spacing w:after="0" w:line="171" w:lineRule="exact"/>
        <w:rPr>
          <w:rFonts w:ascii="Arial" w:cs="Arial" w:eastAsia="Arial" w:hAnsi="Arial"/>
          <w:sz w:val="17"/>
          <w:szCs w:val="17"/>
          <w:color w:val="auto"/>
        </w:rPr>
      </w:pPr>
    </w:p>
    <w:p>
      <w:pPr>
        <w:ind w:left="2180" w:hanging="876"/>
        <w:spacing w:after="0"/>
        <w:tabs>
          <w:tab w:leader="none" w:pos="2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comply with Article Ten;</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firstLine="1304"/>
        <w:spacing w:after="0" w:line="257" w:lineRule="auto"/>
        <w:tabs>
          <w:tab w:leader="none" w:pos="2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7" w:lineRule="exact"/>
        <w:rPr>
          <w:rFonts w:ascii="Arial" w:cs="Arial" w:eastAsia="Arial" w:hAnsi="Arial"/>
          <w:sz w:val="18"/>
          <w:szCs w:val="18"/>
          <w:color w:val="auto"/>
        </w:rPr>
      </w:pPr>
    </w:p>
    <w:p>
      <w:pPr>
        <w:ind w:right="180" w:firstLine="1304"/>
        <w:spacing w:after="0" w:line="277" w:lineRule="auto"/>
        <w:tabs>
          <w:tab w:leader="none" w:pos="2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right="340" w:firstLine="1304"/>
        <w:spacing w:after="0" w:line="277" w:lineRule="auto"/>
        <w:tabs>
          <w:tab w:leader="none" w:pos="2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make any change herein or in any series of Securities that does not adversely affect the rights of any Securityholder of such series of Securities in any material respect;</w:t>
      </w:r>
    </w:p>
    <w:p>
      <w:pPr>
        <w:spacing w:after="0" w:line="170" w:lineRule="exact"/>
        <w:rPr>
          <w:rFonts w:ascii="Arial" w:cs="Arial" w:eastAsia="Arial" w:hAnsi="Arial"/>
          <w:sz w:val="18"/>
          <w:szCs w:val="18"/>
          <w:color w:val="auto"/>
        </w:rPr>
      </w:pPr>
    </w:p>
    <w:p>
      <w:pPr>
        <w:ind w:right="60" w:firstLine="1304"/>
        <w:spacing w:after="0" w:line="263" w:lineRule="auto"/>
        <w:tabs>
          <w:tab w:leader="none" w:pos="2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8" w:name="page69"/>
    <w:bookmarkEnd w:id="68"/>
    <w:p>
      <w:pPr>
        <w:ind w:right="320" w:firstLine="1304"/>
        <w:spacing w:after="0" w:line="263" w:lineRule="auto"/>
        <w:tabs>
          <w:tab w:leader="none" w:pos="2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change or eliminate any of the provisions of this Indenture; provided that any such change or elimination shall become effective only when there is no Outstanding Security of any series created prior to the execution of such supplemental indenture that is entitled to the benefit of such provision and as to which such supplemental indenture would apply;</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secure any series of Securities;</w:t>
      </w:r>
    </w:p>
    <w:p>
      <w:pPr>
        <w:spacing w:after="0" w:line="225" w:lineRule="exact"/>
        <w:rPr>
          <w:rFonts w:ascii="Arial" w:cs="Arial" w:eastAsia="Arial" w:hAnsi="Arial"/>
          <w:sz w:val="18"/>
          <w:szCs w:val="18"/>
          <w:color w:val="auto"/>
        </w:rPr>
      </w:pPr>
    </w:p>
    <w:p>
      <w:pPr>
        <w:jc w:val="both"/>
        <w:ind w:right="380" w:firstLine="1304"/>
        <w:spacing w:after="0" w:line="263" w:lineRule="auto"/>
        <w:tabs>
          <w:tab w:leader="none" w:pos="2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one or more series of Securities and to add to or change any of the provisions of this Indenture as shall be necessary for or facilitate the administration of the trusts hereunder by more than one Trustee, pursuant to the requirements of Section 7.10(5);</w:t>
      </w:r>
    </w:p>
    <w:p>
      <w:pPr>
        <w:spacing w:after="0" w:line="183" w:lineRule="exact"/>
        <w:rPr>
          <w:rFonts w:ascii="Arial" w:cs="Arial" w:eastAsia="Arial" w:hAnsi="Arial"/>
          <w:sz w:val="18"/>
          <w:szCs w:val="18"/>
          <w:color w:val="auto"/>
        </w:rPr>
      </w:pPr>
    </w:p>
    <w:p>
      <w:pPr>
        <w:ind w:right="60" w:firstLine="1304"/>
        <w:spacing w:after="0" w:line="263" w:lineRule="auto"/>
        <w:tabs>
          <w:tab w:leader="none" w:pos="217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supplement any of the provisions of this Indenture to such extent as shall be necessary to permit or facilitate the defeasance and discharge of any series of Securities; provided that any such action shall not adversely affect the rights of the Securityholders of such series of Securities;</w:t>
      </w:r>
    </w:p>
    <w:p>
      <w:pPr>
        <w:spacing w:after="0" w:line="183" w:lineRule="exact"/>
        <w:rPr>
          <w:rFonts w:ascii="Arial" w:cs="Arial" w:eastAsia="Arial" w:hAnsi="Arial"/>
          <w:sz w:val="18"/>
          <w:szCs w:val="18"/>
          <w:color w:val="auto"/>
        </w:rPr>
      </w:pPr>
    </w:p>
    <w:p>
      <w:pPr>
        <w:ind w:left="2180" w:hanging="876"/>
        <w:spacing w:after="0"/>
        <w:tabs>
          <w:tab w:leader="none" w:pos="2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prohibit the authentication and delivery of additional series of Securities; or</w:t>
      </w:r>
    </w:p>
    <w:p>
      <w:pPr>
        <w:spacing w:after="0" w:line="225" w:lineRule="exact"/>
        <w:rPr>
          <w:rFonts w:ascii="Arial" w:cs="Arial" w:eastAsia="Arial" w:hAnsi="Arial"/>
          <w:sz w:val="18"/>
          <w:szCs w:val="18"/>
          <w:color w:val="auto"/>
        </w:rPr>
      </w:pPr>
    </w:p>
    <w:p>
      <w:pPr>
        <w:ind w:right="560" w:firstLine="1304"/>
        <w:spacing w:after="0" w:line="277" w:lineRule="auto"/>
        <w:tabs>
          <w:tab w:leader="none" w:pos="21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comply with any requirements of the Securities and Exchange Commission or any successor in connection with the qualification of this Indenture under the Trust Indenture Act.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shall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w:t>
      </w:r>
    </w:p>
    <w:p>
      <w:pPr>
        <w:spacing w:after="0" w:line="170"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7"/>
          <w:szCs w:val="17"/>
          <w:u w:val="single" w:color="auto"/>
          <w:color w:val="auto"/>
        </w:rPr>
        <w:t>SUPPLEMENTAL INDENTURES WITH CONSENT OF SECURITYHOLDERS</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With the consent (evidenced as provided in Section 8.01) of the holders of not less than a majority in aggregate principal amount of the Securities of each series affected by such supplemental indenture or indentures at the time Outstanding voting separately, the Company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such series under this Indenture; provided, however, that no such supplemental indenture shall, without the consent of the holder of each Outstanding Security of such series affected thereby, (a) extend the fixed maturity of any Securities of any series, or reduce the principal amount thereof, or reduce the rate or extend the time of payment of interest thereon, or reduce any premium payable upon the redemption thereof, (b) reduce any amounts due on any Securities of any series or payable upon acceleration of the maturity of any Securities of any series following an Event of Default, (c) adversely affect any right of repayment at the Securityholder’s option if such option is applicable to the Securities of such series in accordance with the provisions of Section 2.01(1)(viii), (d) change the place (except as otherwise permitted by the terms of this Indenture) or currency of payment on the Securities of such series, (e) modify the Securities of such series to contractually subordinate such Securities in right of payment to other indebtedness of the Company, (f) reduce the aforesaid percentage of Securities, the holders of which are required to consent to any such supplemental indenture, (g) reduce the percentage of Securityholders whose consent is needed to waive certain Defaults in accordance with the provisions of Section 6.06 and (h) modify any of the provisions of this Section 9.02 or Section 6.06, except to increase any such percentage or to provide that certain other provisions of this Indenture cannot be modified or waived without the consent of the Securityholder of each outstanding series of Securities affected thereby.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9" w:name="page70"/>
    <w:bookmarkEnd w:id="69"/>
    <w:p>
      <w:pPr>
        <w:ind w:right="200" w:firstLine="648"/>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7"/>
          <w:szCs w:val="17"/>
          <w:u w:val="single" w:color="auto"/>
          <w:color w:val="auto"/>
        </w:rPr>
        <w:t>EFFECT OF SUPPLEMENTAL INDENTURES</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7"/>
          <w:szCs w:val="17"/>
          <w:u w:val="single" w:color="auto"/>
          <w:color w:val="auto"/>
        </w:rPr>
        <w:t>SECURITIES AFFECTED BY SUPPLEMENTAL INDENTURES</w:t>
      </w:r>
      <w:r>
        <w:rPr>
          <w:rFonts w:ascii="Arial" w:cs="Arial" w:eastAsia="Arial" w:hAnsi="Arial"/>
          <w:sz w:val="17"/>
          <w:szCs w:val="17"/>
          <w:color w:val="auto"/>
        </w:rPr>
        <w:t>.</w:t>
      </w:r>
    </w:p>
    <w:p>
      <w:pPr>
        <w:spacing w:after="0" w:line="225"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ind w:left="660"/>
        <w:spacing w:after="0"/>
        <w:tabs>
          <w:tab w:leader="none" w:pos="258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7"/>
          <w:szCs w:val="17"/>
          <w:u w:val="single" w:color="auto"/>
          <w:color w:val="auto"/>
        </w:rPr>
        <w:t>EXECUTION OF SUPPLEMENTAL INDENTURES</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Upon the request of the Company, accompanied by a Company Order authorizing the execution of any such supplemental indenture, and upon the delivery to the Trustee of evidence of the consent of Securityholders required to consent thereto,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is entitled to receive an Officers’ Certificate and an Opinion of Counsel as conclusive evidence that any supplemental indenture executed pursuant to this Article is authorized or permitted by, and conforms to, the terms of this Article and with respect to Section 9.01(6), does not adversely affect the rights of any Securityholder of any series in any material respect, and that it is proper for the Trustee under the provisions of this Article to join in the execution thereof; provided, however, that such Officers’ Certificate and an Opinion of Counsel need not be provided in connection with the execution of a supplemental indenture that establishes the terms of a series of Securities pursuant to Section 2.01 hereof.</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u w:val="single" w:color="auto"/>
          <w:color w:val="auto"/>
        </w:rPr>
        <w:t>SUCCESSOR ENTITY</w:t>
      </w:r>
    </w:p>
    <w:p>
      <w:pPr>
        <w:spacing w:after="0" w:line="22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7"/>
          <w:szCs w:val="17"/>
          <w:u w:val="single" w:color="auto"/>
          <w:color w:val="auto"/>
        </w:rPr>
        <w:t>COMPANY MAY CONSOLIDATE, ETC</w:t>
      </w:r>
      <w:r>
        <w:rPr>
          <w:rFonts w:ascii="Arial" w:cs="Arial" w:eastAsia="Arial" w:hAnsi="Arial"/>
          <w:sz w:val="17"/>
          <w:szCs w:val="17"/>
          <w:color w:val="auto"/>
        </w:rPr>
        <w: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Except as provided pursuant to Section 2.01 and established and set forth in a Company Order, or established in one or more indentures supplemental hereto,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provided, however, the Company hereby covenants and agrees that, upon any such consolidation or merger (in each case, if the Company is not the survivor of such transaction), sale, conveyance, transfer or other disposition, (i)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 and (ii) the surviving Person of such transaction must be organized under the laws of the United States, any state thereof or the District of Columbia.</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1" w:name="page72"/>
    <w:bookmarkEnd w:id="71"/>
    <w:p>
      <w:pPr>
        <w:ind w:left="660"/>
        <w:spacing w:after="0"/>
        <w:tabs>
          <w:tab w:leader="none" w:pos="258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7"/>
          <w:szCs w:val="17"/>
          <w:u w:val="single" w:color="auto"/>
          <w:color w:val="auto"/>
        </w:rPr>
        <w:t>SUCCESSOR ENTITY SUBSTITUTED</w:t>
      </w:r>
      <w:r>
        <w:rPr>
          <w:rFonts w:ascii="Arial" w:cs="Arial" w:eastAsia="Arial" w:hAnsi="Arial"/>
          <w:sz w:val="17"/>
          <w:szCs w:val="17"/>
          <w:color w:val="auto"/>
        </w:rPr>
        <w:t>.</w:t>
      </w:r>
    </w:p>
    <w:p>
      <w:pPr>
        <w:spacing w:after="0" w:line="225" w:lineRule="exact"/>
        <w:rPr>
          <w:sz w:val="20"/>
          <w:szCs w:val="20"/>
          <w:color w:val="auto"/>
        </w:rPr>
      </w:pPr>
    </w:p>
    <w:p>
      <w:pPr>
        <w:ind w:right="100" w:firstLine="1304"/>
        <w:spacing w:after="0" w:line="257" w:lineRule="auto"/>
        <w:tabs>
          <w:tab w:leader="none" w:pos="2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7" w:lineRule="exact"/>
        <w:rPr>
          <w:rFonts w:ascii="Arial" w:cs="Arial" w:eastAsia="Arial" w:hAnsi="Arial"/>
          <w:sz w:val="18"/>
          <w:szCs w:val="18"/>
          <w:color w:val="auto"/>
        </w:rPr>
      </w:pPr>
    </w:p>
    <w:p>
      <w:pPr>
        <w:ind w:right="200" w:firstLine="1304"/>
        <w:spacing w:after="0" w:line="277" w:lineRule="auto"/>
        <w:tabs>
          <w:tab w:leader="none" w:pos="2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ind w:firstLine="1304"/>
        <w:spacing w:after="0" w:line="263" w:lineRule="auto"/>
        <w:tabs>
          <w:tab w:leader="none" w:pos="21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7"/>
          <w:szCs w:val="17"/>
          <w:u w:val="single" w:color="auto"/>
          <w:color w:val="auto"/>
        </w:rPr>
        <w:t>EVIDENCE OF CONSOLIDATION, ETC. TO TRUSTEE</w:t>
      </w:r>
      <w:r>
        <w:rPr>
          <w:rFonts w:ascii="Arial" w:cs="Arial" w:eastAsia="Arial" w:hAnsi="Arial"/>
          <w:sz w:val="17"/>
          <w:szCs w:val="17"/>
          <w:color w:val="auto"/>
        </w:rPr>
        <w:t>.</w:t>
      </w:r>
    </w:p>
    <w:p>
      <w:pPr>
        <w:spacing w:after="0" w:line="225"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The Trustee, subject to the provisions of Section 7.01, shall be entitled to receive an Officers’ Certificate or an Opinion of Counsel as conclusive evidence that any such consolidation, merger, sale, conveyance, transfer or other disposition, and any such assumption, comply with the provisions of this Article.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b w:val="1"/>
          <w:bCs w:val="1"/>
          <w:u w:val="single" w:color="auto"/>
          <w:color w:val="auto"/>
        </w:rPr>
        <w:t>SATISFACTION AND DISCHARGE</w:t>
      </w:r>
    </w:p>
    <w:p>
      <w:pPr>
        <w:spacing w:after="0" w:line="22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7"/>
          <w:szCs w:val="17"/>
          <w:u w:val="single" w:color="auto"/>
          <w:color w:val="auto"/>
        </w:rPr>
        <w:t>SATISFACTION AND DISCHARGE OF INDENTURE</w:t>
      </w:r>
      <w:r>
        <w:rPr>
          <w:rFonts w:ascii="Arial" w:cs="Arial" w:eastAsia="Arial" w:hAnsi="Arial"/>
          <w:sz w:val="17"/>
          <w:szCs w:val="17"/>
          <w:color w:val="auto"/>
        </w:rPr>
        <w:t>.</w:t>
      </w:r>
    </w:p>
    <w:p>
      <w:pPr>
        <w:spacing w:after="0" w:line="225" w:lineRule="exact"/>
        <w:rPr>
          <w:sz w:val="20"/>
          <w:szCs w:val="20"/>
          <w:color w:val="auto"/>
        </w:rPr>
      </w:pPr>
    </w:p>
    <w:p>
      <w:pPr>
        <w:ind w:right="60" w:firstLine="648"/>
        <w:spacing w:after="0" w:line="267" w:lineRule="auto"/>
        <w:rPr>
          <w:sz w:val="20"/>
          <w:szCs w:val="20"/>
          <w:color w:val="auto"/>
        </w:rPr>
      </w:pPr>
      <w:r>
        <w:rPr>
          <w:rFonts w:ascii="Arial" w:cs="Arial" w:eastAsia="Arial" w:hAnsi="Arial"/>
          <w:sz w:val="17"/>
          <w:szCs w:val="17"/>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 In addition, as a condition of satisfaction and discharge under this Article, the Company shall deliver to the Trustee an Officer’s Certificate and an Opinion of Counsel (which Opinion of Counsel may be subject to customary assumptions and exclusions reasonably acceptable to the Trustee), each stating that all conditions precedent to satisfaction and discharge have been satisfied.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72" w:name="page73"/>
    <w:bookmarkEnd w:id="72"/>
    <w:p>
      <w:pPr>
        <w:ind w:left="660"/>
        <w:spacing w:after="0"/>
        <w:tabs>
          <w:tab w:leader="none" w:pos="258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7"/>
          <w:szCs w:val="17"/>
          <w:u w:val="single" w:color="auto"/>
          <w:color w:val="auto"/>
        </w:rPr>
        <w:t>DEFEASANCE UPON DEPOSIT OF MONEYS OR U.S. GOVERNMENT OBLIGATIONS</w:t>
      </w:r>
      <w:r>
        <w:rPr>
          <w:rFonts w:ascii="Arial" w:cs="Arial" w:eastAsia="Arial" w:hAnsi="Arial"/>
          <w:sz w:val="17"/>
          <w:szCs w:val="17"/>
          <w:color w:val="auto"/>
        </w:rPr>
        <w:t>.</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At the Company’s option, either (a) the Company shall be deemed to have been Discharged (as defined below) from its obligations with respect to Securities of any series on the first day after the applicable conditions set forth below have been satisfied or (b) the Company shall cease to be under any obligation to comply with any term, provision or condition set forth in Section 4.05 and Section 5.03 with respect to Securities of any series (and, if so specified pursuant to Section 2.01, any other restrictive covenant added for the benefit of such series pursuant to Section 2.01) at any time after the applicable conditions set forth below have been satisfied (such action under clauses (a) or (b) of this paragraph in no circumstance may be construed as an Event of Default under Section 6.01):</w:t>
      </w:r>
    </w:p>
    <w:p>
      <w:pPr>
        <w:spacing w:after="0" w:line="192" w:lineRule="exact"/>
        <w:rPr>
          <w:sz w:val="20"/>
          <w:szCs w:val="20"/>
          <w:color w:val="auto"/>
        </w:rPr>
      </w:pPr>
    </w:p>
    <w:p>
      <w:pPr>
        <w:ind w:right="120" w:firstLine="1304"/>
        <w:spacing w:after="0" w:line="255" w:lineRule="auto"/>
        <w:tabs>
          <w:tab w:leader="none" w:pos="2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have deposited or caused to be deposited irrevocably with the Trustee as trust funds in trust, specifically pledged as security for, and dedicated solely to, the benefit of the Holders of the Securities of such series (i) money in an amount, or (ii) Government Obligations that through the payment of interest and principal in respect thereof in accordance with their terms will provide, not later than one day before the due date of any payment, money in an amount, or (iii) a combination of (i) and (ii), sufficient to pay and discharge each installment of principal (including any mandatory sinking fund payments) of and premium, if any, and interest on, the Outstanding Securities of such series on the dates such installments of interest or principal and premium are due;</w:t>
      </w:r>
    </w:p>
    <w:p>
      <w:pPr>
        <w:spacing w:after="0" w:line="192" w:lineRule="exact"/>
        <w:rPr>
          <w:rFonts w:ascii="Arial" w:cs="Arial" w:eastAsia="Arial" w:hAnsi="Arial"/>
          <w:sz w:val="18"/>
          <w:szCs w:val="18"/>
          <w:color w:val="auto"/>
        </w:rPr>
      </w:pPr>
    </w:p>
    <w:p>
      <w:pPr>
        <w:ind w:right="360" w:firstLine="1304"/>
        <w:spacing w:after="0" w:line="308" w:lineRule="auto"/>
        <w:tabs>
          <w:tab w:leader="none" w:pos="21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No Default with respect to the Securities of such series shall have occurred and be continuing on the date of such deposit (other than a Default resulting from the borrowing of funds and the grant of any related liens to be applied to such deposit); and</w:t>
      </w:r>
    </w:p>
    <w:p>
      <w:pPr>
        <w:spacing w:after="0" w:line="146" w:lineRule="exact"/>
        <w:rPr>
          <w:rFonts w:ascii="Arial" w:cs="Arial" w:eastAsia="Arial" w:hAnsi="Arial"/>
          <w:sz w:val="17"/>
          <w:szCs w:val="17"/>
          <w:color w:val="auto"/>
        </w:rPr>
      </w:pPr>
    </w:p>
    <w:p>
      <w:pPr>
        <w:ind w:firstLine="1304"/>
        <w:spacing w:after="0" w:line="257" w:lineRule="auto"/>
        <w:tabs>
          <w:tab w:leader="none" w:pos="21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Opinion of Counsel to the effect that Holders of the Securities of such series will not recognize income, gain or loss for U.S. federal income tax purposes as a result of the Company’s exercise of its option under this Section and will be subject to federal income tax on the same amounts and in the same manner and at the same times as would have been the case if such action had not been exercised and, in the case of the Securities of such series being Discharged accompanied by a ruling to that effect received from or published by the Internal Revenue Service.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ind w:firstLine="648"/>
        <w:spacing w:after="0" w:line="257" w:lineRule="auto"/>
        <w:rPr>
          <w:sz w:val="20"/>
          <w:szCs w:val="20"/>
          <w:color w:val="auto"/>
        </w:rPr>
      </w:pPr>
      <w:r>
        <w:rPr>
          <w:rFonts w:ascii="Arial" w:cs="Arial" w:eastAsia="Arial" w:hAnsi="Arial"/>
          <w:sz w:val="18"/>
          <w:szCs w:val="18"/>
          <w:color w:val="auto"/>
        </w:rPr>
        <w:t>“Discharged” means that the Company shall be deemed to have paid and discharged the entire Indebtedness represented by, and obligations under, the Securities of such series and to have satisfied all the obligations under this Indenture relating to the Securities of such series (and the Trustee, at the expense of the Company, shall execute proper instruments acknowledging the same), except (A) the rights of Holders of Securities of such series to receive, from the trust fund described in clause (a) above, payment of the principal of and premium, if any, and interest on such Securities when such payments are due and (B) Sections 7.06 and 11.05 hereof.</w:t>
      </w:r>
    </w:p>
    <w:p>
      <w:pPr>
        <w:spacing w:after="0" w:line="188"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7"/>
          <w:szCs w:val="17"/>
          <w:u w:val="single" w:color="auto"/>
          <w:color w:val="auto"/>
        </w:rPr>
        <w:t>DEPOSITED MONEYS TO BE HELD IN TRUST</w:t>
      </w:r>
      <w:r>
        <w:rPr>
          <w:rFonts w:ascii="Arial" w:cs="Arial" w:eastAsia="Arial" w:hAnsi="Arial"/>
          <w:sz w:val="17"/>
          <w:szCs w:val="17"/>
          <w:color w:val="auto"/>
        </w:rPr>
        <w:t>.</w:t>
      </w:r>
    </w:p>
    <w:p>
      <w:pPr>
        <w:spacing w:after="0" w:line="225" w:lineRule="exact"/>
        <w:rPr>
          <w:sz w:val="20"/>
          <w:szCs w:val="20"/>
          <w:color w:val="auto"/>
        </w:rPr>
      </w:pPr>
    </w:p>
    <w:p>
      <w:pPr>
        <w:ind w:right="320" w:firstLine="648"/>
        <w:spacing w:after="0" w:line="311" w:lineRule="auto"/>
        <w:rPr>
          <w:sz w:val="20"/>
          <w:szCs w:val="20"/>
          <w:color w:val="auto"/>
        </w:rPr>
      </w:pPr>
      <w:r>
        <w:rPr>
          <w:rFonts w:ascii="Arial" w:cs="Arial" w:eastAsia="Arial" w:hAnsi="Arial"/>
          <w:sz w:val="16"/>
          <w:szCs w:val="16"/>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4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7"/>
          <w:szCs w:val="17"/>
          <w:u w:val="single" w:color="auto"/>
          <w:color w:val="auto"/>
        </w:rPr>
        <w:t>PAYMENT OF MONEYS HELD BY PAYING AGENTS</w:t>
      </w:r>
      <w:r>
        <w:rPr>
          <w:rFonts w:ascii="Arial" w:cs="Arial" w:eastAsia="Arial" w:hAnsi="Arial"/>
          <w:sz w:val="17"/>
          <w:szCs w:val="17"/>
          <w:color w:val="auto"/>
        </w:rPr>
        <w:t>.</w:t>
      </w:r>
    </w:p>
    <w:p>
      <w:pPr>
        <w:spacing w:after="0" w:line="225"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11.05</w:t>
      </w:r>
      <w:r>
        <w:rPr>
          <w:sz w:val="20"/>
          <w:szCs w:val="20"/>
          <w:color w:val="auto"/>
        </w:rPr>
        <w:tab/>
      </w:r>
      <w:r>
        <w:rPr>
          <w:rFonts w:ascii="Arial" w:cs="Arial" w:eastAsia="Arial" w:hAnsi="Arial"/>
          <w:sz w:val="17"/>
          <w:szCs w:val="17"/>
          <w:u w:val="single" w:color="auto"/>
          <w:color w:val="auto"/>
        </w:rPr>
        <w:t>REPAYMENT TO COMPANY</w:t>
      </w:r>
      <w:r>
        <w:rPr>
          <w:rFonts w:ascii="Arial" w:cs="Arial" w:eastAsia="Arial" w:hAnsi="Arial"/>
          <w:sz w:val="17"/>
          <w:szCs w:val="17"/>
          <w:color w:val="auto"/>
        </w:rPr>
        <w:t>.</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b w:val="1"/>
          <w:bCs w:val="1"/>
          <w:u w:val="single" w:color="auto"/>
          <w:color w:val="auto"/>
        </w:rPr>
        <w:t>IMMUNITY OF INCORPORATORS, STOCKHOLDERS, OFFICERS AND DIRECTORS</w:t>
      </w:r>
    </w:p>
    <w:p>
      <w:pPr>
        <w:spacing w:after="0" w:line="22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6"/>
          <w:szCs w:val="16"/>
          <w:u w:val="single" w:color="auto"/>
          <w:color w:val="auto"/>
        </w:rPr>
        <w:t>NO RECOURSE</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of the Company, either directly or through the Company or any such predecessor or successor corporation of the Company,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of the Company,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 thereof.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29"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6"/>
          <w:szCs w:val="16"/>
          <w:u w:val="single" w:color="auto"/>
          <w:color w:val="auto"/>
        </w:rPr>
        <w:t>EFFECT ON SUCCESSORS AND ASSIGNS</w:t>
      </w:r>
      <w:r>
        <w:rPr>
          <w:rFonts w:ascii="Arial" w:cs="Arial" w:eastAsia="Arial" w:hAnsi="Arial"/>
          <w:sz w:val="16"/>
          <w:szCs w:val="16"/>
          <w:color w:val="auto"/>
        </w:rPr>
        <w:t>.</w:t>
      </w:r>
    </w:p>
    <w:p>
      <w:pPr>
        <w:spacing w:after="0" w:line="22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made by or on behalf of the Company shall bind its successors and assigns, whether so expressed or not.</w:t>
      </w:r>
    </w:p>
    <w:p>
      <w:pPr>
        <w:spacing w:after="0" w:line="170"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u w:val="single" w:color="auto"/>
          <w:color w:val="auto"/>
        </w:rPr>
        <w:t>ACTIONS BY SUCCESSOR</w:t>
      </w:r>
      <w:r>
        <w:rPr>
          <w:rFonts w:ascii="Arial" w:cs="Arial" w:eastAsia="Arial" w:hAnsi="Arial"/>
          <w:sz w:val="16"/>
          <w:szCs w:val="16"/>
          <w:color w:val="auto"/>
        </w:rPr>
        <w:t>.</w:t>
      </w:r>
    </w:p>
    <w:p>
      <w:pPr>
        <w:spacing w:after="0" w:line="225"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u w:val="single" w:color="auto"/>
          <w:color w:val="auto"/>
        </w:rPr>
        <w:t>SURRENDER OF COMPANY POWERS</w:t>
      </w:r>
      <w:r>
        <w:rPr>
          <w:rFonts w:ascii="Arial" w:cs="Arial" w:eastAsia="Arial" w:hAnsi="Arial"/>
          <w:sz w:val="16"/>
          <w:szCs w:val="16"/>
          <w:color w:val="auto"/>
        </w:rPr>
        <w:t>.</w:t>
      </w:r>
    </w:p>
    <w:p>
      <w:pPr>
        <w:spacing w:after="0" w:line="22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13.04</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All notices, approvals, consents, requests and other communications hereunder must be in writing (and any communication sent to the Trustee hereunder must be in the form of a document that is signed manually or by way of a digital signature provided via DocuSign (or such other digital signature provider as specified in writing to the Trustee by the Company) or an electronic copy thereof), in English, and may only be delivered (a) by personal delivery, or (b) by national overnight courier service, or (c) by certified or registered mail, return receipt requested, or (d) by facsimile transmission, with confirmed receipt or (e) by email by way of a PDF attachment thereto. Notice will be effective upon receipt except for notice via email, which will be effective only when the recipient, by return email or notice delivered by other method provided for in this Section, acknowledges having received that email (with an automatically generated receipt or similar notice not constituting an acknowledgement of an email receipt for purposes of this Section). Such notices may only be sent to the applicable party or parties at the address specified below:</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Tarrytown, NY 10591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Leonard N. Brooks</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Vice President, Treasurer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No.: 914-847-1555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leonard.brooks@regeneron.com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Joseph J. LaRosa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 Vice President, General Counsel and Secretary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joseph.larosa@regeneron.com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225 Asylum Street, 23rd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Hartford, CT 06103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Corporate Trust Services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No.: (860) 241-6897</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kathy.mitchell@usbank.com</w:t>
      </w:r>
    </w:p>
    <w:p>
      <w:pPr>
        <w:spacing w:after="0" w:line="211"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13.05</w:t>
      </w:r>
      <w:r>
        <w:rPr>
          <w:sz w:val="20"/>
          <w:szCs w:val="20"/>
          <w:color w:val="auto"/>
        </w:rPr>
        <w:tab/>
      </w:r>
      <w:r>
        <w:rPr>
          <w:rFonts w:ascii="Arial" w:cs="Arial" w:eastAsia="Arial" w:hAnsi="Arial"/>
          <w:sz w:val="17"/>
          <w:szCs w:val="17"/>
          <w:u w:val="single" w:color="auto"/>
          <w:color w:val="auto"/>
        </w:rPr>
        <w:t>GOVERNING LAW; JURISDICTION; WAIVER OF JURY TRIAL</w:t>
      </w:r>
      <w:r>
        <w:rPr>
          <w:rFonts w:ascii="Arial" w:cs="Arial" w:eastAsia="Arial" w:hAnsi="Arial"/>
          <w:sz w:val="17"/>
          <w:szCs w:val="17"/>
          <w:color w:val="auto"/>
        </w:rPr>
        <w:t>.</w:t>
      </w:r>
    </w:p>
    <w:p>
      <w:pPr>
        <w:spacing w:after="0" w:line="22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This Indenture and each Security (including any guarantee thereof) shall be deemed to be a contract made under the internal laws of the State of New York, and for all purposes shall be construed in accordance with the laws of said State, except to the extent that the Trust Indenture Act is applicable.</w:t>
      </w:r>
    </w:p>
    <w:p>
      <w:pPr>
        <w:spacing w:after="0" w:line="124"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Company and the Trustee agree that any suit, action or proceeding arising out of or based upon this Indenture or the Securities may be instituted in any state or Federal court in the Borough of Manhattan, New York, New York, and any appellate court from any thereof, and irrevocably submit to the non-exclusive jurisdiction of such courts in any suit, action or proceeding. The Company and the Trustee irrevocably waive, to the fullest extent permitted by law, any objection to any suit, action, or proceeding that may be brought in connection with this Indenture or the Securities, including such actions, suits or proceedings relating to securities laws of the United States or any state thereof, in such courts whether on the grounds of venue, residence or domicile or on the ground that any such suit, action or proceeding has been brought in an inconvenient forum. The Company and the Trustee agree that final judgment in any such suit, action or proceeding brought in such court shall be conclusive and binding upon the Company or the Trustee, as applicable, and may be enforced in any court to the jurisdiction of which the Company or the Trustee, as applicable, is subject by a suit upon such judgment.</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76" w:name="page77"/>
    <w:bookmarkEnd w:id="76"/>
    <w:p>
      <w:pPr>
        <w:ind w:right="80" w:firstLine="648"/>
        <w:spacing w:after="0" w:line="263" w:lineRule="auto"/>
        <w:rPr>
          <w:sz w:val="20"/>
          <w:szCs w:val="20"/>
          <w:color w:val="auto"/>
        </w:rPr>
      </w:pPr>
      <w:r>
        <w:rPr>
          <w:rFonts w:ascii="Arial" w:cs="Arial" w:eastAsia="Arial" w:hAnsi="Arial"/>
          <w:sz w:val="18"/>
          <w:szCs w:val="18"/>
          <w:color w:val="auto"/>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spacing w:after="0" w:line="184"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13.06</w:t>
      </w:r>
      <w:r>
        <w:rPr>
          <w:sz w:val="20"/>
          <w:szCs w:val="20"/>
          <w:color w:val="auto"/>
        </w:rPr>
        <w:tab/>
      </w:r>
      <w:r>
        <w:rPr>
          <w:rFonts w:ascii="Arial" w:cs="Arial" w:eastAsia="Arial" w:hAnsi="Arial"/>
          <w:sz w:val="17"/>
          <w:szCs w:val="17"/>
          <w:u w:val="single" w:color="auto"/>
          <w:color w:val="auto"/>
        </w:rPr>
        <w:t>CERTIFICATES AND OPINIONS AS TO CONDITIONS PRECEDENT</w:t>
      </w:r>
      <w:r>
        <w:rPr>
          <w:rFonts w:ascii="Arial" w:cs="Arial" w:eastAsia="Arial" w:hAnsi="Arial"/>
          <w:sz w:val="17"/>
          <w:szCs w:val="17"/>
          <w:color w:val="auto"/>
        </w:rPr>
        <w:t>.</w:t>
      </w:r>
    </w:p>
    <w:p>
      <w:pPr>
        <w:spacing w:after="0" w:line="225" w:lineRule="exact"/>
        <w:rPr>
          <w:sz w:val="20"/>
          <w:szCs w:val="20"/>
          <w:color w:val="auto"/>
        </w:rPr>
      </w:pPr>
    </w:p>
    <w:p>
      <w:pPr>
        <w:ind w:firstLine="1304"/>
        <w:spacing w:after="0" w:line="255" w:lineRule="auto"/>
        <w:tabs>
          <w:tab w:leader="none" w:pos="21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4.06)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2" w:lineRule="exact"/>
        <w:rPr>
          <w:rFonts w:ascii="Arial" w:cs="Arial" w:eastAsia="Arial" w:hAnsi="Arial"/>
          <w:sz w:val="18"/>
          <w:szCs w:val="18"/>
          <w:color w:val="auto"/>
        </w:rPr>
      </w:pPr>
    </w:p>
    <w:p>
      <w:pPr>
        <w:ind w:right="20" w:firstLine="1304"/>
        <w:spacing w:after="0" w:line="291" w:lineRule="auto"/>
        <w:tabs>
          <w:tab w:leader="none" w:pos="218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w:t>
      </w:r>
    </w:p>
    <w:p>
      <w:pPr>
        <w:ind w:right="60" w:firstLine="8"/>
        <w:spacing w:after="0" w:line="253" w:lineRule="auto"/>
        <w:tabs>
          <w:tab w:leader="none" w:pos="265"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93"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18"/>
          <w:szCs w:val="18"/>
          <w:color w:val="auto"/>
        </w:rPr>
        <w:t>SECTION 13.07</w:t>
      </w:r>
      <w:r>
        <w:rPr>
          <w:sz w:val="20"/>
          <w:szCs w:val="20"/>
          <w:color w:val="auto"/>
        </w:rPr>
        <w:tab/>
      </w:r>
      <w:r>
        <w:rPr>
          <w:rFonts w:ascii="Arial" w:cs="Arial" w:eastAsia="Arial" w:hAnsi="Arial"/>
          <w:sz w:val="16"/>
          <w:szCs w:val="16"/>
          <w:u w:val="single" w:color="auto"/>
          <w:color w:val="auto"/>
        </w:rPr>
        <w:t>PAYMENTS ON BUSINESS DAYS</w:t>
      </w:r>
      <w:r>
        <w:rPr>
          <w:rFonts w:ascii="Arial" w:cs="Arial" w:eastAsia="Arial" w:hAnsi="Arial"/>
          <w:sz w:val="16"/>
          <w:szCs w:val="16"/>
          <w:color w:val="auto"/>
        </w:rPr>
        <w:t>.</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Except as provided pursuant to Section 2.01 pursuant to a Company Order,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77" w:name="page78"/>
    <w:bookmarkEnd w:id="77"/>
    <w:p>
      <w:pPr>
        <w:ind w:left="660"/>
        <w:spacing w:after="0"/>
        <w:tabs>
          <w:tab w:leader="none" w:pos="2300" w:val="left"/>
        </w:tabs>
        <w:rPr>
          <w:sz w:val="20"/>
          <w:szCs w:val="20"/>
          <w:color w:val="auto"/>
        </w:rPr>
      </w:pPr>
      <w:r>
        <w:rPr>
          <w:rFonts w:ascii="Arial" w:cs="Arial" w:eastAsia="Arial" w:hAnsi="Arial"/>
          <w:sz w:val="18"/>
          <w:szCs w:val="18"/>
          <w:color w:val="auto"/>
        </w:rPr>
        <w:t>SECTION 13.08</w:t>
      </w:r>
      <w:r>
        <w:rPr>
          <w:sz w:val="20"/>
          <w:szCs w:val="20"/>
          <w:color w:val="auto"/>
        </w:rPr>
        <w:tab/>
      </w:r>
      <w:r>
        <w:rPr>
          <w:rFonts w:ascii="Arial" w:cs="Arial" w:eastAsia="Arial" w:hAnsi="Arial"/>
          <w:sz w:val="17"/>
          <w:szCs w:val="17"/>
          <w:u w:val="single" w:color="auto"/>
          <w:color w:val="auto"/>
        </w:rPr>
        <w:t>CONFLICT WITH TRUST INDENTURE ACT</w:t>
      </w:r>
      <w:r>
        <w:rPr>
          <w:rFonts w:ascii="Arial" w:cs="Arial" w:eastAsia="Arial" w:hAnsi="Arial"/>
          <w:sz w:val="17"/>
          <w:szCs w:val="17"/>
          <w:color w:val="auto"/>
        </w:rPr>
        <w: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13.09</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will constitute effective execution and delivery of this Indenture as to the parties hereto and may be used in lieu of the original Indenture for all purposes. Signatures of the parties hereto transmitted by facsimile or PDF will be deemed to be their original signatures for all purposes. The Company agrees to assume all risks arising out of the use of DocuSign digital signatures and electronic methods to submit instructions and directions to the Trustee, including without limitation the risk of the Trustee acting on unauthorized instructions, and the risk of interception and misuse by third parties.</w:t>
      </w:r>
    </w:p>
    <w:p>
      <w:pPr>
        <w:spacing w:after="0" w:line="178"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13.10</w:t>
      </w:r>
      <w:r>
        <w:rPr>
          <w:sz w:val="20"/>
          <w:szCs w:val="20"/>
          <w:color w:val="auto"/>
        </w:rPr>
        <w:tab/>
      </w:r>
      <w:r>
        <w:rPr>
          <w:rFonts w:ascii="Arial" w:cs="Arial" w:eastAsia="Arial" w:hAnsi="Arial"/>
          <w:sz w:val="17"/>
          <w:szCs w:val="17"/>
          <w:u w:val="single" w:color="auto"/>
          <w:color w:val="auto"/>
        </w:rPr>
        <w:t>SEPARABILITY</w:t>
      </w:r>
      <w:r>
        <w:rPr>
          <w:rFonts w:ascii="Arial" w:cs="Arial" w:eastAsia="Arial" w:hAnsi="Arial"/>
          <w:sz w:val="17"/>
          <w:szCs w:val="17"/>
          <w:color w:val="auto"/>
        </w:rPr>
        <w: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ind w:left="660"/>
        <w:spacing w:after="0"/>
        <w:tabs>
          <w:tab w:leader="none" w:pos="2280" w:val="left"/>
        </w:tabs>
        <w:rPr>
          <w:sz w:val="20"/>
          <w:szCs w:val="20"/>
          <w:color w:val="auto"/>
        </w:rPr>
      </w:pPr>
      <w:r>
        <w:rPr>
          <w:rFonts w:ascii="Arial" w:cs="Arial" w:eastAsia="Arial" w:hAnsi="Arial"/>
          <w:sz w:val="18"/>
          <w:szCs w:val="18"/>
          <w:color w:val="auto"/>
        </w:rPr>
        <w:t>SECTION 13.11</w:t>
      </w:r>
      <w:r>
        <w:rPr>
          <w:sz w:val="20"/>
          <w:szCs w:val="20"/>
          <w:color w:val="auto"/>
        </w:rPr>
        <w:tab/>
      </w:r>
      <w:r>
        <w:rPr>
          <w:rFonts w:ascii="Arial" w:cs="Arial" w:eastAsia="Arial" w:hAnsi="Arial"/>
          <w:sz w:val="17"/>
          <w:szCs w:val="17"/>
          <w:u w:val="single" w:color="auto"/>
          <w:color w:val="auto"/>
        </w:rPr>
        <w:t>USA PATRIOT ACT</w:t>
      </w:r>
      <w:r>
        <w:rPr>
          <w:rFonts w:ascii="Arial" w:cs="Arial" w:eastAsia="Arial" w:hAnsi="Arial"/>
          <w:sz w:val="17"/>
          <w:szCs w:val="17"/>
          <w:color w:val="auto"/>
        </w:rPr>
        <w:t>.</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parties hereto acknowledge that in accordance with Title III of the Uniting and Strengthening America by Providing Appropriate Tools Required to Intercept and Obstruct Terrorism Act of 2001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8"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13.12</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epidemics or pandemics,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u w:val="single" w:color="auto"/>
          <w:color w:val="auto"/>
        </w:rPr>
        <w:t>SUBORDINATION OF SECURITIES</w:t>
      </w:r>
    </w:p>
    <w:p>
      <w:pPr>
        <w:spacing w:after="0" w:line="229"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SECTION 14.01</w:t>
      </w:r>
      <w:r>
        <w:rPr>
          <w:sz w:val="20"/>
          <w:szCs w:val="20"/>
          <w:color w:val="auto"/>
        </w:rPr>
        <w:tab/>
      </w:r>
      <w:r>
        <w:rPr>
          <w:rFonts w:ascii="Arial" w:cs="Arial" w:eastAsia="Arial" w:hAnsi="Arial"/>
          <w:sz w:val="17"/>
          <w:szCs w:val="17"/>
          <w:u w:val="single" w:color="auto"/>
          <w:color w:val="auto"/>
        </w:rPr>
        <w:t>SUBORDINATION TERMS</w:t>
      </w:r>
      <w:r>
        <w:rPr>
          <w:rFonts w:ascii="Arial" w:cs="Arial" w:eastAsia="Arial" w:hAnsi="Arial"/>
          <w:sz w:val="17"/>
          <w:szCs w:val="17"/>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payment by the Company of the principal of, premium, if any, and interest on any series of securities issued hereunder may be subordinated in the manner contemplated by Section 2.01.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Indenture to be duly executed manually or by way of a Docusign digital signature effective as of the date first above written.</w:t>
      </w:r>
    </w:p>
    <w:p>
      <w:pPr>
        <w:spacing w:after="0" w:line="38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REGENERON PHARMACEUTICALS, INC.</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Name:Robert E. Landry</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Title: Executive Vice President, Finance and Chief Financial Officer</w:t>
      </w:r>
    </w:p>
    <w:p>
      <w:pPr>
        <w:spacing w:after="0" w:line="22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U.S. BANK, NATIONAL ASSOCIATION, AS TRUSTEE</w:t>
      </w:r>
    </w:p>
    <w:p>
      <w:pPr>
        <w:spacing w:after="0" w:line="200" w:lineRule="exact"/>
        <w:rPr>
          <w:sz w:val="20"/>
          <w:szCs w:val="20"/>
          <w:color w:val="auto"/>
        </w:rPr>
      </w:pPr>
    </w:p>
    <w:p>
      <w:pPr>
        <w:spacing w:after="0" w:line="24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/s/ Kathy L.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34201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Name:Kathy L. Mitchell</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Base Indenture]</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320" w:top="908" w:right="5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390"/>
        </w:trPr>
        <w:tc>
          <w:tcPr>
            <w:tcW w:w="7120" w:type="dxa"/>
            <w:vAlign w:val="bottom"/>
            <w:gridSpan w:val="3"/>
          </w:tcPr>
          <w:p>
            <w:pPr>
              <w:ind w:left="4420"/>
              <w:spacing w:after="0"/>
              <w:rPr>
                <w:sz w:val="20"/>
                <w:szCs w:val="20"/>
                <w:color w:val="auto"/>
              </w:rPr>
            </w:pPr>
            <w:r>
              <w:rPr>
                <w:rFonts w:ascii="Arial" w:cs="Arial" w:eastAsia="Arial" w:hAnsi="Arial"/>
                <w:sz w:val="18"/>
                <w:szCs w:val="18"/>
                <w:color w:val="auto"/>
              </w:rPr>
              <w:t xml:space="preserve">CROSS-REFERENCE TABLE </w:t>
            </w:r>
            <w:r>
              <w:rPr>
                <w:rFonts w:ascii="Arial" w:cs="Arial" w:eastAsia="Arial" w:hAnsi="Arial"/>
                <w:sz w:val="29"/>
                <w:szCs w:val="29"/>
                <w:color w:val="auto"/>
                <w:vertAlign w:val="superscript"/>
              </w:rPr>
              <w:t>1</w:t>
            </w:r>
          </w:p>
        </w:tc>
        <w:tc>
          <w:tcPr>
            <w:tcW w:w="4120" w:type="dxa"/>
            <w:vAlign w:val="bottom"/>
          </w:tcPr>
          <w:p>
            <w:pPr>
              <w:spacing w:after="0"/>
              <w:rPr>
                <w:sz w:val="24"/>
                <w:szCs w:val="24"/>
                <w:color w:val="auto"/>
              </w:rPr>
            </w:pPr>
          </w:p>
        </w:tc>
      </w:tr>
      <w:tr>
        <w:trPr>
          <w:trHeight w:val="309"/>
        </w:trPr>
        <w:tc>
          <w:tcPr>
            <w:tcW w:w="7120" w:type="dxa"/>
            <w:vAlign w:val="bottom"/>
            <w:gridSpan w:val="3"/>
          </w:tcPr>
          <w:p>
            <w:pPr>
              <w:spacing w:after="0"/>
              <w:rPr>
                <w:sz w:val="20"/>
                <w:szCs w:val="20"/>
                <w:color w:val="auto"/>
              </w:rPr>
            </w:pPr>
            <w:r>
              <w:rPr>
                <w:rFonts w:ascii="Arial" w:cs="Arial" w:eastAsia="Arial" w:hAnsi="Arial"/>
                <w:sz w:val="18"/>
                <w:szCs w:val="18"/>
                <w:color w:val="auto"/>
              </w:rPr>
              <w:t>SECTION OF TRUST INDENTURE ACT OF 1939, AS AMENDED</w:t>
            </w:r>
          </w:p>
        </w:tc>
        <w:tc>
          <w:tcPr>
            <w:tcW w:w="4120" w:type="dxa"/>
            <w:vAlign w:val="bottom"/>
          </w:tcPr>
          <w:p>
            <w:pPr>
              <w:jc w:val="center"/>
              <w:ind w:right="1290"/>
              <w:spacing w:after="0"/>
              <w:rPr>
                <w:sz w:val="20"/>
                <w:szCs w:val="20"/>
                <w:color w:val="auto"/>
              </w:rPr>
            </w:pPr>
            <w:r>
              <w:rPr>
                <w:rFonts w:ascii="Arial" w:cs="Arial" w:eastAsia="Arial" w:hAnsi="Arial"/>
                <w:sz w:val="18"/>
                <w:szCs w:val="18"/>
                <w:color w:val="auto"/>
                <w:w w:val="95"/>
              </w:rPr>
              <w:t>SECTION OF INDENTURE</w:t>
            </w: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310(a)</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4120" w:type="dxa"/>
            <w:vAlign w:val="bottom"/>
            <w:tcBorders>
              <w:top w:val="single" w:sz="8" w:color="auto"/>
            </w:tcBorders>
            <w:shd w:val="clear" w:color="auto" w:fill="CCEEFF"/>
          </w:tcPr>
          <w:p>
            <w:pPr>
              <w:jc w:val="center"/>
              <w:ind w:right="1270"/>
              <w:spacing w:after="0"/>
              <w:rPr>
                <w:sz w:val="20"/>
                <w:szCs w:val="20"/>
                <w:color w:val="auto"/>
              </w:rPr>
            </w:pPr>
            <w:r>
              <w:rPr>
                <w:rFonts w:ascii="Arial" w:cs="Arial" w:eastAsia="Arial" w:hAnsi="Arial"/>
                <w:sz w:val="18"/>
                <w:szCs w:val="18"/>
                <w:color w:val="auto"/>
                <w:w w:val="91"/>
              </w:rPr>
              <w:t>7.09</w:t>
            </w: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310(b)</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1"/>
              </w:rPr>
              <w:t>7.08</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7.10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310(c)</w:t>
            </w:r>
          </w:p>
        </w:tc>
        <w:tc>
          <w:tcPr>
            <w:tcW w:w="4120" w:type="dxa"/>
            <w:vAlign w:val="bottom"/>
          </w:tcPr>
          <w:p>
            <w:pPr>
              <w:jc w:val="center"/>
              <w:ind w:right="1290"/>
              <w:spacing w:after="0"/>
              <w:rPr>
                <w:sz w:val="20"/>
                <w:szCs w:val="20"/>
                <w:color w:val="auto"/>
              </w:rPr>
            </w:pPr>
            <w:r>
              <w:rPr>
                <w:rFonts w:ascii="Arial" w:cs="Arial" w:eastAsia="Arial" w:hAnsi="Arial"/>
                <w:sz w:val="18"/>
                <w:szCs w:val="18"/>
                <w:color w:val="auto"/>
                <w:w w:val="93"/>
              </w:rPr>
              <w:t>Inapplicable</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311(a)</w:t>
            </w:r>
          </w:p>
        </w:tc>
        <w:tc>
          <w:tcPr>
            <w:tcW w:w="4120" w:type="dxa"/>
            <w:vAlign w:val="bottom"/>
            <w:shd w:val="clear" w:color="auto" w:fill="CCEEFF"/>
          </w:tcPr>
          <w:p>
            <w:pPr>
              <w:jc w:val="center"/>
              <w:ind w:right="1270"/>
              <w:spacing w:after="0"/>
              <w:rPr>
                <w:sz w:val="20"/>
                <w:szCs w:val="20"/>
                <w:color w:val="auto"/>
              </w:rPr>
            </w:pPr>
            <w:r>
              <w:rPr>
                <w:rFonts w:ascii="Arial" w:cs="Arial" w:eastAsia="Arial" w:hAnsi="Arial"/>
                <w:sz w:val="18"/>
                <w:szCs w:val="18"/>
                <w:color w:val="auto"/>
                <w:w w:val="91"/>
              </w:rPr>
              <w:t>7.13</w:t>
            </w: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311(b)</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1"/>
              </w:rPr>
              <w:t>7.13</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311(c)</w:t>
            </w:r>
          </w:p>
        </w:tc>
        <w:tc>
          <w:tcPr>
            <w:tcW w:w="4120" w:type="dxa"/>
            <w:vAlign w:val="bottom"/>
            <w:shd w:val="clear" w:color="auto" w:fill="CCEEFF"/>
          </w:tcPr>
          <w:p>
            <w:pPr>
              <w:jc w:val="center"/>
              <w:ind w:right="1290"/>
              <w:spacing w:after="0"/>
              <w:rPr>
                <w:sz w:val="20"/>
                <w:szCs w:val="20"/>
                <w:color w:val="auto"/>
              </w:rPr>
            </w:pPr>
            <w:r>
              <w:rPr>
                <w:rFonts w:ascii="Arial" w:cs="Arial" w:eastAsia="Arial" w:hAnsi="Arial"/>
                <w:sz w:val="18"/>
                <w:szCs w:val="18"/>
                <w:color w:val="auto"/>
                <w:w w:val="93"/>
              </w:rPr>
              <w:t>Inapplicable</w:t>
            </w: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312(a)</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1"/>
              </w:rPr>
              <w:t>5.01</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5.02(a)</w:t>
            </w:r>
          </w:p>
        </w:tc>
        <w:tc>
          <w:tcPr>
            <w:tcW w:w="4120" w:type="dxa"/>
            <w:vAlign w:val="bottom"/>
            <w:shd w:val="clear" w:color="auto" w:fill="CCEEFF"/>
          </w:tcPr>
          <w:p>
            <w:pPr>
              <w:spacing w:after="0"/>
              <w:rPr>
                <w:sz w:val="18"/>
                <w:szCs w:val="18"/>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312(b)</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2"/>
              </w:rPr>
              <w:t>5.02(c)</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312(c)</w:t>
            </w:r>
          </w:p>
        </w:tc>
        <w:tc>
          <w:tcPr>
            <w:tcW w:w="4120" w:type="dxa"/>
            <w:vAlign w:val="bottom"/>
            <w:shd w:val="clear" w:color="auto" w:fill="CCEEFF"/>
          </w:tcPr>
          <w:p>
            <w:pPr>
              <w:jc w:val="center"/>
              <w:ind w:right="1270"/>
              <w:spacing w:after="0"/>
              <w:rPr>
                <w:sz w:val="20"/>
                <w:szCs w:val="20"/>
                <w:color w:val="auto"/>
              </w:rPr>
            </w:pPr>
            <w:r>
              <w:rPr>
                <w:rFonts w:ascii="Arial" w:cs="Arial" w:eastAsia="Arial" w:hAnsi="Arial"/>
                <w:sz w:val="18"/>
                <w:szCs w:val="18"/>
                <w:color w:val="auto"/>
                <w:w w:val="92"/>
              </w:rPr>
              <w:t>5.02(c)</w:t>
            </w: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313(a)</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1"/>
              </w:rPr>
              <w:t>5.04(a)</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313(b)</w:t>
            </w:r>
          </w:p>
        </w:tc>
        <w:tc>
          <w:tcPr>
            <w:tcW w:w="4120" w:type="dxa"/>
            <w:vAlign w:val="bottom"/>
            <w:shd w:val="clear" w:color="auto" w:fill="CCEEFF"/>
          </w:tcPr>
          <w:p>
            <w:pPr>
              <w:jc w:val="center"/>
              <w:ind w:right="1270"/>
              <w:spacing w:after="0"/>
              <w:rPr>
                <w:sz w:val="20"/>
                <w:szCs w:val="20"/>
                <w:color w:val="auto"/>
              </w:rPr>
            </w:pPr>
            <w:r>
              <w:rPr>
                <w:rFonts w:ascii="Arial" w:cs="Arial" w:eastAsia="Arial" w:hAnsi="Arial"/>
                <w:sz w:val="18"/>
                <w:szCs w:val="18"/>
                <w:color w:val="auto"/>
                <w:w w:val="91"/>
              </w:rPr>
              <w:t>5.04(b)</w:t>
            </w: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313(c)</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1"/>
              </w:rPr>
              <w:t>5.04(a)</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5.04(b)</w:t>
            </w:r>
          </w:p>
        </w:tc>
        <w:tc>
          <w:tcPr>
            <w:tcW w:w="4120" w:type="dxa"/>
            <w:vAlign w:val="bottom"/>
            <w:shd w:val="clear" w:color="auto" w:fill="CCEEFF"/>
          </w:tcPr>
          <w:p>
            <w:pPr>
              <w:spacing w:after="0"/>
              <w:rPr>
                <w:sz w:val="18"/>
                <w:szCs w:val="18"/>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313(d)</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2"/>
              </w:rPr>
              <w:t>5.04(c)</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314(a)</w:t>
            </w:r>
          </w:p>
        </w:tc>
        <w:tc>
          <w:tcPr>
            <w:tcW w:w="4120" w:type="dxa"/>
            <w:vAlign w:val="bottom"/>
            <w:shd w:val="clear" w:color="auto" w:fill="CCEEFF"/>
          </w:tcPr>
          <w:p>
            <w:pPr>
              <w:jc w:val="center"/>
              <w:ind w:right="1270"/>
              <w:spacing w:after="0"/>
              <w:rPr>
                <w:sz w:val="20"/>
                <w:szCs w:val="20"/>
                <w:color w:val="auto"/>
              </w:rPr>
            </w:pPr>
            <w:r>
              <w:rPr>
                <w:rFonts w:ascii="Arial" w:cs="Arial" w:eastAsia="Arial" w:hAnsi="Arial"/>
                <w:sz w:val="18"/>
                <w:szCs w:val="18"/>
                <w:color w:val="auto"/>
                <w:w w:val="91"/>
              </w:rPr>
              <w:t>5.03</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13.12</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120" w:type="dxa"/>
            <w:vAlign w:val="bottom"/>
          </w:tcPr>
          <w:p>
            <w:pPr>
              <w:spacing w:after="0"/>
              <w:rPr>
                <w:sz w:val="18"/>
                <w:szCs w:val="18"/>
                <w:color w:val="auto"/>
              </w:rPr>
            </w:pP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314(b)</w:t>
            </w:r>
          </w:p>
        </w:tc>
        <w:tc>
          <w:tcPr>
            <w:tcW w:w="4120" w:type="dxa"/>
            <w:vAlign w:val="bottom"/>
            <w:shd w:val="clear" w:color="auto" w:fill="CCEEFF"/>
          </w:tcPr>
          <w:p>
            <w:pPr>
              <w:jc w:val="center"/>
              <w:ind w:right="1290"/>
              <w:spacing w:after="0"/>
              <w:rPr>
                <w:sz w:val="20"/>
                <w:szCs w:val="20"/>
                <w:color w:val="auto"/>
              </w:rPr>
            </w:pPr>
            <w:r>
              <w:rPr>
                <w:rFonts w:ascii="Arial" w:cs="Arial" w:eastAsia="Arial" w:hAnsi="Arial"/>
                <w:sz w:val="18"/>
                <w:szCs w:val="18"/>
                <w:color w:val="auto"/>
                <w:w w:val="93"/>
              </w:rPr>
              <w:t>Inapplicable</w:t>
            </w: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314(c)</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89"/>
              </w:rPr>
              <w:t>13.06(a)</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314(d)</w:t>
            </w:r>
          </w:p>
        </w:tc>
        <w:tc>
          <w:tcPr>
            <w:tcW w:w="4120" w:type="dxa"/>
            <w:vAlign w:val="bottom"/>
            <w:shd w:val="clear" w:color="auto" w:fill="CCEEFF"/>
          </w:tcPr>
          <w:p>
            <w:pPr>
              <w:jc w:val="center"/>
              <w:ind w:right="1290"/>
              <w:spacing w:after="0"/>
              <w:rPr>
                <w:sz w:val="20"/>
                <w:szCs w:val="20"/>
                <w:color w:val="auto"/>
              </w:rPr>
            </w:pPr>
            <w:r>
              <w:rPr>
                <w:rFonts w:ascii="Arial" w:cs="Arial" w:eastAsia="Arial" w:hAnsi="Arial"/>
                <w:sz w:val="18"/>
                <w:szCs w:val="18"/>
                <w:color w:val="auto"/>
                <w:w w:val="93"/>
              </w:rPr>
              <w:t>Inapplicable</w:t>
            </w: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314(e)</w:t>
            </w:r>
          </w:p>
        </w:tc>
        <w:tc>
          <w:tcPr>
            <w:tcW w:w="4120" w:type="dxa"/>
            <w:vAlign w:val="bottom"/>
          </w:tcPr>
          <w:p>
            <w:pPr>
              <w:jc w:val="center"/>
              <w:ind w:right="1290"/>
              <w:spacing w:after="0"/>
              <w:rPr>
                <w:sz w:val="20"/>
                <w:szCs w:val="20"/>
                <w:color w:val="auto"/>
              </w:rPr>
            </w:pPr>
            <w:r>
              <w:rPr>
                <w:rFonts w:ascii="Arial" w:cs="Arial" w:eastAsia="Arial" w:hAnsi="Arial"/>
                <w:sz w:val="18"/>
                <w:szCs w:val="18"/>
                <w:color w:val="auto"/>
                <w:w w:val="92"/>
              </w:rPr>
              <w:t>13.06(b)</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314(f)</w:t>
            </w:r>
          </w:p>
        </w:tc>
        <w:tc>
          <w:tcPr>
            <w:tcW w:w="4120" w:type="dxa"/>
            <w:vAlign w:val="bottom"/>
            <w:shd w:val="clear" w:color="auto" w:fill="CCEEFF"/>
          </w:tcPr>
          <w:p>
            <w:pPr>
              <w:jc w:val="center"/>
              <w:ind w:right="1290"/>
              <w:spacing w:after="0"/>
              <w:rPr>
                <w:sz w:val="20"/>
                <w:szCs w:val="20"/>
                <w:color w:val="auto"/>
              </w:rPr>
            </w:pPr>
            <w:r>
              <w:rPr>
                <w:rFonts w:ascii="Arial" w:cs="Arial" w:eastAsia="Arial" w:hAnsi="Arial"/>
                <w:sz w:val="18"/>
                <w:szCs w:val="18"/>
                <w:color w:val="auto"/>
                <w:w w:val="93"/>
              </w:rPr>
              <w:t>Inapplicable</w:t>
            </w: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315(a)</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1"/>
              </w:rPr>
              <w:t>7.01(a)</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7.01(b)</w:t>
            </w:r>
          </w:p>
        </w:tc>
        <w:tc>
          <w:tcPr>
            <w:tcW w:w="4120" w:type="dxa"/>
            <w:vAlign w:val="bottom"/>
            <w:shd w:val="clear" w:color="auto" w:fill="CCEEFF"/>
          </w:tcPr>
          <w:p>
            <w:pPr>
              <w:spacing w:after="0"/>
              <w:rPr>
                <w:sz w:val="18"/>
                <w:szCs w:val="18"/>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315(b)</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1"/>
              </w:rPr>
              <w:t>7.14</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315(c)</w:t>
            </w:r>
          </w:p>
        </w:tc>
        <w:tc>
          <w:tcPr>
            <w:tcW w:w="4120" w:type="dxa"/>
            <w:vAlign w:val="bottom"/>
            <w:shd w:val="clear" w:color="auto" w:fill="CCEEFF"/>
          </w:tcPr>
          <w:p>
            <w:pPr>
              <w:jc w:val="center"/>
              <w:ind w:right="1270"/>
              <w:spacing w:after="0"/>
              <w:rPr>
                <w:sz w:val="20"/>
                <w:szCs w:val="20"/>
                <w:color w:val="auto"/>
              </w:rPr>
            </w:pPr>
            <w:r>
              <w:rPr>
                <w:rFonts w:ascii="Arial" w:cs="Arial" w:eastAsia="Arial" w:hAnsi="Arial"/>
                <w:sz w:val="18"/>
                <w:szCs w:val="18"/>
                <w:color w:val="auto"/>
                <w:w w:val="91"/>
              </w:rPr>
              <w:t>7.01</w:t>
            </w: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315(d)</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1"/>
              </w:rPr>
              <w:t>7.01(b)</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315(e)</w:t>
            </w:r>
          </w:p>
        </w:tc>
        <w:tc>
          <w:tcPr>
            <w:tcW w:w="4120" w:type="dxa"/>
            <w:vAlign w:val="bottom"/>
            <w:shd w:val="clear" w:color="auto" w:fill="CCEEFF"/>
          </w:tcPr>
          <w:p>
            <w:pPr>
              <w:jc w:val="center"/>
              <w:ind w:right="1270"/>
              <w:spacing w:after="0"/>
              <w:rPr>
                <w:sz w:val="20"/>
                <w:szCs w:val="20"/>
                <w:color w:val="auto"/>
              </w:rPr>
            </w:pPr>
            <w:r>
              <w:rPr>
                <w:rFonts w:ascii="Arial" w:cs="Arial" w:eastAsia="Arial" w:hAnsi="Arial"/>
                <w:sz w:val="18"/>
                <w:szCs w:val="18"/>
                <w:color w:val="auto"/>
                <w:w w:val="91"/>
              </w:rPr>
              <w:t>6.07</w:t>
            </w: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316(a)</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1"/>
              </w:rPr>
              <w:t>6.06</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8.04</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316(b)</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1"/>
              </w:rPr>
              <w:t>6.04</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316(c)</w:t>
            </w:r>
          </w:p>
        </w:tc>
        <w:tc>
          <w:tcPr>
            <w:tcW w:w="4120" w:type="dxa"/>
            <w:vAlign w:val="bottom"/>
            <w:shd w:val="clear" w:color="auto" w:fill="CCEEFF"/>
          </w:tcPr>
          <w:p>
            <w:pPr>
              <w:jc w:val="center"/>
              <w:ind w:right="1270"/>
              <w:spacing w:after="0"/>
              <w:rPr>
                <w:sz w:val="20"/>
                <w:szCs w:val="20"/>
                <w:color w:val="auto"/>
              </w:rPr>
            </w:pPr>
            <w:r>
              <w:rPr>
                <w:rFonts w:ascii="Arial" w:cs="Arial" w:eastAsia="Arial" w:hAnsi="Arial"/>
                <w:sz w:val="18"/>
                <w:szCs w:val="18"/>
                <w:color w:val="auto"/>
                <w:w w:val="91"/>
              </w:rPr>
              <w:t>8.01</w:t>
            </w: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317(a)</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91"/>
              </w:rPr>
              <w:t>6.02</w:t>
            </w: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317(b)</w:t>
            </w:r>
          </w:p>
        </w:tc>
        <w:tc>
          <w:tcPr>
            <w:tcW w:w="4120" w:type="dxa"/>
            <w:vAlign w:val="bottom"/>
            <w:shd w:val="clear" w:color="auto" w:fill="CCEEFF"/>
          </w:tcPr>
          <w:p>
            <w:pPr>
              <w:jc w:val="center"/>
              <w:ind w:right="1270"/>
              <w:spacing w:after="0"/>
              <w:rPr>
                <w:sz w:val="20"/>
                <w:szCs w:val="20"/>
                <w:color w:val="auto"/>
              </w:rPr>
            </w:pPr>
            <w:r>
              <w:rPr>
                <w:rFonts w:ascii="Arial" w:cs="Arial" w:eastAsia="Arial" w:hAnsi="Arial"/>
                <w:sz w:val="18"/>
                <w:szCs w:val="18"/>
                <w:color w:val="auto"/>
                <w:w w:val="91"/>
              </w:rPr>
              <w:t>4.03</w:t>
            </w:r>
          </w:p>
        </w:tc>
      </w:tr>
      <w:tr>
        <w:trPr>
          <w:trHeight w:val="230"/>
        </w:trPr>
        <w:tc>
          <w:tcPr>
            <w:tcW w:w="7120" w:type="dxa"/>
            <w:vAlign w:val="bottom"/>
            <w:gridSpan w:val="3"/>
          </w:tcPr>
          <w:p>
            <w:pPr>
              <w:spacing w:after="0"/>
              <w:rPr>
                <w:sz w:val="20"/>
                <w:szCs w:val="20"/>
                <w:color w:val="auto"/>
              </w:rPr>
            </w:pPr>
            <w:r>
              <w:rPr>
                <w:rFonts w:ascii="Arial" w:cs="Arial" w:eastAsia="Arial" w:hAnsi="Arial"/>
                <w:sz w:val="18"/>
                <w:szCs w:val="18"/>
                <w:color w:val="auto"/>
              </w:rPr>
              <w:t>318(a)</w:t>
            </w:r>
          </w:p>
        </w:tc>
        <w:tc>
          <w:tcPr>
            <w:tcW w:w="4120" w:type="dxa"/>
            <w:vAlign w:val="bottom"/>
          </w:tcPr>
          <w:p>
            <w:pPr>
              <w:jc w:val="center"/>
              <w:ind w:right="1270"/>
              <w:spacing w:after="0"/>
              <w:rPr>
                <w:sz w:val="20"/>
                <w:szCs w:val="20"/>
                <w:color w:val="auto"/>
              </w:rPr>
            </w:pPr>
            <w:r>
              <w:rPr>
                <w:rFonts w:ascii="Arial" w:cs="Arial" w:eastAsia="Arial" w:hAnsi="Arial"/>
                <w:sz w:val="18"/>
                <w:szCs w:val="18"/>
                <w:color w:val="auto"/>
                <w:w w:val="88"/>
              </w:rPr>
              <w:t>13.09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7830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2" w:lineRule="exact"/>
        <w:rPr>
          <w:sz w:val="20"/>
          <w:szCs w:val="20"/>
          <w:color w:val="auto"/>
        </w:rPr>
      </w:pPr>
    </w:p>
    <w:p>
      <w:pPr>
        <w:ind w:left="340" w:right="700" w:hanging="332"/>
        <w:spacing w:after="0" w:line="194" w:lineRule="auto"/>
        <w:tabs>
          <w:tab w:leader="none" w:pos="340" w:val="left"/>
        </w:tabs>
        <w:numPr>
          <w:ilvl w:val="0"/>
          <w:numId w:val="82"/>
        </w:numPr>
        <w:rPr>
          <w:rFonts w:ascii="Arial" w:cs="Arial" w:eastAsia="Arial" w:hAnsi="Arial"/>
          <w:sz w:val="30"/>
          <w:szCs w:val="30"/>
          <w:color w:val="auto"/>
          <w:vertAlign w:val="superscript"/>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Issuer</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U.S. Bank National Association,</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Trustee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First Supplemental Indenture</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as of August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445770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6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106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r>
      <w:tr>
        <w:trPr>
          <w:trHeight w:val="432"/>
        </w:trPr>
        <w:tc>
          <w:tcPr>
            <w:tcW w:w="10680" w:type="dxa"/>
            <w:vAlign w:val="bottom"/>
          </w:tcPr>
          <w:p>
            <w:pPr>
              <w:spacing w:after="0"/>
              <w:rPr>
                <w:sz w:val="24"/>
                <w:szCs w:val="24"/>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37"/>
        </w:trPr>
        <w:tc>
          <w:tcPr>
            <w:tcW w:w="10680" w:type="dxa"/>
            <w:vAlign w:val="bottom"/>
          </w:tcPr>
          <w:p>
            <w:pPr>
              <w:spacing w:after="0"/>
              <w:rPr>
                <w:sz w:val="20"/>
                <w:szCs w:val="20"/>
                <w:color w:val="auto"/>
              </w:rPr>
            </w:pPr>
            <w:r>
              <w:rPr>
                <w:rFonts w:ascii="Arial" w:cs="Arial" w:eastAsia="Arial" w:hAnsi="Arial"/>
                <w:sz w:val="18"/>
                <w:szCs w:val="18"/>
                <w:b w:val="1"/>
                <w:bCs w:val="1"/>
                <w:color w:val="auto"/>
              </w:rPr>
              <w:t>ARTICLE 1 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1.1. Certain Terms Defined in the Indenture</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1.2. Definitions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0680" w:type="dxa"/>
            <w:vAlign w:val="bottom"/>
          </w:tcPr>
          <w:p>
            <w:pPr>
              <w:spacing w:after="0"/>
              <w:rPr>
                <w:sz w:val="20"/>
                <w:szCs w:val="20"/>
                <w:color w:val="auto"/>
              </w:rPr>
            </w:pPr>
            <w:r>
              <w:rPr>
                <w:rFonts w:ascii="Arial" w:cs="Arial" w:eastAsia="Arial" w:hAnsi="Arial"/>
                <w:sz w:val="18"/>
                <w:szCs w:val="18"/>
                <w:b w:val="1"/>
                <w:bCs w:val="1"/>
                <w:color w:val="auto"/>
              </w:rPr>
              <w:t>ARTICLE 2 F</w:t>
            </w:r>
            <w:r>
              <w:rPr>
                <w:rFonts w:ascii="Arial" w:cs="Arial" w:eastAsia="Arial" w:hAnsi="Arial"/>
                <w:sz w:val="12"/>
                <w:szCs w:val="12"/>
                <w:b w:val="1"/>
                <w:bCs w:val="1"/>
                <w:color w:val="auto"/>
              </w:rPr>
              <w:t>ORM AND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ERMS OF THE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2.1. Form and Dating</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2.2. Terms of the Notes</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2.3. Optional Redemption</w:t>
            </w: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2.4. Repurchase of Notes Upon a Change of Control</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2.5. Limitation on Liens</w:t>
            </w: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2.6. Limitation on Sale and Leaseback Transactions</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2.7. Exempted Liens and Sale and Leaseback Transactions</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80" w:type="dxa"/>
            <w:vAlign w:val="bottom"/>
          </w:tcPr>
          <w:p>
            <w:pPr>
              <w:spacing w:after="0"/>
              <w:rPr>
                <w:sz w:val="20"/>
                <w:szCs w:val="20"/>
                <w:color w:val="auto"/>
              </w:rPr>
            </w:pPr>
            <w:r>
              <w:rPr>
                <w:rFonts w:ascii="Arial" w:cs="Arial" w:eastAsia="Arial" w:hAnsi="Arial"/>
                <w:sz w:val="18"/>
                <w:szCs w:val="18"/>
                <w:b w:val="1"/>
                <w:bCs w:val="1"/>
                <w:color w:val="auto"/>
              </w:rPr>
              <w:t>ARTICLE 3 M</w:t>
            </w:r>
            <w:r>
              <w:rPr>
                <w:rFonts w:ascii="Arial" w:cs="Arial" w:eastAsia="Arial" w:hAnsi="Arial"/>
                <w:sz w:val="12"/>
                <w:szCs w:val="12"/>
                <w:b w:val="1"/>
                <w:bCs w:val="1"/>
                <w:color w:val="auto"/>
              </w:rPr>
              <w:t>ISCELLANEOUS</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3.1. Trust Indenture Act Controls</w:t>
            </w:r>
          </w:p>
        </w:tc>
        <w:tc>
          <w:tcPr>
            <w:tcW w:w="5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3.2. Governing Law</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3.3. Multiple Counterparts</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3.4. Severability</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3.5. Ratification</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3.6. Effectiveness</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680" w:type="dxa"/>
            <w:vAlign w:val="bottom"/>
          </w:tcPr>
          <w:p>
            <w:pPr>
              <w:ind w:left="180"/>
              <w:spacing w:after="0"/>
              <w:rPr>
                <w:sz w:val="20"/>
                <w:szCs w:val="20"/>
                <w:color w:val="auto"/>
              </w:rPr>
            </w:pPr>
            <w:r>
              <w:rPr>
                <w:rFonts w:ascii="Arial" w:cs="Arial" w:eastAsia="Arial" w:hAnsi="Arial"/>
                <w:sz w:val="18"/>
                <w:szCs w:val="18"/>
                <w:color w:val="auto"/>
              </w:rPr>
              <w:t>Section 3.7. Notices, Approvals, etc.</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FIRST SUPPLEMENTAL INDENTURE</w:t>
      </w:r>
    </w:p>
    <w:p>
      <w:pPr>
        <w:spacing w:after="0" w:line="229" w:lineRule="exact"/>
        <w:rPr>
          <w:sz w:val="20"/>
          <w:szCs w:val="20"/>
          <w:color w:val="auto"/>
        </w:rPr>
      </w:pPr>
    </w:p>
    <w:p>
      <w:pPr>
        <w:ind w:right="440" w:firstLine="648"/>
        <w:spacing w:after="0" w:line="263" w:lineRule="auto"/>
        <w:rPr>
          <w:sz w:val="20"/>
          <w:szCs w:val="20"/>
          <w:color w:val="auto"/>
        </w:rPr>
      </w:pPr>
      <w:r>
        <w:rPr>
          <w:rFonts w:ascii="Arial" w:cs="Arial" w:eastAsia="Arial" w:hAnsi="Arial"/>
          <w:sz w:val="18"/>
          <w:szCs w:val="18"/>
          <w:color w:val="auto"/>
        </w:rPr>
        <w:t>SUPPLEMENTAL INDENTURE (this “First Supplemental Indenture”), dated as of August 12, 2020, between REGENERON PHARMACEUTICALS, INC., a New York corporation (the “Company”), and U.S. Bank National Association, a national association, as Trustee (the “Trustee”).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RECITALS OF THE COMPANY</w:t>
      </w:r>
    </w:p>
    <w:p>
      <w:pPr>
        <w:spacing w:after="0" w:line="225"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WHEREAS, the Company and the Trustee executed and delivered an Indenture, dated as of August 12, 2020 (the “Base Indenture” and, as supplemented hereby, the “Indenture”), to provide for the issuance by the Company from time to time of Securities (as defined in the Base Indenture) to be issued in one or more series as provided in the Indenture;</w:t>
      </w:r>
    </w:p>
    <w:p>
      <w:pPr>
        <w:spacing w:after="0" w:line="18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WHEREAS, the issuance and sale of $1,250,000,000 aggregate principal amount of a new series of the Securities of the Company designated as its 1.750% Senior Notes due September 15, 2030 (the “2030 Notes”) and $750,000,000 aggregate principal amount of a new series of the Securities of the Company designated as its 2.800% Senior Notes due September 15, 2050 (the “2050 Notes” and, together with the 2030 Notes, the “Notes”) have been authorized by resolutions adopted by the Board of Directors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issue and sell $2,000,000,000 aggregate principal amount of the Notes on the date hereof;</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WHEREAS, Sections 2.01 and 9.01 of the Base Indenture provide that the Company, when authorized by a Board Resolution (as defined in the Base Indenture), and the Trustee may amend or supplement the Indenture to provide for the issuance of and to establish the form or terms and conditions of Securities of any series as permitted by the Indenture;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establish the form, terms and conditions of the Notes; and</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WHEREAS, all things necessary to make this First Supplemental Indenture a valid supplement to the Indenture according to its terms and the terms of the Base Indenture have been done;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NOW, THEREFORE, for and in consideration of the premises stated herein and the purchase of the Notes by the Securityholders (as defined in the Base Indenture) thereof, the parties hereto hereby enter into this First Supplemental Indenture, for the equal and proportionate benefit of all Securityholders of the Notes, as follows: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ECTION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Terms Defined in the Indenture</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purposes of this First Supplemental Indenture, all capitalized terms used but not defined herein shall have the meanings ascribed to such terms in the Base Indenture, as amended 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Solely for the benefit of the Securityholders of the Notes, Section 1.01 of the Base Indenture shall be amended by adding the following new definitions:</w:t>
      </w:r>
    </w:p>
    <w:p>
      <w:pPr>
        <w:spacing w:after="0" w:line="17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“Attributable Debt” means, with respect to a Sale and Leaseback Transaction, an amount equal to the lesser of (1) the fair market value of the property (as determined in good faith by the Board of Directors); and (2) the present value of the total net amount of rent payments to be made under the lease during its remaining term, discounted at the rate of interest set forth or implicit in the terms of the lease, compounded semi-annually. The calculation of the present value of the total net amount of rent payments is subject to adjustments specified in the indenture.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3" w:name="page84"/>
    <w:bookmarkEnd w:id="83"/>
    <w:p>
      <w:pPr>
        <w:ind w:firstLine="648"/>
        <w:spacing w:after="0" w:line="284" w:lineRule="auto"/>
        <w:rPr>
          <w:sz w:val="20"/>
          <w:szCs w:val="20"/>
          <w:color w:val="auto"/>
        </w:rPr>
      </w:pPr>
      <w:r>
        <w:rPr>
          <w:rFonts w:ascii="Arial" w:cs="Arial" w:eastAsia="Arial" w:hAnsi="Arial"/>
          <w:sz w:val="16"/>
          <w:szCs w:val="16"/>
          <w:color w:val="auto"/>
        </w:rPr>
        <w:t xml:space="preserve">“Change of Control” means the occurrence of any of the following: (1) the consummation of any transaction (including, without limitation, any merger or consolidation) the result of which is that any “person” (as such term is used in Section 13(d) of the Exchange Act) (other than the Company or one of its Subsidiaries) becomes the beneficial owner (as defined in Rules 13d-3 and 13d-5 under the Exchange Act), directly or indirectly, of more than 50% of the Voting Stock of the Company or other Voting Stock into which the Voting Stock of the Company is reclassified, consolidated, exchanged or changed, measured by voting power rather than number of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Person shall not be deemed beneficial owner of, or to own beneficially, (A) any Securities tendered pursuant to a tender or exchange offer made by or on behalf of such Person or any of such Person’s affiliates until such tendered Securities are accepted for purchase or exchange thereunder, or (B) any Securities if such beneficial ownership (i) arises solely as a result of a revocable proxy delivered in response to a proxy or consent solicitation made pursuant to the applicable rules and regulations under the Exchange Act, and (ii) is not also then reportable on Schedule 13D (or any successor schedule) under the Exchange Act; (2) the direct or indirect sale, transfer, conveyance or other disposition (other than by way of merger or consolidation), in one or more series of related transactions, of all or substantially all of the assets of the Company and the assets of its Subsidiaries, taken as a whole, to one or more “persons” (as such term is used in Section 13(d) of the Exchange Act) (other than to the Company or one of its Subsidiaries) (a “Transferee”),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circumstances in this clause (2) will be a Change of Control if the Persons that beneficially own the Company’s Voting Stock immediately prior to the transaction own, directly or indirectly, shares representing a majority of the total Voting Stock as measured by voting power rather than number of shares of the Transferee; (3) the Company consolidates with, or merges with or into, any “person” (as such term is used in Section 13(d) of the Exchange Act) or any such Person consolidates with, or merges with or into, the Company, in either case, pursuant to a transaction in which any of the Company’s outstanding Voting Stock or the Voting Stock of such other Person is converted into or exchanged for cash, securities or other property, other than pursuant to a transaction in which shares of the Company’s Voting Stock outstanding immediately prior to the transaction constitute, or are converted into or exchanged for, a majority of the Voting Stock of the surviving Person immediately after giving effect to such transaction, in each case, measured by voting power rather than number of shares; or (4) the adoption of a plan relating to the Company’s liquidation or dissolution.</w:t>
      </w:r>
    </w:p>
    <w:p>
      <w:pPr>
        <w:spacing w:after="0" w:line="18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Notwithstanding clauses (1) through (3) above, a transaction will not be considered to be a Change of Control if (a) the Company becomes a direct or indirect wholly-owned subsidiary of a holding company and (b)(x) immediately following that transaction, the direct or indirect holders of the Voting Stock of the holding company are substantially the same as the holders of the Company’s Voting Stock immediately prior to that transaction or</w:t>
      </w:r>
    </w:p>
    <w:p>
      <w:pPr>
        <w:ind w:right="180" w:firstLine="8"/>
        <w:spacing w:after="0" w:line="260"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immediately following that transaction, no person is the beneficial owner, directly or indirectly, of more than 50% of the Voting Stock of such holding company, in each case, measured by voting power rather than number of shares.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“Comparable Treasury Issue” means the U.S. Treasury security or securities selected by an Independent Investment Banker as having an actual or interpolated maturity comparable to the remaining term of the Notes of the applicable series (“Remaining Life”) to be redeemed that would be utilized, at the time of selection and in accordance with customary financial practice, in pricing new issues of corporate debt securities of a comparable maturity to the remaining term of such Notes.</w:t>
      </w:r>
    </w:p>
    <w:p>
      <w:pPr>
        <w:spacing w:after="0" w:line="187"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“Comparable Treasury Price” means, with respect to any Notes of a series on any redemption date, (A) the average of the Reference Treasury Dealer Quotations for such redemption date, after excluding the highest and lowest such Reference Treasury Dealer Quotations, or (B) if the Independent Investment Banker obtains fewer than four such Reference Treasury Dealer Quotations, the average of all such quotations.</w:t>
      </w:r>
    </w:p>
    <w:p>
      <w:pPr>
        <w:spacing w:after="0" w:line="165" w:lineRule="exact"/>
        <w:rPr>
          <w:sz w:val="20"/>
          <w:szCs w:val="20"/>
          <w:color w:val="auto"/>
        </w:rPr>
      </w:pPr>
    </w:p>
    <w:p>
      <w:pPr>
        <w:ind w:right="340" w:firstLine="648"/>
        <w:spacing w:after="0" w:line="263" w:lineRule="auto"/>
        <w:rPr>
          <w:sz w:val="20"/>
          <w:szCs w:val="20"/>
          <w:color w:val="auto"/>
        </w:rPr>
      </w:pPr>
      <w:r>
        <w:rPr>
          <w:rFonts w:ascii="Arial" w:cs="Arial" w:eastAsia="Arial" w:hAnsi="Arial"/>
          <w:sz w:val="18"/>
          <w:szCs w:val="18"/>
          <w:color w:val="auto"/>
        </w:rPr>
        <w:t>“Consolidated Total Assets” means, with respect to any Person as of any date, the amount of total assets as shown on the consolidated balance sheet of such Person for the most recent fiscal quarter for which financial statements have been filed with the Securities and Exchange Commission, prepared in accordance with accounting principles generally accepted in the United States.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ind w:right="960" w:firstLine="648"/>
        <w:spacing w:after="0" w:line="277" w:lineRule="auto"/>
        <w:rPr>
          <w:sz w:val="20"/>
          <w:szCs w:val="20"/>
          <w:color w:val="auto"/>
        </w:rPr>
      </w:pPr>
      <w:r>
        <w:rPr>
          <w:rFonts w:ascii="Arial" w:cs="Arial" w:eastAsia="Arial" w:hAnsi="Arial"/>
          <w:sz w:val="18"/>
          <w:szCs w:val="18"/>
          <w:color w:val="auto"/>
        </w:rPr>
        <w:t>“Global Notes” means, individually and collectively, each of the Notes in the form of Global Securities issued to DTC or its nominee, substantially in the form of Exhibits A and B.</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“Indebtedness” of any Person means, without duplication (1) any obligation of such Person for money borrowed, (2) any obligation of such Person evidenced by bonds, debentures, notes, or other similar instruments, (3) any reimbursement obligation of such Person in respect of letters of credit or other similar instruments which support financial obligations which would otherwise become Indebtedness, and (4) any obligation of such Person under any finance lease;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“Indebtedness” of such Person shall not include any obligation of such Person to any Subsidiary of such Person or to any Person with respect to which such Person is a Subsidiary.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“Independent Investment Banker” means one of the Reference Treasury Dealers appointed by the Company.</w:t>
      </w:r>
    </w:p>
    <w:p>
      <w:pPr>
        <w:spacing w:after="0" w:line="225"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“Investment Grade Rating” means a rating equal to or higher than Baa3 (or the equivalent) by Moody’s and BBB- (or the equivalent) by S&amp;P, or the equivalent investment grade credit rating from any additional rating agency or Rating Agencies selected by the Company.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“Lien” means any pledge, mortgage, lien, encumbrance or other security interest.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“Moody’s” means Moody’s Investors Service, Inc. or any successor thereto.</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“Par Call Date” means (1) with respect to the 2030 Notes, June 15, 2030 (three months prior to the maturity date of the 2030 Notes) and (2) with respect to the 2050 Notes, March 15, 2050 (six months prior to the maturity date of the 2050 Notes).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“Principal Property” means (1) any manufacturing facility, together with the land upon which it is erected and fixtures comprising a part thereof, owned or leased by the Company or any Subsidiary and located within the continental United States and having a net book value which, on the date the determination as to whether a property is a Principal Property is being made, exceeds 1% of the Company’s Consolidated Total Assets other than any such facility or a portion thereof which the Board of Directors determines in good faith, at any time on or prior to such date, is not of material importance to the total business conducted, or assets owned, by the Company and its Subsidiaries as an entirety or (2) any shares of stock or Indebtedness of any Subsidiary owning a Principal Property.</w:t>
      </w:r>
    </w:p>
    <w:p>
      <w:pPr>
        <w:spacing w:after="0" w:line="192"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“Rating Agencies” means (1) each of Moody’s and S&amp;P and (2) if any of Moody’s and S&amp;P ceases to rate the Notes or fails to make a rating of the Notes publicly available for reasons outside of the control of the Company, a “nationally recognized statistical rating organization” within the meaning of Rule 15c3-l(c)(2)(vi)(F) under the Exchange Act selected by the Company (as certified by a resolution of the Board of Directors of the Company) and which is reasonably acceptable to the Trustee as a replacement agency for Moody’s or S&amp;P, or both of them, as the case may be.</w:t>
      </w:r>
    </w:p>
    <w:p>
      <w:pPr>
        <w:spacing w:after="0" w:line="15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“Rating Event” means with respect to any series of Notes, the rating on such Notes is lowered by each of the Rating Agencies (or if there is only one Rating Agency, by such Rating Agency) and such Notes are rated below an Investment Grade Rating by each of the Rating Agencies (or if there is only one Rating Agency, by such Rating Agency), on any day during the period commencing on the earlier of the date of the first public notice of the occurrence of a Change of Control or the Company’s intention to effect a Change of Control and ending 60 days following consummation of such Change of Control (which period will be extended so long as the rating of the applicable series of Notes is under publicly announced consideration for a possible downgrade by any of the Rating Agencies).</w:t>
      </w:r>
    </w:p>
    <w:p>
      <w:pPr>
        <w:spacing w:after="0" w:line="192" w:lineRule="exact"/>
        <w:rPr>
          <w:sz w:val="20"/>
          <w:szCs w:val="20"/>
          <w:color w:val="auto"/>
        </w:rPr>
      </w:pPr>
    </w:p>
    <w:p>
      <w:pPr>
        <w:ind w:right="340" w:firstLine="648"/>
        <w:spacing w:after="0" w:line="257" w:lineRule="auto"/>
        <w:rPr>
          <w:sz w:val="20"/>
          <w:szCs w:val="20"/>
          <w:color w:val="auto"/>
        </w:rPr>
      </w:pPr>
      <w:r>
        <w:rPr>
          <w:rFonts w:ascii="Arial" w:cs="Arial" w:eastAsia="Arial" w:hAnsi="Arial"/>
          <w:sz w:val="18"/>
          <w:szCs w:val="18"/>
          <w:color w:val="auto"/>
        </w:rPr>
        <w:t xml:space="preserve">“Reference Treasury Dealer” means each of Goldman Sachs &amp; Co. LLC, BofA Securities, Inc., and J.P. Morgan Securities LLC, or their respective affiliates, which are primary U.S. Government securities dealers in The City of New York, and their respective successors, plus two other primary U.S. Government securities dealers in The City of New York selected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of the foregoing or their affiliates shall cease to be a primary U.S. Government securities dealer in The City of New York (a “Primary Treasury Dealer”), the Company will substitute therefor another Primary Treasury Dealer.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right="220" w:firstLine="648"/>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Independent Investment Banker, of the bid and asked prices for the applicable Comparable Treasury Issue (expressed in each case as a percentage of its principal amount) quoted in writing to the Trustee by the Reference Treasury Dealers at 3:30 p.m. New York time on the third Business Day preceding such redemption date.</w:t>
      </w:r>
    </w:p>
    <w:p>
      <w:pPr>
        <w:spacing w:after="0" w:line="187" w:lineRule="exact"/>
        <w:rPr>
          <w:sz w:val="20"/>
          <w:szCs w:val="20"/>
          <w:color w:val="auto"/>
        </w:rPr>
      </w:pPr>
    </w:p>
    <w:p>
      <w:pPr>
        <w:jc w:val="both"/>
        <w:ind w:right="340" w:firstLine="648"/>
        <w:spacing w:after="0" w:line="342" w:lineRule="auto"/>
        <w:rPr>
          <w:sz w:val="20"/>
          <w:szCs w:val="20"/>
          <w:color w:val="auto"/>
        </w:rPr>
      </w:pPr>
      <w:r>
        <w:rPr>
          <w:rFonts w:ascii="Arial" w:cs="Arial" w:eastAsia="Arial" w:hAnsi="Arial"/>
          <w:sz w:val="16"/>
          <w:szCs w:val="16"/>
          <w:color w:val="auto"/>
        </w:rPr>
        <w:t>“Sale and Leaseback Transaction” means any arrangement with any Person providing for the leasing by the Company or any Subsidiary of the Company of any Principal Property that has been or is to be sold or transferred by the Company or such Subsidiary, as the case may be, to such Person.</w:t>
      </w:r>
    </w:p>
    <w:p>
      <w:pPr>
        <w:spacing w:after="0" w:line="12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“Subsidiary” of any Person means (1) a corporation, a majority of the outstanding Voting Stock of which is, at the time, directly or indirectly, owned by such Person by one or more Subsidiaries of such Person, or by such Person and one or more Subsidiaries thereof or (2) any other Person (other than a corporation), including, without limitation, a partnership or joint venture, in which such Person, one or more Subsidiaries thereof or such Person and one or more Subsidiaries thereof, directly or indirectly, at the date of determination thereof, has at least majority ownership interest entitled to vote in the election of directors, managers or trustees thereof (or other Person performing similar functions).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“S&amp;P” means Standard &amp; Poor’s Rating Services, a Standard &amp; Poor’s Financial Services LLC business, or any successor thereto.</w:t>
      </w:r>
    </w:p>
    <w:p>
      <w:pPr>
        <w:spacing w:after="0" w:line="225" w:lineRule="exact"/>
        <w:rPr>
          <w:sz w:val="20"/>
          <w:szCs w:val="20"/>
          <w:color w:val="auto"/>
        </w:rPr>
      </w:pPr>
    </w:p>
    <w:p>
      <w:pPr>
        <w:ind w:right="160" w:firstLine="648"/>
        <w:spacing w:after="0" w:line="269" w:lineRule="auto"/>
        <w:rPr>
          <w:sz w:val="20"/>
          <w:szCs w:val="20"/>
          <w:color w:val="auto"/>
        </w:rPr>
      </w:pPr>
      <w:r>
        <w:rPr>
          <w:rFonts w:ascii="Arial" w:cs="Arial" w:eastAsia="Arial" w:hAnsi="Arial"/>
          <w:sz w:val="17"/>
          <w:szCs w:val="17"/>
          <w:color w:val="auto"/>
        </w:rPr>
        <w:t xml:space="preserve">“Treasury Rate” means, with respect to any redemption date: (1) the rate per annum equal to the yield, under the heading which represents the average for the immediately preceding week, appearing in the most recently published statistical release designated “H. 15(519)” or any successor publication which is published weekly by the Board of Governors of the Federal Reserve System and which establishes yields on actively traded U.S. Treasury securities adjusted to constant maturity under the caption “Treasury Constant Maturities” for the maturity corresponding to the Comparable Treasury Issue;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 maturity is within three months before or after the Remaining Life of the Notes to be redeemed, yields for the two published maturities most closely corresponding to the Comparable Treasury Issue shall be determined and the Treasury Rate shall be interpolated or extrapolated from those yields on a straight-line basis, rounding to the nearest month; or (2) if such release (or any successor release) is not published during the week preceding the calculation date or does not contain such yields, the rate per year equal to the semiannual equivalent yield to maturity or interpolated (on a day count basis) of the Comparable Treasury Issue, assuming a price for the applicable Comparable Treasury Issue (expressed as a percentage of its principal amount) equal to the applicable Comparable Treasury Price for such redemption date. The Treasury Rate shall be calculated on the third business day preceding the redemption date.</w:t>
      </w:r>
    </w:p>
    <w:p>
      <w:pPr>
        <w:spacing w:after="0" w:line="18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 of the Exchange Act) as of any date, the capital stock of such person that is at the time entitled to vote generally in the election of the board of directors of such person.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AND</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ERMS OF THE</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OTES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Form and Dating</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 xml:space="preserve">The 2030 Notes and the Trustee’s certificate of authentication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2050 Notes and the Trustee’s certificate of authentication shall be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Notes shall be executed on behalf of the Company by an Officer of the Company. The Notes may have notations, legends or endorsements required by law, stock exchange rules or usage. Each Note shall be dated the date of its authentication. The Notes and any beneficial interest in the Notes shall be in minimum denominations of $2,000 and integral multiples of $1,000 in excess thereof.</w:t>
      </w:r>
    </w:p>
    <w:p>
      <w:pPr>
        <w:spacing w:after="0" w:line="18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terms and notations contained in the Notes shall constitute, and are hereby expressly made, a part of the Base Indenture as supplemented by this First Supplemental Indenture and the Company and the Trustee, by their execution and delivery of this First Supplemental Indenture, expressly agree to such terms and provisions and to be bound thereby.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ind w:firstLine="1304"/>
        <w:spacing w:after="0" w:line="275" w:lineRule="auto"/>
        <w:tabs>
          <w:tab w:leader="none" w:pos="199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Global Notes</w:t>
      </w:r>
      <w:r>
        <w:rPr>
          <w:rFonts w:ascii="Arial" w:cs="Arial" w:eastAsia="Arial" w:hAnsi="Arial"/>
          <w:sz w:val="17"/>
          <w:szCs w:val="17"/>
          <w:color w:val="auto"/>
        </w:rPr>
        <w:t>. The Notes of each series designated herein shall be issued initially in the form of one or more fully registered Global Securities, which shall be deposited on behalf of the purchasers of the Notes represented thereby with The Depository Trust Company, New York, New York (“DTC”) and registered in the name of Cede &amp; Co., DTC’s nominee, duly executed by the Company, authenticated by the Trustee and with guarantees endorsed thereon as hereinafter provided. The aggregate principal amount of outstanding Notes may from time to time be increased or decreased by adjustments made on the records of the Trustee and DTC or its nominee as hereinafter provided.</w:t>
      </w:r>
    </w:p>
    <w:p>
      <w:pPr>
        <w:spacing w:after="0" w:line="176"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The Global Notes may not be transferred except by DTC, in whole and not in part, to another nominee of DTC or to a successor of DTC or its nominee. If at any time DTC notifies the Company that DTC is unwilling to continue as the depositary for the Global Notes or ceases to be a clearing agency, or if the Company so elects or if there is an Event of Default under the Notes, then the Company shall execute, and the Trustee shall, upon receipt of a Company Order for authentication, authenticate and deliver, definitive Notes in an aggregate principal amount equal to the principal amount of the Global Notes in exchange for such Global Note, which DTC will distribute to its participants.</w:t>
      </w:r>
    </w:p>
    <w:p>
      <w:pPr>
        <w:spacing w:after="0" w:line="176" w:lineRule="exact"/>
        <w:rPr>
          <w:sz w:val="20"/>
          <w:szCs w:val="20"/>
          <w:color w:val="auto"/>
        </w:rPr>
      </w:pPr>
    </w:p>
    <w:p>
      <w:pPr>
        <w:ind w:left="2000" w:hanging="696"/>
        <w:spacing w:after="0"/>
        <w:tabs>
          <w:tab w:leader="none" w:pos="200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Book-Entry Provisions</w:t>
      </w:r>
      <w:r>
        <w:rPr>
          <w:rFonts w:ascii="Arial" w:cs="Arial" w:eastAsia="Arial" w:hAnsi="Arial"/>
          <w:sz w:val="18"/>
          <w:szCs w:val="18"/>
          <w:color w:val="auto"/>
        </w:rPr>
        <w:t>. This Section 2.1(b) shall apply only to the Global Notes deposited with or on behalf of DTC.</w:t>
      </w:r>
    </w:p>
    <w:p>
      <w:pPr>
        <w:spacing w:after="0" w:line="225"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The Company shall execute and the Trustee shall, in accordance with this Section 2.1(b), authenticate and deliver the Global Notes that shall be registered in the name of DTC or the nominee of DTC and shall be delivered by the Trustee to DTC or pursuant to DTC’s instructions.</w:t>
      </w:r>
    </w:p>
    <w:p>
      <w:pPr>
        <w:spacing w:after="0" w:line="146" w:lineRule="exact"/>
        <w:rPr>
          <w:sz w:val="20"/>
          <w:szCs w:val="20"/>
          <w:color w:val="auto"/>
        </w:rPr>
      </w:pPr>
    </w:p>
    <w:p>
      <w:pPr>
        <w:ind w:right="220" w:firstLine="648"/>
        <w:spacing w:after="0" w:line="296" w:lineRule="auto"/>
        <w:rPr>
          <w:sz w:val="20"/>
          <w:szCs w:val="20"/>
          <w:color w:val="auto"/>
        </w:rPr>
      </w:pPr>
      <w:r>
        <w:rPr>
          <w:rFonts w:ascii="Arial" w:cs="Arial" w:eastAsia="Arial" w:hAnsi="Arial"/>
          <w:sz w:val="16"/>
          <w:szCs w:val="16"/>
          <w:color w:val="auto"/>
        </w:rPr>
        <w:t>Depositary participants shall have no rights either under the Indenture or with respect to any Global Notes held on their behalf by DTC or under such Global Notes. DTC shall be treated by the Company, the Trustee and any agent of the Company or the Trustee as the absolute owner of such Global Note for all purposes under the Indenture. Notwithstanding the foregoing, nothing herein shall prevent the Company or the Trustee from giving effect to any written certification, proxy or other authorization furnished by DTC or impair, as between DTC and the depositary participants, the operation of customary practices of such DTC governing the exercise of the rights of an owner of a beneficial interest in the Global Notes.</w:t>
      </w:r>
    </w:p>
    <w:p>
      <w:pPr>
        <w:spacing w:after="0" w:line="161" w:lineRule="exact"/>
        <w:rPr>
          <w:sz w:val="20"/>
          <w:szCs w:val="20"/>
          <w:color w:val="auto"/>
        </w:rPr>
      </w:pPr>
    </w:p>
    <w:p>
      <w:pPr>
        <w:ind w:right="180" w:firstLine="1304"/>
        <w:spacing w:after="0" w:line="263" w:lineRule="auto"/>
        <w:tabs>
          <w:tab w:leader="none" w:pos="199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Definitive Notes</w:t>
      </w:r>
      <w:r>
        <w:rPr>
          <w:rFonts w:ascii="Arial" w:cs="Arial" w:eastAsia="Arial" w:hAnsi="Arial"/>
          <w:sz w:val="18"/>
          <w:szCs w:val="18"/>
          <w:color w:val="auto"/>
        </w:rPr>
        <w:t xml:space="preserve">. Notes issued in certificated form shall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B</w:t>
      </w:r>
      <w:r>
        <w:rPr>
          <w:rFonts w:ascii="Arial" w:cs="Arial" w:eastAsia="Arial" w:hAnsi="Arial"/>
          <w:sz w:val="18"/>
          <w:szCs w:val="18"/>
          <w:color w:val="auto"/>
        </w:rPr>
        <w:t>, as applicable, attached hereto, but without including the text referred to therein as applying only to Global Notes. Except as provided above in subsection (a), owners of beneficial interests in the Global Notes will not be entitled to receive physical delivery of certificated Notes.</w:t>
      </w:r>
    </w:p>
    <w:p>
      <w:pPr>
        <w:spacing w:after="0" w:line="183" w:lineRule="exact"/>
        <w:rPr>
          <w:rFonts w:ascii="Arial" w:cs="Arial" w:eastAsia="Arial" w:hAnsi="Arial"/>
          <w:sz w:val="18"/>
          <w:szCs w:val="18"/>
          <w:color w:val="auto"/>
        </w:rPr>
      </w:pPr>
    </w:p>
    <w:p>
      <w:pPr>
        <w:ind w:right="100" w:firstLine="1304"/>
        <w:spacing w:after="0" w:line="263" w:lineRule="auto"/>
        <w:tabs>
          <w:tab w:leader="none" w:pos="200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the Notes</w:t>
      </w:r>
      <w:r>
        <w:rPr>
          <w:rFonts w:ascii="Arial" w:cs="Arial" w:eastAsia="Arial" w:hAnsi="Arial"/>
          <w:sz w:val="18"/>
          <w:szCs w:val="18"/>
          <w:color w:val="auto"/>
        </w:rPr>
        <w:t>. The transfer and exchange of beneficial interests in the Global Notes shall be effected through DTC, in accordance with the Indenture and the procedures of DTC therefor. Beneficial interests in the Global Notes may be transferred to Persons who take delivery thereof in the form of a beneficial interest in the Global Notes.</w:t>
      </w:r>
    </w:p>
    <w:p>
      <w:pPr>
        <w:spacing w:after="0" w:line="183" w:lineRule="exact"/>
        <w:rPr>
          <w:rFonts w:ascii="Arial" w:cs="Arial" w:eastAsia="Arial" w:hAnsi="Arial"/>
          <w:sz w:val="18"/>
          <w:szCs w:val="18"/>
          <w:color w:val="auto"/>
        </w:rPr>
      </w:pPr>
    </w:p>
    <w:p>
      <w:pPr>
        <w:ind w:right="40" w:firstLine="1304"/>
        <w:spacing w:after="0" w:line="259" w:lineRule="auto"/>
        <w:tabs>
          <w:tab w:leader="none" w:pos="199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Paying Agent</w:t>
      </w:r>
      <w:r>
        <w:rPr>
          <w:rFonts w:ascii="Arial" w:cs="Arial" w:eastAsia="Arial" w:hAnsi="Arial"/>
          <w:sz w:val="18"/>
          <w:szCs w:val="18"/>
          <w:color w:val="auto"/>
        </w:rPr>
        <w:t>. The Company appoints the Trustee as the initial agent of the Company for the payment of the principal of (and premium, if any) and interest on the Notes and the Corporate Trust Office of the Trustee in Hartford, Connecticut, be and hereby is, designated as the office or agency where the Notes may be presented for payment and where notices to or demands upon the Company in respect of the Notes and the Indenture pursuant to which the Notes are to be issued may be served.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7" w:name="page88"/>
    <w:bookmarkEnd w:id="87"/>
    <w:p>
      <w:pPr>
        <w:ind w:left="6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Terms of the Notes</w:t>
      </w:r>
      <w:r>
        <w:rPr>
          <w:rFonts w:ascii="Arial" w:cs="Arial" w:eastAsia="Arial" w:hAnsi="Arial"/>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terms relating to the Notes are hereby established:</w:t>
      </w:r>
    </w:p>
    <w:p>
      <w:pPr>
        <w:spacing w:after="0" w:line="225" w:lineRule="exact"/>
        <w:rPr>
          <w:sz w:val="20"/>
          <w:szCs w:val="20"/>
          <w:color w:val="auto"/>
        </w:rPr>
      </w:pPr>
    </w:p>
    <w:p>
      <w:pPr>
        <w:ind w:left="-20" w:right="460" w:firstLine="1304"/>
        <w:spacing w:after="0" w:line="277" w:lineRule="auto"/>
        <w:tabs>
          <w:tab w:leader="none" w:pos="197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The 2030 Notes shall constitute a series of Securities having the title “1.750% Senior Notes due 2030” and the 2050 Notes shall constitute a separate series of Securities having the title “2.800% Senior Notes due 2050”.</w:t>
      </w:r>
    </w:p>
    <w:p>
      <w:pPr>
        <w:spacing w:after="0" w:line="170" w:lineRule="exact"/>
        <w:rPr>
          <w:rFonts w:ascii="Arial" w:cs="Arial" w:eastAsia="Arial" w:hAnsi="Arial"/>
          <w:sz w:val="18"/>
          <w:szCs w:val="18"/>
          <w:color w:val="auto"/>
        </w:rPr>
      </w:pPr>
    </w:p>
    <w:p>
      <w:pPr>
        <w:ind w:left="-20" w:firstLine="1304"/>
        <w:spacing w:after="0" w:line="288" w:lineRule="auto"/>
        <w:tabs>
          <w:tab w:leader="none" w:pos="198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Principal Amount</w:t>
      </w:r>
      <w:r>
        <w:rPr>
          <w:rFonts w:ascii="Arial" w:cs="Arial" w:eastAsia="Arial" w:hAnsi="Arial"/>
          <w:sz w:val="16"/>
          <w:szCs w:val="16"/>
          <w:color w:val="auto"/>
        </w:rPr>
        <w:t xml:space="preserve">. The aggregate principal amount of the 2030 Notes that may be initially authenticated and delivered under the Indenture (except for 2030 Notes authenticated and delivered upon registration of, transfer of, or in exchange for, or in lieu of, other 2030 Notes pursuant to Sections 2.05, 2.06, 2.07, 3.03 or 9.04 of the Base Indenture) shall be $1,250,000,000. The aggregate principal amount of the 2050 Notes that may be initially authenticated and delivered under the Indenture (except for 2050 Notes authenticated and delivered upon registration of, transfer of, or in exchange for, or in lieu of, other 2050 Notes pursuant to Sections 2.05, 2.06, 2.07, 3.03 or 9.04 of the Base Indenture) shall be $750,000,000. The Company may from time to time, without notice to or the consent of the Securityholders of Notes of any series, issue additional Notes (in any such case “Additional Notes”) of any series having the same ranking and the same interest rate, maturity and other terms as the Notes of that series. Any additional Notes of a series and the existing Notes of that series will constitute a single series under the Indenture and all references to the relevant Notes shall include the Additional Notes unless the context otherwise requires; </w:t>
      </w:r>
      <w:r>
        <w:rPr>
          <w:rFonts w:ascii="Arial" w:cs="Arial" w:eastAsia="Arial" w:hAnsi="Arial"/>
          <w:sz w:val="16"/>
          <w:szCs w:val="16"/>
          <w:u w:val="single" w:color="auto"/>
          <w:color w:val="auto"/>
        </w:rPr>
        <w:t>provided</w:t>
      </w:r>
      <w:r>
        <w:rPr>
          <w:rFonts w:ascii="Arial" w:cs="Arial" w:eastAsia="Arial" w:hAnsi="Arial"/>
          <w:sz w:val="16"/>
          <w:szCs w:val="16"/>
          <w:color w:val="auto"/>
        </w:rPr>
        <w:t>, that if the Additional Notes of any series are not fungible with the Notes of such series for U.S. federal income tax purposes, the Additional Notes will have a separate CUSIP number.</w:t>
      </w:r>
    </w:p>
    <w:p>
      <w:pPr>
        <w:spacing w:after="0" w:line="168" w:lineRule="exact"/>
        <w:rPr>
          <w:rFonts w:ascii="Arial" w:cs="Arial" w:eastAsia="Arial" w:hAnsi="Arial"/>
          <w:sz w:val="16"/>
          <w:szCs w:val="16"/>
          <w:color w:val="auto"/>
        </w:rPr>
      </w:pPr>
    </w:p>
    <w:p>
      <w:pPr>
        <w:ind w:left="-20" w:right="20" w:firstLine="1304"/>
        <w:spacing w:after="0" w:line="263" w:lineRule="auto"/>
        <w:tabs>
          <w:tab w:leader="none" w:pos="197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Issuance Price</w:t>
      </w:r>
      <w:r>
        <w:rPr>
          <w:rFonts w:ascii="Arial" w:cs="Arial" w:eastAsia="Arial" w:hAnsi="Arial"/>
          <w:sz w:val="18"/>
          <w:szCs w:val="18"/>
          <w:color w:val="auto"/>
        </w:rPr>
        <w:t>. The 2030 Notes shall be issued at a price to the public of 99.898% of the principal amount of such series and the 2050 Notes shall be issued at a price to the public of 99.715% of the principal amount of such series, plus, in each case, accrued interest, if any, from August 12, 2020 to the Original Issue Date (as defined in the Note of the applicable series).</w:t>
      </w:r>
    </w:p>
    <w:p>
      <w:pPr>
        <w:spacing w:after="0" w:line="183" w:lineRule="exact"/>
        <w:rPr>
          <w:rFonts w:ascii="Arial" w:cs="Arial" w:eastAsia="Arial" w:hAnsi="Arial"/>
          <w:sz w:val="18"/>
          <w:szCs w:val="18"/>
          <w:color w:val="auto"/>
        </w:rPr>
      </w:pPr>
    </w:p>
    <w:p>
      <w:pPr>
        <w:ind w:left="-20" w:right="560" w:firstLine="1304"/>
        <w:spacing w:after="0" w:line="277"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Maturity Date</w:t>
      </w:r>
      <w:r>
        <w:rPr>
          <w:rFonts w:ascii="Arial" w:cs="Arial" w:eastAsia="Arial" w:hAnsi="Arial"/>
          <w:sz w:val="18"/>
          <w:szCs w:val="18"/>
          <w:color w:val="auto"/>
        </w:rPr>
        <w:t>. The entire outstanding principal of the 2030 Notes shall be payable on September 15, 2030 and the entire outstanding principal of the 2050 Notes shall be payable on September 15, 2050.</w:t>
      </w:r>
    </w:p>
    <w:p>
      <w:pPr>
        <w:spacing w:after="0" w:line="170" w:lineRule="exact"/>
        <w:rPr>
          <w:rFonts w:ascii="Arial" w:cs="Arial" w:eastAsia="Arial" w:hAnsi="Arial"/>
          <w:sz w:val="18"/>
          <w:szCs w:val="18"/>
          <w:color w:val="auto"/>
        </w:rPr>
      </w:pPr>
    </w:p>
    <w:p>
      <w:pPr>
        <w:ind w:left="-20" w:right="20" w:firstLine="1304"/>
        <w:spacing w:after="0" w:line="286" w:lineRule="auto"/>
        <w:tabs>
          <w:tab w:leader="none" w:pos="197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Interest Rate; Place and Method of Payment</w:t>
      </w:r>
      <w:r>
        <w:rPr>
          <w:rFonts w:ascii="Arial" w:cs="Arial" w:eastAsia="Arial" w:hAnsi="Arial"/>
          <w:sz w:val="16"/>
          <w:szCs w:val="16"/>
          <w:color w:val="auto"/>
        </w:rPr>
        <w:t xml:space="preserve">. The rate at which the 2030 Notes shall bear interest shall be 1.750% per annum and the rate at which the 2050 Notes shall bear interest shall be 2.800% per annum; the date from which interest shall accrue on the Notes shall be August 12, 2020, or the most recent Interest Payment Date to which interest has been paid or provided for; the Interest Payment Dates for the Notes shall be March 15 and September 15 of each year, beginning March 15, 2021; the interest so payable, and punctually paid or duly provided for, on any Interest Payment Date, will be paid, in immediately available funds, to the Persons in whose names the Notes (or one or more predecessor Securities) is registered at the close of business on the Regular Record Date for such interest, which shall be March 1 or September 1, as the case may be, next preceding such Interest Payment Date. Any such interest not punctually paid or duly provided for shall forthwith cease to be payable to the respective Securityholders on such Regular Record Date, and such defaulted interest, may be paid to the Persons in whose names the Notes (or one or more predecessor Securities) is registered at the close of business on a special record date for the payment of such defaulted interest to be fixed by the Trustee, notice whereof shall be given to Securityholders of Notes not less than 10 days prior to such special record date, or may be paid at any time in any other lawful manner not inconsistent with requirements of any securities exchange on which the Notes may be listed, and upon such notice as may be required by such exchange, all as more fully provided in said Base Indenture. Payment of principal and interest on the Notes will be made at the Corporate Trust Office of the Trustee or such other office or agency of the Company as may be designated for such purpose, in such coin or currency of the United States of America as at the time of payment is legal tender for payment of public and private debts;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installment of interest and principal on the Notes may at the Company’s option be paid in immediately available funds by transfer to an account maintained by the payee located in the United States.</w:t>
      </w:r>
    </w:p>
    <w:p>
      <w:pPr>
        <w:spacing w:after="0" w:line="167" w:lineRule="exact"/>
        <w:rPr>
          <w:rFonts w:ascii="Arial" w:cs="Arial" w:eastAsia="Arial" w:hAnsi="Arial"/>
          <w:sz w:val="16"/>
          <w:szCs w:val="16"/>
          <w:color w:val="auto"/>
        </w:rPr>
      </w:pPr>
    </w:p>
    <w:p>
      <w:pPr>
        <w:ind w:left="-20" w:right="480" w:firstLine="1304"/>
        <w:spacing w:after="0" w:line="277" w:lineRule="auto"/>
        <w:tabs>
          <w:tab w:leader="none" w:pos="199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 The Notes of each series are redeemable at the option of the Company on the terms and conditions described in Section 2.3 hereof.</w:t>
      </w:r>
    </w:p>
    <w:p>
      <w:pPr>
        <w:spacing w:after="0" w:line="170" w:lineRule="exact"/>
        <w:rPr>
          <w:rFonts w:ascii="Arial" w:cs="Arial" w:eastAsia="Arial" w:hAnsi="Arial"/>
          <w:sz w:val="18"/>
          <w:szCs w:val="18"/>
          <w:color w:val="auto"/>
        </w:rPr>
      </w:pPr>
    </w:p>
    <w:p>
      <w:pPr>
        <w:ind w:left="1980" w:hanging="696"/>
        <w:spacing w:after="0"/>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Sinking Fund Obligation</w:t>
      </w:r>
      <w:r>
        <w:rPr>
          <w:rFonts w:ascii="Arial" w:cs="Arial" w:eastAsia="Arial" w:hAnsi="Arial"/>
          <w:sz w:val="18"/>
          <w:szCs w:val="18"/>
          <w:color w:val="auto"/>
        </w:rPr>
        <w:t>. There is no sinking fund obligation.</w:t>
      </w:r>
    </w:p>
    <w:p>
      <w:pPr>
        <w:spacing w:after="0" w:line="225" w:lineRule="exact"/>
        <w:rPr>
          <w:rFonts w:ascii="Arial" w:cs="Arial" w:eastAsia="Arial" w:hAnsi="Arial"/>
          <w:sz w:val="18"/>
          <w:szCs w:val="18"/>
          <w:color w:val="auto"/>
        </w:rPr>
      </w:pPr>
    </w:p>
    <w:p>
      <w:pPr>
        <w:ind w:left="-20" w:right="160" w:firstLine="1304"/>
        <w:spacing w:after="0" w:line="277" w:lineRule="auto"/>
        <w:tabs>
          <w:tab w:leader="none" w:pos="19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Mandatory Redemption or Repurchase</w:t>
      </w:r>
      <w:r>
        <w:rPr>
          <w:rFonts w:ascii="Arial" w:cs="Arial" w:eastAsia="Arial" w:hAnsi="Arial"/>
          <w:sz w:val="18"/>
          <w:szCs w:val="18"/>
          <w:color w:val="auto"/>
        </w:rPr>
        <w:t>. The Company shall be required to make an offer to repurchase the Notes of any series upon the occurrence of a Change of Control Triggering Event on the terms and conditions described in Section 2.4 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8" w:right="339" w:bottom="1440" w:gutter="0" w:footer="0" w:header="0"/>
        </w:sectPr>
      </w:pPr>
    </w:p>
    <w:bookmarkStart w:id="88" w:name="page89"/>
    <w:bookmarkEnd w:id="88"/>
    <w:p>
      <w:pPr>
        <w:ind w:left="2020" w:hanging="716"/>
        <w:spacing w:after="0"/>
        <w:tabs>
          <w:tab w:leader="none" w:pos="202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Form and Denomination of Notes</w:t>
      </w:r>
      <w:r>
        <w:rPr>
          <w:rFonts w:ascii="Arial" w:cs="Arial" w:eastAsia="Arial" w:hAnsi="Arial"/>
          <w:sz w:val="16"/>
          <w:szCs w:val="16"/>
          <w:color w:val="auto"/>
        </w:rPr>
        <w:t>. The Notes of each series shall be issued in registered form in the denominations specified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2.1 hereof.</w:t>
      </w:r>
    </w:p>
    <w:p>
      <w:pPr>
        <w:spacing w:after="0" w:line="210" w:lineRule="exact"/>
        <w:rPr>
          <w:rFonts w:ascii="Arial" w:cs="Arial" w:eastAsia="Arial" w:hAnsi="Arial"/>
          <w:sz w:val="16"/>
          <w:szCs w:val="16"/>
          <w:color w:val="auto"/>
        </w:rPr>
      </w:pPr>
    </w:p>
    <w:p>
      <w:pPr>
        <w:ind w:right="200" w:firstLine="1304"/>
        <w:spacing w:after="0" w:line="277" w:lineRule="auto"/>
        <w:tabs>
          <w:tab w:leader="none" w:pos="2006"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Principal Payable Upon Acceleration</w:t>
      </w:r>
      <w:r>
        <w:rPr>
          <w:rFonts w:ascii="Arial" w:cs="Arial" w:eastAsia="Arial" w:hAnsi="Arial"/>
          <w:sz w:val="18"/>
          <w:szCs w:val="18"/>
          <w:color w:val="auto"/>
        </w:rPr>
        <w:t>. The entire principal amount of, and premium, if any, on all the Notes of any series then outstanding is payable upon acceleration of such Notes in accordance with Sections 6.02 and 6.03 of the Base Indenture.</w:t>
      </w:r>
    </w:p>
    <w:p>
      <w:pPr>
        <w:spacing w:after="0" w:line="170" w:lineRule="exact"/>
        <w:rPr>
          <w:rFonts w:ascii="Arial" w:cs="Arial" w:eastAsia="Arial" w:hAnsi="Arial"/>
          <w:sz w:val="18"/>
          <w:szCs w:val="18"/>
          <w:color w:val="auto"/>
        </w:rPr>
      </w:pPr>
    </w:p>
    <w:p>
      <w:pPr>
        <w:ind w:right="640" w:firstLine="1304"/>
        <w:spacing w:after="0" w:line="277" w:lineRule="auto"/>
        <w:tabs>
          <w:tab w:leader="none" w:pos="20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Currency</w:t>
      </w:r>
      <w:r>
        <w:rPr>
          <w:rFonts w:ascii="Arial" w:cs="Arial" w:eastAsia="Arial" w:hAnsi="Arial"/>
          <w:sz w:val="18"/>
          <w:szCs w:val="18"/>
          <w:color w:val="auto"/>
        </w:rPr>
        <w:t>. The currency of denomination of the Notes is United States Dollars. Payment of principal of and interest and premium, if any, on the Notes will be made in United States Dollars.</w:t>
      </w:r>
    </w:p>
    <w:p>
      <w:pPr>
        <w:spacing w:after="0" w:line="170" w:lineRule="exact"/>
        <w:rPr>
          <w:rFonts w:ascii="Arial" w:cs="Arial" w:eastAsia="Arial" w:hAnsi="Arial"/>
          <w:sz w:val="18"/>
          <w:szCs w:val="18"/>
          <w:color w:val="auto"/>
        </w:rPr>
      </w:pPr>
    </w:p>
    <w:p>
      <w:pPr>
        <w:ind w:right="220" w:firstLine="1304"/>
        <w:spacing w:after="0" w:line="277" w:lineRule="auto"/>
        <w:tabs>
          <w:tab w:leader="none" w:pos="2006"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Payment Not Made by Reference to Index</w:t>
      </w:r>
      <w:r>
        <w:rPr>
          <w:rFonts w:ascii="Arial" w:cs="Arial" w:eastAsia="Arial" w:hAnsi="Arial"/>
          <w:sz w:val="18"/>
          <w:szCs w:val="18"/>
          <w:color w:val="auto"/>
        </w:rPr>
        <w:t>. Payments of principal of or interest or premium, if any, on the Notes of any series shall not be determined by reference to any index.</w:t>
      </w:r>
    </w:p>
    <w:p>
      <w:pPr>
        <w:spacing w:after="0" w:line="170" w:lineRule="exact"/>
        <w:rPr>
          <w:rFonts w:ascii="Arial" w:cs="Arial" w:eastAsia="Arial" w:hAnsi="Arial"/>
          <w:sz w:val="18"/>
          <w:szCs w:val="18"/>
          <w:color w:val="auto"/>
        </w:rPr>
      </w:pPr>
    </w:p>
    <w:p>
      <w:pPr>
        <w:ind w:left="2020" w:hanging="716"/>
        <w:spacing w:after="0"/>
        <w:tabs>
          <w:tab w:leader="none" w:pos="202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Notes Unsecured</w:t>
      </w:r>
      <w:r>
        <w:rPr>
          <w:rFonts w:ascii="Arial" w:cs="Arial" w:eastAsia="Arial" w:hAnsi="Arial"/>
          <w:sz w:val="16"/>
          <w:szCs w:val="16"/>
          <w:color w:val="auto"/>
        </w:rPr>
        <w:t>. Except as otherwise required pursuant to Section 2.5 hereof, the Notes are not secured by any collateral.</w:t>
      </w:r>
    </w:p>
    <w:p>
      <w:pPr>
        <w:spacing w:after="0" w:line="248" w:lineRule="exact"/>
        <w:rPr>
          <w:rFonts w:ascii="Arial" w:cs="Arial" w:eastAsia="Arial" w:hAnsi="Arial"/>
          <w:sz w:val="16"/>
          <w:szCs w:val="16"/>
          <w:color w:val="auto"/>
        </w:rPr>
      </w:pPr>
    </w:p>
    <w:p>
      <w:pPr>
        <w:ind w:right="260" w:firstLine="1304"/>
        <w:spacing w:after="0" w:line="277" w:lineRule="auto"/>
        <w:tabs>
          <w:tab w:leader="none" w:pos="20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Additional/Different Covenants</w:t>
      </w:r>
      <w:r>
        <w:rPr>
          <w:rFonts w:ascii="Arial" w:cs="Arial" w:eastAsia="Arial" w:hAnsi="Arial"/>
          <w:sz w:val="18"/>
          <w:szCs w:val="18"/>
          <w:color w:val="auto"/>
        </w:rPr>
        <w:t>. In addition to the covenants set forth in the Base Indenture, the Company shall be subject to the obligations set forth in Sections 2.3, 2.4, 2.5, 2.6 and 2.7 hereof.</w:t>
      </w:r>
    </w:p>
    <w:p>
      <w:pPr>
        <w:spacing w:after="0" w:line="170" w:lineRule="exact"/>
        <w:rPr>
          <w:rFonts w:ascii="Arial" w:cs="Arial" w:eastAsia="Arial" w:hAnsi="Arial"/>
          <w:sz w:val="18"/>
          <w:szCs w:val="18"/>
          <w:color w:val="auto"/>
        </w:rPr>
      </w:pPr>
    </w:p>
    <w:p>
      <w:pPr>
        <w:ind w:right="20" w:firstLine="1304"/>
        <w:spacing w:after="0" w:line="263" w:lineRule="auto"/>
        <w:tabs>
          <w:tab w:leader="none" w:pos="200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Modification to Events of Default</w:t>
      </w:r>
      <w:r>
        <w:rPr>
          <w:rFonts w:ascii="Arial" w:cs="Arial" w:eastAsia="Arial" w:hAnsi="Arial"/>
          <w:sz w:val="18"/>
          <w:szCs w:val="18"/>
          <w:color w:val="auto"/>
        </w:rPr>
        <w:t>. There is no addition to, deletion of or change in (i) any Events of Default as applicable to the Notes of any series as set forth under the Base Indenture or (ii) the right of the Trustee or the requisite Securityholders of any series of Notes to declare the principal amount thereof due and payable pursuant to Section 6.01 of the Base Indenture.</w:t>
      </w:r>
    </w:p>
    <w:p>
      <w:pPr>
        <w:spacing w:after="0" w:line="183" w:lineRule="exact"/>
        <w:rPr>
          <w:rFonts w:ascii="Arial" w:cs="Arial" w:eastAsia="Arial" w:hAnsi="Arial"/>
          <w:sz w:val="18"/>
          <w:szCs w:val="18"/>
          <w:color w:val="auto"/>
        </w:rPr>
      </w:pPr>
    </w:p>
    <w:p>
      <w:pPr>
        <w:ind w:left="2000" w:hanging="696"/>
        <w:spacing w:after="0"/>
        <w:tabs>
          <w:tab w:leader="none" w:pos="200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Conversion</w:t>
      </w:r>
      <w:r>
        <w:rPr>
          <w:rFonts w:ascii="Arial" w:cs="Arial" w:eastAsia="Arial" w:hAnsi="Arial"/>
          <w:sz w:val="17"/>
          <w:szCs w:val="17"/>
          <w:color w:val="auto"/>
        </w:rPr>
        <w:t>. No Notes of any series are convertible or exchangeable for shares of common stock or preferred stock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jc w:val="both"/>
        <w:ind w:right="40" w:firstLine="1304"/>
        <w:spacing w:after="0" w:line="311" w:lineRule="auto"/>
        <w:tabs>
          <w:tab w:leader="none" w:pos="2000"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Depositories and Agents</w:t>
      </w:r>
      <w:r>
        <w:rPr>
          <w:rFonts w:ascii="Arial" w:cs="Arial" w:eastAsia="Arial" w:hAnsi="Arial"/>
          <w:sz w:val="16"/>
          <w:szCs w:val="16"/>
          <w:color w:val="auto"/>
        </w:rPr>
        <w:t>. The Notes of each series shall be deposited with The Depository Trust Company, acting as depositary, as described in Section 2.1(a) hereof. The Company appoints the Trustee as initial paying agent for the Notes as described in Section 2.1(e) hereof. There is no interest rate calculation agent, exchange rate calculation agent or other agent with respect to the Notes of any series other than those appointed herein.</w:t>
      </w:r>
    </w:p>
    <w:p>
      <w:pPr>
        <w:spacing w:after="0" w:line="148" w:lineRule="exact"/>
        <w:rPr>
          <w:rFonts w:ascii="Arial" w:cs="Arial" w:eastAsia="Arial" w:hAnsi="Arial"/>
          <w:sz w:val="16"/>
          <w:szCs w:val="16"/>
          <w:color w:val="auto"/>
        </w:rPr>
      </w:pPr>
    </w:p>
    <w:p>
      <w:pPr>
        <w:ind w:left="2020" w:hanging="716"/>
        <w:spacing w:after="0"/>
        <w:tabs>
          <w:tab w:leader="none" w:pos="2020"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Subordination</w:t>
      </w:r>
      <w:r>
        <w:rPr>
          <w:rFonts w:ascii="Arial" w:cs="Arial" w:eastAsia="Arial" w:hAnsi="Arial"/>
          <w:sz w:val="17"/>
          <w:szCs w:val="17"/>
          <w:color w:val="auto"/>
        </w:rPr>
        <w:t>. The Notes are not subordinated in right of payment to any other unsecured Indebtedness of the Company.</w:t>
      </w:r>
    </w:p>
    <w:p>
      <w:pPr>
        <w:spacing w:after="0" w:line="236" w:lineRule="exact"/>
        <w:rPr>
          <w:rFonts w:ascii="Arial" w:cs="Arial" w:eastAsia="Arial" w:hAnsi="Arial"/>
          <w:sz w:val="17"/>
          <w:szCs w:val="17"/>
          <w:color w:val="auto"/>
        </w:rPr>
      </w:pPr>
    </w:p>
    <w:p>
      <w:pPr>
        <w:ind w:left="1980" w:hanging="676"/>
        <w:spacing w:after="0"/>
        <w:tabs>
          <w:tab w:leader="none" w:pos="19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Defeasance</w:t>
      </w:r>
      <w:r>
        <w:rPr>
          <w:rFonts w:ascii="Arial" w:cs="Arial" w:eastAsia="Arial" w:hAnsi="Arial"/>
          <w:sz w:val="18"/>
          <w:szCs w:val="18"/>
          <w:color w:val="auto"/>
        </w:rPr>
        <w:t>. The Notes of any series are defeasible pursuant to Article 11 of the Base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ind w:left="2000" w:hanging="696"/>
        <w:spacing w:after="0"/>
        <w:tabs>
          <w:tab w:leader="none" w:pos="20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provisions of Article 3 of the Base Indenture, as supplemented by this First Supplemental Indenture, shall apply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11" w:lineRule="exact"/>
        <w:rPr>
          <w:sz w:val="20"/>
          <w:szCs w:val="20"/>
          <w:color w:val="auto"/>
        </w:rPr>
      </w:pPr>
    </w:p>
    <w:p>
      <w:pPr>
        <w:ind w:firstLine="1304"/>
        <w:spacing w:after="0" w:line="271" w:lineRule="auto"/>
        <w:tabs>
          <w:tab w:leader="none" w:pos="2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At any time prior to the Par Call Date applicable to a series of Notes, from time to time, the Notes are redeemable, as a whole or in part, at the Company’s option, on at least 10 days, but not more than 60 days, prior notice mailed to the registered address of each Securityholder of the Notes to be redeemed (or otherwise delivered in accordance with the applicable procedures of DTC), at a redemption price equal to the greater of: (i) 100% of the principal amount of the Notes to be redeemed, or (ii) the sum of the present values of the remaining scheduled payments (through the applicable Par Call Date assuming for such purpose that such Notes matured on the applicable Par Call Date) of interest and principal thereon (exclusive of interest accrued and unpaid to, but not including, the redemption date) discounted to the redemption date on a semiannual basis, assuming a 360-day year consisting of twelve 30-day months, at the Treasury Rate plus 20 basis points, in the case of 2030 Notes, and 25 basis points, in the case of 2050 Notes, plus, in either case, accrued and unpaid interest to, but not including, the redemption date.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left="-20" w:right="120" w:firstLine="1304"/>
        <w:spacing w:after="0" w:line="301" w:lineRule="auto"/>
        <w:tabs>
          <w:tab w:leader="none" w:pos="197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addition, at any time on or after the Par Call Date applicable to a series of Notes, the Notes may be redeemed, as a whole or in part, at the Company’s option, on at least 10 days, but not more than 60 days, prior notice mailed to the registered address of each Securityholder of the Notes to be redeemed (or otherwise delivered in accordance with the applicable procedures of DTC), at a redemption price equal to 100% of the principal amount of the Notes to be redeemed on the redemption date plus accrued and unpaid interest to, but not including, the redemption date.</w:t>
      </w:r>
    </w:p>
    <w:p>
      <w:pPr>
        <w:spacing w:after="0" w:line="157" w:lineRule="exact"/>
        <w:rPr>
          <w:rFonts w:ascii="Arial" w:cs="Arial" w:eastAsia="Arial" w:hAnsi="Arial"/>
          <w:sz w:val="16"/>
          <w:szCs w:val="16"/>
          <w:color w:val="auto"/>
        </w:rPr>
      </w:pPr>
    </w:p>
    <w:p>
      <w:pPr>
        <w:ind w:left="-20" w:firstLine="1304"/>
        <w:spacing w:after="0" w:line="287" w:lineRule="auto"/>
        <w:tabs>
          <w:tab w:leader="none" w:pos="19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On and after the redemption date for the Notes of any series, interest will cease to accrue on the Notes of such series or any portion thereof called for redemption, unless the Company defaults in the payment of the redemption price (and any accrued and unpaid interest payable on such Notes to be redeemed). On or before the redemption date for the Notes of such series, the Company will deposit with a paying agent, or the Trustee, funds sufficient to pay the redemption price of and accrued and unpaid interest on such Notes to be redeemed on such date. If less than all of the Notes of a series are to be redeemed, the Notes of that series to be redeemed will be selected by DTC in accordance with its standard procedures. If the Notes to be redeemed are not global notes then held by DTC, or DTC prescribes no method of selection, the Trustee will select the Notes to be redeemed on a pro rata basis, by lot, or by any other method the Trustee deems fair and appropriate and subject to and otherwise in accordance with the procedures of DTC. Any redemption or notice of redemption may, at the Company’s discretion, be subject to one or more conditions precedent, and, at the Company’s discretion, the redemption date may be delayed until such time as any or all such conditions shall be satisfied. The Company will provide written notice to the Trustee prior to the close of business two Business Days prior to the redemption date if any such redemption has been rescinded or delayed, and upon receipt the Trustee shall provide such notice to each Securityholder of the Notes in the same manner in which the notice of redemption was given.</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Repurchase of Notes Upon a Change of Control</w:t>
      </w:r>
      <w:r>
        <w:rPr>
          <w:rFonts w:ascii="Arial" w:cs="Arial" w:eastAsia="Arial" w:hAnsi="Arial"/>
          <w:sz w:val="18"/>
          <w:szCs w:val="18"/>
          <w:color w:val="auto"/>
        </w:rPr>
        <w:t>.</w:t>
      </w:r>
    </w:p>
    <w:p>
      <w:pPr>
        <w:spacing w:after="0" w:line="225" w:lineRule="exact"/>
        <w:rPr>
          <w:sz w:val="20"/>
          <w:szCs w:val="20"/>
          <w:color w:val="auto"/>
        </w:rPr>
      </w:pPr>
    </w:p>
    <w:p>
      <w:pPr>
        <w:ind w:left="-20" w:right="20" w:firstLine="1304"/>
        <w:spacing w:after="0" w:line="268" w:lineRule="auto"/>
        <w:tabs>
          <w:tab w:leader="none" w:pos="197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a Change of Control Triggering Event occurs with respect to the Notes of a series, unless the Company has exercised its option to redeem the Notes of such series as described above, the Company will be required to make an offer (the “Change of Control Offer”) to each Securityholder of the Notes of such series to repurchase all or any part (equal to $2,000 or an integral multiple of $1,000 in excess thereof) of that Securityholder’s Notes of such series on the terms set forth in such Notes. In the Change of Control Offer, the Company will be required to offer payment in cash equal to 101% of the aggregate principal amount of Notes repurchased, plus accrued and unpaid interest, if any, on the Notes repurchased to but not including the date of repurchase (the “Change of Control Payment”). With respect to the Notes of each series, within 30 days following any Change of Control Triggering Event or, at the Company’s option, prior to any Change of Control, but after public announcement of the transaction that constitutes or may constitute the Change of Control, a notice will be mailed (or otherwise delivered in accordance with the applicable procedures of DTC) to Securityholders of the Notes of the applicable series describing the transaction that constitutes or may constitute the Change of Control Triggering Event and offering to repurchase the Notes of such series on the date specified in the notice, which date will be no earlier than 10 days and no later than 60 days from the date such notice is mailed (or otherwise delivered in accordance with the applicable procedures of DTC) or, if the notice is mailed (or otherwise delivered) prior to the Change of Control, no earlier than 10 days and no later than 60 days from the date on which the Change of Control Triggering Event occurs (the “Change of Control Payment Date”). The notice will, if mailed (or otherwise delivered) prior to the date of consummation of the Change of Control, state that the offer to purchase is conditioned on the Change of Control Triggering Event occurring on or prior to the Change of Control Payment Date.</w:t>
      </w:r>
    </w:p>
    <w:p>
      <w:pPr>
        <w:spacing w:after="0" w:line="181" w:lineRule="exact"/>
        <w:rPr>
          <w:rFonts w:ascii="Arial" w:cs="Arial" w:eastAsia="Arial" w:hAnsi="Arial"/>
          <w:sz w:val="17"/>
          <w:szCs w:val="17"/>
          <w:color w:val="auto"/>
        </w:rPr>
      </w:pPr>
    </w:p>
    <w:p>
      <w:pPr>
        <w:ind w:left="1980" w:hanging="696"/>
        <w:spacing w:after="0"/>
        <w:tabs>
          <w:tab w:leader="none" w:pos="19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On the Change of Control Payment Date, the Company shall, to the extent lawful:</w:t>
      </w:r>
    </w:p>
    <w:p>
      <w:pPr>
        <w:spacing w:after="0" w:line="225" w:lineRule="exact"/>
        <w:rPr>
          <w:rFonts w:ascii="Arial" w:cs="Arial" w:eastAsia="Arial" w:hAnsi="Arial"/>
          <w:sz w:val="18"/>
          <w:szCs w:val="18"/>
          <w:color w:val="auto"/>
        </w:rPr>
      </w:pPr>
    </w:p>
    <w:p>
      <w:pPr>
        <w:ind w:left="2640" w:hanging="708"/>
        <w:spacing w:after="0"/>
        <w:tabs>
          <w:tab w:leader="none" w:pos="26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accept for payment all Notes or portions of Notes properly tendered pursuant to the Change of Control Offer;</w:t>
      </w:r>
    </w:p>
    <w:p>
      <w:pPr>
        <w:spacing w:after="0" w:line="236" w:lineRule="exact"/>
        <w:rPr>
          <w:rFonts w:ascii="Arial" w:cs="Arial" w:eastAsia="Arial" w:hAnsi="Arial"/>
          <w:sz w:val="17"/>
          <w:szCs w:val="17"/>
          <w:color w:val="auto"/>
        </w:rPr>
      </w:pPr>
    </w:p>
    <w:p>
      <w:pPr>
        <w:ind w:left="1280" w:right="60" w:firstLine="652"/>
        <w:spacing w:after="0" w:line="277" w:lineRule="auto"/>
        <w:tabs>
          <w:tab w:leader="none" w:pos="2632"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deposit with the paying agent an amount equal to the Change of Control Payment in respect of all Notes or portions of Notes properly tendered; and</w:t>
      </w:r>
    </w:p>
    <w:p>
      <w:pPr>
        <w:spacing w:after="0" w:line="170" w:lineRule="exact"/>
        <w:rPr>
          <w:rFonts w:ascii="Arial" w:cs="Arial" w:eastAsia="Arial" w:hAnsi="Arial"/>
          <w:sz w:val="18"/>
          <w:szCs w:val="18"/>
          <w:color w:val="auto"/>
        </w:rPr>
      </w:pPr>
    </w:p>
    <w:p>
      <w:pPr>
        <w:ind w:left="1280" w:firstLine="652"/>
        <w:spacing w:after="0" w:line="277" w:lineRule="auto"/>
        <w:tabs>
          <w:tab w:leader="none" w:pos="2632"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90" w:name="page91"/>
    <w:bookmarkEnd w:id="90"/>
    <w:p>
      <w:pPr>
        <w:ind w:right="40" w:firstLine="1304"/>
        <w:spacing w:after="0" w:line="296" w:lineRule="auto"/>
        <w:tabs>
          <w:tab w:leader="none" w:pos="199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shall not be required to make a Change of Control Offer upon the occurrence of a Change of Control Triggering Event if a third party makes such an offer in the manner, at the times and otherwise in compliance with the requirements for an offer made by the Company and the third party repurchases all Notes properly tendered and not withdrawn under its offer. In addition, the Company shall not repurchase any Notes if there has occurred and is continuing on the Change of Control Payment Date an Event of Default under the Indenture, other than an Event of Default arising as a result of a default in the payment of the Change of Control Payment upon a Change of Control Triggering Event.</w:t>
      </w:r>
    </w:p>
    <w:p>
      <w:pPr>
        <w:spacing w:after="0" w:line="161" w:lineRule="exact"/>
        <w:rPr>
          <w:rFonts w:ascii="Arial" w:cs="Arial" w:eastAsia="Arial" w:hAnsi="Arial"/>
          <w:sz w:val="16"/>
          <w:szCs w:val="16"/>
          <w:color w:val="auto"/>
        </w:rPr>
      </w:pPr>
    </w:p>
    <w:p>
      <w:pPr>
        <w:ind w:right="160" w:firstLine="1304"/>
        <w:spacing w:after="0" w:line="275" w:lineRule="auto"/>
        <w:tabs>
          <w:tab w:leader="none" w:pos="200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Company shall comply in all material respects with the requirements of Rule 14e-l under the Exchange Act and any other securities laws and regulations thereunder to the extent such laws and regulations are applicable in connection with the repurchase of the Notes as a result of a Change of Control Triggering Event. To the extent that the provisions of any such securities laws or regulations conflict with the Change of Control Offer provisions of the Notes, the Company shall comply with the applicable securities laws and regulations and shall not be deemed to have breached its obligations under the Change of Control Offer provisions of the Notes by virtue of any such conflict.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Limitation on Liens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Solely for the benefit of the Securityholders of the Notes, a new Section 4.07 shall be added to the Base Indenture as follows:</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6"/>
          <w:szCs w:val="16"/>
          <w:color w:val="auto"/>
        </w:rPr>
        <w:t>“Other than as provided in Section 4.09, the Company shall not, and shall not permit any Subsidiaries of the Company to, create or assume any Indebtedness secured by any Lien on any of the Company’s or such Subsidiary’s respective Principal Properties unless the Notes are secured by such Lien equally and ratably with, or prior to, the Indebtedness secured by such Lien. This restriction does not apply to Indebtedness that is secured by (i) Liens existing on the date of the issuance of the Notes; (ii) Liens securing only the Notes; (iii) Liens on property or shares of stock in respect of Indebtedness of a Person existing at the time such Person becomes a Subsidiary of the Company or is merged into or consolidated with, or its assets are acquired by, the Company or any Subsidiary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Lien was not incurred in anticipation of such transaction and was in existence prior to such transaction) so long as such Lien does not extend to any other property and the Indebtedness so secured is not increased; (iv) Liens to secure Indebtedness incurred for the purpose of all or any part of a property’s purchase price or cost of construction or additions, repairs, alterations, or other improvements;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the principal amount of any Indebtedness secured by such Lien does not exceed 100% of such property’s purchase price or cost, (2) such Lien does not extend to or cover any other property other than the property so purchased, constructed or on which such additions, repairs, alterations or other improvements were so made, and (3) such Lien is incurred prior to or within 270 days after the acquisition of such property or the completion of construction or such additions, repairs, alterations or other improvements and the full operation of such property thereafter; (v) Liens in favor of the United States or any state thereof or other political subdivision, or any agency or instrumentality of any of the foregoing, to secure certain payments pursuant to any contract or statute; (vi) Liens for taxes or assessments or other governmental charges or levies which are not overdue for a period exceeding 60 days unless such Liens are being contested in good faith and for which adequate reserves are being maintained, to the extent required by generally accepted accounting principles; (vii) title exceptions, easements, licenses, leases and other similar Liens imposed by law or arising in the ordinary course of business and that do not materially impair the use of the property subject thereto; (viii) Liens to secure obligations under worker’s compensation laws, unemployment compensation, old-age pensions and other social security benefits or similar legislation; (ix) Liens arising out of legal proceedings, including Liens arising out of judgments or awards; (x) warehousemen’s, materialmen’s, carrier’s, landlord’s and other similar Liens for sums not overdue for a period exceeding 60 days unless such Liens are being contested in good faith and for which adequate reserves are being maintained, to the extent required by generally accepted accounting principles; (xi) Liens incurred to secure the performance of statutory obligations, surety or appeal bonds, performance or return-of-money bonds, insurance, self-insurance or other obligations of a like nature incurred in the ordinary course of business; (xii) Liens that are rights of set-off relating to the establishment of depository relations with banks not given in connection with the issuance of Indebtedness;</w:t>
      </w:r>
    </w:p>
    <w:p>
      <w:pPr>
        <w:spacing w:after="0" w:line="10" w:lineRule="exact"/>
        <w:rPr>
          <w:sz w:val="20"/>
          <w:szCs w:val="20"/>
          <w:color w:val="auto"/>
        </w:rPr>
      </w:pPr>
    </w:p>
    <w:p>
      <w:pPr>
        <w:ind w:right="80" w:firstLine="8"/>
        <w:spacing w:after="0" w:line="252" w:lineRule="auto"/>
        <w:tabs>
          <w:tab w:leader="none" w:pos="405" w:val="left"/>
        </w:tabs>
        <w:numPr>
          <w:ilvl w:val="0"/>
          <w:numId w:val="94"/>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the Company or any of its Subsidiaries in the ordinary course of business; (xiv) Liens in favor of the Company or the favor of any of its Subsidiaries; or (xv) Liens to secure any extension, renewal, refinancing or refunding (or successive extensions, renewals, refinancings or refundings), in whole or in part, of any Indebtedness secured by Liens referred to in clauses (i) to (xiv) or Liens created in connection with any amendment, consent or waiver relating to such Indebtedness, so long as such Lien does not extend to any other Principal Property and the Indebtedness so secured does not exceed the fair market value (as determined by the Board of Directors) of the assets subject to such Liens at the time of such extension, renewal, refinancing or refunding, or such amendment, consent or waiver, as the case may be.”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ind w:left="660"/>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Limitation on Sale and Leaseback Transactions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Solely for the benefit of the Securityholders of the Notes a new Section 4.08 shall be added to the Base Indenture as follows:</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“Other than as provided under Section 4.09, the Company shall not, and shall not permit any of its Subsidiaries to, enter into any Sale and Leaseback Transaction with respect to any of the Company’s or such Subsidiary’s respective Principal Properties, the acquisition or completion of construction and commencement of full operations of which has occurred more than 270 days prior thereto, unless (i) such transaction was entered into prior to the first issue date of the Notes; (ii) such transaction was for the sale and leasing back to the Company of any property by one of its Subsidiaries or was for the sale and leasing back of any property between Subsidiaries; (iii) the Company or such Subsidiary would be entitled to incur Indebtedness secured by a mortgage on the property to be leased in an amount equal to the Attributable Debt with respect to such Sale and Leaseback Transaction without equally and ratably securing the Notes pursuant to the first sentence of Section 4.07; (iv) the lease is for a period not in excess of five years, including renewal rights; or (v) the Company or the Subsidiary, prior to or within 270 days after the sale of such property in connection with the Sale and Leaseback Transaction is completed, applies the net cash proceeds of the sale of the property leased to (1) the retirement of the Notes or debt of the Company ranking equally with the Notes or to the retirement of any debt of a Subsidiary of the Company, or (2) the acquisition of another Principal Property.”</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Exempted Liens and Sale and Leaseback Transactions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Solely for the benefit of the Securityholders of the Notes a new Section 4.09 shall be added to the Base Indenture as follows:</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“Notwithstanding the restrictions described under Sections 4.07 or 4.08, the Company or any Subsidiary of the Company may create or assume any Liens or enter into any Sale and Leaseback Transactions not otherwise permitted under Sections 4.07 or 4.08, if the sum of the following does not exceed 15% of Consolidated Total Assets (i) the outstanding Indebtedness secured by such Liens (not including any Liens otherwise permitted under Section 4.07 which amount does not include any Liens permitted under the provisions of this Section 4.09); plus (ii) all Attributable Debt in respect of such Sale and Leaseback Transaction entered into (not including any Sale and Leaseback Transactions otherwise permitted under Section 4.08 which amount does not include any Sale and Leaseback Transactions permitted under the provisions of this Section 4.09), measured, in each case, at the time such Lien is incurred or any such Sale and Leaseback Transaction is entered into by the Company or such Subsidiary of the Company.”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ISCELLANEOUS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Trust Indenture Act Controls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provision of this First Supplemental Indenture limits, qualifies or conflicts with another provision which is required to be included in this First Supplemental Indenture by the Trust Indenture Act, the required provision shall control. If any provision of this First Supplemental Indenture modifies or excludes any provision of the Trust Indenture Act which may be so modified or excluded, the latter provision shall be deemed to apply to this First Supplemental Indenture as so modified or to be excluded, as the case may be.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First Supplemental Indenture and the Notes shall be governed by and construed in accordance with the laws of the State of New York.</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Multiple Counterparts</w:t>
      </w:r>
      <w:r>
        <w:rPr>
          <w:rFonts w:ascii="Arial" w:cs="Arial" w:eastAsia="Arial" w:hAnsi="Arial"/>
          <w:sz w:val="18"/>
          <w:szCs w:val="18"/>
          <w:color w:val="auto"/>
        </w:rPr>
        <w:t>.</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parties may sign multiple counterparts of this First Supplemental Indenture. Each signed counterpart shall be deemed an original, but all of them together represent one and the same First Supplemental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Each provision of this First Supplemental Indenture shall be considered separable and if for any reason any provision which is not essential to the effectuation of the basic purpose of this First Supplemental Indenture or the Notes shall be invalid, illegal or unenforceable, the validity, legality and enforceability of the remaining provisions shall not in any way be affected or impaired thereby and a Securityholder shall have no claim therefor against any party hereto.</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Ratification</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Base Indenture, as supplemented and amended by this First Supplemental Indenture, is in all respects ratified and confirmed. The Base Indenture and this First Supplemental Indenture shall be read, taken and construed as one and the same instrument. All provisions included in this First Supplemental Indenture supersede any conflicting provisions included in the Base Indenture unless not permitted by law. The Trustee accepts the trusts created by the Base Indenture, as supplemented by this First Supplemental Indenture, and agrees to perform the same upon the terms and conditions of the Base Indenture, as supplemented by this First Supplemental Indenture.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Effectiveness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this First Supplemental Indenture shall become effective as of the date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Notices, Approvals, etc</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Notices, approvals, consents, requests and any communications hereunder must be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communication sent to the Trustee hereunder must be in the form of a document that is signed manually or by way of a digital signature provided by Adobe or DocuSign (or such other digital signature provider as specified in writing to the Trustee by the authorized representative)), in English. The Company agrees to assume all risks arising out of the use of digital signatures and electronic methods to submit communications to the Trustee, including without limitation the risk of the Trustee acting on unauthorized instructions, and the risk of interception and misuse by third parties.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93" w:name="page94"/>
    <w:bookmarkEnd w:id="93"/>
    <w:p>
      <w:pPr>
        <w:spacing w:after="0"/>
        <w:rPr>
          <w:sz w:val="20"/>
          <w:szCs w:val="20"/>
          <w:color w:val="auto"/>
        </w:rPr>
      </w:pPr>
      <w:r>
        <w:rPr>
          <w:rFonts w:ascii="Arial" w:cs="Arial" w:eastAsia="Arial" w:hAnsi="Arial"/>
          <w:sz w:val="16"/>
          <w:szCs w:val="16"/>
          <w:color w:val="auto"/>
        </w:rPr>
        <w:t>IN WITNESS WHEREOF, the parties hereto have caused this First Supplemental Indenture to be duly executed as of the date first above written.</w:t>
      </w:r>
    </w:p>
    <w:p>
      <w:pPr>
        <w:spacing w:after="0" w:line="24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Robert E. Landry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Robert E. Landry</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Executive Vice President, Finance and Chief Financial Officer</w:t>
      </w:r>
    </w:p>
    <w:p>
      <w:pPr>
        <w:spacing w:after="0" w:line="200" w:lineRule="exact"/>
        <w:rPr>
          <w:sz w:val="20"/>
          <w:szCs w:val="20"/>
          <w:color w:val="auto"/>
        </w:rPr>
      </w:pPr>
    </w:p>
    <w:p>
      <w:pPr>
        <w:spacing w:after="0" w:line="227"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By: /s/ Kathy L.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14605</wp:posOffset>
            </wp:positionV>
            <wp:extent cx="33515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Name: Kathy L. Mitchell</w:t>
      </w:r>
    </w:p>
    <w:p>
      <w:pPr>
        <w:spacing w:after="0" w:line="9"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2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980" w:top="908" w:right="459" w:bottom="1440" w:gutter="0" w:footer="0" w:header="0"/>
        </w:sectPr>
      </w:pPr>
    </w:p>
    <w:bookmarkStart w:id="94" w:name="page95"/>
    <w:bookmarkEnd w:id="94"/>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FORM OF 1.750% SENIOR NOTE DUE 2030</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THIS NOTE IS A GLOBAL SECURITY WITHIN THE MEANING OF THE INDENTURE HEREINAFTER REFERRED TO AND IS REGISTERED IN THE NAME OF DTC OR A NOMINEE OF DTC. THIS NOTE IS EXCHANGEABLE FOR NOTES REGISTERED IN THE NAME OF A PERSON OTHER THAN DTC OR ITS NOMINEE ONLY IN THE LIMITED CIRCUMSTANCES DESCRIBED IN THE INDENTURE, AND MAY NOT BE TRANSFERRED EXCEPT AS A WHOLE BY DTC TO A NOMINEE OF DTC, BY A NOMINEE OF DTC TO DTC OR ANOTHER NOMINEE OF DTC OR BY DTC OR ANY SUCH NOMINEE TO A SUCCESSOR DEPOSITARY OR A NOMINEE OF SUCH A SUCCESSOR DEPOSITARY.</w:t>
      </w:r>
    </w:p>
    <w:p>
      <w:pPr>
        <w:spacing w:after="0" w:line="192"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UNLESS THIS GLOBAL SECURITY IS PRESENTED BY AN AUTHORIZED REPRESENTATIVE OF THE DEPOSITORY TRUST COMPANY, A NEW YORK CORPORATION (“DTC”), TO THE ISSUER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1.750% Senior Note due 2030</w:t>
      </w:r>
    </w:p>
    <w:p>
      <w:pPr>
        <w:sectPr>
          <w:pgSz w:w="11900" w:h="16838" w:orient="portrait"/>
          <w:cols w:equalWidth="0" w:num="1">
            <w:col w:w="11200"/>
          </w:cols>
          <w:pgMar w:left="320" w:top="904" w:right="379" w:bottom="1440" w:gutter="0" w:footer="0" w:header="0"/>
        </w:sect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REGISTERED</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 Specimen</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CUSIP: [ ]</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ISIN: [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PRINCIPAL AMOUNT</w:t>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 ]</w:t>
      </w:r>
    </w:p>
    <w:p>
      <w:pPr>
        <w:spacing w:after="0" w:line="632" w:lineRule="exact"/>
        <w:rPr>
          <w:sz w:val="20"/>
          <w:szCs w:val="20"/>
          <w:color w:val="auto"/>
        </w:rPr>
      </w:pPr>
    </w:p>
    <w:p>
      <w:pPr>
        <w:sectPr>
          <w:pgSz w:w="11900" w:h="16838" w:orient="portrait"/>
          <w:cols w:equalWidth="0" w:num="2">
            <w:col w:w="8680" w:space="720"/>
            <w:col w:w="1800"/>
          </w:cols>
          <w:pgMar w:left="320" w:top="904" w:right="379" w:bottom="1440" w:gutter="0" w:footer="0" w:header="0"/>
          <w:type w:val="continuous"/>
        </w:sectPr>
      </w:pPr>
    </w:p>
    <w:p>
      <w:pPr>
        <w:spacing w:after="0" w:line="1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Regeneron Pharmaceuticals, Inc., a New York corporation (herein called the “Company,” which term includes any successor Person under the Indenture hereinafter referred to), for value received, hereby promises to pay to Cede &amp; Co., or registered assigns, the principal sum of $[ ] on September 15, 2030 (the “Maturity Date”) (except to the extent redeemed or repaid prior to the Maturity Date) and to pay interest thereon from August 12, 2020 (the “Original Issue Date”) or from the most recent Interest Payment Date to which interest has been paid or duly provided for semi-annually at the rate of</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1.750% per annum, on March 15 and September 15 (each such date, an “Interest Payment Date”), commencing March 15, 2021, until the principal hereof is paid or made available for payment.</w:t>
      </w:r>
    </w:p>
    <w:p>
      <w:pPr>
        <w:spacing w:after="0" w:line="18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u w:val="single" w:color="auto"/>
          <w:color w:val="auto"/>
        </w:rPr>
        <w:t>Payment of Interest</w:t>
      </w:r>
      <w:r>
        <w:rPr>
          <w:rFonts w:ascii="Arial" w:cs="Arial" w:eastAsia="Arial" w:hAnsi="Arial"/>
          <w:sz w:val="16"/>
          <w:szCs w:val="16"/>
          <w:color w:val="auto"/>
        </w:rPr>
        <w:t>. The interest so payable, and punctually paid or made available for payment, on any Interest Payment Date, will, as provided in the Indenture, be paid, in immediately available funds, to the Person in whose name this Note (or one or more Predecessor Securities) is registered at the close of business on March 1 or September 1 (whether or not a Business Day, as defined in the Indenture), as the case may be, next preceding such Interest Payment Date (the “Regular Record Date”). Any such interest not punctually paid or duly provided for (“Defaulted Interest”) will forthwith cease to be payable to the Securityholder on such Regular Record Date, and such Defaulted Interest, may be paid to the Person in whose name this Note (or one or more Predecessor Securities) is registered at the close of business on a special record date (the “Special Record Date”) for the payment of such Defaulted Interest to be fixed by the Trustee, notice whereof shall be given to Securityholders of Notes not less than fifteen days prior to such Special Record Date, or may be paid at any time in any other lawful manner not inconsistent with requirements of any securities exchange on which the Notes may be listed, and upon such notice as may be required by such exchange, all as more fully provided in said Indenture.</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u w:val="single" w:color="auto"/>
          <w:color w:val="auto"/>
        </w:rPr>
        <w:t>Place of Payment</w:t>
      </w:r>
      <w:r>
        <w:rPr>
          <w:rFonts w:ascii="Arial" w:cs="Arial" w:eastAsia="Arial" w:hAnsi="Arial"/>
          <w:sz w:val="18"/>
          <w:szCs w:val="18"/>
          <w:color w:val="auto"/>
        </w:rPr>
        <w:t xml:space="preserve">. Payment of principal, premium, if any, and interest on this Note will be made at the Corporate Trust Office of the Trustee or such other office or agency of the Company as may be designated for such purpose, in such coin or currency of the United States of America as at the time of payment is legal tender for payment of public and private debts;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installment of interest, premium, if any, and principal on this Note may at the Company’s option be paid in immediately available funds by transfer to an account maintained by the payee located in the United States.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type w:val="continuous"/>
        </w:sectPr>
      </w:pPr>
    </w:p>
    <w:bookmarkStart w:id="95" w:name="page96"/>
    <w:bookmarkEnd w:id="95"/>
    <w:p>
      <w:pPr>
        <w:ind w:right="240" w:firstLine="648"/>
        <w:spacing w:after="0" w:line="279" w:lineRule="auto"/>
        <w:rPr>
          <w:sz w:val="20"/>
          <w:szCs w:val="20"/>
          <w:color w:val="auto"/>
        </w:rPr>
      </w:pPr>
      <w:r>
        <w:rPr>
          <w:rFonts w:ascii="Arial" w:cs="Arial" w:eastAsia="Arial" w:hAnsi="Arial"/>
          <w:sz w:val="17"/>
          <w:szCs w:val="17"/>
          <w:u w:val="single" w:color="auto"/>
          <w:color w:val="auto"/>
        </w:rPr>
        <w:t>Time of Payment</w:t>
      </w:r>
      <w:r>
        <w:rPr>
          <w:rFonts w:ascii="Arial" w:cs="Arial" w:eastAsia="Arial" w:hAnsi="Arial"/>
          <w:sz w:val="17"/>
          <w:szCs w:val="17"/>
          <w:color w:val="auto"/>
        </w:rPr>
        <w:t>. In any case where any Interest Payment Date, the Maturity Date or any date fixed for redemption or repayment of the Notes shall not be a Business Day, then (notwithstanding any other provision of the Indenture or this Note), payment of principal or interest, if any, need not be made on such date, but may be made on the next succeeding Business Day with the same force and effect as if made on such Interest Payment Date, the Maturity Date or the date so fixed for redemption or repayment, and no interest shall accrue in respect of the delay.</w:t>
      </w:r>
    </w:p>
    <w:p>
      <w:pPr>
        <w:spacing w:after="0" w:line="17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Note is one of a duly authorized issue of Securities of the Company, issued and to be issued in one or more series under an indenture, dated as of August 12, 2020 (the “Base Indenture”), between the Company and U.S. Bank National Association (herein called the “Trustee,” which term includes any successor trustee under the Indenture with respect to a series of which this Note is a part), as supplemented by a First Supplemental Indenture thereto, dated as of August 12, 2020 (the “First Supplemental Indenture” and, together with the Base Indenture, the “Indenture”). Reference is hereby made to the Indenture for a statement of the respective rights, limitations of rights, duties and immunities thereunder of the Company, the Trustee and the Securityholders of the Securities, and of the terms upon which the Securities are, and are to be, authenticated and delivered. This Note is one of a duly authorized series of Securities designated as “1.750% Senior Notes due 2030” (collectively, the “Notes”), initially limited in aggregate principal amount to $1,250,000,000.</w:t>
      </w:r>
    </w:p>
    <w:p>
      <w:pPr>
        <w:spacing w:after="0" w:line="19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u w:val="single" w:color="auto"/>
          <w:color w:val="auto"/>
        </w:rPr>
        <w:t>Further Issuance</w:t>
      </w:r>
      <w:r>
        <w:rPr>
          <w:rFonts w:ascii="Arial" w:cs="Arial" w:eastAsia="Arial" w:hAnsi="Arial"/>
          <w:sz w:val="18"/>
          <w:szCs w:val="18"/>
          <w:color w:val="auto"/>
        </w:rPr>
        <w:t>. The Company may from time to time, without the consent of the Securityholders of the Notes, issue additional Securities (the “Additional Securities”) of this series having the same ranking and the same interest rate, maturity and other terms as the Notes. Any Additional Securities of this series and the Notes will constitute a single series under the Indenture and all references to the Notes shall include the Additional Securities unless the context otherwise requires.</w:t>
      </w:r>
    </w:p>
    <w:p>
      <w:pPr>
        <w:spacing w:after="0" w:line="187"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If an Event of Default with respect to the Notes shall have occurred and be continuing, the principal of the Notes may be declared due and payable in the manner and with the effect provided in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Notes are not subject to any sinking fund.</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u w:val="single" w:color="auto"/>
          <w:color w:val="auto"/>
        </w:rPr>
        <w:t>Optional Redemption</w:t>
      </w:r>
      <w:r>
        <w:rPr>
          <w:rFonts w:ascii="Arial" w:cs="Arial" w:eastAsia="Arial" w:hAnsi="Arial"/>
          <w:sz w:val="16"/>
          <w:szCs w:val="16"/>
          <w:color w:val="auto"/>
        </w:rPr>
        <w:t>. The Notes will be redeemable at any time, at the option of the Company, from time to time, in whole or in part, upon not less than 10 nor more than 60 days’ prior notice, on any date prior to their maturity at a redemption price, calculated pursuant to the Indenture, which includes accrued interest thereon, if any, to, but not including, the redemption date. In the case of any partial redemption, selection of the Notes for redemption will be made by the Trustee by such methods, as the Trustee in its sole discretion shall deem fair and appropriate. If any Note is to be redeemed in part only, the notice of redemption relating to such Note shall state the portion of the principal amount thereof to be redeemed. A new Note in principal amount equal to the unredeemed portion thereof will be issued in the name of the Securityholder thereof upon cancellation of this Note.</w:t>
      </w:r>
    </w:p>
    <w:p>
      <w:pPr>
        <w:spacing w:after="0" w:line="16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u w:val="single" w:color="auto"/>
          <w:color w:val="auto"/>
        </w:rPr>
        <w:t>Repurchase upon a Change of Control Triggering Event</w:t>
      </w:r>
      <w:r>
        <w:rPr>
          <w:rFonts w:ascii="Arial" w:cs="Arial" w:eastAsia="Arial" w:hAnsi="Arial"/>
          <w:sz w:val="18"/>
          <w:szCs w:val="18"/>
          <w:color w:val="auto"/>
        </w:rPr>
        <w:t>. Upon the occurrence of a Change of Control Triggering Event with respect to the Notes, the Company shall be required to make an offer to repurchase the Notes on the terms set forth in the Indenture.</w:t>
      </w:r>
    </w:p>
    <w:p>
      <w:pPr>
        <w:spacing w:after="0" w:line="17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u w:val="single" w:color="auto"/>
          <w:color w:val="auto"/>
        </w:rPr>
        <w:t>Defeasance and Covenant Defeasance</w:t>
      </w:r>
      <w:r>
        <w:rPr>
          <w:rFonts w:ascii="Arial" w:cs="Arial" w:eastAsia="Arial" w:hAnsi="Arial"/>
          <w:sz w:val="18"/>
          <w:szCs w:val="18"/>
          <w:color w:val="auto"/>
        </w:rPr>
        <w:t>. The Indenture contains provisions for defeasance at any time of (a) the entire indebtedness of the Company on this Note and (b) certain restrictive covenants and the related Defaults and Events of Default, upon compliance by the Company with certain conditions set forth therein, which provisions apply to this Note.</w:t>
      </w:r>
    </w:p>
    <w:p>
      <w:pPr>
        <w:spacing w:after="0" w:line="184"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u w:val="single" w:color="auto"/>
          <w:color w:val="auto"/>
        </w:rPr>
        <w:t>Modification and Waivers; Obligations of the Company Absolute</w:t>
      </w:r>
      <w:r>
        <w:rPr>
          <w:rFonts w:ascii="Arial" w:cs="Arial" w:eastAsia="Arial" w:hAnsi="Arial"/>
          <w:sz w:val="16"/>
          <w:szCs w:val="16"/>
          <w:color w:val="auto"/>
        </w:rPr>
        <w:t>. The Indenture permits, with certain exceptions as therein provided, the amendment thereof and the modification of the rights and obligations of the Company and the rights of the Securityholders of the Securities of each series. Such amendment may be effected under the Indenture at any time by the Company, and the Trustee with the consent of the Securityholders of not less than a majority in aggregate principal amount of the outstanding Notes of each series affected thereby. The Indenture also contains provisions permitting the Securityholders of not less than a majority in aggregate principal amount of the Securities at the time outstanding, on behalf of the Securityholders of all outstanding Securities, to waive compliance by the Company with certain provisions of the Indenture. Furthermore, provisions in the Indenture permit the Securityholders of not less than a majority in aggregate principal amount of the outstanding Securities of individual series to waive on behalf of all of the Securityholders of Securities of such individual series certain past defaults under the Indenture and their consequences. Any such consent or waiver shall be conclusive and binding upon the Securityholder of this Note and upon all future Securityholders of this Note and of any Note issued upon the registration of transfer hereof or in exchange hereof or in lieu hereof, whether or not notation of such consent or waiver is made upon this Note.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right="40" w:firstLine="648"/>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 place, and rate, and in the coin or currency, herein prescribed.</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u w:val="single" w:color="auto"/>
          <w:color w:val="auto"/>
        </w:rPr>
        <w:t>Limitation on Suits</w:t>
      </w:r>
      <w:r>
        <w:rPr>
          <w:rFonts w:ascii="Arial" w:cs="Arial" w:eastAsia="Arial" w:hAnsi="Arial"/>
          <w:sz w:val="16"/>
          <w:szCs w:val="16"/>
          <w:color w:val="auto"/>
        </w:rPr>
        <w:t xml:space="preserve">. As set forth in, and subject to, the provisions of the Indenture, no Securityholder of any Note will have any right to institute any proceeding with respect to the Indenture or for any remedy thereunder, unless such Securityholder shall have previously given to the Trustee written notice of a continuing Event of Default with respect to this series, the Securityholders of not less than 25% in aggregate principal amount of the outstanding Notes shall have made written request, and offered indemnity and/or security, to the Trustee to institute such proceedings as trustee, and the Trustee shall not have received from the Securityholders of a majority in principal amount of the outstanding Notes a direction inconsistent with such request and shall have failed to institute such proceeding within 60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limitations do not apply to a suit instituted by the Securityholder hereof for the enforcement of payment of the principal of or interest on this Note on or after the respective due dates expressed herein.</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u w:val="single" w:color="auto"/>
          <w:color w:val="auto"/>
        </w:rPr>
        <w:t>Authorized Denominations</w:t>
      </w:r>
      <w:r>
        <w:rPr>
          <w:rFonts w:ascii="Arial" w:cs="Arial" w:eastAsia="Arial" w:hAnsi="Arial"/>
          <w:sz w:val="18"/>
          <w:szCs w:val="18"/>
          <w:color w:val="auto"/>
        </w:rPr>
        <w:t>. The Notes are issuable only in registered form without coupons in denominations of $2,000 or any integral multiple of $1,000 in excess thereof.</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u w:val="single" w:color="auto"/>
          <w:color w:val="auto"/>
        </w:rPr>
        <w:t>Registration of Transfer or Exchange</w:t>
      </w:r>
      <w:r>
        <w:rPr>
          <w:rFonts w:ascii="Arial" w:cs="Arial" w:eastAsia="Arial" w:hAnsi="Arial"/>
          <w:sz w:val="18"/>
          <w:szCs w:val="18"/>
          <w:color w:val="auto"/>
        </w:rPr>
        <w:t>. As provided in the Indenture and subject to certain limitations herein and therein set forth, the transfer of this Note is registrable in the register of the Notes maintained by the Registrar upon surrender of this Note for registration of transfer, at the office or agency of the Company in any place where the principal of and interest on this Note are payable, duly endorsed by, or accompanied by a written instrument of transfer in form satisfactory to the Company and the Registrar, duly executed by the Securityholder hereof or his attorney duly authorized in writing, and thereupon one or more new Notes, of authorized denominations and for the same aggregate principal amount, will be issued to the designated transferee or transferees.</w:t>
      </w:r>
    </w:p>
    <w:p>
      <w:pPr>
        <w:spacing w:after="0" w:line="192"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As provided in the Indenture and subject to certain limitations herein and therein set forth, the Notes are exchangeable for a like aggregate principal amount of Notes of different authorized denominations, as requested by the Securityholders surrendering the same.</w:t>
      </w:r>
    </w:p>
    <w:p>
      <w:pPr>
        <w:spacing w:after="0" w:line="14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Securityholder as the owner hereof for all purposes, whether or not this Note be overdue, and neither the Company, the Trustee nor any such agent shall be affected by notice to the contrary.</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terms used in this Note, which are defined in the Indenture and are not otherwise defined herein, shall have the meanings assigned to them in the Indenture.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Note shall be governed by and construed in accordance with the laws of the State of New York.</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this Note shall not be entitled to any benefit under the Indenture or be valid or obligatory for any purpose.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98" w:name="page99"/>
    <w:bookmarkEnd w:id="98"/>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 ], 2020</w:t>
      </w:r>
    </w:p>
    <w:p>
      <w:pPr>
        <w:spacing w:after="0" w:line="252" w:lineRule="exact"/>
        <w:rPr>
          <w:sz w:val="20"/>
          <w:szCs w:val="20"/>
          <w:color w:val="auto"/>
        </w:rPr>
      </w:pPr>
    </w:p>
    <w:p>
      <w:pPr>
        <w:jc w:val="right"/>
        <w:ind w:right="1159"/>
        <w:spacing w:after="0"/>
        <w:rPr>
          <w:sz w:val="20"/>
          <w:szCs w:val="20"/>
          <w:color w:val="auto"/>
        </w:rPr>
      </w:pPr>
      <w:r>
        <w:rPr>
          <w:rFonts w:ascii="Arial" w:cs="Arial" w:eastAsia="Arial" w:hAnsi="Arial"/>
          <w:sz w:val="18"/>
          <w:szCs w:val="18"/>
          <w:color w:val="auto"/>
        </w:rPr>
        <w:t>REGENERON PHARMACEUTICALS, INC.</w:t>
      </w: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99" w:name="page100"/>
    <w:bookmarkEnd w:id="99"/>
    <w:p>
      <w:pPr>
        <w:jc w:val="center"/>
        <w:ind w:right="-259"/>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is one of the Notes of the series designated and referred to in the within-mentioned Base Indenture, as such is supplemented by the within-mentioned First Supplemental Indenture.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 ], 2020</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NUMBER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including postal zip code, of assignee)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and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transfer said Note on the books of the Trustee, with full power of substitution in the premises.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NOTICE: The signature to this assignment must correspond with the name</w:t>
            </w:r>
          </w:p>
        </w:tc>
      </w:tr>
      <w:tr>
        <w:trPr>
          <w:trHeight w:val="216"/>
        </w:trPr>
        <w:tc>
          <w:tcPr>
            <w:tcW w:w="5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9"/>
              </w:rPr>
              <w:t>as written upon the face of the within Note in every particular, without</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w w:val="97"/>
              </w:rPr>
              <w:t>Dated:</w:t>
            </w:r>
          </w:p>
        </w:tc>
        <w:tc>
          <w:tcPr>
            <w:tcW w:w="5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alteration or enlargement or any change whatsoever.</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14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2.800% SENIOR NOTE DUE 2050</w:t>
      </w:r>
    </w:p>
    <w:p>
      <w:pPr>
        <w:spacing w:after="0" w:line="229"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THIS NOTE IS A GLOBAL SECURITY WITHIN THE MEANING OF THE INDENTURE HEREINAFTER REFERRED TO AND IS REGISTERED IN THE NAME OF DTC OR A NOMINEE OF DTC. THIS NOTE IS EXCHANGEABLE FOR NOTES REGISTERED IN THE NAME OF A PERSON OTHER THAN DTC OR ITS NOMINEE ONLY IN THE LIMITED CIRCUMSTANCES DESCRIBED IN THE INDENTURE, AND MAY NOT BE TRANSFERRED EXCEPT AS A WHOLE BY DTC TO A NOMINEE OF DTC, BY A NOMINEE OF DTC TO DTC OR ANOTHER NOMINEE OF DTC OR BY DTC OR ANY SUCH NOMINEE TO A SUCCESSOR DEPOSITARY OR A NOMINEE OF SUCH A SUCCESSOR DEPOSITARY.</w:t>
      </w:r>
    </w:p>
    <w:p>
      <w:pPr>
        <w:spacing w:after="0" w:line="192" w:lineRule="exact"/>
        <w:rPr>
          <w:sz w:val="20"/>
          <w:szCs w:val="20"/>
          <w:color w:val="auto"/>
        </w:rPr>
      </w:pPr>
    </w:p>
    <w:p>
      <w:pPr>
        <w:ind w:right="160" w:firstLine="648"/>
        <w:spacing w:after="0" w:line="254" w:lineRule="auto"/>
        <w:rPr>
          <w:sz w:val="20"/>
          <w:szCs w:val="20"/>
          <w:color w:val="auto"/>
        </w:rPr>
      </w:pPr>
      <w:r>
        <w:rPr>
          <w:rFonts w:ascii="Arial" w:cs="Arial" w:eastAsia="Arial" w:hAnsi="Arial"/>
          <w:sz w:val="18"/>
          <w:szCs w:val="18"/>
          <w:color w:val="auto"/>
        </w:rPr>
        <w:t>UNLESS THIS GLOBAL SECURITY IS PRESENTED BY AN AUTHORIZED REPRESENTATIVE OF THE DEPOSITORY TRUST COMPANY, A NEW YORK CORPORATION (“DTC”), TO THE ISSUER OR ITS AGENT FOR REGISTRATION OF TRANSFER, EXCHANGE OR PAYMENT, AND ANY GLOBAL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2.800% Senior Note due 2050</w:t>
      </w:r>
    </w:p>
    <w:p>
      <w:pPr>
        <w:sectPr>
          <w:pgSz w:w="11900" w:h="16838" w:orient="portrait"/>
          <w:cols w:equalWidth="0" w:num="1">
            <w:col w:w="11240"/>
          </w:cols>
          <w:pgMar w:left="320" w:top="904"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Specimen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PRINCIPAL AMOUNT</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w:t>
      </w:r>
    </w:p>
    <w:p>
      <w:pPr>
        <w:spacing w:after="0" w:line="200" w:lineRule="exact"/>
        <w:rPr>
          <w:sz w:val="20"/>
          <w:szCs w:val="20"/>
          <w:color w:val="auto"/>
        </w:rPr>
      </w:pPr>
    </w:p>
    <w:p>
      <w:pPr>
        <w:sectPr>
          <w:pgSz w:w="11900" w:h="16838" w:orient="portrait"/>
          <w:cols w:equalWidth="0" w:num="2">
            <w:col w:w="8660" w:space="720"/>
            <w:col w:w="1860"/>
          </w:cols>
          <w:pgMar w:left="320" w:top="904"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ISIN: [ ]</w:t>
      </w:r>
    </w:p>
    <w:p>
      <w:pPr>
        <w:sectPr>
          <w:pgSz w:w="11900" w:h="16838" w:orient="portrait"/>
          <w:cols w:equalWidth="0" w:num="1">
            <w:col w:w="11240"/>
          </w:cols>
          <w:pgMar w:left="320" w:top="904" w:right="339" w:bottom="1440" w:gutter="0" w:footer="0" w:header="0"/>
          <w:type w:val="continuous"/>
        </w:sectPr>
      </w:pPr>
    </w:p>
    <w:p>
      <w:pPr>
        <w:spacing w:after="0" w:line="211" w:lineRule="exact"/>
        <w:rPr>
          <w:sz w:val="20"/>
          <w:szCs w:val="20"/>
          <w:color w:val="auto"/>
        </w:rPr>
      </w:pPr>
    </w:p>
    <w:p>
      <w:pPr>
        <w:ind w:right="180" w:firstLine="648"/>
        <w:spacing w:after="0" w:line="286" w:lineRule="auto"/>
        <w:rPr>
          <w:sz w:val="20"/>
          <w:szCs w:val="20"/>
          <w:color w:val="auto"/>
        </w:rPr>
      </w:pPr>
      <w:r>
        <w:rPr>
          <w:rFonts w:ascii="Arial" w:cs="Arial" w:eastAsia="Arial" w:hAnsi="Arial"/>
          <w:sz w:val="16"/>
          <w:szCs w:val="16"/>
          <w:color w:val="auto"/>
        </w:rPr>
        <w:t>Regeneron Pharmaceuticals, Inc., a New York corporation (herein called the “Company,” which term includes any successor Person under the Indenture hereinafter referred to), for value received, hereby promises to pay to Cede &amp; Co., or registered assigns, the principal sum of $[ ] on September 15, 2050 (the “Maturity Date”) (except to the extent redeemed or repaid prior to the Maturity Date) and to pay interest thereon from August 12, 2020 (the “Original Issue Date”) or from the most recent Interest Payment Date to which interest has been paid or duly provided for semi-annually at the rate of</w:t>
      </w:r>
    </w:p>
    <w:p>
      <w:pPr>
        <w:spacing w:after="0" w:line="1"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2.800% per annum, on March 15 and September 15 (each such date, an “Interest Payment Date”), commencing March 15, 2021, until the principal hereof is paid or made available for payment.</w:t>
      </w:r>
    </w:p>
    <w:p>
      <w:pPr>
        <w:spacing w:after="0" w:line="18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u w:val="single" w:color="auto"/>
          <w:color w:val="auto"/>
        </w:rPr>
        <w:t>Payment of Interest</w:t>
      </w:r>
      <w:r>
        <w:rPr>
          <w:rFonts w:ascii="Arial" w:cs="Arial" w:eastAsia="Arial" w:hAnsi="Arial"/>
          <w:sz w:val="16"/>
          <w:szCs w:val="16"/>
          <w:color w:val="auto"/>
        </w:rPr>
        <w:t>. The interest so payable, and punctually paid or made available for payment, on any Interest Payment Date, will, as provided in the Indenture, be paid, in immediately available funds, to the Person in whose name this Note (or one or more Predecessor Securities) is registered at the close of business on March 1 or September 1 (whether or not a Business Day, as defined in the Indenture), as the case may be, next preceding such Interest Payment Date (the “Regular Record Date”). Any such interest not punctually paid or duly provided for (“Defaulted Interest”) will forthwith cease to be payable to the Securityholder on such Regular Record Date, and such Defaulted Interest, may be paid to the Person in whose name this Note (or one or more Predecessor Securities) is registered at the close of business on a special record date (the “Special Record Date”) for the payment of such Defaulted Interest to be fixed by the Trustee, notice whereof shall be given to Securityholders of Notes not less than fifteen days prior to such Special Record Date, or may be paid at any time in any other lawful manner not inconsistent with requirements of any securities exchange on which the Notes may be listed, and upon such notice as may be required by such exchange, all as more fully provided in said Indenture.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2" w:name="page103"/>
    <w:bookmarkEnd w:id="102"/>
    <w:p>
      <w:pPr>
        <w:ind w:right="60" w:firstLine="648"/>
        <w:spacing w:after="0" w:line="257" w:lineRule="auto"/>
        <w:rPr>
          <w:sz w:val="20"/>
          <w:szCs w:val="20"/>
          <w:color w:val="auto"/>
        </w:rPr>
      </w:pPr>
      <w:r>
        <w:rPr>
          <w:rFonts w:ascii="Arial" w:cs="Arial" w:eastAsia="Arial" w:hAnsi="Arial"/>
          <w:sz w:val="18"/>
          <w:szCs w:val="18"/>
          <w:u w:val="single" w:color="auto"/>
          <w:color w:val="auto"/>
        </w:rPr>
        <w:t>Place of Payment</w:t>
      </w:r>
      <w:r>
        <w:rPr>
          <w:rFonts w:ascii="Arial" w:cs="Arial" w:eastAsia="Arial" w:hAnsi="Arial"/>
          <w:sz w:val="18"/>
          <w:szCs w:val="18"/>
          <w:color w:val="auto"/>
        </w:rPr>
        <w:t xml:space="preserve">. Payment of principal, premium, if any, and interest on this Note will be made at the Corporate Trust Office of the Trustee or such other office or agency of the Company as may be designated for such purpose, in such coin or currency of the United States of America as at the time of payment is legal tender for payment of public and private debts;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installment of interest, premium, if any, and principal on this Note may at the Company’s option be paid in immediately available funds by transfer to an account maintained by the payee located in the United States.</w:t>
      </w:r>
    </w:p>
    <w:p>
      <w:pPr>
        <w:spacing w:after="0" w:line="18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u w:val="single" w:color="auto"/>
          <w:color w:val="auto"/>
        </w:rPr>
        <w:t>Time of Payment</w:t>
      </w:r>
      <w:r>
        <w:rPr>
          <w:rFonts w:ascii="Arial" w:cs="Arial" w:eastAsia="Arial" w:hAnsi="Arial"/>
          <w:sz w:val="17"/>
          <w:szCs w:val="17"/>
          <w:color w:val="auto"/>
        </w:rPr>
        <w:t>. In any case where any Interest Payment Date, the Maturity Date or any date fixed for redemption or repayment of the Notes shall not be a Business Day, then (notwithstanding any other provision of the Indenture or this Note), payment of principal or interest, if any, need not be made on such date, but may be made on the next succeeding Business Day with the same force and effect as if made on such Interest Payment Date, the Maturity Date or the date so fixed for redemption or repayment, and no interest shall accrue in respect of the delay.</w:t>
      </w:r>
    </w:p>
    <w:p>
      <w:pPr>
        <w:spacing w:after="0" w:line="17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This Note is one of a duly authorized issue of Securities of the Company, issued and to be issued in one or more series under an indenture, dated as of August 12, 2020 (the “Base Indenture”), between the Company and U.S. Bank National Association (herein called the “Trustee,” which term includes any successor trustee under the Indenture with respect to a series of which this Note is a part), as supplemented by a First Supplemental Indenture thereto, dated as of August 12, 2020 (the “First Supplemental Indenture” and, together with the Base Indenture, the “Indenture”). Reference is hereby made to the Indenture for a statement of the respective rights, limitations of rights, duties and immunities thereunder of the Company, the Trustee and the Securityholders of the Securities, and of the terms upon which the Securities are, and are to be, authenticated and delivered. This Note is one of a duly authorized series of Securities designated as “2.800% Senior Notes due 2050” (collectively, the “Notes”), initially limited in aggregate principal amount to $750,000,000.</w:t>
      </w:r>
    </w:p>
    <w:p>
      <w:pPr>
        <w:spacing w:after="0" w:line="19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u w:val="single" w:color="auto"/>
          <w:color w:val="auto"/>
        </w:rPr>
        <w:t>Further Issuance</w:t>
      </w:r>
      <w:r>
        <w:rPr>
          <w:rFonts w:ascii="Arial" w:cs="Arial" w:eastAsia="Arial" w:hAnsi="Arial"/>
          <w:sz w:val="18"/>
          <w:szCs w:val="18"/>
          <w:color w:val="auto"/>
        </w:rPr>
        <w:t>. The Company may from time to time, without the consent of the Securityholders of the Notes, issue additional Securities (the “Additional Securities”) of this series having the same ranking and the same interest rate, maturity and other terms as the Notes. Any Additional Securities of this series and the Notes will constitute a single series under the Indenture and all references to the Notes shall include the Additional Securities unless the context otherwise requires.</w:t>
      </w:r>
    </w:p>
    <w:p>
      <w:pPr>
        <w:spacing w:after="0" w:line="187"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If an Event of Default with respect to the Notes shall have occurred and be continuing, the principal of the Notes may be declared due and payable in the manner and with the effect provided in the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Sinking Fund</w:t>
      </w:r>
      <w:r>
        <w:rPr>
          <w:rFonts w:ascii="Arial" w:cs="Arial" w:eastAsia="Arial" w:hAnsi="Arial"/>
          <w:sz w:val="18"/>
          <w:szCs w:val="18"/>
          <w:color w:val="auto"/>
        </w:rPr>
        <w:t>. The Notes are not subject to any sinking fund.</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u w:val="single" w:color="auto"/>
          <w:color w:val="auto"/>
        </w:rPr>
        <w:t>Optional Redemption</w:t>
      </w:r>
      <w:r>
        <w:rPr>
          <w:rFonts w:ascii="Arial" w:cs="Arial" w:eastAsia="Arial" w:hAnsi="Arial"/>
          <w:sz w:val="16"/>
          <w:szCs w:val="16"/>
          <w:color w:val="auto"/>
        </w:rPr>
        <w:t>. The Notes will be redeemable at any time, at the option of the Company, from time to time, in whole or in part, upon not less than 10 nor more than 60 days’ prior notice, on any date prior to their maturity at a redemption price, calculated pursuant to the Indenture, which includes accrued interest thereon, if any, to, but not including, the redemption date. In the case of any partial redemption, selection of the Notes for redemption will be made by the Trustee by such methods, as the Trustee in its sole discretion shall deem fair and appropriate. If any Note is to be redeemed in part only, the notice of redemption relating to such Note shall state the portion of the principal amount thereof to be redeemed. A new Note in principal amount equal to the unredeemed portion thereof will be issued in the name of the Securityholder thereof upon cancellation of this Note.</w:t>
      </w:r>
    </w:p>
    <w:p>
      <w:pPr>
        <w:spacing w:after="0" w:line="16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u w:val="single" w:color="auto"/>
          <w:color w:val="auto"/>
        </w:rPr>
        <w:t>Repurchase upon a Change of Control Triggering Event</w:t>
      </w:r>
      <w:r>
        <w:rPr>
          <w:rFonts w:ascii="Arial" w:cs="Arial" w:eastAsia="Arial" w:hAnsi="Arial"/>
          <w:sz w:val="18"/>
          <w:szCs w:val="18"/>
          <w:color w:val="auto"/>
        </w:rPr>
        <w:t>. Upon the occurrence of a Change of Control Triggering Event with respect to the Notes, the Company shall be required to make an offer to repurchase the Notes on the terms set forth in the Indenture.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u w:val="single" w:color="auto"/>
          <w:color w:val="auto"/>
        </w:rPr>
        <w:t>Defeasance and Covenant Defeasance</w:t>
      </w:r>
      <w:r>
        <w:rPr>
          <w:rFonts w:ascii="Arial" w:cs="Arial" w:eastAsia="Arial" w:hAnsi="Arial"/>
          <w:sz w:val="18"/>
          <w:szCs w:val="18"/>
          <w:color w:val="auto"/>
        </w:rPr>
        <w:t>. The Indenture contains provisions for defeasance at any time of (a) the entire indebtedness of the Company on this Note and (b) certain restrictive covenants and the related Defaults and Events of Default, upon compliance by the Company with certain conditions set forth therein, which provisions apply to this Note.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3" w:name="page104"/>
    <w:bookmarkEnd w:id="103"/>
    <w:p>
      <w:pPr>
        <w:ind w:firstLine="648"/>
        <w:spacing w:after="0" w:line="288" w:lineRule="auto"/>
        <w:rPr>
          <w:sz w:val="20"/>
          <w:szCs w:val="20"/>
          <w:color w:val="auto"/>
        </w:rPr>
      </w:pPr>
      <w:r>
        <w:rPr>
          <w:rFonts w:ascii="Arial" w:cs="Arial" w:eastAsia="Arial" w:hAnsi="Arial"/>
          <w:sz w:val="16"/>
          <w:szCs w:val="16"/>
          <w:u w:val="single" w:color="auto"/>
          <w:color w:val="auto"/>
        </w:rPr>
        <w:t>Modification and Waivers; Obligations of the Company Absolute</w:t>
      </w:r>
      <w:r>
        <w:rPr>
          <w:rFonts w:ascii="Arial" w:cs="Arial" w:eastAsia="Arial" w:hAnsi="Arial"/>
          <w:sz w:val="16"/>
          <w:szCs w:val="16"/>
          <w:color w:val="auto"/>
        </w:rPr>
        <w:t>. The Indenture permits, with certain exceptions as therein provided, the amendment thereof and the modification of the rights and obligations of the Company and the rights of the Securityholders of the Securities of each series. Such amendment may be effected under the Indenture at any time by the Company, and the Trustee with the consent of the Securityholders of not less than a majority in aggregate principal amount of the outstanding Notes of each series affected thereby. The Indenture also contains provisions permitting the Securityholders of not less than a majority in aggregate principal amount of the Securities at the time outstanding, on behalf of the Securityholders of all outstanding Securities, to waive compliance by the Company with certain provisions of the Indenture. Furthermore, provisions in the Indenture permit the Securityholders of not less than a majority in aggregate principal amount of the outstanding Securities of individual series to waive on behalf of all of the Securityholders of Securities of such individual series certain past defaults under the Indenture and their consequences. Any such consent or waiver shall be conclusive and binding upon the Securityholder of this Note and upon all future Securityholders of this Note and of any Note issued upon the registration of transfer hereof or in exchange hereof or in lieu hereof, whether or not notation of such consent or waiver is made upon this Note.</w:t>
      </w:r>
    </w:p>
    <w:p>
      <w:pPr>
        <w:spacing w:after="0" w:line="16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 place, and rate, and in the coin or currency, herein prescribed.</w:t>
      </w:r>
    </w:p>
    <w:p>
      <w:pPr>
        <w:spacing w:after="0" w:line="12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u w:val="single" w:color="auto"/>
          <w:color w:val="auto"/>
        </w:rPr>
        <w:t>Limitation on Suits</w:t>
      </w:r>
      <w:r>
        <w:rPr>
          <w:rFonts w:ascii="Arial" w:cs="Arial" w:eastAsia="Arial" w:hAnsi="Arial"/>
          <w:sz w:val="16"/>
          <w:szCs w:val="16"/>
          <w:color w:val="auto"/>
        </w:rPr>
        <w:t xml:space="preserve">. As set forth in, and subject to, the provisions of the Indenture, no Securityholder of any Note will have any right to institute any proceeding with respect to the Indenture or for any remedy thereunder, unless such Securityholder shall have previously given to the Trustee written notice of a continuing Event of Default with respect to this series, the Securityholders of not less than 25% in aggregate principal amount of the outstanding Notes shall have made written request, and offered indemnity and/or security, to the Trustee to institute such proceedings as trustee, and the Trustee shall not have received from the Securityholders of a majority in principal amount of the outstanding Notes a direction inconsistent with such request and shall have failed to institute such proceeding within 60 days;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limitations do not apply to a suit instituted by the Securityholder hereof for the enforcement of payment of the principal of or interest on this Note on or after the respective due dates expressed herein.</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u w:val="single" w:color="auto"/>
          <w:color w:val="auto"/>
        </w:rPr>
        <w:t>Authorized Denominations</w:t>
      </w:r>
      <w:r>
        <w:rPr>
          <w:rFonts w:ascii="Arial" w:cs="Arial" w:eastAsia="Arial" w:hAnsi="Arial"/>
          <w:sz w:val="18"/>
          <w:szCs w:val="18"/>
          <w:color w:val="auto"/>
        </w:rPr>
        <w:t>. The Notes are issuable only in registered form without coupons in denominations of $2,000 or any integral multiple of $1,000 in excess thereof.</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u w:val="single" w:color="auto"/>
          <w:color w:val="auto"/>
        </w:rPr>
        <w:t>Registration of Transfer or Exchange</w:t>
      </w:r>
      <w:r>
        <w:rPr>
          <w:rFonts w:ascii="Arial" w:cs="Arial" w:eastAsia="Arial" w:hAnsi="Arial"/>
          <w:sz w:val="18"/>
          <w:szCs w:val="18"/>
          <w:color w:val="auto"/>
        </w:rPr>
        <w:t>. As provided in the Indenture and subject to certain limitations herein and therein set forth, the transfer of this Note is registrable in the register of the Notes maintained by the Registrar upon surrender of this Note for registration of transfer, at the office or agency of the Company in any place where the principal of and interest on this Note are payable, duly endorsed by, or accompanied by a written instrument of transfer in form satisfactory to the Company and the Registrar, duly executed by the Securityholder hereof or his attorney duly authorized in writing, and thereupon one or more new Notes, of authorized denominations and for the same aggregate principal amount, will be issued to the designated transferee or transferees.</w:t>
      </w:r>
    </w:p>
    <w:p>
      <w:pPr>
        <w:spacing w:after="0" w:line="192"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As provided in the Indenture and subject to certain limitations herein and therein set forth, the Notes are exchangeable for a like aggregate principal amount of Notes of different authorized denominations, as requested by the Securityholders surrendering the same.</w:t>
      </w:r>
    </w:p>
    <w:p>
      <w:pPr>
        <w:spacing w:after="0" w:line="14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Prior to due presentment of this Note for registration of transfer, the Company, the Trustee and any agent of the Company or the Trustee may treat the Securityholder as the owner hereof for all purposes, whether or not this Note be overdue, and neither the Company, the Trustee nor any such agent shall be affected by notice to the contrary.</w:t>
      </w:r>
    </w:p>
    <w:p>
      <w:pPr>
        <w:spacing w:after="0" w:line="18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terms used in this Note, which are defined in the Indenture and are not otherwise defined herein, shall have the meanings assigned to them in the Indenture.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ind w:left="660"/>
        <w:spacing w:after="0"/>
        <w:rPr>
          <w:sz w:val="20"/>
          <w:szCs w:val="20"/>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Note shall be governed by and construed in accordance with the laws of the State of New York.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by manual signature, this Note shall not be entitled to any benefit under the Indenture or be valid or obligatory for any purpose.</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105" w:name="page106"/>
    <w:bookmarkEnd w:id="105"/>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August [ ],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REGENERON PHARMACEUTICALS, INC.</w:t>
      </w: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06" w:name="page107"/>
    <w:bookmarkEnd w:id="106"/>
    <w:p>
      <w:pPr>
        <w:jc w:val="center"/>
        <w:ind w:right="-259"/>
        <w:spacing w:after="0"/>
        <w:rPr>
          <w:sz w:val="20"/>
          <w:szCs w:val="20"/>
          <w:color w:val="auto"/>
        </w:rPr>
      </w:pPr>
      <w:r>
        <w:rPr>
          <w:rFonts w:ascii="Arial" w:cs="Arial" w:eastAsia="Arial" w:hAnsi="Arial"/>
          <w:sz w:val="18"/>
          <w:szCs w:val="18"/>
          <w:color w:val="auto"/>
        </w:rPr>
        <w:t>TRUSTEE’S CERTIFICATE OF AUTHENTICATION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This is one of the Notes of the series designated and referred to in the within-mentioned Base Indenture, as such is supplemented by the within-mentioned First Supplemental Indenture.</w:t>
      </w:r>
    </w:p>
    <w:p>
      <w:pPr>
        <w:spacing w:after="0" w:line="1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August [ ], 2020</w:t>
      </w:r>
    </w:p>
    <w:p>
      <w:pPr>
        <w:spacing w:after="0" w:line="200" w:lineRule="exact"/>
        <w:rPr>
          <w:sz w:val="20"/>
          <w:szCs w:val="20"/>
          <w:color w:val="auto"/>
        </w:rPr>
      </w:pP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908" w:right="599" w:bottom="1440" w:gutter="0" w:footer="0" w:header="0"/>
        </w:sectPr>
      </w:pPr>
    </w:p>
    <w:bookmarkStart w:id="107" w:name="page108"/>
    <w:bookmarkEnd w:id="107"/>
    <w:p>
      <w:pPr>
        <w:jc w:val="center"/>
        <w:ind w:right="-59"/>
        <w:spacing w:after="0"/>
        <w:rPr>
          <w:sz w:val="20"/>
          <w:szCs w:val="20"/>
          <w:color w:val="auto"/>
        </w:rPr>
      </w:pPr>
      <w:r>
        <w:rPr>
          <w:rFonts w:ascii="Arial" w:cs="Arial" w:eastAsia="Arial" w:hAnsi="Arial"/>
          <w:sz w:val="18"/>
          <w:szCs w:val="18"/>
          <w:color w:val="auto"/>
        </w:rPr>
        <w:t>ASSIGNMENT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the undersigned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PLEASE INSERT SOCIAL SECURITY NUMBER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4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print or typewrite name and address,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including postal zip code, of assignee)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and hereby irrevocably constitutes and appoints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to transfer said Note on the books of the Trustee, with full power of substitution in the premises.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67976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NOTICE: The signature to this assignment must correspond with the name</w:t>
      </w:r>
    </w:p>
    <w:p>
      <w:pPr>
        <w:spacing w:after="0" w:line="46" w:lineRule="exact"/>
        <w:rPr>
          <w:sz w:val="20"/>
          <w:szCs w:val="20"/>
          <w:color w:val="auto"/>
        </w:rPr>
      </w:pPr>
    </w:p>
    <w:p>
      <w:pPr>
        <w:ind w:left="5760"/>
        <w:spacing w:after="0"/>
        <w:rPr>
          <w:sz w:val="20"/>
          <w:szCs w:val="20"/>
          <w:color w:val="auto"/>
        </w:rPr>
      </w:pPr>
      <w:r>
        <w:rPr>
          <w:rFonts w:ascii="Arial" w:cs="Arial" w:eastAsia="Arial" w:hAnsi="Arial"/>
          <w:sz w:val="17"/>
          <w:szCs w:val="17"/>
          <w:color w:val="auto"/>
        </w:rPr>
        <w:t>as written upon the face of the within Note in every particular, without</w:t>
      </w:r>
    </w:p>
    <w:p>
      <w:pPr>
        <w:spacing w:after="0" w:line="2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alteration or enlargement or any change whatsoever.</w:t>
      </w:r>
    </w:p>
    <w:p>
      <w:pPr>
        <w:spacing w:after="0" w:line="200" w:lineRule="exact"/>
        <w:rPr>
          <w:sz w:val="20"/>
          <w:szCs w:val="20"/>
          <w:color w:val="auto"/>
        </w:rPr>
      </w:pPr>
    </w:p>
    <w:p>
      <w:pPr>
        <w:spacing w:after="0" w:line="24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14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1472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SKADDEN, ARPS, SLATE, MEAGHER &amp; FLOM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12,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Tarrytown, New York 10591-6707</w:t>
      </w:r>
    </w:p>
    <w:p>
      <w:pPr>
        <w:spacing w:after="0" w:line="211"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Re:</w:t>
            </w:r>
          </w:p>
        </w:tc>
        <w:tc>
          <w:tcPr>
            <w:tcW w:w="2360" w:type="dxa"/>
            <w:vAlign w:val="bottom"/>
            <w:gridSpan w:val="2"/>
          </w:tcPr>
          <w:p>
            <w:pPr>
              <w:spacing w:after="0"/>
              <w:rPr>
                <w:sz w:val="20"/>
                <w:szCs w:val="20"/>
                <w:color w:val="auto"/>
              </w:rPr>
            </w:pPr>
            <w:r>
              <w:rPr>
                <w:rFonts w:ascii="Arial" w:cs="Arial" w:eastAsia="Arial" w:hAnsi="Arial"/>
                <w:sz w:val="18"/>
                <w:szCs w:val="18"/>
                <w:color w:val="auto"/>
                <w:w w:val="87"/>
              </w:rPr>
              <w:t>Regeneron Pharmaceuticals, Inc.</w:t>
            </w:r>
          </w:p>
        </w:tc>
      </w:tr>
      <w:tr>
        <w:trPr>
          <w:trHeight w:val="190"/>
        </w:trPr>
        <w:tc>
          <w:tcPr>
            <w:tcW w:w="640" w:type="dxa"/>
            <w:vAlign w:val="bottom"/>
          </w:tcPr>
          <w:p>
            <w:pPr>
              <w:spacing w:after="0"/>
              <w:rPr>
                <w:sz w:val="16"/>
                <w:szCs w:val="16"/>
                <w:color w:val="auto"/>
              </w:rPr>
            </w:pPr>
          </w:p>
        </w:tc>
        <w:tc>
          <w:tcPr>
            <w:tcW w:w="160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91"/>
              </w:rPr>
              <w:t>Senior Notes Offering</w:t>
            </w:r>
          </w:p>
        </w:tc>
        <w:tc>
          <w:tcPr>
            <w:tcW w:w="760" w:type="dxa"/>
            <w:vAlign w:val="bottom"/>
          </w:tcPr>
          <w:p>
            <w:pPr>
              <w:spacing w:after="0"/>
              <w:rPr>
                <w:sz w:val="16"/>
                <w:szCs w:val="16"/>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648"/>
        <w:spacing w:after="0" w:line="296" w:lineRule="auto"/>
        <w:rPr>
          <w:sz w:val="20"/>
          <w:szCs w:val="20"/>
          <w:color w:val="auto"/>
        </w:rPr>
      </w:pPr>
      <w:r>
        <w:rPr>
          <w:rFonts w:ascii="Arial" w:cs="Arial" w:eastAsia="Arial" w:hAnsi="Arial"/>
          <w:sz w:val="16"/>
          <w:szCs w:val="16"/>
          <w:color w:val="auto"/>
        </w:rPr>
        <w:t>We have acted as special United States counsel to Regeneron Pharmaceuticals, Inc., a New York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in connection with the public offering of $1,250,000,000 aggregate principal amount of the Company’s 1.750% Senior Notes due 2030 and $750,000,000 aggregate principal amount of the Company’s 2.800% Senior Notes due 2050 (collectively, the “</w:t>
      </w:r>
      <w:r>
        <w:rPr>
          <w:rFonts w:ascii="Arial" w:cs="Arial" w:eastAsia="Arial" w:hAnsi="Arial"/>
          <w:sz w:val="16"/>
          <w:szCs w:val="16"/>
          <w:u w:val="single" w:color="auto"/>
          <w:color w:val="auto"/>
        </w:rPr>
        <w:t>Securities</w:t>
      </w:r>
      <w:r>
        <w:rPr>
          <w:rFonts w:ascii="Arial" w:cs="Arial" w:eastAsia="Arial" w:hAnsi="Arial"/>
          <w:sz w:val="16"/>
          <w:szCs w:val="16"/>
          <w:color w:val="auto"/>
        </w:rPr>
        <w:t>”) to be issued under the Indenture, dated as of August 12, 2020 (the “</w:t>
      </w:r>
      <w:r>
        <w:rPr>
          <w:rFonts w:ascii="Arial" w:cs="Arial" w:eastAsia="Arial" w:hAnsi="Arial"/>
          <w:sz w:val="16"/>
          <w:szCs w:val="16"/>
          <w:u w:val="single" w:color="auto"/>
          <w:color w:val="auto"/>
        </w:rPr>
        <w:t>Base Indenture</w:t>
      </w:r>
      <w:r>
        <w:rPr>
          <w:rFonts w:ascii="Arial" w:cs="Arial" w:eastAsia="Arial" w:hAnsi="Arial"/>
          <w:sz w:val="16"/>
          <w:szCs w:val="16"/>
          <w:color w:val="auto"/>
        </w:rPr>
        <w:t>”), as supplemented by the First Supplemental Indenture, dated as of August 12, 2020 (the “</w:t>
      </w:r>
      <w:r>
        <w:rPr>
          <w:rFonts w:ascii="Arial" w:cs="Arial" w:eastAsia="Arial" w:hAnsi="Arial"/>
          <w:sz w:val="16"/>
          <w:szCs w:val="16"/>
          <w:u w:val="single" w:color="auto"/>
          <w:color w:val="auto"/>
        </w:rPr>
        <w:t>First Supplemental Indenture</w:t>
      </w:r>
      <w:r>
        <w:rPr>
          <w:rFonts w:ascii="Arial" w:cs="Arial" w:eastAsia="Arial" w:hAnsi="Arial"/>
          <w:sz w:val="16"/>
          <w:szCs w:val="16"/>
          <w:color w:val="auto"/>
        </w:rPr>
        <w:t>” and, together with the Base Indenture, the “</w:t>
      </w:r>
      <w:r>
        <w:rPr>
          <w:rFonts w:ascii="Arial" w:cs="Arial" w:eastAsia="Arial" w:hAnsi="Arial"/>
          <w:sz w:val="16"/>
          <w:szCs w:val="16"/>
          <w:u w:val="single" w:color="auto"/>
          <w:color w:val="auto"/>
        </w:rPr>
        <w:t>Indenture</w:t>
      </w:r>
      <w:r>
        <w:rPr>
          <w:rFonts w:ascii="Arial" w:cs="Arial" w:eastAsia="Arial" w:hAnsi="Arial"/>
          <w:sz w:val="16"/>
          <w:szCs w:val="16"/>
          <w:color w:val="auto"/>
        </w:rPr>
        <w:t>”), between the Company and U.S. Bank National Association, as trustee (in such capacity, the “</w:t>
      </w:r>
      <w:r>
        <w:rPr>
          <w:rFonts w:ascii="Arial" w:cs="Arial" w:eastAsia="Arial" w:hAnsi="Arial"/>
          <w:sz w:val="16"/>
          <w:szCs w:val="16"/>
          <w:u w:val="single" w:color="auto"/>
          <w:color w:val="auto"/>
        </w:rPr>
        <w:t>Trustee</w:t>
      </w:r>
      <w:r>
        <w:rPr>
          <w:rFonts w:ascii="Arial" w:cs="Arial" w:eastAsia="Arial" w:hAnsi="Arial"/>
          <w:sz w:val="16"/>
          <w:szCs w:val="16"/>
          <w:color w:val="auto"/>
        </w:rPr>
        <w:t>”).</w:t>
      </w:r>
    </w:p>
    <w:p>
      <w:pPr>
        <w:spacing w:after="0" w:line="16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This opinion is being furnished in accordance with the requirements of Item 601(b)(5) of Regulation S-K under the Securities Act of 1933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rendering the opinion stated herein, we have examined and relied upon the following:</w:t>
      </w:r>
    </w:p>
    <w:p>
      <w:pPr>
        <w:spacing w:after="0" w:line="225" w:lineRule="exact"/>
        <w:rPr>
          <w:sz w:val="20"/>
          <w:szCs w:val="20"/>
          <w:color w:val="auto"/>
        </w:rPr>
      </w:pPr>
    </w:p>
    <w:p>
      <w:pPr>
        <w:ind w:right="60" w:firstLine="1304"/>
        <w:spacing w:after="0" w:line="257" w:lineRule="auto"/>
        <w:tabs>
          <w:tab w:leader="none" w:pos="217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registration statement on Form S-3 (File No. 333-228352) of the Company relating to debt securities and other securities of the Company filed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on November 13, 2018 under the Securities Act allowing for delayed offerings pursuant to Rule 415 of the General Rules and Regulations under the Securities Act (the “</w:t>
      </w:r>
      <w:r>
        <w:rPr>
          <w:rFonts w:ascii="Arial" w:cs="Arial" w:eastAsia="Arial" w:hAnsi="Arial"/>
          <w:sz w:val="18"/>
          <w:szCs w:val="18"/>
          <w:u w:val="single" w:color="auto"/>
          <w:color w:val="auto"/>
        </w:rPr>
        <w:t>Rules and Regulations</w:t>
      </w:r>
      <w:r>
        <w:rPr>
          <w:rFonts w:ascii="Arial" w:cs="Arial" w:eastAsia="Arial" w:hAnsi="Arial"/>
          <w:sz w:val="18"/>
          <w:szCs w:val="18"/>
          <w:color w:val="auto"/>
        </w:rPr>
        <w:t>”), including information deemed to be a part of the registration statement pursuant to Rule 430B of the Rules and Regulations (such registration statement being hereinafter referred to as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2180" w:hanging="876"/>
        <w:spacing w:after="0"/>
        <w:tabs>
          <w:tab w:leader="none" w:pos="21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prospectus, dated November 13, 2018 (the “</w:t>
      </w:r>
      <w:r>
        <w:rPr>
          <w:rFonts w:ascii="Arial" w:cs="Arial" w:eastAsia="Arial" w:hAnsi="Arial"/>
          <w:sz w:val="16"/>
          <w:szCs w:val="16"/>
          <w:u w:val="single" w:color="auto"/>
          <w:color w:val="auto"/>
        </w:rPr>
        <w:t>Base Prospectus</w:t>
      </w:r>
      <w:r>
        <w:rPr>
          <w:rFonts w:ascii="Arial" w:cs="Arial" w:eastAsia="Arial" w:hAnsi="Arial"/>
          <w:sz w:val="16"/>
          <w:szCs w:val="16"/>
          <w:color w:val="auto"/>
        </w:rPr>
        <w:t>”), which forms a part of and is included in the Registration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Statement;</w:t>
      </w:r>
    </w:p>
    <w:p>
      <w:pPr>
        <w:spacing w:after="0" w:line="210" w:lineRule="exact"/>
        <w:rPr>
          <w:rFonts w:ascii="Arial" w:cs="Arial" w:eastAsia="Arial" w:hAnsi="Arial"/>
          <w:sz w:val="16"/>
          <w:szCs w:val="16"/>
          <w:color w:val="auto"/>
        </w:rPr>
      </w:pPr>
    </w:p>
    <w:p>
      <w:pPr>
        <w:ind w:right="600" w:firstLine="1304"/>
        <w:spacing w:after="0" w:line="342" w:lineRule="auto"/>
        <w:tabs>
          <w:tab w:leader="none" w:pos="217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preliminary prospectus supplement, dated August 7, 2020 (together with the Base Prospectus, the “</w:t>
      </w:r>
      <w:r>
        <w:rPr>
          <w:rFonts w:ascii="Arial" w:cs="Arial" w:eastAsia="Arial" w:hAnsi="Arial"/>
          <w:sz w:val="16"/>
          <w:szCs w:val="16"/>
          <w:u w:val="single" w:color="auto"/>
          <w:color w:val="auto"/>
        </w:rPr>
        <w:t>Preliminary</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Prospectus</w:t>
      </w:r>
      <w:r>
        <w:rPr>
          <w:rFonts w:ascii="Arial" w:cs="Arial" w:eastAsia="Arial" w:hAnsi="Arial"/>
          <w:sz w:val="16"/>
          <w:szCs w:val="16"/>
          <w:color w:val="auto"/>
        </w:rPr>
        <w:t>”), relating to the offering of the Securities, in the form filed with the Commission pursuant to Rule 424(b) of the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ind w:firstLine="1304"/>
        <w:spacing w:after="0" w:line="308" w:lineRule="auto"/>
        <w:tabs>
          <w:tab w:leader="none" w:pos="21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prospectus supplement, dated August 7, 2020 (together with the Base Prospectus, the “</w:t>
      </w:r>
      <w:r>
        <w:rPr>
          <w:rFonts w:ascii="Arial" w:cs="Arial" w:eastAsia="Arial" w:hAnsi="Arial"/>
          <w:sz w:val="17"/>
          <w:szCs w:val="17"/>
          <w:u w:val="single" w:color="auto"/>
          <w:color w:val="auto"/>
        </w:rPr>
        <w:t>Prospectus Supplement</w:t>
      </w:r>
      <w:r>
        <w:rPr>
          <w:rFonts w:ascii="Arial" w:cs="Arial" w:eastAsia="Arial" w:hAnsi="Arial"/>
          <w:sz w:val="17"/>
          <w:szCs w:val="17"/>
          <w:color w:val="auto"/>
        </w:rPr>
        <w:t>”), relating to the offering of the Securities, in the form filed with the Commission pursuant to Rule 424(b) of the Rules and Regulations;</w:t>
      </w:r>
    </w:p>
    <w:p>
      <w:pPr>
        <w:spacing w:after="0" w:line="146" w:lineRule="exact"/>
        <w:rPr>
          <w:rFonts w:ascii="Arial" w:cs="Arial" w:eastAsia="Arial" w:hAnsi="Arial"/>
          <w:sz w:val="17"/>
          <w:szCs w:val="17"/>
          <w:color w:val="auto"/>
        </w:rPr>
      </w:pPr>
    </w:p>
    <w:p>
      <w:pPr>
        <w:ind w:right="260" w:firstLine="1304"/>
        <w:spacing w:after="0" w:line="263" w:lineRule="auto"/>
        <w:tabs>
          <w:tab w:leader="none" w:pos="217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executed copy of the Underwriting Agreement, dated August 7, 2020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among the Company and Goldman Sachs &amp; Co. LLC, BofA Securities, Inc. and J.P. Morgan Securities LLC, as representatives of the several Underwriters named therein (the “</w:t>
      </w:r>
      <w:r>
        <w:rPr>
          <w:rFonts w:ascii="Arial" w:cs="Arial" w:eastAsia="Arial" w:hAnsi="Arial"/>
          <w:sz w:val="18"/>
          <w:szCs w:val="18"/>
          <w:u w:val="single" w:color="auto"/>
          <w:color w:val="auto"/>
        </w:rPr>
        <w:t>Underwriters</w:t>
      </w:r>
      <w:r>
        <w:rPr>
          <w:rFonts w:ascii="Arial" w:cs="Arial" w:eastAsia="Arial" w:hAnsi="Arial"/>
          <w:sz w:val="18"/>
          <w:szCs w:val="18"/>
          <w:color w:val="auto"/>
        </w:rPr>
        <w:t>”), relating to the sale by the Company to the Underwriters of the Securities;</w:t>
      </w:r>
    </w:p>
    <w:p>
      <w:pPr>
        <w:spacing w:after="0" w:line="183" w:lineRule="exact"/>
        <w:rPr>
          <w:rFonts w:ascii="Arial" w:cs="Arial" w:eastAsia="Arial" w:hAnsi="Arial"/>
          <w:sz w:val="18"/>
          <w:szCs w:val="18"/>
          <w:color w:val="auto"/>
        </w:rPr>
      </w:pPr>
    </w:p>
    <w:p>
      <w:pPr>
        <w:ind w:left="2200" w:hanging="896"/>
        <w:spacing w:after="0"/>
        <w:tabs>
          <w:tab w:leader="none" w:pos="22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executed copy of the Indenture;</w:t>
      </w:r>
    </w:p>
    <w:p>
      <w:pPr>
        <w:spacing w:after="0" w:line="225" w:lineRule="exact"/>
        <w:rPr>
          <w:rFonts w:ascii="Arial" w:cs="Arial" w:eastAsia="Arial" w:hAnsi="Arial"/>
          <w:sz w:val="18"/>
          <w:szCs w:val="18"/>
          <w:color w:val="auto"/>
        </w:rPr>
      </w:pPr>
    </w:p>
    <w:p>
      <w:pPr>
        <w:ind w:left="2180" w:hanging="876"/>
        <w:spacing w:after="0"/>
        <w:tabs>
          <w:tab w:leader="none" w:pos="21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global certificates evidencing the Securities, executed by the Company and registered in the name of Cede &amp; Co.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 Certificates</w:t>
      </w:r>
      <w:r>
        <w:rPr>
          <w:rFonts w:ascii="Arial" w:cs="Arial" w:eastAsia="Arial" w:hAnsi="Arial"/>
          <w:sz w:val="18"/>
          <w:szCs w:val="18"/>
          <w:color w:val="auto"/>
        </w:rPr>
        <w:t>”), delivered by the Company to the Trustee for authentication and delivery;</w:t>
      </w:r>
    </w:p>
    <w:p>
      <w:pPr>
        <w:spacing w:after="0" w:line="211" w:lineRule="exact"/>
        <w:rPr>
          <w:sz w:val="20"/>
          <w:szCs w:val="20"/>
          <w:color w:val="auto"/>
        </w:rPr>
      </w:pPr>
    </w:p>
    <w:p>
      <w:pPr>
        <w:ind w:right="480" w:firstLine="1304"/>
        <w:spacing w:after="0" w:line="277" w:lineRule="auto"/>
        <w:tabs>
          <w:tab w:leader="none" w:pos="21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 executed copy of a certificate of Joseph J. LaRosa, Executive Vice President, General Counsel and Secretary of the Company, dated the date hereof (the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1304"/>
        <w:spacing w:after="0" w:line="277" w:lineRule="auto"/>
        <w:tabs>
          <w:tab w:leader="none" w:pos="218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copy of the Company’s Restated Certificate of Incorporation, certified by the office of the Secretary of State of the State of New York as of August 6, 2020, and certified pursuant to the Secretary’s Certificate;</w:t>
      </w:r>
    </w:p>
    <w:p>
      <w:pPr>
        <w:spacing w:after="0" w:line="170" w:lineRule="exact"/>
        <w:rPr>
          <w:rFonts w:ascii="Arial" w:cs="Arial" w:eastAsia="Arial" w:hAnsi="Arial"/>
          <w:sz w:val="18"/>
          <w:szCs w:val="18"/>
          <w:color w:val="auto"/>
        </w:rPr>
      </w:pPr>
    </w:p>
    <w:p>
      <w:pPr>
        <w:ind w:left="2200" w:hanging="896"/>
        <w:spacing w:after="0"/>
        <w:tabs>
          <w:tab w:leader="none" w:pos="22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copy of the Company’s Amended and Restated By-Laws, as amended and in effect as of the date hereof, certified pursuant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the Secretary’s Certificate;</w:t>
      </w:r>
    </w:p>
    <w:p>
      <w:pPr>
        <w:spacing w:after="0" w:line="210" w:lineRule="exact"/>
        <w:rPr>
          <w:rFonts w:ascii="Arial" w:cs="Arial" w:eastAsia="Arial" w:hAnsi="Arial"/>
          <w:sz w:val="16"/>
          <w:szCs w:val="16"/>
          <w:color w:val="auto"/>
        </w:rPr>
      </w:pPr>
    </w:p>
    <w:p>
      <w:pPr>
        <w:ind w:left="2180" w:hanging="876"/>
        <w:spacing w:after="0"/>
        <w:tabs>
          <w:tab w:leader="none" w:pos="21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copy of certain resolutions of the Board of Directors of the Company, adopted on July 28, 2020, certified pursuant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Secretary’s Certificate; and</w:t>
      </w:r>
    </w:p>
    <w:p>
      <w:pPr>
        <w:spacing w:after="0" w:line="210" w:lineRule="exact"/>
        <w:rPr>
          <w:rFonts w:ascii="Arial" w:cs="Arial" w:eastAsia="Arial" w:hAnsi="Arial"/>
          <w:sz w:val="16"/>
          <w:szCs w:val="16"/>
          <w:color w:val="auto"/>
        </w:rPr>
      </w:pPr>
    </w:p>
    <w:p>
      <w:pPr>
        <w:ind w:right="300" w:firstLine="1304"/>
        <w:spacing w:after="0" w:line="277" w:lineRule="auto"/>
        <w:tabs>
          <w:tab w:leader="none" w:pos="2186"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copy of certain resolutions of the Pricing Committee authorized by the Board of Directors of the Company, adopted on August 7, 2020, certified pursuant to the Secretary’s Certificate.</w:t>
      </w:r>
    </w:p>
    <w:p>
      <w:pPr>
        <w:spacing w:after="0" w:line="170" w:lineRule="exact"/>
        <w:rPr>
          <w:sz w:val="20"/>
          <w:szCs w:val="20"/>
          <w:color w:val="auto"/>
        </w:rPr>
      </w:pPr>
    </w:p>
    <w:p>
      <w:pPr>
        <w:jc w:val="both"/>
        <w:ind w:right="660" w:firstLine="648"/>
        <w:spacing w:after="0" w:line="286" w:lineRule="auto"/>
        <w:rPr>
          <w:sz w:val="20"/>
          <w:szCs w:val="20"/>
          <w:color w:val="auto"/>
        </w:rPr>
      </w:pPr>
      <w:r>
        <w:rPr>
          <w:rFonts w:ascii="Arial" w:cs="Arial" w:eastAsia="Arial" w:hAnsi="Arial"/>
          <w:sz w:val="17"/>
          <w:szCs w:val="17"/>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pacing w:after="0" w:line="16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factual representations and warranties contained in the Transaction Documents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do not express any opinion with respect to the laws of any jurisdiction other than the laws of the State of New York, including the New York Business Corporation Law (the “</w:t>
      </w:r>
      <w:r>
        <w:rPr>
          <w:rFonts w:ascii="Arial" w:cs="Arial" w:eastAsia="Arial" w:hAnsi="Arial"/>
          <w:sz w:val="18"/>
          <w:szCs w:val="18"/>
          <w:u w:val="single" w:color="auto"/>
          <w:color w:val="auto"/>
        </w:rPr>
        <w:t>NYBCL</w:t>
      </w:r>
      <w:r>
        <w:rPr>
          <w:rFonts w:ascii="Arial" w:cs="Arial" w:eastAsia="Arial" w:hAnsi="Arial"/>
          <w:sz w:val="18"/>
          <w:szCs w:val="18"/>
          <w:color w:val="auto"/>
        </w:rPr>
        <w:t>”) (all of the foregoing being referred to as “</w:t>
      </w:r>
      <w:r>
        <w:rPr>
          <w:rFonts w:ascii="Arial" w:cs="Arial" w:eastAsia="Arial" w:hAnsi="Arial"/>
          <w:sz w:val="18"/>
          <w:szCs w:val="18"/>
          <w:u w:val="single" w:color="auto"/>
          <w:color w:val="auto"/>
        </w:rPr>
        <w:t>Opined on Law</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herein, “</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the Underwriting Agreement, the Indenture and the Note Certificates.</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Based upon the foregoing and subject to the qualifications and assumptions stated herein, we are of the opinion that the Note Certificates have been duly authorized by all requisite corporate action on the part of the Company and duly executed by the Company under the NYBCL and when duly authenticated by the Trustee and issued and delivered by the Company against payment therefor in accordance with the terms of the Underwriting Agreement and the Indenture, the Note Certificates will constitute valid and binding obligations of the Company, entitled to the benefits of the Indenture and enforceable against the Company in accordance with their terms under the laws of the State of New York.</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 stated herein is subject to the following qualifications:</w:t>
      </w:r>
    </w:p>
    <w:p>
      <w:pPr>
        <w:spacing w:after="0" w:line="225" w:lineRule="exact"/>
        <w:rPr>
          <w:sz w:val="20"/>
          <w:szCs w:val="20"/>
          <w:color w:val="auto"/>
        </w:rPr>
      </w:pPr>
    </w:p>
    <w:p>
      <w:pPr>
        <w:ind w:right="380" w:firstLine="1304"/>
        <w:spacing w:after="0" w:line="311" w:lineRule="auto"/>
        <w:tabs>
          <w:tab w:leader="none" w:pos="217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we do not express any opinion with respect to the effect on the opinion stated herein of any bankruptcy, insolvency, reorganization, moratorium, fraudulent transfer, preference and other similar laws or governmental orders affecting creditors’ rights generally, and the opinion stated herein is limited by such laws and by general principles of equity (regardless of whether enforcement is sought in equity or at law);</w:t>
      </w:r>
    </w:p>
    <w:p>
      <w:pPr>
        <w:spacing w:after="0" w:line="148" w:lineRule="exact"/>
        <w:rPr>
          <w:rFonts w:ascii="Arial" w:cs="Arial" w:eastAsia="Arial" w:hAnsi="Arial"/>
          <w:sz w:val="16"/>
          <w:szCs w:val="16"/>
          <w:color w:val="auto"/>
        </w:rPr>
      </w:pPr>
    </w:p>
    <w:p>
      <w:pPr>
        <w:ind w:firstLine="1304"/>
        <w:spacing w:after="0" w:line="286" w:lineRule="auto"/>
        <w:tabs>
          <w:tab w:leader="none" w:pos="21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we do not express any opinion with respect to any law, rule or regulation that is applicable to any party to any of the Transaction Documents or the transactions contemplated thereby solely because such law, rule or regulation is part of a regulatory regime applicable to any such party or any of its affiliates as a result of the specific assets or business operations of such party or such affiliates;</w:t>
      </w:r>
    </w:p>
    <w:p>
      <w:pPr>
        <w:spacing w:after="0" w:line="165" w:lineRule="exact"/>
        <w:rPr>
          <w:rFonts w:ascii="Arial" w:cs="Arial" w:eastAsia="Arial" w:hAnsi="Arial"/>
          <w:sz w:val="17"/>
          <w:szCs w:val="17"/>
          <w:color w:val="auto"/>
        </w:rPr>
      </w:pPr>
    </w:p>
    <w:p>
      <w:pPr>
        <w:ind w:right="80" w:firstLine="1304"/>
        <w:spacing w:after="0" w:line="263" w:lineRule="auto"/>
        <w:tabs>
          <w:tab w:leader="none" w:pos="217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to the extent expressly stated in the opinion contained herein, we have assumed that each of the Transaction Documents constitutes the valid and binding obligation of each party to such Transaction Document, enforceable against such party in accordance with its terms;</w:t>
      </w:r>
    </w:p>
    <w:p>
      <w:pPr>
        <w:spacing w:after="0" w:line="183" w:lineRule="exact"/>
        <w:rPr>
          <w:rFonts w:ascii="Arial" w:cs="Arial" w:eastAsia="Arial" w:hAnsi="Arial"/>
          <w:sz w:val="18"/>
          <w:szCs w:val="18"/>
          <w:color w:val="auto"/>
        </w:rPr>
      </w:pPr>
    </w:p>
    <w:p>
      <w:pPr>
        <w:ind w:right="180" w:firstLine="1304"/>
        <w:spacing w:after="0" w:line="259" w:lineRule="auto"/>
        <w:tabs>
          <w:tab w:leader="none" w:pos="21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or regulations, or to the extent any such provision purports to, or has the effect of, waiving or altering any statute of limitations;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12,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right="280" w:firstLine="1304"/>
        <w:spacing w:after="0" w:line="259" w:lineRule="auto"/>
        <w:tabs>
          <w:tab w:leader="none" w:pos="217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the extent that any opinion relates to the enforceability of the choice of New York law and choice of New York forum provisions contained in any Transaction Document, the opinion stated herein is subject to the qualification that such enforceability may be subject to, in each case, (i) the exceptions and limitations in New York General Obligations Law sections 5-1401 and 5-1402 and (ii) principles of comity and constitutionality.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in rendering the foregoing opinion we have assumed that:</w:t>
      </w:r>
    </w:p>
    <w:p>
      <w:pPr>
        <w:spacing w:after="0" w:line="225" w:lineRule="exact"/>
        <w:rPr>
          <w:sz w:val="20"/>
          <w:szCs w:val="20"/>
          <w:color w:val="auto"/>
        </w:rPr>
      </w:pPr>
    </w:p>
    <w:p>
      <w:pPr>
        <w:ind w:firstLine="1304"/>
        <w:spacing w:after="0" w:line="254" w:lineRule="auto"/>
        <w:tabs>
          <w:tab w:leader="none" w:pos="217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neither the execution and delivery by the Company of the Transaction Documents nor the performance by the Company of its obligations under each of the Transaction Documents, including the issuance and sale of the Securities: (i) constitutes or will constitute a violation of, or a default under, any lease, indenture, agreement or other instrument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or the Company’s most recent Annual Report on Form 10-K), (ii) contravenes or will contravene any order or decree of any governmental authority to which the Company or its property is subject or (iii) violates or will violate any law, rule or regulation to which the Company or its property is subject (except that we do not make the assumption set forth in this clause (iii) with respect to the Opined on Law); and</w:t>
      </w:r>
    </w:p>
    <w:p>
      <w:pPr>
        <w:spacing w:after="0" w:line="191" w:lineRule="exact"/>
        <w:rPr>
          <w:rFonts w:ascii="Arial" w:cs="Arial" w:eastAsia="Arial" w:hAnsi="Arial"/>
          <w:sz w:val="18"/>
          <w:szCs w:val="18"/>
          <w:color w:val="auto"/>
        </w:rPr>
      </w:pPr>
    </w:p>
    <w:p>
      <w:pPr>
        <w:ind w:right="520" w:firstLine="1304"/>
        <w:spacing w:after="0" w:line="263" w:lineRule="auto"/>
        <w:tabs>
          <w:tab w:leader="none" w:pos="21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neither the execution and delivery by the Company of the Transaction Documents nor the enforceability of each of the Transaction Documents against the Company requires or will require the consent, approval, licensing or authorization of, or any filing, recording or registration with, any governmental authority under any law, rule or regulation of any jurisdiction.</w:t>
      </w:r>
    </w:p>
    <w:p>
      <w:pPr>
        <w:spacing w:after="0" w:line="18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hereby consent to the reference to our firm under the heading “Legal Matters” in the Preliminary Prospectus and the Prospectus Supplement. In giving this consent, we do not thereby admit that we are within the category of persons whose consent is required under Section 7 of the Securities Act or the Rules and Regulations. We also hereby consent to the filing of this opinion with the Commission as an exhibit to the Company’s Current Report on Form 8-K being filed on the date hereof and incorporated by reference into the Registration Statement. This opinion is expressed as of the date hereof unless otherwise expressly stated, and we disclaim any undertaking to advise you of any subsequent changes in the facts stated or assumed herein or of any subsequent changes in applicable laws.</w:t>
      </w:r>
    </w:p>
    <w:p>
      <w:pPr>
        <w:spacing w:after="0" w:line="19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Skadden, Arps, Slate, Meagher &amp; Flom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DJG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1)"/>
      <w:numFmt w:val="lowerLetter"/>
      <w:start w:val="4"/>
    </w:lvl>
  </w:abstractNum>
  <w:abstractNum w:abstractNumId="2">
    <w:nsid w:val="79A1DEAA"/>
    <w:multiLevelType w:val="hybridMultilevel"/>
    <w:lvl w:ilvl="0">
      <w:lvlJc w:val="left"/>
      <w:lvlText w:val="%1"/>
      <w:numFmt w:val="decimal"/>
      <w:start w:val="104"/>
    </w:lvl>
  </w:abstractNum>
  <w:abstractNum w:abstractNumId="3">
    <w:nsid w:val="75C6C33A"/>
    <w:multiLevelType w:val="hybridMultilevel"/>
    <w:lvl w:ilvl="0">
      <w:lvlJc w:val="left"/>
      <w:lvlText w:val="%1"/>
      <w:numFmt w:val="lowerLetter"/>
      <w:start w:val="1"/>
    </w:lvl>
    <w:lvl w:ilvl="1">
      <w:lvlJc w:val="left"/>
      <w:lvlText w:val="%2."/>
      <w:numFmt w:val="decimal"/>
      <w:start w:val="1"/>
    </w:lvl>
  </w:abstractNum>
  <w:abstractNum w:abstractNumId="4">
    <w:nsid w:val="12E685FB"/>
    <w:multiLevelType w:val="hybridMultilevel"/>
    <w:lvl w:ilvl="0">
      <w:lvlJc w:val="left"/>
      <w:lvlText w:val="(%1)"/>
      <w:numFmt w:val="lowerLetter"/>
      <w:start w:val="1"/>
    </w:lvl>
    <w:lvl w:ilvl="1">
      <w:lvlJc w:val="left"/>
      <w:lvlText w:val="%2"/>
      <w:numFmt w:val="decimal"/>
      <w:start w:val="1"/>
    </w:lvl>
  </w:abstractNum>
  <w:abstractNum w:abstractNumId="5">
    <w:nsid w:val="70C6A529"/>
    <w:multiLevelType w:val="hybridMultilevel"/>
    <w:lvl w:ilvl="0">
      <w:lvlJc w:val="left"/>
      <w:lvlText w:val="(%1)"/>
      <w:numFmt w:val="lowerRoman"/>
      <w:start w:val="1"/>
    </w:lvl>
  </w:abstractNum>
  <w:abstractNum w:abstractNumId="6">
    <w:nsid w:val="520EEDD1"/>
    <w:multiLevelType w:val="hybridMultilevel"/>
    <w:lvl w:ilvl="0">
      <w:lvlJc w:val="left"/>
      <w:lvlText w:val="(%1)"/>
      <w:numFmt w:val="lowerRoman"/>
      <w:start w:val="2"/>
    </w:lvl>
  </w:abstractNum>
  <w:abstractNum w:abstractNumId="7">
    <w:nsid w:val="374A3FE6"/>
    <w:multiLevelType w:val="hybridMultilevel"/>
    <w:lvl w:ilvl="0">
      <w:lvlJc w:val="left"/>
      <w:lvlText w:val="(%1)"/>
      <w:numFmt w:val="lowerRoman"/>
      <w:start w:val="5"/>
    </w:lvl>
  </w:abstractNum>
  <w:abstractNum w:abstractNumId="8">
    <w:nsid w:val="4F4EF005"/>
    <w:multiLevelType w:val="hybridMultilevel"/>
    <w:lvl w:ilvl="0">
      <w:lvlJc w:val="left"/>
      <w:lvlText w:val="(%1)"/>
      <w:numFmt w:val="lowerRoman"/>
      <w:start w:val="10"/>
    </w:lvl>
  </w:abstractNum>
  <w:abstractNum w:abstractNumId="9">
    <w:nsid w:val="23F9C13C"/>
    <w:multiLevelType w:val="hybridMultilevel"/>
    <w:lvl w:ilvl="0">
      <w:lvlJc w:val="left"/>
      <w:lvlText w:val="(%1)"/>
      <w:numFmt w:val="lowerRoman"/>
      <w:start w:val="12"/>
    </w:lvl>
  </w:abstractNum>
  <w:abstractNum w:abstractNumId="10">
    <w:nsid w:val="649BB77C"/>
    <w:multiLevelType w:val="hybridMultilevel"/>
    <w:lvl w:ilvl="0">
      <w:lvlJc w:val="left"/>
      <w:lvlText w:val="(%1)"/>
      <w:numFmt w:val="lowerRoman"/>
      <w:start w:val="16"/>
    </w:lvl>
  </w:abstractNum>
  <w:abstractNum w:abstractNumId="11">
    <w:nsid w:val="275AC794"/>
    <w:multiLevelType w:val="hybridMultilevel"/>
    <w:lvl w:ilvl="0">
      <w:lvlJc w:val="left"/>
      <w:lvlText w:val="(%1)"/>
      <w:numFmt w:val="lowerRoman"/>
      <w:start w:val="21"/>
    </w:lvl>
  </w:abstractNum>
  <w:abstractNum w:abstractNumId="12">
    <w:nsid w:val="39386575"/>
    <w:multiLevelType w:val="hybridMultilevel"/>
    <w:lvl w:ilvl="0">
      <w:lvlJc w:val="left"/>
      <w:lvlText w:val="%1"/>
      <w:numFmt w:val="lowerLetter"/>
      <w:start w:val="1"/>
    </w:lvl>
    <w:lvl w:ilvl="1">
      <w:lvlJc w:val="left"/>
      <w:lvlText w:val="(%2)"/>
      <w:numFmt w:val="lowerRoman"/>
      <w:start w:val="26"/>
    </w:lvl>
  </w:abstractNum>
  <w:abstractNum w:abstractNumId="13">
    <w:nsid w:val="1CF10FD8"/>
    <w:multiLevelType w:val="hybridMultilevel"/>
    <w:lvl w:ilvl="0">
      <w:lvlJc w:val="left"/>
      <w:lvlText w:val="(%1)"/>
      <w:numFmt w:val="lowerLetter"/>
      <w:start w:val="2"/>
    </w:lvl>
    <w:lvl w:ilvl="1">
      <w:lvlJc w:val="left"/>
      <w:lvlText w:val="%2"/>
      <w:numFmt w:val="lowerRoman"/>
      <w:start w:val="1"/>
    </w:lvl>
  </w:abstractNum>
  <w:abstractNum w:abstractNumId="14">
    <w:nsid w:val="180115BE"/>
    <w:multiLevelType w:val="hybridMultilevel"/>
    <w:lvl w:ilvl="0">
      <w:lvlJc w:val="left"/>
      <w:lvlText w:val="%1"/>
      <w:numFmt w:val="lowerLetter"/>
      <w:start w:val="1"/>
    </w:lvl>
    <w:lvl w:ilvl="1">
      <w:lvlJc w:val="left"/>
      <w:lvlText w:val="%2."/>
      <w:numFmt w:val="decimal"/>
      <w:start w:val="2"/>
    </w:lvl>
  </w:abstractNum>
  <w:abstractNum w:abstractNumId="15">
    <w:nsid w:val="235BA861"/>
    <w:multiLevelType w:val="hybridMultilevel"/>
    <w:lvl w:ilvl="0">
      <w:lvlJc w:val="left"/>
      <w:lvlText w:val="(%1)"/>
      <w:numFmt w:val="lowerLetter"/>
      <w:start w:val="1"/>
    </w:lvl>
    <w:lvl w:ilvl="1">
      <w:lvlJc w:val="left"/>
      <w:lvlText w:val="%2."/>
      <w:numFmt w:val="decimal"/>
      <w:start w:val="3"/>
    </w:lvl>
  </w:abstractNum>
  <w:abstractNum w:abstractNumId="16">
    <w:nsid w:val="47398C89"/>
    <w:multiLevelType w:val="hybridMultilevel"/>
    <w:lvl w:ilvl="0">
      <w:lvlJc w:val="left"/>
      <w:lvlText w:val="(%1)"/>
      <w:numFmt w:val="lowerLetter"/>
      <w:start w:val="1"/>
    </w:lvl>
    <w:lvl w:ilvl="1">
      <w:lvlJc w:val="left"/>
      <w:lvlText w:val="%2."/>
      <w:numFmt w:val="decimal"/>
      <w:start w:val="4"/>
    </w:lvl>
  </w:abstractNum>
  <w:abstractNum w:abstractNumId="17">
    <w:nsid w:val="354FE9F9"/>
    <w:multiLevelType w:val="hybridMultilevel"/>
    <w:lvl w:ilvl="0">
      <w:lvlJc w:val="left"/>
      <w:lvlText w:val="%1"/>
      <w:numFmt w:val="lowerRoman"/>
      <w:start w:val="1"/>
    </w:lvl>
    <w:lvl w:ilvl="1">
      <w:lvlJc w:val="left"/>
      <w:lvlText w:val="(%2)"/>
      <w:numFmt w:val="lowerLetter"/>
      <w:start w:val="1"/>
    </w:lvl>
  </w:abstractNum>
  <w:abstractNum w:abstractNumId="18">
    <w:nsid w:val="15B5AF5C"/>
    <w:multiLevelType w:val="hybridMultilevel"/>
    <w:lvl w:ilvl="0">
      <w:lvlJc w:val="left"/>
      <w:lvlText w:val="(%1)"/>
      <w:numFmt w:val="lowerRoman"/>
      <w:start w:val="4"/>
    </w:lvl>
    <w:lvl w:ilvl="1">
      <w:lvlJc w:val="left"/>
      <w:lvlText w:val="(%2)"/>
      <w:numFmt w:val="lowerLetter"/>
      <w:start w:val="2"/>
    </w:lvl>
  </w:abstractNum>
  <w:abstractNum w:abstractNumId="19">
    <w:nsid w:val="741226BB"/>
    <w:multiLevelType w:val="hybridMultilevel"/>
    <w:lvl w:ilvl="0">
      <w:lvlJc w:val="left"/>
      <w:lvlText w:val="(%1)"/>
      <w:numFmt w:val="lowerLetter"/>
      <w:start w:val="3"/>
    </w:lvl>
  </w:abstractNum>
  <w:abstractNum w:abstractNumId="20">
    <w:nsid w:val="D34B6A8"/>
    <w:multiLevelType w:val="hybridMultilevel"/>
    <w:lvl w:ilvl="0">
      <w:lvlJc w:val="left"/>
      <w:lvlText w:val="%1"/>
      <w:numFmt w:val="lowerRoman"/>
      <w:start w:val="1"/>
    </w:lvl>
    <w:lvl w:ilvl="1">
      <w:lvlJc w:val="left"/>
      <w:lvlText w:val="(%2)"/>
      <w:numFmt w:val="lowerLetter"/>
      <w:start w:val="9"/>
    </w:lvl>
    <w:lvl w:ilvl="2">
      <w:lvlJc w:val="left"/>
      <w:lvlText w:val="%3"/>
      <w:numFmt w:val="decimal"/>
      <w:start w:val="1"/>
    </w:lvl>
  </w:abstractNum>
  <w:abstractNum w:abstractNumId="21">
    <w:nsid w:val="10233C99"/>
    <w:multiLevelType w:val="hybridMultilevel"/>
    <w:lvl w:ilvl="0">
      <w:lvlJc w:val="left"/>
      <w:lvlText w:val="(%1)"/>
      <w:numFmt w:val="lowerRoman"/>
      <w:start w:val="4"/>
    </w:lvl>
    <w:lvl w:ilvl="1">
      <w:lvlJc w:val="left"/>
      <w:lvlText w:val="(%2)"/>
      <w:numFmt w:val="lowerLetter"/>
      <w:start w:val="12"/>
    </w:lvl>
    <w:lvl w:ilvl="2">
      <w:lvlJc w:val="left"/>
      <w:lvlText w:val="%3."/>
      <w:numFmt w:val="decimal"/>
      <w:start w:val="6"/>
    </w:lvl>
  </w:abstractNum>
  <w:abstractNum w:abstractNumId="22">
    <w:nsid w:val="3F6AB60F"/>
    <w:multiLevelType w:val="hybridMultilevel"/>
    <w:lvl w:ilvl="0">
      <w:lvlJc w:val="left"/>
      <w:lvlText w:val="(%1)"/>
      <w:numFmt w:val="lowerLetter"/>
      <w:start w:val="1"/>
    </w:lvl>
  </w:abstractNum>
  <w:abstractNum w:abstractNumId="23">
    <w:nsid w:val="61574095"/>
    <w:multiLevelType w:val="hybridMultilevel"/>
    <w:lvl w:ilvl="0">
      <w:lvlJc w:val="left"/>
      <w:lvlText w:val="(%1)"/>
      <w:numFmt w:val="lowerLetter"/>
      <w:start w:val="2"/>
    </w:lvl>
    <w:lvl w:ilvl="1">
      <w:lvlJc w:val="left"/>
      <w:lvlText w:val="(%2)"/>
      <w:numFmt w:val="lowerRoman"/>
      <w:start w:val="1"/>
    </w:lvl>
  </w:abstractNum>
  <w:abstractNum w:abstractNumId="24">
    <w:nsid w:val="7E0C57B1"/>
    <w:multiLevelType w:val="hybridMultilevel"/>
    <w:lvl w:ilvl="0">
      <w:lvlJc w:val="left"/>
      <w:lvlText w:val="(%1)"/>
      <w:numFmt w:val="lowerRoman"/>
      <w:start w:val="1"/>
    </w:lvl>
  </w:abstractNum>
  <w:abstractNum w:abstractNumId="25">
    <w:nsid w:val="77AE35EB"/>
    <w:multiLevelType w:val="hybridMultilevel"/>
    <w:lvl w:ilvl="0">
      <w:lvlJc w:val="left"/>
      <w:lvlText w:val="%1"/>
      <w:numFmt w:val="lowerLetter"/>
      <w:start w:val="1"/>
    </w:lvl>
    <w:lvl w:ilvl="1">
      <w:lvlJc w:val="left"/>
      <w:lvlText w:val="%2."/>
      <w:numFmt w:val="decimal"/>
      <w:start w:val="7"/>
    </w:lvl>
  </w:abstractNum>
  <w:abstractNum w:abstractNumId="26">
    <w:nsid w:val="579BE4F1"/>
    <w:multiLevelType w:val="hybridMultilevel"/>
    <w:lvl w:ilvl="0">
      <w:lvlJc w:val="left"/>
      <w:lvlText w:val="(%1)"/>
      <w:numFmt w:val="lowerLetter"/>
      <w:start w:val="1"/>
    </w:lvl>
    <w:lvl w:ilvl="1">
      <w:lvlJc w:val="left"/>
      <w:lvlText w:val="%2"/>
      <w:numFmt w:val="decimal"/>
      <w:start w:val="1"/>
    </w:lvl>
  </w:abstractNum>
  <w:abstractNum w:abstractNumId="27">
    <w:nsid w:val="310C50B3"/>
    <w:multiLevelType w:val="hybridMultilevel"/>
    <w:lvl w:ilvl="0">
      <w:lvlJc w:val="left"/>
      <w:lvlText w:val="(%1)"/>
      <w:numFmt w:val="lowerLetter"/>
      <w:start w:val="3"/>
    </w:lvl>
  </w:abstractNum>
  <w:abstractNum w:abstractNumId="28">
    <w:nsid w:val="5FF87E0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9"/>
    </w:lvl>
  </w:abstractNum>
  <w:abstractNum w:abstractNumId="29">
    <w:nsid w:val="2F305DE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30">
    <w:nsid w:val="25A70BF7"/>
    <w:multiLevelType w:val="hybridMultilevel"/>
    <w:lvl w:ilvl="0">
      <w:lvlJc w:val="left"/>
      <w:lvlText w:val="(%1)"/>
      <w:numFmt w:val="lowerLetter"/>
      <w:start w:val="2"/>
    </w:lvl>
    <w:lvl w:ilvl="1">
      <w:lvlJc w:val="left"/>
      <w:lvlText w:val="(%2)"/>
      <w:numFmt w:val="lowerLetter"/>
      <w:start w:val="4"/>
    </w:lvl>
    <w:lvl w:ilvl="2">
      <w:lvlJc w:val="left"/>
      <w:lvlText w:val="%3"/>
      <w:numFmt w:val="decimal"/>
      <w:start w:val="1"/>
    </w:lvl>
  </w:abstractNum>
  <w:abstractNum w:abstractNumId="31">
    <w:nsid w:val="1DBABF00"/>
    <w:multiLevelType w:val="hybridMultilevel"/>
    <w:lvl w:ilvl="0">
      <w:lvlJc w:val="left"/>
      <w:lvlText w:val="%1."/>
      <w:numFmt w:val="decimal"/>
      <w:start w:val="10"/>
    </w:lvl>
  </w:abstractNum>
  <w:abstractNum w:abstractNumId="32">
    <w:nsid w:val="4AD084E9"/>
    <w:multiLevelType w:val="hybridMultilevel"/>
    <w:lvl w:ilvl="0">
      <w:lvlJc w:val="left"/>
      <w:lvlText w:val="(%1)"/>
      <w:numFmt w:val="lowerLetter"/>
      <w:start w:val="2"/>
    </w:lvl>
  </w:abstractNum>
  <w:abstractNum w:abstractNumId="33">
    <w:nsid w:val="1F48EAA1"/>
    <w:multiLevelType w:val="hybridMultilevel"/>
    <w:lvl w:ilvl="0">
      <w:lvlJc w:val="left"/>
      <w:lvlText w:val="%1."/>
      <w:numFmt w:val="decimal"/>
      <w:start w:val="17"/>
    </w:lvl>
  </w:abstractNum>
  <w:abstractNum w:abstractNumId="34">
    <w:nsid w:val="1381823A"/>
    <w:multiLevelType w:val="hybridMultilevel"/>
    <w:lvl w:ilvl="0">
      <w:lvlJc w:val="left"/>
      <w:lvlText w:val="%1."/>
      <w:numFmt w:val="decimal"/>
      <w:start w:val="22"/>
    </w:lvl>
  </w:abstractNum>
  <w:abstractNum w:abstractNumId="35">
    <w:nsid w:val="5DB70AE5"/>
    <w:multiLevelType w:val="hybridMultilevel"/>
    <w:lvl w:ilvl="0">
      <w:lvlJc w:val="left"/>
      <w:lvlText w:val="%1."/>
      <w:numFmt w:val="decimal"/>
      <w:start w:val="1"/>
    </w:lvl>
  </w:abstractNum>
  <w:abstractNum w:abstractNumId="36">
    <w:nsid w:val="100F8FCA"/>
    <w:multiLevelType w:val="hybridMultilevel"/>
    <w:lvl w:ilvl="0">
      <w:lvlJc w:val="left"/>
      <w:lvlText w:val="1"/>
      <w:numFmt w:val="bullet"/>
      <w:start w:val="1"/>
    </w:lvl>
  </w:abstractNum>
  <w:abstractNum w:abstractNumId="37">
    <w:nsid w:val="6590700B"/>
    <w:multiLevelType w:val="hybridMultilevel"/>
    <w:lvl w:ilvl="0">
      <w:lvlJc w:val="left"/>
      <w:lvlText w:val="(%1)"/>
      <w:numFmt w:val="decimal"/>
      <w:start w:val="1"/>
    </w:lvl>
    <w:lvl w:ilvl="1">
      <w:lvlJc w:val="left"/>
      <w:lvlText w:val="(%2)"/>
      <w:numFmt w:val="lowerRoman"/>
      <w:start w:val="1"/>
    </w:lvl>
  </w:abstractNum>
  <w:abstractNum w:abstractNumId="38">
    <w:nsid w:val="15014ACB"/>
    <w:multiLevelType w:val="hybridMultilevel"/>
    <w:lvl w:ilvl="0">
      <w:lvlJc w:val="left"/>
      <w:lvlText w:val="(%1)"/>
      <w:numFmt w:val="lowerRoman"/>
      <w:start w:val="6"/>
    </w:lvl>
  </w:abstractNum>
  <w:abstractNum w:abstractNumId="39">
    <w:nsid w:val="5F5E7FD0"/>
    <w:multiLevelType w:val="hybridMultilevel"/>
    <w:lvl w:ilvl="0">
      <w:lvlJc w:val="left"/>
      <w:lvlText w:val="(%1)"/>
      <w:numFmt w:val="lowerRoman"/>
      <w:start w:val="17"/>
    </w:lvl>
  </w:abstractNum>
  <w:abstractNum w:abstractNumId="40">
    <w:nsid w:val="98A3148"/>
    <w:multiLevelType w:val="hybridMultilevel"/>
    <w:lvl w:ilvl="0">
      <w:lvlJc w:val="left"/>
      <w:lvlText w:val="(%1)"/>
      <w:numFmt w:val="lowerRoman"/>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2"/>
    </w:lvl>
  </w:abstractNum>
  <w:abstractNum w:abstractNumId="43">
    <w:nsid w:val="42C296BD"/>
    <w:multiLevelType w:val="hybridMultilevel"/>
    <w:lvl w:ilvl="0">
      <w:lvlJc w:val="left"/>
      <w:lvlText w:val="(%1)"/>
      <w:numFmt w:val="decimal"/>
      <w:start w:val="3"/>
    </w:lvl>
  </w:abstractNum>
  <w:abstractNum w:abstractNumId="44">
    <w:nsid w:val="168E121F"/>
    <w:multiLevelType w:val="hybridMultilevel"/>
    <w:lvl w:ilvl="0">
      <w:lvlJc w:val="left"/>
      <w:lvlText w:val="(%1)"/>
      <w:numFmt w:val="decimal"/>
      <w:start w:val="1"/>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1)"/>
      <w:numFmt w:val="decimal"/>
      <w:start w:val="2"/>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1"/>
    </w:lvl>
    <w:lvl w:ilvl="1">
      <w:lvlJc w:val="left"/>
      <w:lvlText w:val="(%2)"/>
      <w:numFmt w:val="lowerRoman"/>
      <w:start w:val="1"/>
    </w:lvl>
  </w:abstractNum>
  <w:abstractNum w:abstractNumId="49">
    <w:nsid w:val="7BD3EE7B"/>
    <w:multiLevelType w:val="hybridMultilevel"/>
    <w:lvl w:ilvl="0">
      <w:lvlJc w:val="left"/>
      <w:lvlText w:val="(%1)"/>
      <w:numFmt w:val="decimal"/>
      <w:start w:val="3"/>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decimal"/>
      <w:start w:val="1"/>
    </w:lvl>
  </w:abstractNum>
  <w:abstractNum w:abstractNumId="52">
    <w:nsid w:val="BF72B14"/>
    <w:multiLevelType w:val="hybridMultilevel"/>
    <w:lvl w:ilvl="0">
      <w:lvlJc w:val="left"/>
      <w:lvlText w:val="(%1)"/>
      <w:numFmt w:val="decimal"/>
      <w:start w:val="1"/>
    </w:lvl>
    <w:lvl w:ilvl="1">
      <w:lvlJc w:val="left"/>
      <w:lvlText w:val="(%2)"/>
      <w:numFmt w:val="lowerRoman"/>
      <w:start w:val="1"/>
    </w:lvl>
  </w:abstractNum>
  <w:abstractNum w:abstractNumId="53">
    <w:nsid w:val="11447B73"/>
    <w:multiLevelType w:val="hybridMultilevel"/>
    <w:lvl w:ilvl="0">
      <w:lvlJc w:val="left"/>
      <w:lvlText w:val="%1"/>
      <w:numFmt w:val="decimal"/>
      <w:start w:val="1"/>
    </w:lvl>
    <w:lvl w:ilvl="1">
      <w:lvlJc w:val="left"/>
      <w:lvlText w:val="(%2)"/>
      <w:numFmt w:val="lowerRoman"/>
      <w:start w:val="4"/>
    </w:lvl>
  </w:abstractNum>
  <w:abstractNum w:abstractNumId="54">
    <w:nsid w:val="42963E5A"/>
    <w:multiLevelType w:val="hybridMultilevel"/>
    <w:lvl w:ilvl="0">
      <w:lvlJc w:val="left"/>
      <w:lvlText w:val="(%1)"/>
      <w:numFmt w:val="decimal"/>
      <w:start w:val="2"/>
    </w:lvl>
    <w:lvl w:ilvl="1">
      <w:lvlJc w:val="left"/>
      <w:lvlText w:val="%2"/>
      <w:numFmt w:val="lowerRoman"/>
      <w:start w:val="1"/>
    </w:lvl>
  </w:abstractNum>
  <w:abstractNum w:abstractNumId="55">
    <w:nsid w:val="A0382C5"/>
    <w:multiLevelType w:val="hybridMultilevel"/>
    <w:lvl w:ilvl="0">
      <w:lvlJc w:val="left"/>
      <w:lvlText w:val="(%1)"/>
      <w:numFmt w:val="decimal"/>
      <w:start w:val="4"/>
    </w:lvl>
  </w:abstractNum>
  <w:abstractNum w:abstractNumId="56">
    <w:nsid w:val="8F2B15E"/>
    <w:multiLevelType w:val="hybridMultilevel"/>
    <w:lvl w:ilvl="0">
      <w:lvlJc w:val="left"/>
      <w:lvlText w:val="(%1)"/>
      <w:numFmt w:val="decimal"/>
      <w:start w:val="1"/>
    </w:lvl>
  </w:abstractNum>
  <w:abstractNum w:abstractNumId="57">
    <w:nsid w:val="1A32234B"/>
    <w:multiLevelType w:val="hybridMultilevel"/>
    <w:lvl w:ilvl="0">
      <w:lvlJc w:val="left"/>
      <w:lvlText w:val="(%1)"/>
      <w:numFmt w:val="decimal"/>
      <w:start w:val="4"/>
    </w:lvl>
  </w:abstractNum>
  <w:abstractNum w:abstractNumId="58">
    <w:nsid w:val="3B0FD379"/>
    <w:multiLevelType w:val="hybridMultilevel"/>
    <w:lvl w:ilvl="0">
      <w:lvlJc w:val="left"/>
      <w:lvlText w:val="(%1)"/>
      <w:numFmt w:val="decimal"/>
      <w:start w:val="1"/>
    </w:lvl>
  </w:abstractNum>
  <w:abstractNum w:abstractNumId="59">
    <w:nsid w:val="68EB2F63"/>
    <w:multiLevelType w:val="hybridMultilevel"/>
    <w:lvl w:ilvl="0">
      <w:lvlJc w:val="left"/>
      <w:lvlText w:val="(%1)"/>
      <w:numFmt w:val="decimal"/>
      <w:start w:val="2"/>
    </w:lvl>
  </w:abstractNum>
  <w:abstractNum w:abstractNumId="60">
    <w:nsid w:val="4962813B"/>
    <w:multiLevelType w:val="hybridMultilevel"/>
    <w:lvl w:ilvl="0">
      <w:lvlJc w:val="left"/>
      <w:lvlText w:val="(%1)"/>
      <w:numFmt w:val="decimal"/>
      <w:start w:val="1"/>
    </w:lvl>
    <w:lvl w:ilvl="1">
      <w:lvlJc w:val="left"/>
      <w:lvlText w:val="(%2)"/>
      <w:numFmt w:val="upperLetter"/>
      <w:start w:val="1"/>
    </w:lvl>
  </w:abstractNum>
  <w:abstractNum w:abstractNumId="61">
    <w:nsid w:val="60B6DF70"/>
    <w:multiLevelType w:val="hybridMultilevel"/>
    <w:lvl w:ilvl="0">
      <w:lvlJc w:val="left"/>
      <w:lvlText w:val="(%1)"/>
      <w:numFmt w:val="upperLetter"/>
      <w:start w:val="3"/>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1)"/>
      <w:numFmt w:val="decimal"/>
      <w:start w:val="5"/>
    </w:lvl>
  </w:abstractNum>
  <w:abstractNum w:abstractNumId="64">
    <w:nsid w:val="7FFFCA11"/>
    <w:multiLevelType w:val="hybridMultilevel"/>
    <w:lvl w:ilvl="0">
      <w:lvlJc w:val="left"/>
      <w:lvlText w:val="(%1)"/>
      <w:numFmt w:val="decimal"/>
      <w:start w:val="1"/>
    </w:lvl>
  </w:abstractNum>
  <w:abstractNum w:abstractNumId="65">
    <w:nsid w:val="1A27709E"/>
    <w:multiLevelType w:val="hybridMultilevel"/>
    <w:lvl w:ilvl="0">
      <w:lvlJc w:val="left"/>
      <w:lvlText w:val="(%1)"/>
      <w:numFmt w:val="decimal"/>
      <w:start w:val="3"/>
    </w:lvl>
  </w:abstractNum>
  <w:abstractNum w:abstractNumId="66">
    <w:nsid w:val="71EA1109"/>
    <w:multiLevelType w:val="hybridMultilevel"/>
    <w:lvl w:ilvl="0">
      <w:lvlJc w:val="left"/>
      <w:lvlText w:val="(%1)"/>
      <w:numFmt w:val="decimal"/>
      <w:start w:val="1"/>
    </w:lvl>
  </w:abstractNum>
  <w:abstractNum w:abstractNumId="67">
    <w:nsid w:val="100F59DC"/>
    <w:multiLevelType w:val="hybridMultilevel"/>
    <w:lvl w:ilvl="0">
      <w:lvlJc w:val="left"/>
      <w:lvlText w:val="(%1)"/>
      <w:numFmt w:val="decimal"/>
      <w:start w:val="2"/>
    </w:lvl>
  </w:abstractNum>
  <w:abstractNum w:abstractNumId="68">
    <w:nsid w:val="7FB7E0AA"/>
    <w:multiLevelType w:val="hybridMultilevel"/>
    <w:lvl w:ilvl="0">
      <w:lvlJc w:val="left"/>
      <w:lvlText w:val="(%1)"/>
      <w:numFmt w:val="decimal"/>
      <w:start w:val="1"/>
    </w:lvl>
  </w:abstractNum>
  <w:abstractNum w:abstractNumId="69">
    <w:nsid w:val="6EB5BD4"/>
    <w:multiLevelType w:val="hybridMultilevel"/>
    <w:lvl w:ilvl="0">
      <w:lvlJc w:val="left"/>
      <w:lvlText w:val="(%1)"/>
      <w:numFmt w:val="decimal"/>
      <w:start w:val="2"/>
    </w:lvl>
    <w:lvl w:ilvl="1">
      <w:lvlJc w:val="left"/>
      <w:lvlText w:val="(%2)"/>
      <w:numFmt w:val="upperLetter"/>
      <w:start w:val="1"/>
    </w:lvl>
  </w:abstractNum>
  <w:abstractNum w:abstractNumId="70">
    <w:nsid w:val="6F6DD9AC"/>
    <w:multiLevelType w:val="hybridMultilevel"/>
    <w:lvl w:ilvl="0">
      <w:lvlJc w:val="left"/>
      <w:lvlText w:val="(%1)"/>
      <w:numFmt w:val="decimal"/>
      <w:start w:val="3"/>
    </w:lvl>
  </w:abstractNum>
  <w:abstractNum w:abstractNumId="71">
    <w:nsid w:val="94211F2"/>
    <w:multiLevelType w:val="hybridMultilevel"/>
    <w:lvl w:ilvl="0">
      <w:lvlJc w:val="left"/>
      <w:lvlText w:val="(%1)"/>
      <w:numFmt w:val="decimal"/>
      <w:start w:val="1"/>
    </w:lvl>
  </w:abstractNum>
  <w:abstractNum w:abstractNumId="72">
    <w:nsid w:val="885E1B"/>
    <w:multiLevelType w:val="hybridMultilevel"/>
    <w:lvl w:ilvl="0">
      <w:lvlJc w:val="left"/>
      <w:lvlText w:val="(%1)"/>
      <w:numFmt w:val="decimal"/>
      <w:start w:val="3"/>
    </w:lvl>
  </w:abstractNum>
  <w:abstractNum w:abstractNumId="73">
    <w:nsid w:val="76272110"/>
    <w:multiLevelType w:val="hybridMultilevel"/>
    <w:lvl w:ilvl="0">
      <w:lvlJc w:val="left"/>
      <w:lvlText w:val="(%1)"/>
      <w:numFmt w:val="decimal"/>
      <w:start w:val="1"/>
    </w:lvl>
  </w:abstractNum>
  <w:abstractNum w:abstractNumId="74">
    <w:nsid w:val="4C04A8AF"/>
    <w:multiLevelType w:val="hybridMultilevel"/>
    <w:lvl w:ilvl="0">
      <w:lvlJc w:val="left"/>
      <w:lvlText w:val="(%1)"/>
      <w:numFmt w:val="decimal"/>
      <w:start w:val="2"/>
    </w:lvl>
  </w:abstractNum>
  <w:abstractNum w:abstractNumId="75">
    <w:nsid w:val="1716703B"/>
    <w:multiLevelType w:val="hybridMultilevel"/>
    <w:lvl w:ilvl="0">
      <w:lvlJc w:val="left"/>
      <w:lvlText w:val="(%1)"/>
      <w:numFmt w:val="decimal"/>
      <w:start w:val="1"/>
    </w:lvl>
  </w:abstractNum>
  <w:abstractNum w:abstractNumId="76">
    <w:nsid w:val="14E17E33"/>
    <w:multiLevelType w:val="hybridMultilevel"/>
    <w:lvl w:ilvl="0">
      <w:lvlJc w:val="left"/>
      <w:lvlText w:val="(%1)"/>
      <w:numFmt w:val="decimal"/>
      <w:start w:val="8"/>
    </w:lvl>
  </w:abstractNum>
  <w:abstractNum w:abstractNumId="77">
    <w:nsid w:val="3222E7CD"/>
    <w:multiLevelType w:val="hybridMultilevel"/>
    <w:lvl w:ilvl="0">
      <w:lvlJc w:val="left"/>
      <w:lvlText w:val="(%1)"/>
      <w:numFmt w:val="decimal"/>
      <w:start w:val="1"/>
    </w:lvl>
  </w:abstractNum>
  <w:abstractNum w:abstractNumId="78">
    <w:nsid w:val="74DE0EE3"/>
    <w:multiLevelType w:val="hybridMultilevel"/>
    <w:lvl w:ilvl="0">
      <w:lvlJc w:val="left"/>
      <w:lvlText w:val="(%1)"/>
      <w:numFmt w:val="decimal"/>
      <w:start w:val="1"/>
    </w:lvl>
  </w:abstractNum>
  <w:abstractNum w:abstractNumId="79">
    <w:nsid w:val="68EBC550"/>
    <w:multiLevelType w:val="hybridMultilevel"/>
    <w:lvl w:ilvl="0">
      <w:lvlJc w:val="left"/>
      <w:lvlText w:val="%1"/>
      <w:numFmt w:val="lowerRoman"/>
      <w:start w:val="1"/>
    </w:lvl>
    <w:lvl w:ilvl="1">
      <w:lvlJc w:val="left"/>
      <w:lvlText w:val="(%2)"/>
      <w:numFmt w:val="decimal"/>
      <w:start w:val="1"/>
    </w:lvl>
  </w:abstractNum>
  <w:abstractNum w:abstractNumId="80">
    <w:nsid w:val="2DF6D648"/>
    <w:multiLevelType w:val="hybridMultilevel"/>
    <w:lvl w:ilvl="0">
      <w:lvlJc w:val="left"/>
      <w:lvlText w:val="(%1)"/>
      <w:numFmt w:val="lowerRoman"/>
      <w:start w:val="2"/>
    </w:lvl>
    <w:lvl w:ilvl="1">
      <w:lvlJc w:val="left"/>
      <w:lvlText w:val="%2"/>
      <w:numFmt w:val="decimal"/>
      <w:start w:val="1"/>
    </w:lvl>
  </w:abstractNum>
  <w:abstractNum w:abstractNumId="81">
    <w:nsid w:val="46B7D447"/>
    <w:multiLevelType w:val="hybridMultilevel"/>
    <w:lvl w:ilvl="0">
      <w:lvlJc w:val="left"/>
      <w:lvlText w:val="1"/>
      <w:numFmt w:val="bullet"/>
      <w:start w:val="1"/>
    </w:lvl>
  </w:abstractNum>
  <w:abstractNum w:abstractNumId="82">
    <w:nsid w:val="4A2AC315"/>
    <w:multiLevelType w:val="hybridMultilevel"/>
    <w:lvl w:ilvl="0">
      <w:lvlJc w:val="left"/>
      <w:lvlText w:val="(%1)"/>
      <w:numFmt w:val="lowerLetter"/>
      <w:start w:val="25"/>
    </w:lvl>
  </w:abstractNum>
  <w:abstractNum w:abstractNumId="83">
    <w:nsid w:val="39EE015C"/>
    <w:multiLevelType w:val="hybridMultilevel"/>
    <w:lvl w:ilvl="0">
      <w:lvlJc w:val="left"/>
      <w:lvlText w:val="(%1)"/>
      <w:numFmt w:val="lowerLetter"/>
      <w:start w:val="1"/>
    </w:lvl>
  </w:abstractNum>
  <w:abstractNum w:abstractNumId="84">
    <w:nsid w:val="57FC4FBB"/>
    <w:multiLevelType w:val="hybridMultilevel"/>
    <w:lvl w:ilvl="0">
      <w:lvlJc w:val="left"/>
      <w:lvlText w:val="(%1)"/>
      <w:numFmt w:val="lowerLetter"/>
      <w:start w:val="2"/>
    </w:lvl>
  </w:abstractNum>
  <w:abstractNum w:abstractNumId="85">
    <w:nsid w:val="CC1016F"/>
    <w:multiLevelType w:val="hybridMultilevel"/>
    <w:lvl w:ilvl="0">
      <w:lvlJc w:val="left"/>
      <w:lvlText w:val="(%1)"/>
      <w:numFmt w:val="lowerLetter"/>
      <w:start w:val="3"/>
    </w:lvl>
  </w:abstractNum>
  <w:abstractNum w:abstractNumId="86">
    <w:nsid w:val="43F18422"/>
    <w:multiLevelType w:val="hybridMultilevel"/>
    <w:lvl w:ilvl="0">
      <w:lvlJc w:val="left"/>
      <w:lvlText w:val="(%1)"/>
      <w:numFmt w:val="lowerLetter"/>
      <w:start w:val="1"/>
    </w:lvl>
  </w:abstractNum>
  <w:abstractNum w:abstractNumId="87">
    <w:nsid w:val="60EF0119"/>
    <w:multiLevelType w:val="hybridMultilevel"/>
    <w:lvl w:ilvl="0">
      <w:lvlJc w:val="left"/>
      <w:lvlText w:val="(%1)"/>
      <w:numFmt w:val="lowerLetter"/>
      <w:start w:val="9"/>
    </w:lvl>
  </w:abstractNum>
  <w:abstractNum w:abstractNumId="88">
    <w:nsid w:val="26F324BA"/>
    <w:multiLevelType w:val="hybridMultilevel"/>
    <w:lvl w:ilvl="0">
      <w:lvlJc w:val="left"/>
      <w:lvlText w:val="(%1)"/>
      <w:numFmt w:val="lowerLetter"/>
      <w:start w:val="1"/>
    </w:lvl>
  </w:abstractNum>
  <w:abstractNum w:abstractNumId="89">
    <w:nsid w:val="7F01579B"/>
    <w:multiLevelType w:val="hybridMultilevel"/>
    <w:lvl w:ilvl="0">
      <w:lvlJc w:val="left"/>
      <w:lvlText w:val="(%1)"/>
      <w:numFmt w:val="lowerLetter"/>
      <w:start w:val="2"/>
    </w:lvl>
  </w:abstractNum>
  <w:abstractNum w:abstractNumId="90">
    <w:nsid w:val="49DA307D"/>
    <w:multiLevelType w:val="hybridMultilevel"/>
    <w:lvl w:ilvl="0">
      <w:lvlJc w:val="left"/>
      <w:lvlText w:val="(%1)"/>
      <w:numFmt w:val="lowerLetter"/>
      <w:start w:val="3"/>
    </w:lvl>
  </w:abstractNum>
  <w:abstractNum w:abstractNumId="91">
    <w:nsid w:val="7055A5F5"/>
    <w:multiLevelType w:val="hybridMultilevel"/>
    <w:lvl w:ilvl="0">
      <w:lvlJc w:val="left"/>
      <w:lvlText w:val="(%1)"/>
      <w:numFmt w:val="lowerLetter"/>
      <w:start w:val="1"/>
    </w:lvl>
    <w:lvl w:ilvl="1">
      <w:lvlJc w:val="left"/>
      <w:lvlText w:val="(%2)"/>
      <w:numFmt w:val="decimal"/>
      <w:start w:val="1"/>
    </w:lvl>
  </w:abstractNum>
  <w:abstractNum w:abstractNumId="92">
    <w:nsid w:val="5FB8370B"/>
    <w:multiLevelType w:val="hybridMultilevel"/>
    <w:lvl w:ilvl="0">
      <w:lvlJc w:val="left"/>
      <w:lvlText w:val="(%1)"/>
      <w:numFmt w:val="lowerLetter"/>
      <w:start w:val="3"/>
    </w:lvl>
  </w:abstractNum>
  <w:abstractNum w:abstractNumId="93">
    <w:nsid w:val="50801EE1"/>
    <w:multiLevelType w:val="hybridMultilevel"/>
    <w:lvl w:ilvl="0">
      <w:lvlJc w:val="left"/>
      <w:lvlText w:val="(%1)"/>
      <w:numFmt w:val="lowerRoman"/>
      <w:start w:val="13"/>
    </w:lvl>
  </w:abstractNum>
  <w:abstractNum w:abstractNumId="94">
    <w:nsid w:val="488AC1A"/>
    <w:multiLevelType w:val="hybridMultilevel"/>
    <w:lvl w:ilvl="0">
      <w:lvlJc w:val="left"/>
      <w:lvlText w:val="(%1)"/>
      <w:numFmt w:val="lowerLetter"/>
      <w:start w:val="1"/>
    </w:lvl>
  </w:abstractNum>
  <w:abstractNum w:abstractNumId="95">
    <w:nsid w:val="5FB8011C"/>
    <w:multiLevelType w:val="hybridMultilevel"/>
    <w:lvl w:ilvl="0">
      <w:lvlJc w:val="left"/>
      <w:lvlText w:val="(%1)"/>
      <w:numFmt w:val="lowerLetter"/>
      <w:start w:val="4"/>
    </w:lvl>
  </w:abstractNum>
  <w:abstractNum w:abstractNumId="96">
    <w:nsid w:val="6AA78F7F"/>
    <w:multiLevelType w:val="hybridMultilevel"/>
    <w:lvl w:ilvl="0">
      <w:lvlJc w:val="left"/>
      <w:lvlText w:val="(%1)"/>
      <w:numFmt w:val="lowerLetter"/>
      <w:start w:val="8"/>
    </w:lvl>
  </w:abstractNum>
  <w:abstractNum w:abstractNumId="97">
    <w:nsid w:val="7672BD23"/>
    <w:multiLevelType w:val="hybridMultilevel"/>
    <w:lvl w:ilvl="0">
      <w:lvlJc w:val="left"/>
      <w:lvlText w:val="(%1)"/>
      <w:numFmt w:val="lowerLetter"/>
      <w:start w:val="1"/>
    </w:lvl>
  </w:abstractNum>
  <w:abstractNum w:abstractNumId="98">
    <w:nsid w:val="6FC75AF8"/>
    <w:multiLevelType w:val="hybridMultilevel"/>
    <w:lvl w:ilvl="0">
      <w:lvlJc w:val="left"/>
      <w:lvlText w:val="(%1)"/>
      <w:numFmt w:val="lowerLetter"/>
      <w:start w:val="5"/>
    </w:lvl>
  </w:abstractNum>
  <w:abstractNum w:abstractNumId="99">
    <w:nsid w:val="6A5F702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2020-08-12T15:33:58Z</dcterms:created>
  <dcterms:modified xsi:type="dcterms:W3CDTF">2020-08-12T15:33:58Z</dcterms:modified>
</cp:coreProperties>
</file>