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836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8364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RYAN ARTHUR F</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5"/>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5"/>
            <w:vMerge w:val="continue"/>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5"/>
            <w:vMerge w:val="continue"/>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4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Borders>
              <w:top w:val="single" w:sz="8" w:color="2C2C2C"/>
            </w:tcBorders>
          </w:tcPr>
          <w:p>
            <w:pPr>
              <w:spacing w:after="0"/>
              <w:rPr>
                <w:sz w:val="9"/>
                <w:szCs w:val="9"/>
                <w:color w:val="auto"/>
              </w:rPr>
            </w:pPr>
          </w:p>
        </w:tc>
        <w:tc>
          <w:tcPr>
            <w:tcW w:w="100" w:type="dxa"/>
            <w:vAlign w:val="bottom"/>
            <w:tcBorders>
              <w:top w:val="single" w:sz="8" w:color="2C2C2C"/>
            </w:tcBorders>
          </w:tcPr>
          <w:p>
            <w:pPr>
              <w:spacing w:after="0"/>
              <w:rPr>
                <w:sz w:val="9"/>
                <w:szCs w:val="9"/>
                <w:color w:val="auto"/>
              </w:rPr>
            </w:pPr>
          </w:p>
        </w:tc>
        <w:tc>
          <w:tcPr>
            <w:tcW w:w="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continue"/>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7"/>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280" w:type="dxa"/>
            <w:vAlign w:val="bottom"/>
            <w:gridSpan w:val="7"/>
          </w:tcPr>
          <w:p>
            <w:pPr>
              <w:ind w:left="240"/>
              <w:spacing w:after="0"/>
              <w:rPr>
                <w:sz w:val="20"/>
                <w:szCs w:val="20"/>
                <w:color w:val="auto"/>
              </w:rPr>
            </w:pPr>
            <w:r>
              <w:rPr>
                <w:rFonts w:ascii="Arial" w:cs="Arial" w:eastAsia="Arial" w:hAnsi="Arial"/>
                <w:sz w:val="17"/>
                <w:szCs w:val="17"/>
                <w:color w:val="0000FF"/>
              </w:rPr>
              <w:t>01/03/2022</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80" w:type="dxa"/>
            <w:vAlign w:val="bottom"/>
            <w:gridSpan w:val="9"/>
            <w:vMerge w:val="continue"/>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6"/>
          </w:tcPr>
          <w:p>
            <w:pPr>
              <w:spacing w:after="0"/>
              <w:rPr>
                <w:sz w:val="10"/>
                <w:szCs w:val="10"/>
                <w:color w:val="auto"/>
              </w:rPr>
            </w:pPr>
          </w:p>
        </w:tc>
        <w:tc>
          <w:tcPr>
            <w:tcW w:w="3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980" w:type="dxa"/>
            <w:vAlign w:val="bottom"/>
            <w:tcBorders>
              <w:top w:val="single" w:sz="8" w:color="2C2C2C"/>
            </w:tcBorders>
            <w:gridSpan w:val="19"/>
          </w:tcPr>
          <w:p>
            <w:pPr>
              <w:jc w:val="center"/>
              <w:ind w:left="436"/>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7"/>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0" w:type="dxa"/>
            <w:vAlign w:val="bottom"/>
            <w:gridSpan w:val="5"/>
          </w:tcPr>
          <w:p>
            <w:pPr>
              <w:jc w:val="center"/>
              <w:ind w:left="527"/>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jc w:val="center"/>
              <w:ind w:right="20"/>
              <w:spacing w:after="0" w:line="130"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01/03/2022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rPr>
              <w:t>1</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621.98</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22,490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01/03/2022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rPr>
              <w:t>8</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622.52</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22,482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01/03/2022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4"/>
              </w:rPr>
              <w:t>19</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623.62</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22,463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01/03/2022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4"/>
              </w:rPr>
              <w:t>14</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624.3</w:t>
            </w:r>
            <w:r>
              <w:rPr>
                <w:rFonts w:ascii="Arial" w:cs="Arial" w:eastAsia="Arial" w:hAnsi="Arial"/>
                <w:sz w:val="21"/>
                <w:szCs w:val="21"/>
                <w:color w:val="008000"/>
                <w:w w:val="86"/>
                <w:vertAlign w:val="superscript"/>
              </w:rPr>
              <w:t>(4)</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22,449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01/03/2022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4"/>
              </w:rPr>
              <w:t>45</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625.56</w:t>
            </w:r>
            <w:r>
              <w:rPr>
                <w:rFonts w:ascii="Arial" w:cs="Arial" w:eastAsia="Arial" w:hAnsi="Arial"/>
                <w:sz w:val="21"/>
                <w:szCs w:val="21"/>
                <w:color w:val="008000"/>
                <w:w w:val="86"/>
                <w:vertAlign w:val="superscript"/>
              </w:rPr>
              <w:t>(5)</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22,404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01/03/2022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rPr>
              <w:t>5</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626.48</w:t>
            </w:r>
            <w:r>
              <w:rPr>
                <w:rFonts w:ascii="Arial" w:cs="Arial" w:eastAsia="Arial" w:hAnsi="Arial"/>
                <w:sz w:val="21"/>
                <w:szCs w:val="21"/>
                <w:color w:val="008000"/>
                <w:w w:val="86"/>
                <w:vertAlign w:val="superscript"/>
              </w:rPr>
              <w:t>(6)</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22,399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01/03/2022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rPr>
              <w:t>6</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627.22</w:t>
            </w:r>
            <w:r>
              <w:rPr>
                <w:rFonts w:ascii="Arial" w:cs="Arial" w:eastAsia="Arial" w:hAnsi="Arial"/>
                <w:sz w:val="21"/>
                <w:szCs w:val="21"/>
                <w:color w:val="008000"/>
                <w:w w:val="86"/>
                <w:vertAlign w:val="superscript"/>
              </w:rPr>
              <w:t>(7)</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22,393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01/03/2022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rPr>
              <w:t>2</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628.87</w:t>
            </w:r>
            <w:r>
              <w:rPr>
                <w:rFonts w:ascii="Arial" w:cs="Arial" w:eastAsia="Arial" w:hAnsi="Arial"/>
                <w:sz w:val="21"/>
                <w:szCs w:val="21"/>
                <w:color w:val="008000"/>
                <w:w w:val="86"/>
                <w:vertAlign w:val="superscript"/>
              </w:rPr>
              <w:t>(8)</w:t>
            </w: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22,391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01/03/2022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9"/>
                <w:vertAlign w:val="subscript"/>
              </w:rPr>
              <w:t>A</w:t>
            </w:r>
            <w:r>
              <w:rPr>
                <w:rFonts w:ascii="Arial" w:cs="Arial" w:eastAsia="Arial" w:hAnsi="Arial"/>
                <w:sz w:val="11"/>
                <w:szCs w:val="11"/>
                <w:color w:val="008000"/>
                <w:w w:val="89"/>
              </w:rPr>
              <w:t>(9)</w:t>
            </w:r>
          </w:p>
        </w:tc>
        <w:tc>
          <w:tcPr>
            <w:tcW w:w="720" w:type="dxa"/>
            <w:vAlign w:val="bottom"/>
            <w:tcBorders>
              <w:bottom w:val="single" w:sz="8" w:color="2C2C2C"/>
            </w:tcBorders>
          </w:tcPr>
          <w:p>
            <w:pPr>
              <w:jc w:val="center"/>
              <w:ind w:left="26"/>
              <w:spacing w:after="0"/>
              <w:rPr>
                <w:sz w:val="20"/>
                <w:szCs w:val="20"/>
                <w:color w:val="auto"/>
              </w:rPr>
            </w:pPr>
            <w:r>
              <w:rPr>
                <w:rFonts w:ascii="Arial" w:cs="Arial" w:eastAsia="Arial" w:hAnsi="Arial"/>
                <w:sz w:val="17"/>
                <w:szCs w:val="17"/>
                <w:color w:val="0000FF"/>
                <w:w w:val="91"/>
              </w:rPr>
              <w:t>191</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22,582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98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8"/>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6"/>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625.6</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01/03/2022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ind w:left="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3"/>
                <w:szCs w:val="13"/>
                <w:color w:val="0000FF"/>
              </w:rPr>
              <w:t>2,707</w:t>
            </w:r>
          </w:p>
        </w:tc>
        <w:tc>
          <w:tcPr>
            <w:tcW w:w="320" w:type="dxa"/>
            <w:vAlign w:val="bottom"/>
          </w:tcPr>
          <w:p>
            <w:pPr>
              <w:spacing w:after="0"/>
              <w:rPr>
                <w:sz w:val="16"/>
                <w:szCs w:val="16"/>
                <w:color w:val="auto"/>
              </w:rPr>
            </w:pPr>
          </w:p>
        </w:tc>
        <w:tc>
          <w:tcPr>
            <w:tcW w:w="760" w:type="dxa"/>
            <w:vAlign w:val="bottom"/>
          </w:tcPr>
          <w:p>
            <w:pPr>
              <w:ind w:left="240"/>
              <w:spacing w:after="0"/>
              <w:rPr>
                <w:sz w:val="20"/>
                <w:szCs w:val="20"/>
                <w:color w:val="auto"/>
              </w:rPr>
            </w:pPr>
            <w:r>
              <w:rPr>
                <w:rFonts w:ascii="Arial" w:cs="Arial" w:eastAsia="Arial" w:hAnsi="Arial"/>
                <w:sz w:val="11"/>
                <w:szCs w:val="11"/>
                <w:color w:val="008000"/>
              </w:rPr>
              <w:t>(10)</w:t>
            </w:r>
          </w:p>
        </w:tc>
        <w:tc>
          <w:tcPr>
            <w:tcW w:w="720" w:type="dxa"/>
            <w:vAlign w:val="bottom"/>
          </w:tcPr>
          <w:p>
            <w:pPr>
              <w:ind w:left="40"/>
              <w:spacing w:after="0"/>
              <w:rPr>
                <w:sz w:val="20"/>
                <w:szCs w:val="20"/>
                <w:color w:val="auto"/>
              </w:rPr>
            </w:pPr>
            <w:r>
              <w:rPr>
                <w:rFonts w:ascii="Arial" w:cs="Arial" w:eastAsia="Arial" w:hAnsi="Arial"/>
                <w:sz w:val="13"/>
                <w:szCs w:val="13"/>
                <w:color w:val="0000FF"/>
              </w:rPr>
              <w:t>01/03/2032</w:t>
            </w:r>
          </w:p>
        </w:tc>
        <w:tc>
          <w:tcPr>
            <w:tcW w:w="640" w:type="dxa"/>
            <w:vAlign w:val="bottom"/>
            <w:gridSpan w:val="2"/>
          </w:tcPr>
          <w:p>
            <w:pPr>
              <w:jc w:val="center"/>
              <w:ind w:right="40"/>
              <w:spacing w:after="0"/>
              <w:rPr>
                <w:sz w:val="20"/>
                <w:szCs w:val="20"/>
                <w:color w:val="auto"/>
              </w:rPr>
            </w:pPr>
            <w:r>
              <w:rPr>
                <w:rFonts w:ascii="Arial" w:cs="Arial" w:eastAsia="Arial" w:hAnsi="Arial"/>
                <w:sz w:val="13"/>
                <w:szCs w:val="13"/>
                <w:color w:val="0000FF"/>
                <w:w w:val="90"/>
              </w:rPr>
              <w:t>Common</w:t>
            </w:r>
          </w:p>
        </w:tc>
        <w:tc>
          <w:tcPr>
            <w:tcW w:w="20" w:type="dxa"/>
            <w:vAlign w:val="bottom"/>
          </w:tcPr>
          <w:p>
            <w:pPr>
              <w:spacing w:after="0"/>
              <w:rPr>
                <w:sz w:val="16"/>
                <w:szCs w:val="16"/>
                <w:color w:val="auto"/>
              </w:rPr>
            </w:pP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2,707</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jc w:val="right"/>
              <w:spacing w:after="0"/>
              <w:rPr>
                <w:sz w:val="20"/>
                <w:szCs w:val="20"/>
                <w:color w:val="auto"/>
              </w:rPr>
            </w:pPr>
            <w:r>
              <w:rPr>
                <w:rFonts w:ascii="Arial" w:cs="Arial" w:eastAsia="Arial" w:hAnsi="Arial"/>
                <w:sz w:val="13"/>
                <w:szCs w:val="13"/>
                <w:color w:val="0000FF"/>
              </w:rPr>
              <w:t>2,707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jc w:val="center"/>
              <w:ind w:right="60"/>
              <w:spacing w:after="0" w:line="105" w:lineRule="exact"/>
              <w:rPr>
                <w:sz w:val="20"/>
                <w:szCs w:val="20"/>
                <w:color w:val="auto"/>
              </w:rPr>
            </w:pPr>
            <w:r>
              <w:rPr>
                <w:rFonts w:ascii="Arial" w:cs="Arial" w:eastAsia="Arial" w:hAnsi="Arial"/>
                <w:sz w:val="12"/>
                <w:szCs w:val="12"/>
                <w:color w:val="0000FF"/>
                <w:w w:val="99"/>
              </w:rPr>
              <w:t>Stock</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3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8 shares of Company stock on January 3, 2022 at prices ranging from $622.32 to $622.88. Upon request by the Commission staff, the Company, or a security holder of the Company, the reporting person will provide full information regarding the number of shares sold by the reporting person on January 3, 2022 at each separate price.</w:t>
      </w:r>
    </w:p>
    <w:p>
      <w:pPr>
        <w:ind w:left="40" w:right="28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19 shares of Company stock on January 3, 2022 at prices ranging from $623.41 to $623.96. Upon request by the Commission staff, the Company, or a security holder of the Company, the reporting person will provide full information regarding the number of shares sold by the reporting person on January 3, 2022 at each separate price.</w:t>
      </w:r>
    </w:p>
    <w:p>
      <w:pPr>
        <w:ind w:left="40" w:right="28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14 shares of Company stock on January 3, 2022 at prices ranging from $624.04 to $624.69. Upon request by the Commission staff, the Company, or a security holder of the Company, the reporting person will provide full information regarding the number of shares sold by the reporting person on January 3, 2022 at each separate price.</w:t>
      </w:r>
    </w:p>
    <w:p>
      <w:pPr>
        <w:ind w:left="40" w:right="28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45 shares of Company stock on January 3, 2022 at prices ranging from $625.00 to $625.99. Upon request by the Commission staff, the Company, or a security holder of the Company, the reporting person will provide full information regarding the number of shares sold by the reporting person on January 3, 2022 at each separate price.</w:t>
      </w:r>
    </w:p>
    <w:p>
      <w:pPr>
        <w:ind w:left="40" w:right="3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5 shares of Company stock on January 3, 2022 at prices ranging from $626.29 to $626.97. Upon request by the Commission staff, the Company, or a security holder of the Company, the reporting person will provide full information regarding the number of shares sold by the reporting person on January 3, 2022 at each separate price.</w:t>
      </w:r>
    </w:p>
    <w:p>
      <w:pPr>
        <w:ind w:left="40" w:right="3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 shares of Company stock on January 3, 2022 at prices ranging from $627.00 to $627.31. Upon request by the Commission staff, the Company, or a security holder of the Company, the reporting person will provide full information regarding the number of shares sold by the reporting person on January 3, 2022 at each separate price.</w:t>
      </w:r>
    </w:p>
    <w:p>
      <w:pPr>
        <w:ind w:left="40" w:right="3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 shares of Company stock on January 3, 2022 at prices ranging from $628.76 to $628.98. Upon request by the Commission staff, the Company, or a security holder of the Company, the reporting person will provide full information regarding the number of shares sold by the reporting person on January 3, 2022 at each separate price.</w:t>
      </w: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Company's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23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Company's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40" w:type="dxa"/>
            <w:vAlign w:val="bottom"/>
          </w:tcPr>
          <w:p>
            <w:pPr>
              <w:spacing w:after="0"/>
              <w:rPr>
                <w:sz w:val="20"/>
                <w:szCs w:val="20"/>
                <w:color w:val="auto"/>
              </w:rPr>
            </w:pPr>
            <w:r>
              <w:rPr>
                <w:rFonts w:ascii="Arial" w:cs="Arial" w:eastAsia="Arial" w:hAnsi="Arial"/>
                <w:sz w:val="17"/>
                <w:szCs w:val="17"/>
                <w:color w:val="0000FF"/>
                <w:w w:val="93"/>
              </w:rPr>
              <w:t>/s/**Arthur F. Ryan</w:t>
            </w:r>
          </w:p>
        </w:tc>
        <w:tc>
          <w:tcPr>
            <w:tcW w:w="7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01/05/2022</w:t>
            </w:r>
          </w:p>
        </w:tc>
      </w:tr>
      <w:tr>
        <w:trPr>
          <w:trHeight w:val="20"/>
        </w:trPr>
        <w:tc>
          <w:tcPr>
            <w:tcW w:w="1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7443"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2022-01-05T15:24:20Z</dcterms:created>
  <dcterms:modified xsi:type="dcterms:W3CDTF">2022-01-05T15:24:20Z</dcterms:modified>
</cp:coreProperties>
</file>