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16, 2015 (March 14, 2015)</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5620" w:type="dxa"/>
            <w:vAlign w:val="bottom"/>
          </w:tcPr>
          <w:p>
            <w:pPr>
              <w:jc w:val="center"/>
              <w:ind w:right="1510"/>
              <w:spacing w:after="0"/>
              <w:rPr>
                <w:sz w:val="20"/>
                <w:szCs w:val="20"/>
                <w:color w:val="auto"/>
              </w:rPr>
            </w:pPr>
            <w:r>
              <w:rPr>
                <w:rFonts w:ascii="Arial" w:cs="Arial" w:eastAsia="Arial" w:hAnsi="Arial"/>
                <w:sz w:val="18"/>
                <w:szCs w:val="18"/>
                <w:b w:val="1"/>
                <w:bCs w:val="1"/>
                <w:color w:val="auto"/>
                <w:w w:val="90"/>
              </w:rPr>
              <w:t>000-19034</w:t>
            </w:r>
          </w:p>
        </w:tc>
        <w:tc>
          <w:tcPr>
            <w:tcW w:w="292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20" w:type="dxa"/>
            <w:vAlign w:val="bottom"/>
          </w:tcPr>
          <w:p>
            <w:pPr>
              <w:jc w:val="center"/>
              <w:ind w:right="1510"/>
              <w:spacing w:after="0"/>
              <w:rPr>
                <w:sz w:val="20"/>
                <w:szCs w:val="20"/>
                <w:color w:val="auto"/>
              </w:rPr>
            </w:pPr>
            <w:r>
              <w:rPr>
                <w:rFonts w:ascii="Arial" w:cs="Arial" w:eastAsia="Arial" w:hAnsi="Arial"/>
                <w:sz w:val="18"/>
                <w:szCs w:val="18"/>
                <w:color w:val="auto"/>
                <w:w w:val="93"/>
              </w:rPr>
              <w:t>(Commission</w:t>
            </w:r>
          </w:p>
        </w:tc>
        <w:tc>
          <w:tcPr>
            <w:tcW w:w="2920" w:type="dxa"/>
            <w:vAlign w:val="bottom"/>
          </w:tcPr>
          <w:p>
            <w:pPr>
              <w:jc w:val="center"/>
              <w:ind w:left="1470"/>
              <w:spacing w:after="0"/>
              <w:rPr>
                <w:sz w:val="20"/>
                <w:szCs w:val="20"/>
                <w:color w:val="auto"/>
              </w:rPr>
            </w:pPr>
            <w:r>
              <w:rPr>
                <w:rFonts w:ascii="Arial" w:cs="Arial" w:eastAsia="Arial" w:hAnsi="Arial"/>
                <w:sz w:val="18"/>
                <w:szCs w:val="18"/>
                <w:color w:val="auto"/>
                <w:w w:val="93"/>
              </w:rPr>
              <w:t>(I.R.S. Employer</w:t>
            </w:r>
          </w:p>
        </w:tc>
      </w:tr>
      <w:tr>
        <w:trPr>
          <w:trHeight w:val="230"/>
        </w:trPr>
        <w:tc>
          <w:tcPr>
            <w:tcW w:w="5620" w:type="dxa"/>
            <w:vAlign w:val="bottom"/>
          </w:tcPr>
          <w:p>
            <w:pPr>
              <w:jc w:val="center"/>
              <w:ind w:right="1510"/>
              <w:spacing w:after="0"/>
              <w:rPr>
                <w:sz w:val="20"/>
                <w:szCs w:val="20"/>
                <w:color w:val="auto"/>
              </w:rPr>
            </w:pPr>
            <w:r>
              <w:rPr>
                <w:rFonts w:ascii="Arial" w:cs="Arial" w:eastAsia="Arial" w:hAnsi="Arial"/>
                <w:sz w:val="18"/>
                <w:szCs w:val="18"/>
                <w:color w:val="auto"/>
                <w:w w:val="94"/>
              </w:rPr>
              <w:t>File Number)</w:t>
            </w:r>
          </w:p>
        </w:tc>
        <w:tc>
          <w:tcPr>
            <w:tcW w:w="2920" w:type="dxa"/>
            <w:vAlign w:val="bottom"/>
          </w:tcPr>
          <w:p>
            <w:pPr>
              <w:jc w:val="center"/>
              <w:ind w:left="14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20" w:type="dxa"/>
            <w:vAlign w:val="bottom"/>
          </w:tcPr>
          <w:p>
            <w:pPr>
              <w:jc w:val="center"/>
              <w:ind w:right="151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2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20" w:type="dxa"/>
            <w:vAlign w:val="bottom"/>
          </w:tcPr>
          <w:p>
            <w:pPr>
              <w:jc w:val="center"/>
              <w:ind w:right="1510"/>
              <w:spacing w:after="0"/>
              <w:rPr>
                <w:sz w:val="20"/>
                <w:szCs w:val="20"/>
                <w:color w:val="auto"/>
              </w:rPr>
            </w:pPr>
            <w:r>
              <w:rPr>
                <w:rFonts w:ascii="Arial" w:cs="Arial" w:eastAsia="Arial" w:hAnsi="Arial"/>
                <w:sz w:val="18"/>
                <w:szCs w:val="18"/>
                <w:color w:val="auto"/>
                <w:w w:val="92"/>
              </w:rPr>
              <w:t>(Address of principal executive offices)</w:t>
            </w:r>
          </w:p>
        </w:tc>
        <w:tc>
          <w:tcPr>
            <w:tcW w:w="2920" w:type="dxa"/>
            <w:vAlign w:val="bottom"/>
          </w:tcPr>
          <w:p>
            <w:pPr>
              <w:jc w:val="center"/>
              <w:ind w:left="14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4"/>
          <w:szCs w:val="24"/>
          <w:color w:val="auto"/>
        </w:rPr>
      </w:pPr>
    </w:p>
    <w:p>
      <w:pPr>
        <w:ind w:right="80" w:firstLine="324"/>
        <w:spacing w:after="0" w:line="259" w:lineRule="auto"/>
        <w:rPr>
          <w:sz w:val="20"/>
          <w:szCs w:val="20"/>
          <w:color w:val="auto"/>
        </w:rPr>
      </w:pPr>
      <w:r>
        <w:rPr>
          <w:rFonts w:ascii="Arial" w:cs="Arial" w:eastAsia="Arial" w:hAnsi="Arial"/>
          <w:sz w:val="18"/>
          <w:szCs w:val="18"/>
          <w:color w:val="auto"/>
        </w:rPr>
        <w:t>As previously announced, on March 14, 2015, positive results from the ODYSSEY CHOICE I and CHOICE II trials, which evaluated monthly dosing of PRALUENT™ (alirocumab) 300 mg and PRALUENT 150 mg, were presented at the American College of Cardiology’s 64th Annual Scientific Sessions &amp; Expo (“</w:t>
      </w:r>
      <w:r>
        <w:rPr>
          <w:rFonts w:ascii="Arial" w:cs="Arial" w:eastAsia="Arial" w:hAnsi="Arial"/>
          <w:sz w:val="18"/>
          <w:szCs w:val="18"/>
          <w:u w:val="single" w:color="auto"/>
          <w:color w:val="auto"/>
        </w:rPr>
        <w:t>ACC 15</w:t>
      </w:r>
      <w:r>
        <w:rPr>
          <w:rFonts w:ascii="Arial" w:cs="Arial" w:eastAsia="Arial" w:hAnsi="Arial"/>
          <w:sz w:val="18"/>
          <w:szCs w:val="18"/>
          <w:color w:val="auto"/>
        </w:rPr>
        <w:t>”) in San Diego, California. A copy of the poster presentation is furnished as Exhibit 99.1 to this Current Report on Form 8-K and is incorporated by reference herein.</w:t>
      </w:r>
    </w:p>
    <w:p>
      <w:pPr>
        <w:spacing w:after="0" w:line="187" w:lineRule="exact"/>
        <w:rPr>
          <w:sz w:val="24"/>
          <w:szCs w:val="24"/>
          <w:color w:val="auto"/>
        </w:rPr>
      </w:pPr>
    </w:p>
    <w:p>
      <w:pPr>
        <w:ind w:right="340" w:firstLine="324"/>
        <w:spacing w:after="0" w:line="264" w:lineRule="auto"/>
        <w:rPr>
          <w:sz w:val="20"/>
          <w:szCs w:val="20"/>
          <w:color w:val="auto"/>
        </w:rPr>
      </w:pPr>
      <w:r>
        <w:rPr>
          <w:rFonts w:ascii="Arial" w:cs="Arial" w:eastAsia="Arial" w:hAnsi="Arial"/>
          <w:sz w:val="18"/>
          <w:szCs w:val="18"/>
          <w:color w:val="auto"/>
        </w:rPr>
        <w:t>On March 16, 2015, a pooled analysis of adverse events from four Phase 2 and five Phase 3 double-blind, placebo-controlled trials exploring multiple PRALUENT doses and regimens will be presented at ACC 15. A copy of the presentation slides is furnished as Exhibit 99.2 to this Current Report on Form 8-K and is incorporated by reference herein.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99.1</w:t>
            </w:r>
          </w:p>
        </w:tc>
        <w:tc>
          <w:tcPr>
            <w:tcW w:w="10840" w:type="dxa"/>
            <w:vAlign w:val="bottom"/>
          </w:tcPr>
          <w:p>
            <w:pPr>
              <w:ind w:left="300"/>
              <w:spacing w:after="0"/>
              <w:rPr>
                <w:sz w:val="20"/>
                <w:szCs w:val="20"/>
                <w:color w:val="auto"/>
              </w:rPr>
            </w:pPr>
            <w:r>
              <w:rPr>
                <w:rFonts w:ascii="Arial" w:cs="Arial" w:eastAsia="Arial" w:hAnsi="Arial"/>
                <w:sz w:val="18"/>
                <w:szCs w:val="18"/>
                <w:color w:val="auto"/>
              </w:rPr>
              <w:t>Poster presentation entitled “Efficacy and safety of alirocumab 150 mg and 300 mg every 4 weeks in patients with poorly controlled</w:t>
            </w:r>
          </w:p>
        </w:tc>
      </w:tr>
      <w:tr>
        <w:trPr>
          <w:trHeight w:val="230"/>
        </w:trPr>
        <w:tc>
          <w:tcPr>
            <w:tcW w:w="620" w:type="dxa"/>
            <w:vAlign w:val="bottom"/>
          </w:tcPr>
          <w:p>
            <w:pPr>
              <w:spacing w:after="0"/>
              <w:rPr>
                <w:sz w:val="20"/>
                <w:szCs w:val="20"/>
                <w:color w:val="auto"/>
              </w:rPr>
            </w:pPr>
          </w:p>
        </w:tc>
        <w:tc>
          <w:tcPr>
            <w:tcW w:w="10840" w:type="dxa"/>
            <w:vAlign w:val="bottom"/>
          </w:tcPr>
          <w:p>
            <w:pPr>
              <w:ind w:left="300"/>
              <w:spacing w:after="0"/>
              <w:rPr>
                <w:sz w:val="20"/>
                <w:szCs w:val="20"/>
                <w:color w:val="auto"/>
              </w:rPr>
            </w:pPr>
            <w:r>
              <w:rPr>
                <w:rFonts w:ascii="Arial" w:cs="Arial" w:eastAsia="Arial" w:hAnsi="Arial"/>
                <w:sz w:val="18"/>
                <w:szCs w:val="18"/>
                <w:color w:val="auto"/>
              </w:rPr>
              <w:t>hypercholesterolemia: the ODYSSEY CHOICE I and CHOICE II studies.”</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99.2</w:t>
            </w:r>
          </w:p>
        </w:tc>
        <w:tc>
          <w:tcPr>
            <w:tcW w:w="10840" w:type="dxa"/>
            <w:vAlign w:val="bottom"/>
          </w:tcPr>
          <w:p>
            <w:pPr>
              <w:ind w:left="300"/>
              <w:spacing w:after="0"/>
              <w:rPr>
                <w:sz w:val="20"/>
                <w:szCs w:val="20"/>
                <w:color w:val="auto"/>
              </w:rPr>
            </w:pPr>
            <w:r>
              <w:rPr>
                <w:rFonts w:ascii="Arial" w:cs="Arial" w:eastAsia="Arial" w:hAnsi="Arial"/>
                <w:sz w:val="18"/>
                <w:szCs w:val="18"/>
                <w:color w:val="auto"/>
                <w:w w:val="96"/>
              </w:rPr>
              <w:t>Presentation slides entitled “Pooled Safety and Adverse Events in Nine Randomized, Placebo-controlled, Phase 2 and 3 Clinical Trials of</w:t>
            </w:r>
          </w:p>
        </w:tc>
      </w:tr>
      <w:tr>
        <w:trPr>
          <w:trHeight w:val="230"/>
        </w:trPr>
        <w:tc>
          <w:tcPr>
            <w:tcW w:w="620" w:type="dxa"/>
            <w:vAlign w:val="bottom"/>
          </w:tcPr>
          <w:p>
            <w:pPr>
              <w:spacing w:after="0"/>
              <w:rPr>
                <w:sz w:val="20"/>
                <w:szCs w:val="20"/>
                <w:color w:val="auto"/>
              </w:rPr>
            </w:pPr>
          </w:p>
        </w:tc>
        <w:tc>
          <w:tcPr>
            <w:tcW w:w="10840" w:type="dxa"/>
            <w:vAlign w:val="bottom"/>
          </w:tcPr>
          <w:p>
            <w:pPr>
              <w:ind w:left="300"/>
              <w:spacing w:after="0"/>
              <w:rPr>
                <w:sz w:val="20"/>
                <w:szCs w:val="20"/>
                <w:color w:val="auto"/>
              </w:rPr>
            </w:pPr>
            <w:r>
              <w:rPr>
                <w:rFonts w:ascii="Arial" w:cs="Arial" w:eastAsia="Arial" w:hAnsi="Arial"/>
                <w:sz w:val="18"/>
                <w:szCs w:val="18"/>
                <w:color w:val="auto"/>
              </w:rPr>
              <w:t>Alirocumab.”</w:t>
            </w:r>
          </w:p>
        </w:tc>
      </w:tr>
      <w:tr>
        <w:trPr>
          <w:trHeight w:val="432"/>
        </w:trPr>
        <w:tc>
          <w:tcPr>
            <w:tcW w:w="620" w:type="dxa"/>
            <w:vAlign w:val="bottom"/>
          </w:tcPr>
          <w:p>
            <w:pPr>
              <w:spacing w:after="0"/>
              <w:rPr>
                <w:sz w:val="24"/>
                <w:szCs w:val="24"/>
                <w:color w:val="auto"/>
              </w:rPr>
            </w:pPr>
          </w:p>
        </w:tc>
        <w:tc>
          <w:tcPr>
            <w:tcW w:w="10840" w:type="dxa"/>
            <w:vAlign w:val="bottom"/>
          </w:tcPr>
          <w:p>
            <w:pPr>
              <w:ind w:left="5040"/>
              <w:spacing w:after="0"/>
              <w:rPr>
                <w:sz w:val="20"/>
                <w:szCs w:val="20"/>
                <w:color w:val="auto"/>
              </w:rPr>
            </w:pPr>
            <w:r>
              <w:rPr>
                <w:rFonts w:ascii="Arial" w:cs="Arial" w:eastAsia="Arial" w:hAnsi="Arial"/>
                <w:sz w:val="18"/>
                <w:szCs w:val="18"/>
                <w:color w:val="auto"/>
              </w:rPr>
              <w:t>2</w:t>
            </w:r>
          </w:p>
        </w:tc>
      </w:tr>
      <w:tr>
        <w:trPr>
          <w:trHeight w:val="132"/>
        </w:trPr>
        <w:tc>
          <w:tcPr>
            <w:tcW w:w="620" w:type="dxa"/>
            <w:vAlign w:val="bottom"/>
            <w:tcBorders>
              <w:bottom w:val="single" w:sz="8" w:color="010101"/>
            </w:tcBorders>
          </w:tcPr>
          <w:p>
            <w:pPr>
              <w:spacing w:after="0"/>
              <w:rPr>
                <w:sz w:val="11"/>
                <w:szCs w:val="11"/>
                <w:color w:val="auto"/>
              </w:rPr>
            </w:pPr>
          </w:p>
        </w:tc>
        <w:tc>
          <w:tcPr>
            <w:tcW w:w="108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60"/>
          </w:cols>
          <w:pgMar w:left="240" w:top="544" w:right="199" w:bottom="0" w:gutter="0" w:footer="0" w:header="0"/>
        </w:sectPr>
      </w:pPr>
    </w:p>
    <w:bookmarkStart w:id="1" w:name="page2"/>
    <w:bookmarkEnd w:id="1"/>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2015</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120" w:type="dxa"/>
            <w:vAlign w:val="bottom"/>
          </w:tcPr>
          <w:p>
            <w:pPr>
              <w:ind w:left="47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Poster presentation entitled “Efficacy and safety of alirocumab 150 mg and 300 mg every 4 weeks in patients with poorly controlled</w:t>
            </w:r>
          </w:p>
        </w:tc>
        <w:tc>
          <w:tcPr>
            <w:tcW w:w="4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hypercholesterolemia: the ODYSSEY CHOICE I and CHOICE II studies.”</w:t>
            </w:r>
          </w:p>
        </w:tc>
        <w:tc>
          <w:tcPr>
            <w:tcW w:w="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Presentation slides entitled “Pooled Safety and Adverse Events in Nine Randomized, Placebo-controlled, Phase 2 and 3 Clinical Trials of</w:t>
            </w:r>
          </w:p>
        </w:tc>
        <w:tc>
          <w:tcPr>
            <w:tcW w:w="4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Alirocumab.”</w:t>
            </w:r>
          </w:p>
        </w:tc>
        <w:tc>
          <w:tcPr>
            <w:tcW w:w="4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20" w:type="dxa"/>
            <w:vAlign w:val="bottom"/>
          </w:tcPr>
          <w:p>
            <w:pPr>
              <w:ind w:left="43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10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Efficacy and safety of alirocumab 150 mg and 300 mg every 4 weeks in patients with poorly controlled hypercholesterolemia: the ODYSSEY CHOICE I and CHOICE II studies</w:t>
      </w:r>
    </w:p>
    <w:p>
      <w:pPr>
        <w:spacing w:after="0" w:line="16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Erik Stroes,(1) John R. Guyton,(2) Michel Farnier,(3) Daniel Rader,(4) Patrick M. Moriarty,(5) Jean Bergeron,(6) Gisle Langslet,(7) Norman Lepor,(8) Fernando Civeira,(9) Daniel Gaudet,(10) Gerald F. Watts,(11) Garen Manvelian,(12) Guillaume Lecorps,(13) Jian Zhao,(14) MarieT. Baccara-Dinet,(15) Eli M. Roth(16)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(1)Department of Vascular Medicine, Academic Medical Center, Amsterdam, The Netherlands; (2)Duke University Medical Center, Durham, NC, USA;</w:t>
      </w:r>
    </w:p>
    <w:p>
      <w:pPr>
        <w:spacing w:after="0" w:line="46" w:lineRule="exact"/>
        <w:rPr>
          <w:sz w:val="20"/>
          <w:szCs w:val="20"/>
          <w:color w:val="auto"/>
        </w:rPr>
      </w:pPr>
    </w:p>
    <w:p>
      <w:pPr>
        <w:jc w:val="center"/>
        <w:ind w:left="260" w:right="40"/>
        <w:spacing w:after="0" w:line="268" w:lineRule="auto"/>
        <w:rPr>
          <w:sz w:val="20"/>
          <w:szCs w:val="20"/>
          <w:color w:val="auto"/>
        </w:rPr>
      </w:pPr>
      <w:r>
        <w:rPr>
          <w:rFonts w:ascii="Arial" w:cs="Arial" w:eastAsia="Arial" w:hAnsi="Arial"/>
          <w:sz w:val="17"/>
          <w:szCs w:val="17"/>
          <w:i w:val="1"/>
          <w:iCs w:val="1"/>
          <w:color w:val="auto"/>
        </w:rPr>
        <w:t>(3)Point Médical, Dijon, France; (4)Perelman School of Medicine, University of Pennsylvania, Smilow Center for Translational Research, Philadelphia, PA, USA; (5)Department of Internal Medicine, Division of Clinical Pharmacology, University of Kansas Medical Center, Kansas City, KS, USA; (6)Clinique des Maladies Lipidiques de Québec Inc., Québec, Canada; (7)Oslo University Hospital, Lipid Clinic, Oslo, Norway; (8)Westside Medical Associates of Los Angeles, Beverly Hills, CA, USA; (9)Lipid Unit, Hospital Universitario Miguel Servet, Zaragoza, Spain; (10)ECOGENE-21 Clinical Trial Center and Department of Medicine, Université de Montréal, Chicoutimi, Quebec, Canada; (11)Lipid Disorders Clinic, Cardiovascular Medicine, Royal Perth Hospital, School of Medicine and Pharmacology, University of Western Australia, Australia; (12)Regeneron Pharmaceuticals Inc., Biostatistics &amp; Data Management, Tarrytown, NY, USA; (13)Sanofi, Paris, France; (14)Regeneron Pharmaceuticals, Inc., Basking Ridge, NJ, USA; (15)Sanofi, Montpellier, France; (16)The Sterling Research Group, Cincinnati, OH, USA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7" w:lineRule="exact"/>
        <w:rPr>
          <w:sz w:val="20"/>
          <w:szCs w:val="20"/>
          <w:color w:val="auto"/>
        </w:rPr>
      </w:pPr>
    </w:p>
    <w:p>
      <w:pPr>
        <w:ind w:left="340" w:hanging="332"/>
        <w:spacing w:after="0" w:line="25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Despite standard-of-care with statin therapy and addition of other lipid-lowering therapies (LLTs) such as ezetimibe, a large proportion of adult patients with hypercholesterolemia at risk of cardiovascular disease (CVD) do not reach their individual low-density lipoprotein cholesterol (LDL-C) goals.(1),(2) As such, these patients are characterized by a considerable residual CV risk.</w:t>
      </w:r>
    </w:p>
    <w:p>
      <w:pPr>
        <w:spacing w:after="0" w:line="1" w:lineRule="exact"/>
        <w:rPr>
          <w:rFonts w:ascii="Arial" w:cs="Arial" w:eastAsia="Arial" w:hAnsi="Arial"/>
          <w:sz w:val="18"/>
          <w:szCs w:val="18"/>
          <w:color w:val="auto"/>
        </w:rPr>
      </w:pPr>
    </w:p>
    <w:p>
      <w:pPr>
        <w:ind w:left="340" w:right="340" w:hanging="332"/>
        <w:spacing w:after="0" w:line="25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Many patients in need of LLTs are not on statin therapy or are on lower than optimal doses of statins, due to intolerance for (high-dose) statin therapy, mainly muscle-related statin intolerance (MRSI).(3)</w:t>
      </w:r>
    </w:p>
    <w:p>
      <w:pPr>
        <w:ind w:left="340" w:right="40" w:hanging="332"/>
        <w:spacing w:after="0" w:line="25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Alirocumab, a fully human monoclonal antibody (mAb) to proprotein convertase subtilisin/kexin type 9 (PCSK9), has been demonstrated to reduce LDL-C levels by 44—63% using doses of 75 or 150 mg every 2 weeks (Q2W) either on background of statins or as monotherapy.</w:t>
      </w:r>
    </w:p>
    <w:p>
      <w:pPr>
        <w:ind w:left="340" w:right="240" w:hanging="332"/>
        <w:spacing w:after="0" w:line="25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Every 4 weeks (Q4W) dosing may be a convenient, effective option for some patients, with or without concomitant statin therapy, as suggested by data from a Phase I study of alirocumab dosed Q4W as monotherapy and in combination with non-statin LLTs.(4)</w:t>
      </w:r>
    </w:p>
    <w:p>
      <w:pPr>
        <w:ind w:left="340" w:right="20" w:hanging="332"/>
        <w:spacing w:after="0" w:line="255"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Phase 3 ODYSSEY CHOICE I (NCT01926782) and ODYSSEY CHOICE II (NCT02023879) studies, the efficacy and safety of different doses (150 mg and 300 mg) and dosing frequency of alirocumab (Q2W or Q4W) were investigated to evaluate the potential to offer tailored therapeutic options for patients with hypercholesterolemia, regardless of their current statin therapies and LLT.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w:t>
      </w:r>
    </w:p>
    <w:p>
      <w:pPr>
        <w:spacing w:after="0" w:line="27"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CHOICE I included patients with poorly controlled hypercholesterolemia and (1) moderate to very-high CV risk and receiving maximally tolerated statin,</w:t>
      </w:r>
    </w:p>
    <w:p>
      <w:pPr>
        <w:spacing w:after="0" w:line="32" w:lineRule="exact"/>
        <w:rPr>
          <w:rFonts w:ascii="Arial" w:cs="Arial" w:eastAsia="Arial" w:hAnsi="Arial"/>
          <w:sz w:val="16"/>
          <w:szCs w:val="16"/>
          <w:color w:val="auto"/>
        </w:rPr>
      </w:pPr>
    </w:p>
    <w:p>
      <w:pPr>
        <w:ind w:left="340" w:right="380"/>
        <w:spacing w:after="0" w:line="250" w:lineRule="auto"/>
        <w:rPr>
          <w:rFonts w:ascii="Arial" w:cs="Arial" w:eastAsia="Arial" w:hAnsi="Arial"/>
          <w:sz w:val="16"/>
          <w:szCs w:val="16"/>
          <w:color w:val="auto"/>
        </w:rPr>
      </w:pPr>
      <w:r>
        <w:rPr>
          <w:rFonts w:ascii="Arial" w:cs="Arial" w:eastAsia="Arial" w:hAnsi="Arial"/>
          <w:sz w:val="18"/>
          <w:szCs w:val="18"/>
          <w:color w:val="auto"/>
        </w:rPr>
        <w:t>(2) moderate CV risk and not receiving statin, or (3) moderate to very-high CV risk and MRSI. The study was planned to include approximately two thirds of patients who were receiving statin therapy and one third who were not.</w:t>
      </w:r>
    </w:p>
    <w:p>
      <w:pPr>
        <w:ind w:left="340" w:right="660" w:hanging="332"/>
        <w:spacing w:after="0" w:line="265" w:lineRule="auto"/>
        <w:tabs>
          <w:tab w:leader="none" w:pos="304" w:val="left"/>
        </w:tabs>
        <w:numPr>
          <w:ilvl w:val="0"/>
          <w:numId w:val="2"/>
        </w:numPr>
        <w:rPr>
          <w:rFonts w:ascii="Arial" w:cs="Arial" w:eastAsia="Arial" w:hAnsi="Arial"/>
          <w:sz w:val="17"/>
          <w:szCs w:val="17"/>
          <w:color w:val="auto"/>
        </w:rPr>
      </w:pPr>
      <w:r>
        <w:rPr>
          <w:rFonts w:ascii="Arial" w:cs="Arial" w:eastAsia="Arial" w:hAnsi="Arial"/>
          <w:sz w:val="17"/>
          <w:szCs w:val="17"/>
          <w:color w:val="auto"/>
        </w:rPr>
        <w:t>CHOICE II included patients with hypercholesterolemia not receiving statin but receiving ezetimibe, fenofibrate or diet alone. Patients were only included in the study if they were (1) MRSI with moderate to very-high CV risk or (2) not MRSI with moderate CV risk.</w:t>
      </w:r>
    </w:p>
    <w:p>
      <w:pPr>
        <w:ind w:left="340" w:right="180" w:hanging="332"/>
        <w:spacing w:after="0" w:line="250"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In both studies, MRSI was defined as the inability to tolerate </w:t>
      </w:r>
      <w:r>
        <w:rPr>
          <w:rFonts w:ascii="Arial" w:cs="Arial" w:eastAsia="Arial" w:hAnsi="Arial"/>
          <w:sz w:val="18"/>
          <w:szCs w:val="18"/>
          <w:u w:val="single" w:color="auto"/>
          <w:color w:val="auto"/>
        </w:rPr>
        <w:t>&gt;</w:t>
      </w:r>
      <w:r>
        <w:rPr>
          <w:rFonts w:ascii="Arial" w:cs="Arial" w:eastAsia="Arial" w:hAnsi="Arial"/>
          <w:sz w:val="18"/>
          <w:szCs w:val="18"/>
          <w:color w:val="auto"/>
        </w:rPr>
        <w:t>2 statins: one statin at the lowest daily starting dose and another statin at any dose, due to skeletal muscle-related symptoms.</w:t>
      </w:r>
    </w:p>
    <w:p>
      <w:pPr>
        <w:ind w:left="340" w:right="140" w:hanging="332"/>
        <w:spacing w:after="0" w:line="250"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CV risk was defined as very high (documented coronary heart disease [CHD]/CVD), high (no CHD/CVD but with SCORE(5) 10-year risk of fatal CVD </w:t>
      </w:r>
      <w:r>
        <w:rPr>
          <w:rFonts w:ascii="Arial" w:cs="Arial" w:eastAsia="Arial" w:hAnsi="Arial"/>
          <w:sz w:val="18"/>
          <w:szCs w:val="18"/>
          <w:u w:val="single" w:color="auto"/>
          <w:color w:val="auto"/>
        </w:rPr>
        <w:t>&gt;</w:t>
      </w:r>
      <w:r>
        <w:rPr>
          <w:rFonts w:ascii="Arial" w:cs="Arial" w:eastAsia="Arial" w:hAnsi="Arial"/>
          <w:sz w:val="18"/>
          <w:szCs w:val="18"/>
          <w:color w:val="auto"/>
        </w:rPr>
        <w:t xml:space="preserve">5%, chronic kidney disease, diabetes or heterozygous familial hypercholesterolemia), or moderate (SCORE </w:t>
      </w:r>
      <w:r>
        <w:rPr>
          <w:rFonts w:ascii="Arial" w:cs="Arial" w:eastAsia="Arial" w:hAnsi="Arial"/>
          <w:sz w:val="18"/>
          <w:szCs w:val="18"/>
          <w:u w:val="single" w:color="auto"/>
          <w:color w:val="auto"/>
        </w:rPr>
        <w:t>&gt;</w:t>
      </w:r>
      <w:r>
        <w:rPr>
          <w:rFonts w:ascii="Arial" w:cs="Arial" w:eastAsia="Arial" w:hAnsi="Arial"/>
          <w:sz w:val="18"/>
          <w:szCs w:val="18"/>
          <w:color w:val="auto"/>
        </w:rPr>
        <w:t>1 and &lt;5%).</w:t>
      </w:r>
    </w:p>
    <w:p>
      <w:pPr>
        <w:ind w:left="340" w:right="40" w:hanging="332"/>
        <w:spacing w:after="0" w:line="302" w:lineRule="auto"/>
        <w:tabs>
          <w:tab w:leader="none" w:pos="304" w:val="left"/>
        </w:tabs>
        <w:numPr>
          <w:ilvl w:val="0"/>
          <w:numId w:val="2"/>
        </w:numPr>
        <w:rPr>
          <w:rFonts w:ascii="Arial" w:cs="Arial" w:eastAsia="Arial" w:hAnsi="Arial"/>
          <w:sz w:val="16"/>
          <w:szCs w:val="16"/>
          <w:color w:val="auto"/>
        </w:rPr>
      </w:pPr>
      <w:r>
        <w:rPr>
          <w:rFonts w:ascii="Arial" w:cs="Arial" w:eastAsia="Arial" w:hAnsi="Arial"/>
          <w:sz w:val="16"/>
          <w:szCs w:val="16"/>
          <w:color w:val="auto"/>
        </w:rPr>
        <w:t>Patients were randomized in CHOICE I to alirocumab 300 mg Q4W, alirocumab 75 mg Q2W, or placebo, and in CHOICE II to alirocumab 150 mg Q4W, alirocumab 75 mg Q2W, or placebo. In both studies alirocumab 75 mg Q2W was included as calibrator arm, and in both studies and both alirocumab treatment groups dose/dosing frequency was adjusted at Week (W)12 to 150 mg Q2W if LDL-C goals were not reached at W8 (Figure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509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509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right="540" w:hanging="332"/>
        <w:spacing w:after="0" w:line="258"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At W12, the dose regimen changed (using a blinded process) in patients who either did not achieve their predetermined treatment goal (&lt;70 or 100 mg/dL, depending on CV risk) or did not have </w:t>
      </w:r>
      <w:r>
        <w:rPr>
          <w:rFonts w:ascii="Arial" w:cs="Arial" w:eastAsia="Arial" w:hAnsi="Arial"/>
          <w:sz w:val="18"/>
          <w:szCs w:val="18"/>
          <w:u w:val="single" w:color="auto"/>
          <w:color w:val="auto"/>
        </w:rPr>
        <w:t>&gt;</w:t>
      </w:r>
      <w:r>
        <w:rPr>
          <w:rFonts w:ascii="Arial" w:cs="Arial" w:eastAsia="Arial" w:hAnsi="Arial"/>
          <w:sz w:val="18"/>
          <w:szCs w:val="18"/>
          <w:color w:val="auto"/>
        </w:rPr>
        <w:t>30% reduction in LDL-C from baseline at W8.</w:t>
      </w:r>
    </w:p>
    <w:p>
      <w:pPr>
        <w:spacing w:after="0" w:line="1" w:lineRule="exact"/>
        <w:rPr>
          <w:rFonts w:ascii="Arial" w:cs="Arial" w:eastAsia="Arial" w:hAnsi="Arial"/>
          <w:sz w:val="18"/>
          <w:szCs w:val="18"/>
          <w:color w:val="auto"/>
        </w:rPr>
      </w:pPr>
    </w:p>
    <w:p>
      <w:pPr>
        <w:ind w:left="340" w:right="220" w:hanging="332"/>
        <w:spacing w:after="0" w:line="250"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double-blind treatment periods of CHOICE I &amp; II were 48 and 24 weeks, respectively. CHOICE I is ongoing, while CHOICE II has completed the double-blind treatment period, after which patients could opt to enter an open-label extension. Here, we present results from pre-planned analyses for each study (efficacy to W24; safety including all data collected up to cut-off of the last patient’s W24 visit).</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primary efficacy endpoint for both CHOICE I &amp; II was the % change in calculated LDL-C from baseline to W24.</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CHOICE I, the co-primary efficacy endpoint was % change in calculated LDL-C from baseline to averaged LDL-C over W21–24.</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Safety parameters were assessed throughout the study.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w:t>
      </w:r>
    </w:p>
    <w:p>
      <w:pPr>
        <w:spacing w:after="0" w:line="27" w:lineRule="exact"/>
        <w:rPr>
          <w:sz w:val="20"/>
          <w:szCs w:val="20"/>
          <w:color w:val="auto"/>
        </w:rPr>
      </w:pPr>
    </w:p>
    <w:p>
      <w:pPr>
        <w:ind w:left="340" w:right="160" w:hanging="332"/>
        <w:spacing w:after="0" w:line="255"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Baseline patient characteristics and lipid parameters were generally similar and balanced in the treatment groups of each study (Table 1). Most patients did not have familial hypercholesterolemia; in CHOICE I, as planned, approximately two thirds of patients received statin therapy and one third did not (patients in CHOICE II did not receive statin therapy).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1. </w:t>
      </w:r>
      <w:r>
        <w:rPr>
          <w:rFonts w:ascii="Arial" w:cs="Arial" w:eastAsia="Arial" w:hAnsi="Arial"/>
          <w:sz w:val="18"/>
          <w:szCs w:val="18"/>
          <w:color w:val="auto"/>
        </w:rPr>
        <w:t>Patient characteristics and lipid efficacy parameters at baseline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ind w:left="640"/>
              <w:spacing w:after="0"/>
              <w:rPr>
                <w:sz w:val="20"/>
                <w:szCs w:val="20"/>
                <w:color w:val="auto"/>
              </w:rPr>
            </w:pPr>
            <w:r>
              <w:rPr>
                <w:rFonts w:ascii="Arial" w:cs="Arial" w:eastAsia="Arial" w:hAnsi="Arial"/>
                <w:sz w:val="11"/>
                <w:szCs w:val="11"/>
                <w:b w:val="1"/>
                <w:bCs w:val="1"/>
                <w:color w:val="auto"/>
              </w:rPr>
              <w:t>CHOICE I</w:t>
            </w: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rPr>
              <w:t>CHOICE II</w:t>
            </w: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88"/>
              </w:rPr>
              <w:t>No statin group</w:t>
            </w:r>
          </w:p>
        </w:tc>
        <w:tc>
          <w:tcPr>
            <w:tcW w:w="8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ind w:left="120"/>
              <w:spacing w:after="0" w:line="115" w:lineRule="exact"/>
              <w:rPr>
                <w:sz w:val="20"/>
                <w:szCs w:val="20"/>
                <w:color w:val="auto"/>
              </w:rPr>
            </w:pPr>
            <w:r>
              <w:rPr>
                <w:rFonts w:ascii="Arial" w:cs="Arial" w:eastAsia="Arial" w:hAnsi="Arial"/>
                <w:sz w:val="11"/>
                <w:szCs w:val="11"/>
                <w:b w:val="1"/>
                <w:bCs w:val="1"/>
                <w:color w:val="auto"/>
              </w:rPr>
              <w:t>Statin group</w:t>
            </w:r>
          </w:p>
        </w:tc>
        <w:tc>
          <w:tcPr>
            <w:tcW w:w="8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center"/>
              <w:spacing w:after="0" w:line="115" w:lineRule="exact"/>
              <w:rPr>
                <w:sz w:val="20"/>
                <w:szCs w:val="20"/>
                <w:color w:val="auto"/>
              </w:rPr>
            </w:pPr>
            <w:r>
              <w:rPr>
                <w:rFonts w:ascii="Arial" w:cs="Arial" w:eastAsia="Arial" w:hAnsi="Arial"/>
                <w:sz w:val="11"/>
                <w:szCs w:val="11"/>
                <w:b w:val="1"/>
                <w:bCs w:val="1"/>
                <w:color w:val="auto"/>
                <w:w w:val="86"/>
              </w:rPr>
              <w:t>No statin received</w:t>
            </w: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Placebo</w:t>
            </w:r>
          </w:p>
        </w:tc>
        <w:tc>
          <w:tcPr>
            <w:tcW w:w="1760" w:type="dxa"/>
            <w:vAlign w:val="bottom"/>
            <w:tcBorders>
              <w:bottom w:val="single" w:sz="8" w:color="auto"/>
            </w:tcBorders>
            <w:gridSpan w:val="3"/>
          </w:tcPr>
          <w:p>
            <w:pPr>
              <w:ind w:left="600"/>
              <w:spacing w:after="0" w:line="115" w:lineRule="exact"/>
              <w:rPr>
                <w:sz w:val="20"/>
                <w:szCs w:val="20"/>
                <w:color w:val="auto"/>
              </w:rPr>
            </w:pPr>
            <w:r>
              <w:rPr>
                <w:rFonts w:ascii="Arial" w:cs="Arial" w:eastAsia="Arial" w:hAnsi="Arial"/>
                <w:sz w:val="11"/>
                <w:szCs w:val="11"/>
                <w:b w:val="1"/>
                <w:bCs w:val="1"/>
                <w:color w:val="auto"/>
              </w:rPr>
              <w:t>Alirocumab</w:t>
            </w:r>
          </w:p>
        </w:tc>
        <w:tc>
          <w:tcPr>
            <w:tcW w:w="160" w:type="dxa"/>
            <w:vAlign w:val="bottom"/>
          </w:tcPr>
          <w:p>
            <w:pPr>
              <w:spacing w:after="0"/>
              <w:rPr>
                <w:sz w:val="10"/>
                <w:szCs w:val="10"/>
                <w:color w:val="auto"/>
              </w:rPr>
            </w:pPr>
          </w:p>
        </w:tc>
        <w:tc>
          <w:tcPr>
            <w:tcW w:w="9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Placebo</w:t>
            </w:r>
          </w:p>
        </w:tc>
        <w:tc>
          <w:tcPr>
            <w:tcW w:w="1780" w:type="dxa"/>
            <w:vAlign w:val="bottom"/>
            <w:tcBorders>
              <w:bottom w:val="single" w:sz="8" w:color="auto"/>
            </w:tcBorders>
            <w:gridSpan w:val="3"/>
          </w:tcPr>
          <w:p>
            <w:pPr>
              <w:ind w:left="620"/>
              <w:spacing w:after="0" w:line="115" w:lineRule="exact"/>
              <w:rPr>
                <w:sz w:val="20"/>
                <w:szCs w:val="20"/>
                <w:color w:val="auto"/>
              </w:rPr>
            </w:pPr>
            <w:r>
              <w:rPr>
                <w:rFonts w:ascii="Arial" w:cs="Arial" w:eastAsia="Arial" w:hAnsi="Arial"/>
                <w:sz w:val="11"/>
                <w:szCs w:val="11"/>
                <w:b w:val="1"/>
                <w:bCs w:val="1"/>
                <w:color w:val="auto"/>
              </w:rPr>
              <w:t>Alirocumab</w:t>
            </w:r>
          </w:p>
        </w:tc>
        <w:tc>
          <w:tcPr>
            <w:tcW w:w="180" w:type="dxa"/>
            <w:vAlign w:val="bottom"/>
          </w:tcPr>
          <w:p>
            <w:pPr>
              <w:spacing w:after="0"/>
              <w:rPr>
                <w:sz w:val="10"/>
                <w:szCs w:val="10"/>
                <w:color w:val="auto"/>
              </w:rPr>
            </w:pPr>
          </w:p>
        </w:tc>
        <w:tc>
          <w:tcPr>
            <w:tcW w:w="8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Placebo</w:t>
            </w:r>
          </w:p>
        </w:tc>
        <w:tc>
          <w:tcPr>
            <w:tcW w:w="160" w:type="dxa"/>
            <w:vAlign w:val="bottom"/>
          </w:tcPr>
          <w:p>
            <w:pPr>
              <w:spacing w:after="0"/>
              <w:rPr>
                <w:sz w:val="10"/>
                <w:szCs w:val="10"/>
                <w:color w:val="auto"/>
              </w:rPr>
            </w:pPr>
          </w:p>
        </w:tc>
        <w:tc>
          <w:tcPr>
            <w:tcW w:w="1800" w:type="dxa"/>
            <w:vAlign w:val="bottom"/>
            <w:tcBorders>
              <w:bottom w:val="single" w:sz="8" w:color="auto"/>
            </w:tcBorders>
            <w:gridSpan w:val="3"/>
          </w:tcPr>
          <w:p>
            <w:pPr>
              <w:ind w:left="620"/>
              <w:spacing w:after="0" w:line="115" w:lineRule="exact"/>
              <w:rPr>
                <w:sz w:val="20"/>
                <w:szCs w:val="20"/>
                <w:color w:val="auto"/>
              </w:rPr>
            </w:pPr>
            <w:r>
              <w:rPr>
                <w:rFonts w:ascii="Arial" w:cs="Arial" w:eastAsia="Arial" w:hAnsi="Arial"/>
                <w:sz w:val="11"/>
                <w:szCs w:val="11"/>
                <w:b w:val="1"/>
                <w:bCs w:val="1"/>
                <w:color w:val="auto"/>
              </w:rPr>
              <w:t>Alirocumab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6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3"/>
              </w:rPr>
              <w:t>75 mg Q2W</w:t>
            </w:r>
          </w:p>
        </w:tc>
        <w:tc>
          <w:tcPr>
            <w:tcW w:w="800" w:type="dxa"/>
            <w:vAlign w:val="bottom"/>
          </w:tcPr>
          <w:p>
            <w:pPr>
              <w:ind w:left="100"/>
              <w:spacing w:after="0" w:line="102" w:lineRule="exact"/>
              <w:rPr>
                <w:sz w:val="20"/>
                <w:szCs w:val="20"/>
                <w:color w:val="auto"/>
              </w:rPr>
            </w:pPr>
            <w:r>
              <w:rPr>
                <w:rFonts w:ascii="Arial" w:cs="Arial" w:eastAsia="Arial" w:hAnsi="Arial"/>
                <w:sz w:val="11"/>
                <w:szCs w:val="11"/>
                <w:b w:val="1"/>
                <w:bCs w:val="1"/>
                <w:color w:val="auto"/>
              </w:rPr>
              <w:t>300 mg Q4W</w:t>
            </w: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80" w:type="dxa"/>
            <w:vAlign w:val="bottom"/>
            <w:gridSpan w:val="2"/>
          </w:tcPr>
          <w:p>
            <w:pPr>
              <w:ind w:left="140"/>
              <w:spacing w:after="0" w:line="102" w:lineRule="exact"/>
              <w:rPr>
                <w:sz w:val="20"/>
                <w:szCs w:val="20"/>
                <w:color w:val="auto"/>
              </w:rPr>
            </w:pPr>
            <w:r>
              <w:rPr>
                <w:rFonts w:ascii="Arial" w:cs="Arial" w:eastAsia="Arial" w:hAnsi="Arial"/>
                <w:sz w:val="11"/>
                <w:szCs w:val="11"/>
                <w:b w:val="1"/>
                <w:bCs w:val="1"/>
                <w:color w:val="auto"/>
              </w:rPr>
              <w:t>75 mg Q2W</w:t>
            </w:r>
          </w:p>
        </w:tc>
        <w:tc>
          <w:tcPr>
            <w:tcW w:w="800" w:type="dxa"/>
            <w:vAlign w:val="bottom"/>
          </w:tcPr>
          <w:p>
            <w:pPr>
              <w:ind w:left="100"/>
              <w:spacing w:after="0" w:line="102" w:lineRule="exact"/>
              <w:rPr>
                <w:sz w:val="20"/>
                <w:szCs w:val="20"/>
                <w:color w:val="auto"/>
              </w:rPr>
            </w:pPr>
            <w:r>
              <w:rPr>
                <w:rFonts w:ascii="Arial" w:cs="Arial" w:eastAsia="Arial" w:hAnsi="Arial"/>
                <w:sz w:val="11"/>
                <w:szCs w:val="11"/>
                <w:b w:val="1"/>
                <w:bCs w:val="1"/>
                <w:color w:val="auto"/>
              </w:rPr>
              <w:t>300 mg Q4W</w:t>
            </w:r>
          </w:p>
        </w:tc>
        <w:tc>
          <w:tcPr>
            <w:tcW w:w="1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0"/>
              </w:rPr>
              <w:t>75 mg Q2W</w:t>
            </w:r>
          </w:p>
        </w:tc>
        <w:tc>
          <w:tcPr>
            <w:tcW w:w="820" w:type="dxa"/>
            <w:vAlign w:val="bottom"/>
          </w:tcPr>
          <w:p>
            <w:pPr>
              <w:ind w:left="100"/>
              <w:spacing w:after="0" w:line="102" w:lineRule="exact"/>
              <w:rPr>
                <w:sz w:val="20"/>
                <w:szCs w:val="20"/>
                <w:color w:val="auto"/>
              </w:rPr>
            </w:pPr>
            <w:r>
              <w:rPr>
                <w:rFonts w:ascii="Arial" w:cs="Arial" w:eastAsia="Arial" w:hAnsi="Arial"/>
                <w:sz w:val="11"/>
                <w:szCs w:val="11"/>
                <w:b w:val="1"/>
                <w:bCs w:val="1"/>
                <w:color w:val="auto"/>
              </w:rPr>
              <w:t>150 mg Q4W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60" w:type="dxa"/>
            <w:vAlign w:val="bottom"/>
            <w:gridSpan w:val="2"/>
          </w:tcPr>
          <w:p>
            <w:pPr>
              <w:spacing w:after="0"/>
              <w:rPr>
                <w:sz w:val="20"/>
                <w:szCs w:val="20"/>
                <w:color w:val="auto"/>
              </w:rPr>
            </w:pPr>
            <w:r>
              <w:rPr>
                <w:rFonts w:ascii="Arial" w:cs="Arial" w:eastAsia="Arial" w:hAnsi="Arial"/>
                <w:sz w:val="11"/>
                <w:szCs w:val="11"/>
                <w:b w:val="1"/>
                <w:bCs w:val="1"/>
                <w:color w:val="auto"/>
              </w:rPr>
              <w:t>Treatment group</w:t>
            </w:r>
          </w:p>
        </w:tc>
        <w:tc>
          <w:tcPr>
            <w:tcW w:w="9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(N=73)</w:t>
            </w:r>
          </w:p>
        </w:tc>
        <w:tc>
          <w:tcPr>
            <w:tcW w:w="9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(N=37)</w:t>
            </w: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(N=146)</w:t>
            </w:r>
          </w:p>
        </w:tc>
        <w:tc>
          <w:tcPr>
            <w:tcW w:w="9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(N=157)</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(N=78)</w:t>
            </w:r>
          </w:p>
        </w:tc>
        <w:tc>
          <w:tcPr>
            <w:tcW w:w="9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(N=312)</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4"/>
              </w:rPr>
              <w:t>(N=58)</w:t>
            </w:r>
          </w:p>
        </w:tc>
        <w:tc>
          <w:tcPr>
            <w:tcW w:w="160" w:type="dxa"/>
            <w:vAlign w:val="bottom"/>
          </w:tcPr>
          <w:p>
            <w:pPr>
              <w:spacing w:after="0"/>
              <w:rPr>
                <w:sz w:val="11"/>
                <w:szCs w:val="11"/>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(N=116)</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4"/>
              </w:rPr>
              <w:t>(N=59)</w:t>
            </w:r>
          </w:p>
        </w:tc>
        <w:tc>
          <w:tcPr>
            <w:tcW w:w="0" w:type="dxa"/>
            <w:vAlign w:val="bottom"/>
          </w:tcPr>
          <w:p>
            <w:pPr>
              <w:spacing w:after="0"/>
              <w:rPr>
                <w:sz w:val="1"/>
                <w:szCs w:val="1"/>
                <w:color w:val="auto"/>
              </w:rPr>
            </w:pPr>
          </w:p>
        </w:tc>
      </w:tr>
      <w:tr>
        <w:trPr>
          <w:trHeight w:val="115"/>
        </w:trPr>
        <w:tc>
          <w:tcPr>
            <w:tcW w:w="22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Age, years, mean (SD)</w:t>
            </w: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0"/>
              </w:rPr>
              <w:t>59.4 (10.2)</w:t>
            </w: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0"/>
              </w:rPr>
              <w:t>59.3 (11.3)</w:t>
            </w: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0"/>
              </w:rPr>
              <w:t>59.2 (10.8)</w:t>
            </w: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3"/>
              </w:rPr>
              <w:t>61.6 (9.7)</w:t>
            </w:r>
          </w:p>
        </w:tc>
        <w:tc>
          <w:tcPr>
            <w:tcW w:w="1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89"/>
              </w:rPr>
              <w:t>60.7 (9.1)</w:t>
            </w: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0"/>
              </w:rPr>
              <w:t>61.6 (10.0)</w:t>
            </w: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0"/>
              </w:rPr>
              <w:t>63.1 (10.7)</w:t>
            </w:r>
          </w:p>
        </w:tc>
        <w:tc>
          <w:tcPr>
            <w:tcW w:w="1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89"/>
              </w:rPr>
              <w:t>62.5 (9.9)</w:t>
            </w:r>
          </w:p>
        </w:tc>
        <w:tc>
          <w:tcPr>
            <w:tcW w:w="1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0"/>
              </w:rPr>
              <w:t>64.2 (10.0)</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gridSpan w:val="2"/>
          </w:tcPr>
          <w:p>
            <w:pPr>
              <w:spacing w:after="0" w:line="122" w:lineRule="exact"/>
              <w:rPr>
                <w:sz w:val="20"/>
                <w:szCs w:val="20"/>
                <w:color w:val="auto"/>
              </w:rPr>
            </w:pPr>
            <w:r>
              <w:rPr>
                <w:rFonts w:ascii="Arial" w:cs="Arial" w:eastAsia="Arial" w:hAnsi="Arial"/>
                <w:sz w:val="11"/>
                <w:szCs w:val="11"/>
                <w:color w:val="auto"/>
              </w:rPr>
              <w:t>Male, %</w:t>
            </w: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93"/>
              </w:rPr>
              <w:t>54.8</w:t>
            </w:r>
          </w:p>
        </w:tc>
        <w:tc>
          <w:tcPr>
            <w:tcW w:w="1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83"/>
              </w:rPr>
              <w:t>37.8</w:t>
            </w:r>
          </w:p>
        </w:tc>
        <w:tc>
          <w:tcPr>
            <w:tcW w:w="1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83"/>
              </w:rPr>
              <w:t>45.2</w:t>
            </w:r>
          </w:p>
        </w:tc>
        <w:tc>
          <w:tcPr>
            <w:tcW w:w="1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93"/>
              </w:rPr>
              <w:t>64.3</w:t>
            </w:r>
          </w:p>
        </w:tc>
        <w:tc>
          <w:tcPr>
            <w:tcW w:w="1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color w:val="auto"/>
                <w:w w:val="83"/>
              </w:rPr>
              <w:t>65.4</w:t>
            </w:r>
          </w:p>
        </w:tc>
        <w:tc>
          <w:tcPr>
            <w:tcW w:w="1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83"/>
              </w:rPr>
              <w:t>60.9</w:t>
            </w:r>
          </w:p>
        </w:tc>
        <w:tc>
          <w:tcPr>
            <w:tcW w:w="1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93"/>
              </w:rPr>
              <w:t>53.4</w:t>
            </w:r>
          </w:p>
        </w:tc>
        <w:tc>
          <w:tcPr>
            <w:tcW w:w="980" w:type="dxa"/>
            <w:vAlign w:val="bottom"/>
            <w:gridSpan w:val="2"/>
          </w:tcPr>
          <w:p>
            <w:pPr>
              <w:jc w:val="center"/>
              <w:ind w:left="106"/>
              <w:spacing w:after="0" w:line="122" w:lineRule="exact"/>
              <w:rPr>
                <w:sz w:val="20"/>
                <w:szCs w:val="20"/>
                <w:color w:val="auto"/>
              </w:rPr>
            </w:pPr>
            <w:r>
              <w:rPr>
                <w:rFonts w:ascii="Arial" w:cs="Arial" w:eastAsia="Arial" w:hAnsi="Arial"/>
                <w:sz w:val="11"/>
                <w:szCs w:val="11"/>
                <w:color w:val="auto"/>
                <w:w w:val="83"/>
              </w:rPr>
              <w:t>59.5</w:t>
            </w:r>
          </w:p>
        </w:tc>
        <w:tc>
          <w:tcPr>
            <w:tcW w:w="1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color w:val="auto"/>
                <w:w w:val="83"/>
              </w:rPr>
              <w:t>50.8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Race, white, %</w:t>
            </w: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3"/>
              </w:rPr>
              <w:t>84.9</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83"/>
              </w:rPr>
              <w:t>86.5</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83"/>
              </w:rPr>
              <w:t>84.2</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3"/>
              </w:rPr>
              <w:t>87.3</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83"/>
              </w:rPr>
              <w:t>87.2</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83"/>
              </w:rPr>
              <w:t>89.4</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3"/>
              </w:rPr>
              <w:t>96.6</w:t>
            </w:r>
          </w:p>
        </w:tc>
        <w:tc>
          <w:tcPr>
            <w:tcW w:w="980" w:type="dxa"/>
            <w:vAlign w:val="bottom"/>
            <w:gridSpan w:val="2"/>
            <w:shd w:val="clear" w:color="auto" w:fill="CCEEFF"/>
          </w:tcPr>
          <w:p>
            <w:pPr>
              <w:jc w:val="center"/>
              <w:ind w:left="106"/>
              <w:spacing w:after="0" w:line="122" w:lineRule="exact"/>
              <w:rPr>
                <w:sz w:val="20"/>
                <w:szCs w:val="20"/>
                <w:color w:val="auto"/>
              </w:rPr>
            </w:pPr>
            <w:r>
              <w:rPr>
                <w:rFonts w:ascii="Arial" w:cs="Arial" w:eastAsia="Arial" w:hAnsi="Arial"/>
                <w:sz w:val="11"/>
                <w:szCs w:val="11"/>
                <w:color w:val="auto"/>
                <w:w w:val="83"/>
              </w:rPr>
              <w:t>93.1</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83"/>
              </w:rPr>
              <w:t>93.2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gridSpan w:val="2"/>
          </w:tcPr>
          <w:p>
            <w:pPr>
              <w:spacing w:after="0" w:line="122" w:lineRule="exact"/>
              <w:rPr>
                <w:sz w:val="20"/>
                <w:szCs w:val="20"/>
                <w:color w:val="auto"/>
              </w:rPr>
            </w:pPr>
            <w:r>
              <w:rPr>
                <w:rFonts w:ascii="Arial" w:cs="Arial" w:eastAsia="Arial" w:hAnsi="Arial"/>
                <w:sz w:val="11"/>
                <w:szCs w:val="11"/>
                <w:color w:val="auto"/>
              </w:rPr>
              <w:t xml:space="preserve">BMI group </w:t>
            </w:r>
            <w:r>
              <w:rPr>
                <w:rFonts w:ascii="Arial" w:cs="Arial" w:eastAsia="Arial" w:hAnsi="Arial"/>
                <w:sz w:val="11"/>
                <w:szCs w:val="11"/>
                <w:u w:val="single" w:color="auto"/>
                <w:color w:val="auto"/>
              </w:rPr>
              <w:t>&gt;</w:t>
            </w:r>
            <w:r>
              <w:rPr>
                <w:rFonts w:ascii="Arial" w:cs="Arial" w:eastAsia="Arial" w:hAnsi="Arial"/>
                <w:sz w:val="11"/>
                <w:szCs w:val="11"/>
                <w:color w:val="auto"/>
              </w:rPr>
              <w:t>30 kg/m</w:t>
            </w:r>
            <w:r>
              <w:rPr>
                <w:rFonts w:ascii="Arial" w:cs="Arial" w:eastAsia="Arial" w:hAnsi="Arial"/>
                <w:sz w:val="14"/>
                <w:szCs w:val="14"/>
                <w:color w:val="auto"/>
                <w:vertAlign w:val="superscript"/>
              </w:rPr>
              <w:t>2</w:t>
            </w:r>
            <w:r>
              <w:rPr>
                <w:rFonts w:ascii="Arial" w:cs="Arial" w:eastAsia="Arial" w:hAnsi="Arial"/>
                <w:sz w:val="11"/>
                <w:szCs w:val="11"/>
                <w:color w:val="auto"/>
              </w:rPr>
              <w:t>, %</w:t>
            </w: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93"/>
              </w:rPr>
              <w:t>63.0</w:t>
            </w:r>
          </w:p>
        </w:tc>
        <w:tc>
          <w:tcPr>
            <w:tcW w:w="1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83"/>
              </w:rPr>
              <w:t>43.2</w:t>
            </w:r>
          </w:p>
        </w:tc>
        <w:tc>
          <w:tcPr>
            <w:tcW w:w="1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83"/>
              </w:rPr>
              <w:t>50.7</w:t>
            </w:r>
          </w:p>
        </w:tc>
        <w:tc>
          <w:tcPr>
            <w:tcW w:w="1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93"/>
              </w:rPr>
              <w:t>47.8</w:t>
            </w:r>
          </w:p>
        </w:tc>
        <w:tc>
          <w:tcPr>
            <w:tcW w:w="1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color w:val="auto"/>
                <w:w w:val="83"/>
              </w:rPr>
              <w:t>48.7</w:t>
            </w:r>
          </w:p>
        </w:tc>
        <w:tc>
          <w:tcPr>
            <w:tcW w:w="1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83"/>
              </w:rPr>
              <w:t>51.6</w:t>
            </w:r>
          </w:p>
        </w:tc>
        <w:tc>
          <w:tcPr>
            <w:tcW w:w="1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93"/>
              </w:rPr>
              <w:t>35.1</w:t>
            </w:r>
          </w:p>
        </w:tc>
        <w:tc>
          <w:tcPr>
            <w:tcW w:w="980" w:type="dxa"/>
            <w:vAlign w:val="bottom"/>
            <w:gridSpan w:val="2"/>
          </w:tcPr>
          <w:p>
            <w:pPr>
              <w:jc w:val="center"/>
              <w:ind w:left="106"/>
              <w:spacing w:after="0" w:line="122" w:lineRule="exact"/>
              <w:rPr>
                <w:sz w:val="20"/>
                <w:szCs w:val="20"/>
                <w:color w:val="auto"/>
              </w:rPr>
            </w:pPr>
            <w:r>
              <w:rPr>
                <w:rFonts w:ascii="Arial" w:cs="Arial" w:eastAsia="Arial" w:hAnsi="Arial"/>
                <w:sz w:val="11"/>
                <w:szCs w:val="11"/>
                <w:color w:val="auto"/>
                <w:w w:val="83"/>
              </w:rPr>
              <w:t>39.7</w:t>
            </w:r>
          </w:p>
        </w:tc>
        <w:tc>
          <w:tcPr>
            <w:tcW w:w="1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color w:val="auto"/>
                <w:w w:val="83"/>
              </w:rPr>
              <w:t>28.8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HeFH, %</w:t>
            </w: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1"/>
              </w:rPr>
              <w:t>1.4</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7"/>
              </w:rPr>
              <w:t>0</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1"/>
              </w:rPr>
              <w:t>1.4</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78"/>
              </w:rPr>
              <w:t>7.6</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1"/>
              </w:rPr>
              <w:t>7.7</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1"/>
              </w:rPr>
              <w:t>8.3</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1"/>
              </w:rPr>
              <w:t>8.6</w:t>
            </w:r>
          </w:p>
        </w:tc>
        <w:tc>
          <w:tcPr>
            <w:tcW w:w="980" w:type="dxa"/>
            <w:vAlign w:val="bottom"/>
            <w:gridSpan w:val="2"/>
            <w:shd w:val="clear" w:color="auto" w:fill="CCEEFF"/>
          </w:tcPr>
          <w:p>
            <w:pPr>
              <w:jc w:val="center"/>
              <w:ind w:left="106"/>
              <w:spacing w:after="0" w:line="122" w:lineRule="exact"/>
              <w:rPr>
                <w:sz w:val="20"/>
                <w:szCs w:val="20"/>
                <w:color w:val="auto"/>
              </w:rPr>
            </w:pPr>
            <w:r>
              <w:rPr>
                <w:rFonts w:ascii="Arial" w:cs="Arial" w:eastAsia="Arial" w:hAnsi="Arial"/>
                <w:sz w:val="11"/>
                <w:szCs w:val="11"/>
                <w:color w:val="auto"/>
                <w:w w:val="83"/>
              </w:rPr>
              <w:t>12.9</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83"/>
              </w:rPr>
              <w:t>15.3</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gridSpan w:val="2"/>
          </w:tcPr>
          <w:p>
            <w:pPr>
              <w:spacing w:after="0" w:line="122" w:lineRule="exact"/>
              <w:rPr>
                <w:sz w:val="20"/>
                <w:szCs w:val="20"/>
                <w:color w:val="auto"/>
              </w:rPr>
            </w:pPr>
            <w:r>
              <w:rPr>
                <w:rFonts w:ascii="Arial" w:cs="Arial" w:eastAsia="Arial" w:hAnsi="Arial"/>
                <w:sz w:val="11"/>
                <w:szCs w:val="11"/>
                <w:color w:val="auto"/>
              </w:rPr>
              <w:t>Any LLT other than statins, %</w:t>
            </w: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93"/>
              </w:rPr>
              <w:t>45.2</w:t>
            </w:r>
          </w:p>
        </w:tc>
        <w:tc>
          <w:tcPr>
            <w:tcW w:w="1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83"/>
              </w:rPr>
              <w:t>32.4</w:t>
            </w:r>
          </w:p>
        </w:tc>
        <w:tc>
          <w:tcPr>
            <w:tcW w:w="1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83"/>
              </w:rPr>
              <w:t>45.2</w:t>
            </w:r>
          </w:p>
        </w:tc>
        <w:tc>
          <w:tcPr>
            <w:tcW w:w="1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93"/>
              </w:rPr>
              <w:t>32.5</w:t>
            </w:r>
          </w:p>
        </w:tc>
        <w:tc>
          <w:tcPr>
            <w:tcW w:w="1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color w:val="auto"/>
                <w:w w:val="83"/>
              </w:rPr>
              <w:t>28.2</w:t>
            </w:r>
          </w:p>
        </w:tc>
        <w:tc>
          <w:tcPr>
            <w:tcW w:w="1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91"/>
              </w:rPr>
              <w:t>40.</w:t>
            </w:r>
          </w:p>
        </w:tc>
        <w:tc>
          <w:tcPr>
            <w:tcW w:w="1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93"/>
              </w:rPr>
              <w:t>70.7</w:t>
            </w:r>
          </w:p>
        </w:tc>
        <w:tc>
          <w:tcPr>
            <w:tcW w:w="980" w:type="dxa"/>
            <w:vAlign w:val="bottom"/>
            <w:gridSpan w:val="2"/>
          </w:tcPr>
          <w:p>
            <w:pPr>
              <w:jc w:val="center"/>
              <w:ind w:left="106"/>
              <w:spacing w:after="0" w:line="122" w:lineRule="exact"/>
              <w:rPr>
                <w:sz w:val="20"/>
                <w:szCs w:val="20"/>
                <w:color w:val="auto"/>
              </w:rPr>
            </w:pPr>
            <w:r>
              <w:rPr>
                <w:rFonts w:ascii="Arial" w:cs="Arial" w:eastAsia="Arial" w:hAnsi="Arial"/>
                <w:sz w:val="11"/>
                <w:szCs w:val="11"/>
                <w:color w:val="auto"/>
                <w:w w:val="83"/>
              </w:rPr>
              <w:t>70.7</w:t>
            </w:r>
          </w:p>
        </w:tc>
        <w:tc>
          <w:tcPr>
            <w:tcW w:w="1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color w:val="auto"/>
                <w:w w:val="83"/>
              </w:rPr>
              <w:t>71.2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LDL-C (calculated), mg/dL, mean (SD)</w:t>
            </w: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87"/>
              </w:rPr>
              <w:t>131.0 (30.4)</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0"/>
              </w:rPr>
              <w:t>148.4 (36.8)</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0"/>
              </w:rPr>
              <w:t>146.1 (33.5)</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87"/>
              </w:rPr>
              <w:t>112.1 (37.3)</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0"/>
              </w:rPr>
              <w:t>114.9 (36.0)</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87"/>
              </w:rPr>
              <w:t>112.4 (32.8)</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87"/>
              </w:rPr>
              <w:t>158.5 (47.3)</w:t>
            </w:r>
          </w:p>
        </w:tc>
        <w:tc>
          <w:tcPr>
            <w:tcW w:w="980" w:type="dxa"/>
            <w:vAlign w:val="bottom"/>
            <w:gridSpan w:val="2"/>
            <w:shd w:val="clear" w:color="auto" w:fill="CCEEFF"/>
          </w:tcPr>
          <w:p>
            <w:pPr>
              <w:jc w:val="center"/>
              <w:ind w:left="106"/>
              <w:spacing w:after="0" w:line="122" w:lineRule="exact"/>
              <w:rPr>
                <w:sz w:val="20"/>
                <w:szCs w:val="20"/>
                <w:color w:val="auto"/>
              </w:rPr>
            </w:pPr>
            <w:r>
              <w:rPr>
                <w:rFonts w:ascii="Arial" w:cs="Arial" w:eastAsia="Arial" w:hAnsi="Arial"/>
                <w:sz w:val="11"/>
                <w:szCs w:val="11"/>
                <w:color w:val="auto"/>
                <w:w w:val="90"/>
              </w:rPr>
              <w:t>154.5 (44.6)</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0"/>
              </w:rPr>
              <w:t>163.9 (69.1)</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BMI, body mass index; HeFH, heterozygous familial hypercholesterolemia; SD, standard deviation</w:t>
      </w:r>
    </w:p>
    <w:p>
      <w:pPr>
        <w:spacing w:after="0" w:line="225" w:lineRule="exact"/>
        <w:rPr>
          <w:sz w:val="20"/>
          <w:szCs w:val="20"/>
          <w:color w:val="auto"/>
        </w:rPr>
      </w:pPr>
    </w:p>
    <w:p>
      <w:pPr>
        <w:ind w:left="340" w:right="180" w:hanging="332"/>
        <w:spacing w:after="0" w:line="264"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Both studies included a substantial number of patients defined as having MRSI. In CHOICE I, of the patients not receiving statin therapy 42.2% (n=108/256) were not receiving statin due to MRSI. In CHOICE II, none of the patients received a statin (n=233); 90.1% of patients fulfilled the MRSI criteria.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Efficacy results</w:t>
      </w:r>
    </w:p>
    <w:p>
      <w:pPr>
        <w:spacing w:after="0" w:line="27" w:lineRule="exact"/>
        <w:rPr>
          <w:sz w:val="20"/>
          <w:szCs w:val="20"/>
          <w:color w:val="auto"/>
        </w:rPr>
      </w:pPr>
    </w:p>
    <w:p>
      <w:pPr>
        <w:ind w:left="340" w:hanging="332"/>
        <w:spacing w:after="0" w:line="250"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CHOICE I, the % reduction in LDL-C from baseline to W24 was significantly greater with alirocumab 300 mg Q4W (with possible W12 adjustment to 150 mg Q2W) versus placebo both in patients not receiving concurrent statin (least-square (LS) mean difference [standard error, SE] –52.4 [3.3]%) or receiving statin (LS mean difference [SE] versus placebo, –58.7 [2.8]%) (both </w:t>
      </w:r>
      <w:r>
        <w:rPr>
          <w:rFonts w:ascii="Arial" w:cs="Arial" w:eastAsia="Arial" w:hAnsi="Arial"/>
          <w:sz w:val="18"/>
          <w:szCs w:val="18"/>
          <w:i w:val="1"/>
          <w:iCs w:val="1"/>
          <w:color w:val="auto"/>
        </w:rPr>
        <w:t>P</w:t>
      </w:r>
      <w:r>
        <w:rPr>
          <w:rFonts w:ascii="Arial" w:cs="Arial" w:eastAsia="Arial" w:hAnsi="Arial"/>
          <w:sz w:val="18"/>
          <w:szCs w:val="18"/>
          <w:color w:val="auto"/>
        </w:rPr>
        <w:t>&lt;0.0001) (Figures 2A and 2B).</w:t>
      </w:r>
    </w:p>
    <w:p>
      <w:pPr>
        <w:spacing w:after="0" w:line="1" w:lineRule="exact"/>
        <w:rPr>
          <w:rFonts w:ascii="Arial" w:cs="Arial" w:eastAsia="Arial" w:hAnsi="Arial"/>
          <w:sz w:val="18"/>
          <w:szCs w:val="18"/>
          <w:color w:val="auto"/>
        </w:rPr>
      </w:pPr>
    </w:p>
    <w:p>
      <w:pPr>
        <w:ind w:left="340" w:right="120" w:hanging="332"/>
        <w:spacing w:after="0" w:line="261"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Furthermore, the average % reduction in LDL-C from baseline to W21 to W24 was significantly greater for the alirocumab 300 mg Q4W arm compared to placebo (no statin group, –55.2%; statin group, –65.0%; both groups, </w:t>
      </w:r>
      <w:r>
        <w:rPr>
          <w:rFonts w:ascii="Arial" w:cs="Arial" w:eastAsia="Arial" w:hAnsi="Arial"/>
          <w:sz w:val="18"/>
          <w:szCs w:val="18"/>
          <w:i w:val="1"/>
          <w:iCs w:val="1"/>
          <w:color w:val="auto"/>
        </w:rPr>
        <w:t>P</w:t>
      </w:r>
      <w:r>
        <w:rPr>
          <w:rFonts w:ascii="Arial" w:cs="Arial" w:eastAsia="Arial" w:hAnsi="Arial"/>
          <w:sz w:val="18"/>
          <w:szCs w:val="18"/>
          <w:color w:val="auto"/>
        </w:rPr>
        <w:t>&lt;0.0001) (Figures 2A and 2B).</w:t>
      </w:r>
    </w:p>
    <w:p>
      <w:pPr>
        <w:sectPr>
          <w:pgSz w:w="11900" w:h="16838" w:orient="portrait"/>
          <w:cols w:equalWidth="0" w:num="1">
            <w:col w:w="11400"/>
          </w:cols>
          <w:pgMar w:left="240" w:top="1440" w:right="259" w:bottom="0" w:gutter="0" w:footer="0" w:header="0"/>
        </w:sectPr>
      </w:pPr>
    </w:p>
    <w:bookmarkStart w:id="4" w:name="page5"/>
    <w:bookmarkEnd w:id="4"/>
    <w:p>
      <w:pPr>
        <w:ind w:left="332" w:right="100" w:hanging="332"/>
        <w:spacing w:after="0" w:line="256" w:lineRule="auto"/>
        <w:tabs>
          <w:tab w:leader="none" w:pos="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patients receiving alirocumab 300 mg Q4W (with possible W12 adjustment to 150 mg Q2W), those on concurrent statin had a tendency for lower baseline LDL-C levels and therefore, as expected, achieved lower mean LDL-C levels at W24 compared with those not receiving statin (Figures 2A and 2B).</w:t>
      </w:r>
    </w:p>
    <w:p>
      <w:pPr>
        <w:ind w:left="332" w:right="320" w:hanging="332"/>
        <w:spacing w:after="0" w:line="250" w:lineRule="auto"/>
        <w:tabs>
          <w:tab w:leader="none" w:pos="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CHOICE II, alirocumab 150 mg Q4W (with possible W12 adjustment to 150 mg Q2W) demonstrated significantly greater LDL-C reductions from baseline to W24 compared with placebo (LS mean difference [SE] –56.4 [3.3]%; </w:t>
      </w:r>
      <w:r>
        <w:rPr>
          <w:rFonts w:ascii="Arial" w:cs="Arial" w:eastAsia="Arial" w:hAnsi="Arial"/>
          <w:sz w:val="18"/>
          <w:szCs w:val="18"/>
          <w:i w:val="1"/>
          <w:iCs w:val="1"/>
          <w:color w:val="auto"/>
        </w:rPr>
        <w:t>P</w:t>
      </w:r>
      <w:r>
        <w:rPr>
          <w:rFonts w:ascii="Arial" w:cs="Arial" w:eastAsia="Arial" w:hAnsi="Arial"/>
          <w:sz w:val="18"/>
          <w:szCs w:val="18"/>
          <w:color w:val="auto"/>
        </w:rPr>
        <w:t>&lt;0.0001) (Figure 2C). The average % reduction in LDL-C from baseline to W9-12 was –55.5% versus placebo (</w:t>
      </w:r>
      <w:r>
        <w:rPr>
          <w:rFonts w:ascii="Arial" w:cs="Arial" w:eastAsia="Arial" w:hAnsi="Arial"/>
          <w:sz w:val="18"/>
          <w:szCs w:val="18"/>
          <w:i w:val="1"/>
          <w:iCs w:val="1"/>
          <w:color w:val="auto"/>
        </w:rPr>
        <w:t>P</w:t>
      </w:r>
      <w:r>
        <w:rPr>
          <w:rFonts w:ascii="Arial" w:cs="Arial" w:eastAsia="Arial" w:hAnsi="Arial"/>
          <w:sz w:val="18"/>
          <w:szCs w:val="18"/>
          <w:color w:val="auto"/>
        </w:rPr>
        <w:t>&lt;0.0001).</w:t>
      </w:r>
    </w:p>
    <w:p>
      <w:pPr>
        <w:spacing w:after="0" w:line="1" w:lineRule="exact"/>
        <w:rPr>
          <w:rFonts w:ascii="Arial" w:cs="Arial" w:eastAsia="Arial" w:hAnsi="Arial"/>
          <w:sz w:val="18"/>
          <w:szCs w:val="18"/>
          <w:color w:val="auto"/>
        </w:rPr>
      </w:pPr>
    </w:p>
    <w:p>
      <w:pPr>
        <w:ind w:left="332" w:right="340" w:hanging="332"/>
        <w:spacing w:after="0" w:line="250" w:lineRule="auto"/>
        <w:tabs>
          <w:tab w:leader="none" w:pos="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requiring a dose adjustment at W12 (based on W8 LDL-C levels) to achieve guideline-based target levels for LDL-C generally demonstrated higher mean baseline LDL-C levels in both studies (Figure 3).</w:t>
      </w:r>
    </w:p>
    <w:p>
      <w:pPr>
        <w:ind w:left="652" w:right="40" w:hanging="328"/>
        <w:spacing w:after="0" w:line="250" w:lineRule="auto"/>
        <w:tabs>
          <w:tab w:leader="none" w:pos="616" w:val="left"/>
        </w:tabs>
        <w:numPr>
          <w:ilvl w:val="1"/>
          <w:numId w:val="7"/>
        </w:numPr>
        <w:rPr>
          <w:rFonts w:ascii="Arial" w:cs="Arial" w:eastAsia="Arial" w:hAnsi="Arial"/>
          <w:sz w:val="18"/>
          <w:szCs w:val="18"/>
          <w:color w:val="auto"/>
        </w:rPr>
      </w:pPr>
      <w:r>
        <w:rPr>
          <w:rFonts w:ascii="Arial" w:cs="Arial" w:eastAsia="Arial" w:hAnsi="Arial"/>
          <w:sz w:val="18"/>
          <w:szCs w:val="18"/>
          <w:color w:val="auto"/>
        </w:rPr>
        <w:t>Overall, in CHOICE I, only one in five to seven patients required an adjusted dosing regimen from alirocumab 300 mg Q4W to 150 mg Q2W (hence same monthly dose administered) to achieve target LDL-C levels.</w:t>
      </w:r>
    </w:p>
    <w:p>
      <w:pPr>
        <w:ind w:left="652" w:right="340" w:hanging="328"/>
        <w:spacing w:after="0" w:line="250" w:lineRule="auto"/>
        <w:tabs>
          <w:tab w:leader="none" w:pos="616"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CHOICE II, one in two patients required an adjusted dosing regimen from 150 mg Q4W to 150 mg Q2W (hence doubling of monthly dose) to achieve target LDL-C levels.</w:t>
      </w:r>
    </w:p>
    <w:p>
      <w:pPr>
        <w:ind w:left="332" w:hanging="332"/>
        <w:spacing w:after="0" w:line="250" w:lineRule="auto"/>
        <w:tabs>
          <w:tab w:leader="none" w:pos="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CHOICE I, adjusted dose regimen was associated with less variability in LDL-C response from week-to-week (as observed over W21–24), particularly for those patients receiving a statin (Figures 3A and 3B).</w:t>
      </w:r>
    </w:p>
    <w:p>
      <w:pPr>
        <w:ind w:left="332" w:right="240" w:hanging="332"/>
        <w:spacing w:after="0" w:line="255" w:lineRule="auto"/>
        <w:tabs>
          <w:tab w:leader="none" w:pos="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CHOICE II, for patients who required a dose adjustment from a starting dose of 150 mg Q4W to 150 mg Q2W at W12, an additional reduction in LDL-C of approximately 20% could be observed after dose modification, with patients achieving a mean LDL-C level of 79.0 mg/dL by W24 (from a mean baseline LDL-C level of 197.5 mg/dL) (Figure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196215</wp:posOffset>
            </wp:positionV>
            <wp:extent cx="7267575" cy="4401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440118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65850" cy="4356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165850" cy="435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w:t>
      </w:r>
    </w:p>
    <w:p>
      <w:pPr>
        <w:spacing w:after="0" w:line="27" w:lineRule="exact"/>
        <w:rPr>
          <w:sz w:val="20"/>
          <w:szCs w:val="20"/>
          <w:color w:val="auto"/>
        </w:rPr>
      </w:pPr>
    </w:p>
    <w:p>
      <w:pPr>
        <w:jc w:val="both"/>
        <w:ind w:left="340" w:right="140" w:hanging="332"/>
        <w:spacing w:after="0" w:line="250"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CHOICE I, the rate of treatment emergent adverse events (TEAEs) ranged from 61.1% to 75.0% for the placebo group, and from 71.5% to 78.1% for the alirocumab 300 mg Q4W group. In CHOICE II, TEAEs occurred in 63.8% of placebo-treated patients and 77.6% of those receiving alirocumab 150 mg Q4W (Table 2).</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frequency of muscle-related symptoms was low and similar between alirocumab- and placebo-treated patients within each study.</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deaths were reported in either study.</w:t>
      </w:r>
    </w:p>
    <w:p>
      <w:pPr>
        <w:spacing w:after="0" w:line="9" w:lineRule="exact"/>
        <w:rPr>
          <w:rFonts w:ascii="Arial" w:cs="Arial" w:eastAsia="Arial" w:hAnsi="Arial"/>
          <w:sz w:val="18"/>
          <w:szCs w:val="18"/>
          <w:color w:val="auto"/>
        </w:rPr>
      </w:pPr>
    </w:p>
    <w:p>
      <w:pPr>
        <w:ind w:left="340" w:hanging="332"/>
        <w:spacing w:after="0" w:line="261"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both studies, the rate of injection site reactions (ISRs) was higher than previously experienced in other ODYSSEY trials; however, the intensity of most ISRs was mild and most patients experiencing these continued to receive study medication (Table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2. </w:t>
      </w:r>
      <w:r>
        <w:rPr>
          <w:rFonts w:ascii="Arial" w:cs="Arial" w:eastAsia="Arial" w:hAnsi="Arial"/>
          <w:sz w:val="18"/>
          <w:szCs w:val="18"/>
          <w:color w:val="auto"/>
        </w:rPr>
        <w:t>Safety summary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ind w:left="280"/>
              <w:spacing w:after="0"/>
              <w:rPr>
                <w:sz w:val="20"/>
                <w:szCs w:val="20"/>
                <w:color w:val="auto"/>
              </w:rPr>
            </w:pPr>
            <w:r>
              <w:rPr>
                <w:rFonts w:ascii="Arial" w:cs="Arial" w:eastAsia="Arial" w:hAnsi="Arial"/>
                <w:sz w:val="11"/>
                <w:szCs w:val="11"/>
                <w:b w:val="1"/>
                <w:bCs w:val="1"/>
                <w:color w:val="auto"/>
              </w:rPr>
              <w:t>CHOICE I</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1"/>
                <w:szCs w:val="11"/>
                <w:b w:val="1"/>
                <w:bCs w:val="1"/>
                <w:color w:val="auto"/>
              </w:rPr>
              <w:t>CHOICE II</w:t>
            </w: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center"/>
              <w:ind w:right="160"/>
              <w:spacing w:after="0" w:line="115" w:lineRule="exact"/>
              <w:rPr>
                <w:sz w:val="20"/>
                <w:szCs w:val="20"/>
                <w:color w:val="auto"/>
              </w:rPr>
            </w:pPr>
            <w:r>
              <w:rPr>
                <w:rFonts w:ascii="Arial" w:cs="Arial" w:eastAsia="Arial" w:hAnsi="Arial"/>
                <w:sz w:val="11"/>
                <w:szCs w:val="11"/>
                <w:b w:val="1"/>
                <w:bCs w:val="1"/>
                <w:color w:val="auto"/>
                <w:w w:val="88"/>
              </w:rPr>
              <w:t>No statin group</w:t>
            </w:r>
          </w:p>
        </w:tc>
        <w:tc>
          <w:tcPr>
            <w:tcW w:w="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ind w:left="100"/>
              <w:spacing w:after="0" w:line="115" w:lineRule="exact"/>
              <w:rPr>
                <w:sz w:val="20"/>
                <w:szCs w:val="20"/>
                <w:color w:val="auto"/>
              </w:rPr>
            </w:pPr>
            <w:r>
              <w:rPr>
                <w:rFonts w:ascii="Arial" w:cs="Arial" w:eastAsia="Arial" w:hAnsi="Arial"/>
                <w:sz w:val="11"/>
                <w:szCs w:val="11"/>
                <w:b w:val="1"/>
                <w:bCs w:val="1"/>
                <w:color w:val="auto"/>
              </w:rPr>
              <w:t>Statin group</w:t>
            </w: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tcPr>
          <w:p>
            <w:pPr>
              <w:jc w:val="center"/>
              <w:ind w:right="20"/>
              <w:spacing w:after="0" w:line="115" w:lineRule="exact"/>
              <w:rPr>
                <w:sz w:val="20"/>
                <w:szCs w:val="20"/>
                <w:color w:val="auto"/>
              </w:rPr>
            </w:pPr>
            <w:r>
              <w:rPr>
                <w:rFonts w:ascii="Arial" w:cs="Arial" w:eastAsia="Arial" w:hAnsi="Arial"/>
                <w:sz w:val="11"/>
                <w:szCs w:val="11"/>
                <w:b w:val="1"/>
                <w:bCs w:val="1"/>
                <w:color w:val="auto"/>
                <w:w w:val="86"/>
              </w:rPr>
              <w:t>No statin received</w:t>
            </w:r>
          </w:p>
        </w:tc>
        <w:tc>
          <w:tcPr>
            <w:tcW w:w="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3"/>
            <w:vMerge w:val="restart"/>
          </w:tcPr>
          <w:p>
            <w:pPr>
              <w:ind w:left="220"/>
              <w:spacing w:after="0"/>
              <w:rPr>
                <w:sz w:val="20"/>
                <w:szCs w:val="20"/>
                <w:color w:val="auto"/>
              </w:rPr>
            </w:pPr>
            <w:r>
              <w:rPr>
                <w:rFonts w:ascii="Arial" w:cs="Arial" w:eastAsia="Arial" w:hAnsi="Arial"/>
                <w:sz w:val="11"/>
                <w:szCs w:val="11"/>
                <w:b w:val="1"/>
                <w:bCs w:val="1"/>
                <w:color w:val="auto"/>
              </w:rPr>
              <w:t>Placebo</w:t>
            </w:r>
          </w:p>
        </w:tc>
        <w:tc>
          <w:tcPr>
            <w:tcW w:w="3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ind w:left="260"/>
              <w:spacing w:after="0" w:line="115" w:lineRule="exact"/>
              <w:rPr>
                <w:sz w:val="20"/>
                <w:szCs w:val="20"/>
                <w:color w:val="auto"/>
              </w:rPr>
            </w:pPr>
            <w:r>
              <w:rPr>
                <w:rFonts w:ascii="Arial" w:cs="Arial" w:eastAsia="Arial" w:hAnsi="Arial"/>
                <w:sz w:val="11"/>
                <w:szCs w:val="11"/>
                <w:b w:val="1"/>
                <w:bCs w:val="1"/>
                <w:color w:val="auto"/>
              </w:rPr>
              <w:t>Alirocumab*</w:t>
            </w:r>
          </w:p>
        </w:tc>
        <w:tc>
          <w:tcPr>
            <w:tcW w:w="4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Placebo</w:t>
            </w:r>
          </w:p>
        </w:tc>
        <w:tc>
          <w:tcPr>
            <w:tcW w:w="3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ind w:left="260"/>
              <w:spacing w:after="0" w:line="115" w:lineRule="exact"/>
              <w:rPr>
                <w:sz w:val="20"/>
                <w:szCs w:val="20"/>
                <w:color w:val="auto"/>
              </w:rPr>
            </w:pPr>
            <w:r>
              <w:rPr>
                <w:rFonts w:ascii="Arial" w:cs="Arial" w:eastAsia="Arial" w:hAnsi="Arial"/>
                <w:sz w:val="11"/>
                <w:szCs w:val="11"/>
                <w:b w:val="1"/>
                <w:bCs w:val="1"/>
                <w:color w:val="auto"/>
              </w:rPr>
              <w:t>Alirocumab*</w:t>
            </w: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Placebo</w:t>
            </w:r>
          </w:p>
        </w:tc>
        <w:tc>
          <w:tcPr>
            <w:tcW w:w="1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ind w:left="260"/>
              <w:spacing w:after="0" w:line="115" w:lineRule="exact"/>
              <w:rPr>
                <w:sz w:val="20"/>
                <w:szCs w:val="20"/>
                <w:color w:val="auto"/>
              </w:rPr>
            </w:pPr>
            <w:r>
              <w:rPr>
                <w:rFonts w:ascii="Arial" w:cs="Arial" w:eastAsia="Arial" w:hAnsi="Arial"/>
                <w:sz w:val="11"/>
                <w:szCs w:val="11"/>
                <w:b w:val="1"/>
                <w:bCs w:val="1"/>
                <w:color w:val="auto"/>
              </w:rPr>
              <w:t>Alirocumab*</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1000" w:type="dxa"/>
            <w:vAlign w:val="bottom"/>
            <w:gridSpan w:val="3"/>
          </w:tcPr>
          <w:p>
            <w:pPr>
              <w:jc w:val="center"/>
              <w:ind w:right="160"/>
              <w:spacing w:after="0" w:line="102" w:lineRule="exact"/>
              <w:rPr>
                <w:sz w:val="20"/>
                <w:szCs w:val="20"/>
                <w:color w:val="auto"/>
              </w:rPr>
            </w:pPr>
            <w:r>
              <w:rPr>
                <w:rFonts w:ascii="Arial" w:cs="Arial" w:eastAsia="Arial" w:hAnsi="Arial"/>
                <w:sz w:val="11"/>
                <w:szCs w:val="11"/>
                <w:b w:val="1"/>
                <w:bCs w:val="1"/>
                <w:color w:val="auto"/>
                <w:w w:val="93"/>
              </w:rPr>
              <w:t>75 mg Q2W</w:t>
            </w:r>
          </w:p>
        </w:tc>
        <w:tc>
          <w:tcPr>
            <w:tcW w:w="80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300 mg Q4W</w:t>
            </w:r>
          </w:p>
        </w:tc>
        <w:tc>
          <w:tcPr>
            <w:tcW w:w="340" w:type="dxa"/>
            <w:vAlign w:val="bottom"/>
            <w:gridSpan w:val="2"/>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960" w:type="dxa"/>
            <w:vAlign w:val="bottom"/>
            <w:gridSpan w:val="3"/>
          </w:tcPr>
          <w:p>
            <w:pPr>
              <w:ind w:left="120"/>
              <w:spacing w:after="0" w:line="102" w:lineRule="exact"/>
              <w:rPr>
                <w:sz w:val="20"/>
                <w:szCs w:val="20"/>
                <w:color w:val="auto"/>
              </w:rPr>
            </w:pPr>
            <w:r>
              <w:rPr>
                <w:rFonts w:ascii="Arial" w:cs="Arial" w:eastAsia="Arial" w:hAnsi="Arial"/>
                <w:sz w:val="11"/>
                <w:szCs w:val="11"/>
                <w:b w:val="1"/>
                <w:bCs w:val="1"/>
                <w:color w:val="auto"/>
              </w:rPr>
              <w:t>75 mg Q2W</w:t>
            </w:r>
          </w:p>
        </w:tc>
        <w:tc>
          <w:tcPr>
            <w:tcW w:w="80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w w:val="90"/>
              </w:rPr>
              <w:t>300 mg Q4W</w:t>
            </w:r>
          </w:p>
        </w:tc>
        <w:tc>
          <w:tcPr>
            <w:tcW w:w="1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3"/>
          </w:tcPr>
          <w:p>
            <w:pPr>
              <w:jc w:val="center"/>
              <w:ind w:right="160"/>
              <w:spacing w:after="0" w:line="102" w:lineRule="exact"/>
              <w:rPr>
                <w:sz w:val="20"/>
                <w:szCs w:val="20"/>
                <w:color w:val="auto"/>
              </w:rPr>
            </w:pPr>
            <w:r>
              <w:rPr>
                <w:rFonts w:ascii="Arial" w:cs="Arial" w:eastAsia="Arial" w:hAnsi="Arial"/>
                <w:sz w:val="11"/>
                <w:szCs w:val="11"/>
                <w:b w:val="1"/>
                <w:bCs w:val="1"/>
                <w:color w:val="auto"/>
                <w:w w:val="93"/>
              </w:rPr>
              <w:t>75 mg Q2W</w:t>
            </w:r>
          </w:p>
        </w:tc>
        <w:tc>
          <w:tcPr>
            <w:tcW w:w="80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150 mg Q4W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rPr>
                <w:sz w:val="20"/>
                <w:szCs w:val="20"/>
                <w:color w:val="auto"/>
              </w:rPr>
            </w:pPr>
            <w:r>
              <w:rPr>
                <w:rFonts w:ascii="Arial" w:cs="Arial" w:eastAsia="Arial" w:hAnsi="Arial"/>
                <w:sz w:val="11"/>
                <w:szCs w:val="11"/>
                <w:b w:val="1"/>
                <w:bCs w:val="1"/>
                <w:color w:val="auto"/>
              </w:rPr>
              <w:t>Treatment group</w:t>
            </w:r>
          </w:p>
        </w:tc>
        <w:tc>
          <w:tcPr>
            <w:tcW w:w="98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4"/>
              </w:rPr>
              <w:t>(N=72)</w:t>
            </w:r>
          </w:p>
        </w:tc>
        <w:tc>
          <w:tcPr>
            <w:tcW w:w="100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4"/>
              </w:rPr>
              <w:t>(N=37)</w:t>
            </w:r>
          </w:p>
        </w:tc>
        <w:tc>
          <w:tcPr>
            <w:tcW w:w="1140" w:type="dxa"/>
            <w:vAlign w:val="bottom"/>
            <w:gridSpan w:val="4"/>
          </w:tcPr>
          <w:p>
            <w:pPr>
              <w:jc w:val="center"/>
              <w:ind w:right="340"/>
              <w:spacing w:after="0"/>
              <w:rPr>
                <w:sz w:val="20"/>
                <w:szCs w:val="20"/>
                <w:color w:val="auto"/>
              </w:rPr>
            </w:pPr>
            <w:r>
              <w:rPr>
                <w:rFonts w:ascii="Arial" w:cs="Arial" w:eastAsia="Arial" w:hAnsi="Arial"/>
                <w:sz w:val="11"/>
                <w:szCs w:val="11"/>
                <w:b w:val="1"/>
                <w:bCs w:val="1"/>
                <w:color w:val="auto"/>
                <w:w w:val="89"/>
              </w:rPr>
              <w:t>(N=146)</w:t>
            </w:r>
          </w:p>
        </w:tc>
        <w:tc>
          <w:tcPr>
            <w:tcW w:w="80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89"/>
              </w:rPr>
              <w:t>(N=157)</w:t>
            </w:r>
          </w:p>
        </w:tc>
        <w:tc>
          <w:tcPr>
            <w:tcW w:w="96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4"/>
              </w:rPr>
              <w:t>(N=78)</w:t>
            </w:r>
          </w:p>
        </w:tc>
        <w:tc>
          <w:tcPr>
            <w:tcW w:w="96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89"/>
              </w:rPr>
              <w:t>(N=312)</w:t>
            </w: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4"/>
              </w:rPr>
              <w:t>(N=58)</w:t>
            </w:r>
          </w:p>
        </w:tc>
        <w:tc>
          <w:tcPr>
            <w:tcW w:w="160" w:type="dxa"/>
            <w:vAlign w:val="bottom"/>
          </w:tcPr>
          <w:p>
            <w:pPr>
              <w:spacing w:after="0"/>
              <w:rPr>
                <w:sz w:val="11"/>
                <w:szCs w:val="11"/>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9"/>
              </w:rPr>
              <w:t>(N=116)</w:t>
            </w:r>
          </w:p>
        </w:tc>
        <w:tc>
          <w:tcPr>
            <w:tcW w:w="9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4"/>
              </w:rPr>
              <w:t>(N=59)</w:t>
            </w:r>
          </w:p>
        </w:tc>
        <w:tc>
          <w:tcPr>
            <w:tcW w:w="0" w:type="dxa"/>
            <w:vAlign w:val="bottom"/>
          </w:tcPr>
          <w:p>
            <w:pPr>
              <w:spacing w:after="0"/>
              <w:rPr>
                <w:sz w:val="1"/>
                <w:szCs w:val="1"/>
                <w:color w:val="auto"/>
              </w:rPr>
            </w:pPr>
          </w:p>
        </w:tc>
      </w:tr>
      <w:tr>
        <w:trPr>
          <w:trHeight w:val="115"/>
        </w:trPr>
        <w:tc>
          <w:tcPr>
            <w:tcW w:w="25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Subjects with any TEAEs, n (%)</w:t>
            </w: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54</w:t>
            </w:r>
          </w:p>
        </w:tc>
        <w:tc>
          <w:tcPr>
            <w:tcW w:w="4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(75.0)</w:t>
            </w: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30</w:t>
            </w:r>
          </w:p>
        </w:tc>
        <w:tc>
          <w:tcPr>
            <w:tcW w:w="48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(81.1)</w:t>
            </w: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gridSpan w:val="2"/>
            <w:shd w:val="clear" w:color="auto" w:fill="CCEEFF"/>
          </w:tcPr>
          <w:p>
            <w:pPr>
              <w:jc w:val="center"/>
              <w:spacing w:after="0" w:line="115" w:lineRule="exact"/>
              <w:rPr>
                <w:sz w:val="20"/>
                <w:szCs w:val="20"/>
                <w:color w:val="auto"/>
              </w:rPr>
            </w:pPr>
            <w:r>
              <w:rPr>
                <w:rFonts w:ascii="Arial" w:cs="Arial" w:eastAsia="Arial" w:hAnsi="Arial"/>
                <w:sz w:val="11"/>
                <w:szCs w:val="11"/>
                <w:color w:val="auto"/>
                <w:w w:val="87"/>
              </w:rPr>
              <w:t>114 (78.1)</w:t>
            </w:r>
          </w:p>
        </w:tc>
        <w:tc>
          <w:tcPr>
            <w:tcW w:w="1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7"/>
              </w:rPr>
              <w:t>96</w:t>
            </w:r>
          </w:p>
        </w:tc>
        <w:tc>
          <w:tcPr>
            <w:tcW w:w="48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(61.1)</w:t>
            </w:r>
          </w:p>
        </w:tc>
        <w:tc>
          <w:tcPr>
            <w:tcW w:w="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50</w:t>
            </w:r>
          </w:p>
        </w:tc>
        <w:tc>
          <w:tcPr>
            <w:tcW w:w="48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(64.1)</w:t>
            </w: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223</w:t>
            </w:r>
          </w:p>
        </w:tc>
        <w:tc>
          <w:tcPr>
            <w:tcW w:w="46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(71.5)</w:t>
            </w:r>
          </w:p>
        </w:tc>
        <w:tc>
          <w:tcPr>
            <w:tcW w:w="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37</w:t>
            </w:r>
          </w:p>
        </w:tc>
        <w:tc>
          <w:tcPr>
            <w:tcW w:w="48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(63.8)</w:t>
            </w:r>
          </w:p>
        </w:tc>
        <w:tc>
          <w:tcPr>
            <w:tcW w:w="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84</w:t>
            </w:r>
          </w:p>
        </w:tc>
        <w:tc>
          <w:tcPr>
            <w:tcW w:w="48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(73.0)</w:t>
            </w:r>
          </w:p>
        </w:tc>
        <w:tc>
          <w:tcPr>
            <w:tcW w:w="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w:t>
            </w:r>
          </w:p>
        </w:tc>
        <w:tc>
          <w:tcPr>
            <w:tcW w:w="48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(77.6)</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Subjects with any treatment-emergent SAE, n (%)</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480" w:type="dxa"/>
            <w:vAlign w:val="bottom"/>
          </w:tcPr>
          <w:p>
            <w:pPr>
              <w:spacing w:after="0" w:line="122" w:lineRule="exact"/>
              <w:rPr>
                <w:sz w:val="20"/>
                <w:szCs w:val="20"/>
                <w:color w:val="auto"/>
              </w:rPr>
            </w:pPr>
            <w:r>
              <w:rPr>
                <w:rFonts w:ascii="Arial" w:cs="Arial" w:eastAsia="Arial" w:hAnsi="Arial"/>
                <w:sz w:val="11"/>
                <w:szCs w:val="11"/>
                <w:color w:val="auto"/>
              </w:rPr>
              <w:t>(9.7)</w:t>
            </w:r>
          </w:p>
        </w:tc>
        <w:tc>
          <w:tcPr>
            <w:tcW w:w="16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(8.1)</w:t>
            </w:r>
          </w:p>
        </w:tc>
        <w:tc>
          <w:tcPr>
            <w:tcW w:w="180" w:type="dxa"/>
            <w:vAlign w:val="bottom"/>
          </w:tcPr>
          <w:p>
            <w:pPr>
              <w:spacing w:after="0"/>
              <w:rPr>
                <w:sz w:val="10"/>
                <w:szCs w:val="10"/>
                <w:color w:val="auto"/>
              </w:rPr>
            </w:pPr>
          </w:p>
        </w:tc>
        <w:tc>
          <w:tcPr>
            <w:tcW w:w="80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4"/>
              </w:rPr>
              <w:t>14 (9.6)</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w w:val="97"/>
              </w:rPr>
              <w:t>16</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(10.2)</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(7.7)</w:t>
            </w:r>
          </w:p>
        </w:tc>
        <w:tc>
          <w:tcPr>
            <w:tcW w:w="160" w:type="dxa"/>
            <w:vAlign w:val="bottom"/>
          </w:tcPr>
          <w:p>
            <w:pPr>
              <w:spacing w:after="0"/>
              <w:rPr>
                <w:sz w:val="10"/>
                <w:szCs w:val="10"/>
                <w:color w:val="auto"/>
              </w:rPr>
            </w:pPr>
          </w:p>
        </w:tc>
        <w:tc>
          <w:tcPr>
            <w:tcW w:w="340" w:type="dxa"/>
            <w:vAlign w:val="bottom"/>
            <w:gridSpan w:val="2"/>
          </w:tcPr>
          <w:p>
            <w:pPr>
              <w:jc w:val="center"/>
              <w:ind w:left="168"/>
              <w:spacing w:after="0" w:line="122" w:lineRule="exact"/>
              <w:rPr>
                <w:sz w:val="20"/>
                <w:szCs w:val="20"/>
                <w:color w:val="auto"/>
              </w:rPr>
            </w:pPr>
            <w:r>
              <w:rPr>
                <w:rFonts w:ascii="Arial" w:cs="Arial" w:eastAsia="Arial" w:hAnsi="Arial"/>
                <w:sz w:val="11"/>
                <w:szCs w:val="11"/>
                <w:color w:val="auto"/>
                <w:w w:val="97"/>
              </w:rPr>
              <w:t>25</w:t>
            </w:r>
          </w:p>
        </w:tc>
        <w:tc>
          <w:tcPr>
            <w:tcW w:w="460" w:type="dxa"/>
            <w:vAlign w:val="bottom"/>
          </w:tcPr>
          <w:p>
            <w:pPr>
              <w:ind w:left="20"/>
              <w:spacing w:after="0" w:line="122" w:lineRule="exact"/>
              <w:rPr>
                <w:sz w:val="20"/>
                <w:szCs w:val="20"/>
                <w:color w:val="auto"/>
              </w:rPr>
            </w:pPr>
            <w:r>
              <w:rPr>
                <w:rFonts w:ascii="Arial" w:cs="Arial" w:eastAsia="Arial" w:hAnsi="Arial"/>
                <w:sz w:val="11"/>
                <w:szCs w:val="11"/>
                <w:color w:val="auto"/>
              </w:rPr>
              <w:t>(8.0)</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(6.9)</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(5.2)</w:t>
            </w:r>
          </w:p>
        </w:tc>
        <w:tc>
          <w:tcPr>
            <w:tcW w:w="160" w:type="dxa"/>
            <w:vAlign w:val="bottom"/>
          </w:tcPr>
          <w:p>
            <w:pPr>
              <w:spacing w:after="0"/>
              <w:rPr>
                <w:sz w:val="10"/>
                <w:szCs w:val="10"/>
                <w:color w:val="auto"/>
              </w:rPr>
            </w:pPr>
          </w:p>
        </w:tc>
        <w:tc>
          <w:tcPr>
            <w:tcW w:w="80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7 (12.1)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9"/>
              </w:rPr>
              <w:t>Patients with any TEAE leading to discontinuation, n (%)</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(5.6)</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(5.4)</w:t>
            </w: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10 (6.8)</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center"/>
              <w:ind w:right="106"/>
              <w:spacing w:after="0" w:line="122" w:lineRule="exact"/>
              <w:rPr>
                <w:sz w:val="20"/>
                <w:szCs w:val="20"/>
                <w:color w:val="auto"/>
              </w:rPr>
            </w:pPr>
            <w:r>
              <w:rPr>
                <w:rFonts w:ascii="Arial" w:cs="Arial" w:eastAsia="Arial" w:hAnsi="Arial"/>
                <w:sz w:val="11"/>
                <w:szCs w:val="11"/>
                <w:color w:val="auto"/>
                <w:w w:val="94"/>
              </w:rPr>
              <w:t>10 (6.4)</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(3.8)</w:t>
            </w:r>
          </w:p>
        </w:tc>
        <w:tc>
          <w:tcPr>
            <w:tcW w:w="1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center"/>
              <w:ind w:left="168"/>
              <w:spacing w:after="0" w:line="122" w:lineRule="exact"/>
              <w:rPr>
                <w:sz w:val="20"/>
                <w:szCs w:val="20"/>
                <w:color w:val="auto"/>
              </w:rPr>
            </w:pPr>
            <w:r>
              <w:rPr>
                <w:rFonts w:ascii="Arial" w:cs="Arial" w:eastAsia="Arial" w:hAnsi="Arial"/>
                <w:sz w:val="11"/>
                <w:szCs w:val="11"/>
                <w:color w:val="auto"/>
                <w:w w:val="97"/>
              </w:rPr>
              <w:t>15</w:t>
            </w:r>
          </w:p>
        </w:tc>
        <w:tc>
          <w:tcPr>
            <w:tcW w:w="4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(4.8)</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(3.4)</w:t>
            </w:r>
          </w:p>
        </w:tc>
        <w:tc>
          <w:tcPr>
            <w:tcW w:w="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(1.7)</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(6.9)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760" w:type="dxa"/>
            <w:vAlign w:val="bottom"/>
            <w:gridSpan w:val="2"/>
          </w:tcPr>
          <w:p>
            <w:pPr>
              <w:spacing w:after="0" w:line="112" w:lineRule="exact"/>
              <w:rPr>
                <w:sz w:val="20"/>
                <w:szCs w:val="20"/>
                <w:color w:val="auto"/>
              </w:rPr>
            </w:pPr>
            <w:r>
              <w:rPr>
                <w:rFonts w:ascii="Arial" w:cs="Arial" w:eastAsia="Arial" w:hAnsi="Arial"/>
                <w:sz w:val="11"/>
                <w:szCs w:val="11"/>
                <w:color w:val="auto"/>
                <w:w w:val="98"/>
              </w:rPr>
              <w:t xml:space="preserve">Most frequent TEAEs (recorded in </w:t>
            </w:r>
            <w:r>
              <w:rPr>
                <w:rFonts w:ascii="Arial" w:cs="Arial" w:eastAsia="Arial" w:hAnsi="Arial"/>
                <w:sz w:val="11"/>
                <w:szCs w:val="11"/>
                <w:u w:val="single" w:color="auto"/>
                <w:color w:val="auto"/>
                <w:w w:val="98"/>
              </w:rPr>
              <w:t>&gt;</w:t>
            </w:r>
            <w:r>
              <w:rPr>
                <w:rFonts w:ascii="Arial" w:cs="Arial" w:eastAsia="Arial" w:hAnsi="Arial"/>
                <w:sz w:val="11"/>
                <w:szCs w:val="11"/>
                <w:color w:val="auto"/>
                <w:w w:val="98"/>
              </w:rPr>
              <w:t>5% of patients in any</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760" w:type="dxa"/>
            <w:vAlign w:val="bottom"/>
            <w:gridSpan w:val="2"/>
          </w:tcPr>
          <w:p>
            <w:pPr>
              <w:ind w:left="180"/>
              <w:spacing w:after="0"/>
              <w:rPr>
                <w:sz w:val="20"/>
                <w:szCs w:val="20"/>
                <w:color w:val="auto"/>
              </w:rPr>
            </w:pPr>
            <w:r>
              <w:rPr>
                <w:rFonts w:ascii="Arial" w:cs="Arial" w:eastAsia="Arial" w:hAnsi="Arial"/>
                <w:sz w:val="11"/>
                <w:szCs w:val="11"/>
                <w:color w:val="auto"/>
              </w:rPr>
              <w:t>group), n (%)</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Injection site reaction</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(8.3)</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(5.4)</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(18.5)</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(5.7)</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(9.0)</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w:t>
            </w:r>
          </w:p>
        </w:tc>
        <w:tc>
          <w:tcPr>
            <w:tcW w:w="4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(15.4)</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(3.5)</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center"/>
              <w:spacing w:after="0" w:line="122" w:lineRule="exact"/>
              <w:rPr>
                <w:sz w:val="20"/>
                <w:szCs w:val="20"/>
                <w:color w:val="auto"/>
              </w:rPr>
            </w:pPr>
            <w:r>
              <w:rPr>
                <w:rFonts w:ascii="Arial" w:cs="Arial" w:eastAsia="Arial" w:hAnsi="Arial"/>
                <w:sz w:val="11"/>
                <w:szCs w:val="11"/>
                <w:color w:val="auto"/>
                <w:w w:val="89"/>
              </w:rPr>
              <w:t>8 (13.8)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Headache</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tcPr>
          <w:p>
            <w:pPr>
              <w:spacing w:after="0" w:line="122" w:lineRule="exact"/>
              <w:rPr>
                <w:sz w:val="20"/>
                <w:szCs w:val="20"/>
                <w:color w:val="auto"/>
              </w:rPr>
            </w:pPr>
            <w:r>
              <w:rPr>
                <w:rFonts w:ascii="Arial" w:cs="Arial" w:eastAsia="Arial" w:hAnsi="Arial"/>
                <w:sz w:val="11"/>
                <w:szCs w:val="11"/>
                <w:color w:val="auto"/>
              </w:rPr>
              <w:t>(5.6)</w:t>
            </w:r>
          </w:p>
        </w:tc>
        <w:tc>
          <w:tcPr>
            <w:tcW w:w="16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(8.1)</w:t>
            </w:r>
          </w:p>
        </w:tc>
        <w:tc>
          <w:tcPr>
            <w:tcW w:w="180" w:type="dxa"/>
            <w:vAlign w:val="bottom"/>
          </w:tcPr>
          <w:p>
            <w:pPr>
              <w:spacing w:after="0"/>
              <w:rPr>
                <w:sz w:val="10"/>
                <w:szCs w:val="10"/>
                <w:color w:val="auto"/>
              </w:rPr>
            </w:pPr>
          </w:p>
        </w:tc>
        <w:tc>
          <w:tcPr>
            <w:tcW w:w="80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1"/>
              </w:rPr>
              <w:t>16 (11)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(3.8)</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(3.8)</w:t>
            </w:r>
          </w:p>
        </w:tc>
        <w:tc>
          <w:tcPr>
            <w:tcW w:w="160" w:type="dxa"/>
            <w:vAlign w:val="bottom"/>
          </w:tcPr>
          <w:p>
            <w:pPr>
              <w:spacing w:after="0"/>
              <w:rPr>
                <w:sz w:val="10"/>
                <w:szCs w:val="10"/>
                <w:color w:val="auto"/>
              </w:rPr>
            </w:pPr>
          </w:p>
        </w:tc>
        <w:tc>
          <w:tcPr>
            <w:tcW w:w="340" w:type="dxa"/>
            <w:vAlign w:val="bottom"/>
            <w:gridSpan w:val="2"/>
          </w:tcPr>
          <w:p>
            <w:pPr>
              <w:jc w:val="center"/>
              <w:ind w:left="168"/>
              <w:spacing w:after="0" w:line="122" w:lineRule="exact"/>
              <w:rPr>
                <w:sz w:val="20"/>
                <w:szCs w:val="20"/>
                <w:color w:val="auto"/>
              </w:rPr>
            </w:pPr>
            <w:r>
              <w:rPr>
                <w:rFonts w:ascii="Arial" w:cs="Arial" w:eastAsia="Arial" w:hAnsi="Arial"/>
                <w:sz w:val="11"/>
                <w:szCs w:val="11"/>
                <w:color w:val="auto"/>
                <w:w w:val="97"/>
              </w:rPr>
              <w:t>10</w:t>
            </w:r>
          </w:p>
        </w:tc>
        <w:tc>
          <w:tcPr>
            <w:tcW w:w="460" w:type="dxa"/>
            <w:vAlign w:val="bottom"/>
          </w:tcPr>
          <w:p>
            <w:pPr>
              <w:ind w:left="20"/>
              <w:spacing w:after="0" w:line="122" w:lineRule="exact"/>
              <w:rPr>
                <w:sz w:val="20"/>
                <w:szCs w:val="20"/>
                <w:color w:val="auto"/>
              </w:rPr>
            </w:pPr>
            <w:r>
              <w:rPr>
                <w:rFonts w:ascii="Arial" w:cs="Arial" w:eastAsia="Arial" w:hAnsi="Arial"/>
                <w:sz w:val="11"/>
                <w:szCs w:val="11"/>
                <w:color w:val="auto"/>
              </w:rPr>
              <w:t>(3.2)</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(5.2)</w:t>
            </w:r>
          </w:p>
        </w:tc>
        <w:tc>
          <w:tcPr>
            <w:tcW w:w="960" w:type="dxa"/>
            <w:vAlign w:val="bottom"/>
            <w:gridSpan w:val="3"/>
          </w:tcPr>
          <w:p>
            <w:pPr>
              <w:jc w:val="center"/>
              <w:ind w:left="86"/>
              <w:spacing w:after="0" w:line="122" w:lineRule="exact"/>
              <w:rPr>
                <w:sz w:val="20"/>
                <w:szCs w:val="20"/>
                <w:color w:val="auto"/>
              </w:rPr>
            </w:pPr>
            <w:r>
              <w:rPr>
                <w:rFonts w:ascii="Arial" w:cs="Arial" w:eastAsia="Arial" w:hAnsi="Arial"/>
                <w:sz w:val="11"/>
                <w:szCs w:val="11"/>
                <w:color w:val="auto"/>
                <w:w w:val="89"/>
              </w:rPr>
              <w:t>10 (8.7)</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(8.6)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Upper respiratory tract infection</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(5.6)</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(5.4)</w:t>
            </w: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13 (8.9)</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(3.2)</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(6.4)</w:t>
            </w:r>
          </w:p>
        </w:tc>
        <w:tc>
          <w:tcPr>
            <w:tcW w:w="1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center"/>
              <w:ind w:left="168"/>
              <w:spacing w:after="0" w:line="122" w:lineRule="exact"/>
              <w:rPr>
                <w:sz w:val="20"/>
                <w:szCs w:val="20"/>
                <w:color w:val="auto"/>
              </w:rPr>
            </w:pPr>
            <w:r>
              <w:rPr>
                <w:rFonts w:ascii="Arial" w:cs="Arial" w:eastAsia="Arial" w:hAnsi="Arial"/>
                <w:sz w:val="11"/>
                <w:szCs w:val="11"/>
                <w:color w:val="auto"/>
                <w:w w:val="97"/>
              </w:rPr>
              <w:t>18</w:t>
            </w:r>
          </w:p>
        </w:tc>
        <w:tc>
          <w:tcPr>
            <w:tcW w:w="4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(5.8)</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(6.9)</w:t>
            </w:r>
          </w:p>
        </w:tc>
        <w:tc>
          <w:tcPr>
            <w:tcW w:w="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(3.5)</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Sinusitis</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480" w:type="dxa"/>
            <w:vAlign w:val="bottom"/>
          </w:tcPr>
          <w:p>
            <w:pPr>
              <w:spacing w:after="0" w:line="122" w:lineRule="exact"/>
              <w:rPr>
                <w:sz w:val="20"/>
                <w:szCs w:val="20"/>
                <w:color w:val="auto"/>
              </w:rPr>
            </w:pPr>
            <w:r>
              <w:rPr>
                <w:rFonts w:ascii="Arial" w:cs="Arial" w:eastAsia="Arial" w:hAnsi="Arial"/>
                <w:sz w:val="11"/>
                <w:szCs w:val="11"/>
                <w:color w:val="auto"/>
              </w:rPr>
              <w:t>(8.3)</w:t>
            </w:r>
          </w:p>
        </w:tc>
        <w:tc>
          <w:tcPr>
            <w:tcW w:w="16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(8.1)</w:t>
            </w:r>
          </w:p>
        </w:tc>
        <w:tc>
          <w:tcPr>
            <w:tcW w:w="18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(6.2)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(1.3)</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jc w:val="center"/>
              <w:ind w:right="266"/>
              <w:spacing w:after="0"/>
              <w:rPr>
                <w:sz w:val="20"/>
                <w:szCs w:val="20"/>
                <w:color w:val="auto"/>
              </w:rPr>
            </w:pPr>
            <w:r>
              <w:rPr>
                <w:rFonts w:ascii="Arial" w:cs="Arial" w:eastAsia="Arial" w:hAnsi="Arial"/>
                <w:sz w:val="10"/>
                <w:szCs w:val="10"/>
                <w:color w:val="auto"/>
                <w:w w:val="71"/>
              </w:rPr>
              <w:t>0</w:t>
            </w:r>
          </w:p>
        </w:tc>
        <w:tc>
          <w:tcPr>
            <w:tcW w:w="160" w:type="dxa"/>
            <w:vAlign w:val="bottom"/>
          </w:tcPr>
          <w:p>
            <w:pPr>
              <w:spacing w:after="0"/>
              <w:rPr>
                <w:sz w:val="10"/>
                <w:szCs w:val="10"/>
                <w:color w:val="auto"/>
              </w:rPr>
            </w:pPr>
          </w:p>
        </w:tc>
        <w:tc>
          <w:tcPr>
            <w:tcW w:w="340" w:type="dxa"/>
            <w:vAlign w:val="bottom"/>
            <w:gridSpan w:val="2"/>
          </w:tcPr>
          <w:p>
            <w:pPr>
              <w:jc w:val="center"/>
              <w:ind w:left="168"/>
              <w:spacing w:after="0" w:line="122" w:lineRule="exact"/>
              <w:rPr>
                <w:sz w:val="20"/>
                <w:szCs w:val="20"/>
                <w:color w:val="auto"/>
              </w:rPr>
            </w:pPr>
            <w:r>
              <w:rPr>
                <w:rFonts w:ascii="Arial" w:cs="Arial" w:eastAsia="Arial" w:hAnsi="Arial"/>
                <w:sz w:val="11"/>
                <w:szCs w:val="11"/>
                <w:color w:val="auto"/>
                <w:w w:val="97"/>
              </w:rPr>
              <w:t>10</w:t>
            </w:r>
          </w:p>
        </w:tc>
        <w:tc>
          <w:tcPr>
            <w:tcW w:w="460" w:type="dxa"/>
            <w:vAlign w:val="bottom"/>
          </w:tcPr>
          <w:p>
            <w:pPr>
              <w:ind w:left="20"/>
              <w:spacing w:after="0" w:line="122" w:lineRule="exact"/>
              <w:rPr>
                <w:sz w:val="20"/>
                <w:szCs w:val="20"/>
                <w:color w:val="auto"/>
              </w:rPr>
            </w:pPr>
            <w:r>
              <w:rPr>
                <w:rFonts w:ascii="Arial" w:cs="Arial" w:eastAsia="Arial" w:hAnsi="Arial"/>
                <w:sz w:val="11"/>
                <w:szCs w:val="11"/>
                <w:color w:val="auto"/>
              </w:rPr>
              <w:t>(3.2)</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(1.7)</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(0.9)</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Nasopharyngitis</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(4.2)</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(5.4)</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(4.8)</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center"/>
              <w:ind w:right="106"/>
              <w:spacing w:after="0" w:line="122" w:lineRule="exact"/>
              <w:rPr>
                <w:sz w:val="20"/>
                <w:szCs w:val="20"/>
                <w:color w:val="auto"/>
              </w:rPr>
            </w:pPr>
            <w:r>
              <w:rPr>
                <w:rFonts w:ascii="Arial" w:cs="Arial" w:eastAsia="Arial" w:hAnsi="Arial"/>
                <w:sz w:val="11"/>
                <w:szCs w:val="11"/>
                <w:color w:val="auto"/>
                <w:w w:val="94"/>
              </w:rPr>
              <w:t>10 (6.4)</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(3.8)</w:t>
            </w:r>
          </w:p>
        </w:tc>
        <w:tc>
          <w:tcPr>
            <w:tcW w:w="1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center"/>
              <w:ind w:left="168"/>
              <w:spacing w:after="0" w:line="122" w:lineRule="exact"/>
              <w:rPr>
                <w:sz w:val="20"/>
                <w:szCs w:val="20"/>
                <w:color w:val="auto"/>
              </w:rPr>
            </w:pPr>
            <w:r>
              <w:rPr>
                <w:rFonts w:ascii="Arial" w:cs="Arial" w:eastAsia="Arial" w:hAnsi="Arial"/>
                <w:sz w:val="11"/>
                <w:szCs w:val="11"/>
                <w:color w:val="auto"/>
                <w:w w:val="97"/>
              </w:rPr>
              <w:t>23</w:t>
            </w:r>
          </w:p>
        </w:tc>
        <w:tc>
          <w:tcPr>
            <w:tcW w:w="4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(7.4)</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(5.2)</w:t>
            </w:r>
          </w:p>
        </w:tc>
        <w:tc>
          <w:tcPr>
            <w:tcW w:w="960" w:type="dxa"/>
            <w:vAlign w:val="bottom"/>
            <w:gridSpan w:val="3"/>
            <w:shd w:val="clear" w:color="auto" w:fill="CCEEFF"/>
          </w:tcPr>
          <w:p>
            <w:pPr>
              <w:jc w:val="center"/>
              <w:ind w:left="86"/>
              <w:spacing w:after="0" w:line="122" w:lineRule="exact"/>
              <w:rPr>
                <w:sz w:val="20"/>
                <w:szCs w:val="20"/>
                <w:color w:val="auto"/>
              </w:rPr>
            </w:pPr>
            <w:r>
              <w:rPr>
                <w:rFonts w:ascii="Arial" w:cs="Arial" w:eastAsia="Arial" w:hAnsi="Arial"/>
                <w:sz w:val="11"/>
                <w:szCs w:val="11"/>
                <w:color w:val="auto"/>
                <w:w w:val="89"/>
              </w:rPr>
              <w:t>10 (8.7)</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(8.6)</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Nausea</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tcPr>
          <w:p>
            <w:pPr>
              <w:spacing w:after="0" w:line="122" w:lineRule="exact"/>
              <w:rPr>
                <w:sz w:val="20"/>
                <w:szCs w:val="20"/>
                <w:color w:val="auto"/>
              </w:rPr>
            </w:pPr>
            <w:r>
              <w:rPr>
                <w:rFonts w:ascii="Arial" w:cs="Arial" w:eastAsia="Arial" w:hAnsi="Arial"/>
                <w:sz w:val="11"/>
                <w:szCs w:val="11"/>
                <w:color w:val="auto"/>
              </w:rPr>
              <w:t>(4.2)</w:t>
            </w:r>
          </w:p>
        </w:tc>
        <w:tc>
          <w:tcPr>
            <w:tcW w:w="16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(5.4)</w:t>
            </w:r>
          </w:p>
        </w:tc>
        <w:tc>
          <w:tcPr>
            <w:tcW w:w="18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(6.2)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center"/>
              <w:ind w:right="106"/>
              <w:spacing w:after="0" w:line="122" w:lineRule="exact"/>
              <w:rPr>
                <w:sz w:val="20"/>
                <w:szCs w:val="20"/>
                <w:color w:val="auto"/>
              </w:rPr>
            </w:pPr>
            <w:r>
              <w:rPr>
                <w:rFonts w:ascii="Arial" w:cs="Arial" w:eastAsia="Arial" w:hAnsi="Arial"/>
                <w:sz w:val="11"/>
                <w:szCs w:val="11"/>
                <w:color w:val="auto"/>
                <w:w w:val="94"/>
              </w:rPr>
              <w:t>10 (6.4)</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(6.4)</w:t>
            </w:r>
          </w:p>
        </w:tc>
        <w:tc>
          <w:tcPr>
            <w:tcW w:w="160" w:type="dxa"/>
            <w:vAlign w:val="bottom"/>
          </w:tcPr>
          <w:p>
            <w:pPr>
              <w:spacing w:after="0"/>
              <w:rPr>
                <w:sz w:val="10"/>
                <w:szCs w:val="10"/>
                <w:color w:val="auto"/>
              </w:rPr>
            </w:pPr>
          </w:p>
        </w:tc>
        <w:tc>
          <w:tcPr>
            <w:tcW w:w="320" w:type="dxa"/>
            <w:vAlign w:val="bottom"/>
          </w:tcPr>
          <w:p>
            <w:pPr>
              <w:jc w:val="center"/>
              <w:ind w:left="188"/>
              <w:spacing w:after="0"/>
              <w:rPr>
                <w:sz w:val="20"/>
                <w:szCs w:val="20"/>
                <w:color w:val="auto"/>
              </w:rPr>
            </w:pPr>
            <w:r>
              <w:rPr>
                <w:rFonts w:ascii="Arial" w:cs="Arial" w:eastAsia="Arial" w:hAnsi="Arial"/>
                <w:sz w:val="10"/>
                <w:szCs w:val="10"/>
                <w:color w:val="auto"/>
                <w:w w:val="71"/>
              </w:rPr>
              <w:t>9</w:t>
            </w:r>
          </w:p>
        </w:tc>
        <w:tc>
          <w:tcPr>
            <w:tcW w:w="4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(2.9)</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(3.4)</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(5.2)</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Arthralgia</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(4.2)</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(2.7)</w:t>
            </w: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10 (6.8)</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(5.7)</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(5.1)</w:t>
            </w:r>
          </w:p>
        </w:tc>
        <w:tc>
          <w:tcPr>
            <w:tcW w:w="1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center"/>
              <w:ind w:left="168"/>
              <w:spacing w:after="0" w:line="122" w:lineRule="exact"/>
              <w:rPr>
                <w:sz w:val="20"/>
                <w:szCs w:val="20"/>
                <w:color w:val="auto"/>
              </w:rPr>
            </w:pPr>
            <w:r>
              <w:rPr>
                <w:rFonts w:ascii="Arial" w:cs="Arial" w:eastAsia="Arial" w:hAnsi="Arial"/>
                <w:sz w:val="11"/>
                <w:szCs w:val="11"/>
                <w:color w:val="auto"/>
                <w:w w:val="97"/>
              </w:rPr>
              <w:t>14</w:t>
            </w:r>
          </w:p>
        </w:tc>
        <w:tc>
          <w:tcPr>
            <w:tcW w:w="4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(4.5)</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(3.4)</w:t>
            </w:r>
          </w:p>
        </w:tc>
        <w:tc>
          <w:tcPr>
            <w:tcW w:w="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(6.1)</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center"/>
              <w:spacing w:after="0" w:line="122" w:lineRule="exact"/>
              <w:rPr>
                <w:sz w:val="20"/>
                <w:szCs w:val="20"/>
                <w:color w:val="auto"/>
              </w:rPr>
            </w:pPr>
            <w:r>
              <w:rPr>
                <w:rFonts w:ascii="Arial" w:cs="Arial" w:eastAsia="Arial" w:hAnsi="Arial"/>
                <w:sz w:val="11"/>
                <w:szCs w:val="11"/>
                <w:color w:val="auto"/>
                <w:w w:val="89"/>
              </w:rPr>
              <w:t>7 (12.1)</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Pain in extremity</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tcPr>
          <w:p>
            <w:pPr>
              <w:spacing w:after="0" w:line="122" w:lineRule="exact"/>
              <w:rPr>
                <w:sz w:val="20"/>
                <w:szCs w:val="20"/>
                <w:color w:val="auto"/>
              </w:rPr>
            </w:pPr>
            <w:r>
              <w:rPr>
                <w:rFonts w:ascii="Arial" w:cs="Arial" w:eastAsia="Arial" w:hAnsi="Arial"/>
                <w:sz w:val="11"/>
                <w:szCs w:val="11"/>
                <w:color w:val="auto"/>
              </w:rPr>
              <w:t>(1.4)</w:t>
            </w:r>
          </w:p>
        </w:tc>
        <w:tc>
          <w:tcPr>
            <w:tcW w:w="16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(2.7)</w:t>
            </w:r>
          </w:p>
        </w:tc>
        <w:tc>
          <w:tcPr>
            <w:tcW w:w="180" w:type="dxa"/>
            <w:vAlign w:val="bottom"/>
          </w:tcPr>
          <w:p>
            <w:pPr>
              <w:spacing w:after="0"/>
              <w:rPr>
                <w:sz w:val="10"/>
                <w:szCs w:val="10"/>
                <w:color w:val="auto"/>
              </w:rPr>
            </w:pPr>
          </w:p>
        </w:tc>
        <w:tc>
          <w:tcPr>
            <w:tcW w:w="80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4"/>
              </w:rPr>
              <w:t>10 (6.8)</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(1.3)</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(2.6)</w:t>
            </w:r>
          </w:p>
        </w:tc>
        <w:tc>
          <w:tcPr>
            <w:tcW w:w="160" w:type="dxa"/>
            <w:vAlign w:val="bottom"/>
          </w:tcPr>
          <w:p>
            <w:pPr>
              <w:spacing w:after="0"/>
              <w:rPr>
                <w:sz w:val="10"/>
                <w:szCs w:val="10"/>
                <w:color w:val="auto"/>
              </w:rPr>
            </w:pPr>
          </w:p>
        </w:tc>
        <w:tc>
          <w:tcPr>
            <w:tcW w:w="320" w:type="dxa"/>
            <w:vAlign w:val="bottom"/>
          </w:tcPr>
          <w:p>
            <w:pPr>
              <w:jc w:val="center"/>
              <w:ind w:left="188"/>
              <w:spacing w:after="0"/>
              <w:rPr>
                <w:sz w:val="20"/>
                <w:szCs w:val="20"/>
                <w:color w:val="auto"/>
              </w:rPr>
            </w:pPr>
            <w:r>
              <w:rPr>
                <w:rFonts w:ascii="Arial" w:cs="Arial" w:eastAsia="Arial" w:hAnsi="Arial"/>
                <w:sz w:val="10"/>
                <w:szCs w:val="10"/>
                <w:color w:val="auto"/>
                <w:w w:val="71"/>
              </w:rPr>
              <w:t>8</w:t>
            </w:r>
          </w:p>
        </w:tc>
        <w:tc>
          <w:tcPr>
            <w:tcW w:w="4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(2.6)</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(1.7)</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(3.5)</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Muscle spasms</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(4.2)</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(2.7)</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(2.7)</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center"/>
              <w:ind w:right="106"/>
              <w:spacing w:after="0" w:line="122" w:lineRule="exact"/>
              <w:rPr>
                <w:sz w:val="20"/>
                <w:szCs w:val="20"/>
                <w:color w:val="auto"/>
              </w:rPr>
            </w:pPr>
            <w:r>
              <w:rPr>
                <w:rFonts w:ascii="Arial" w:cs="Arial" w:eastAsia="Arial" w:hAnsi="Arial"/>
                <w:sz w:val="11"/>
                <w:szCs w:val="11"/>
                <w:color w:val="auto"/>
                <w:w w:val="94"/>
              </w:rPr>
              <w:t>10 (6.4)</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(2.6)</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center"/>
              <w:ind w:left="188"/>
              <w:spacing w:after="0"/>
              <w:rPr>
                <w:sz w:val="20"/>
                <w:szCs w:val="20"/>
                <w:color w:val="auto"/>
              </w:rPr>
            </w:pPr>
            <w:r>
              <w:rPr>
                <w:rFonts w:ascii="Arial" w:cs="Arial" w:eastAsia="Arial" w:hAnsi="Arial"/>
                <w:sz w:val="10"/>
                <w:szCs w:val="10"/>
                <w:color w:val="auto"/>
                <w:w w:val="71"/>
              </w:rPr>
              <w:t>4</w:t>
            </w:r>
          </w:p>
        </w:tc>
        <w:tc>
          <w:tcPr>
            <w:tcW w:w="4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(1.3)</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(7.0)</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Fatigue</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tcPr>
          <w:p>
            <w:pPr>
              <w:spacing w:after="0" w:line="122" w:lineRule="exact"/>
              <w:rPr>
                <w:sz w:val="20"/>
                <w:szCs w:val="20"/>
                <w:color w:val="auto"/>
              </w:rPr>
            </w:pPr>
            <w:r>
              <w:rPr>
                <w:rFonts w:ascii="Arial" w:cs="Arial" w:eastAsia="Arial" w:hAnsi="Arial"/>
                <w:sz w:val="11"/>
                <w:szCs w:val="11"/>
                <w:color w:val="auto"/>
              </w:rPr>
              <w:t>(2.8)</w:t>
            </w:r>
          </w:p>
        </w:tc>
        <w:tc>
          <w:tcPr>
            <w:tcW w:w="16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(8.1)</w:t>
            </w:r>
          </w:p>
        </w:tc>
        <w:tc>
          <w:tcPr>
            <w:tcW w:w="18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(4.8)</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(4.5)</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jc w:val="center"/>
              <w:ind w:right="266"/>
              <w:spacing w:after="0"/>
              <w:rPr>
                <w:sz w:val="20"/>
                <w:szCs w:val="20"/>
                <w:color w:val="auto"/>
              </w:rPr>
            </w:pPr>
            <w:r>
              <w:rPr>
                <w:rFonts w:ascii="Arial" w:cs="Arial" w:eastAsia="Arial" w:hAnsi="Arial"/>
                <w:sz w:val="10"/>
                <w:szCs w:val="10"/>
                <w:color w:val="auto"/>
                <w:w w:val="71"/>
              </w:rPr>
              <w:t>0</w:t>
            </w:r>
          </w:p>
        </w:tc>
        <w:tc>
          <w:tcPr>
            <w:tcW w:w="160" w:type="dxa"/>
            <w:vAlign w:val="bottom"/>
          </w:tcPr>
          <w:p>
            <w:pPr>
              <w:spacing w:after="0"/>
              <w:rPr>
                <w:sz w:val="10"/>
                <w:szCs w:val="10"/>
                <w:color w:val="auto"/>
              </w:rPr>
            </w:pPr>
          </w:p>
        </w:tc>
        <w:tc>
          <w:tcPr>
            <w:tcW w:w="320" w:type="dxa"/>
            <w:vAlign w:val="bottom"/>
          </w:tcPr>
          <w:p>
            <w:pPr>
              <w:jc w:val="center"/>
              <w:ind w:left="188"/>
              <w:spacing w:after="0"/>
              <w:rPr>
                <w:sz w:val="20"/>
                <w:szCs w:val="20"/>
                <w:color w:val="auto"/>
              </w:rPr>
            </w:pPr>
            <w:r>
              <w:rPr>
                <w:rFonts w:ascii="Arial" w:cs="Arial" w:eastAsia="Arial" w:hAnsi="Arial"/>
                <w:sz w:val="10"/>
                <w:szCs w:val="10"/>
                <w:color w:val="auto"/>
                <w:w w:val="71"/>
              </w:rPr>
              <w:t>6</w:t>
            </w:r>
          </w:p>
        </w:tc>
        <w:tc>
          <w:tcPr>
            <w:tcW w:w="4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(1.9)</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(4.3)</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Hypertension</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(8.3)</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(2.7)</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(3.4)</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(3.2)</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(2.6)</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center"/>
              <w:ind w:left="188"/>
              <w:spacing w:after="0"/>
              <w:rPr>
                <w:sz w:val="20"/>
                <w:szCs w:val="20"/>
                <w:color w:val="auto"/>
              </w:rPr>
            </w:pPr>
            <w:r>
              <w:rPr>
                <w:rFonts w:ascii="Arial" w:cs="Arial" w:eastAsia="Arial" w:hAnsi="Arial"/>
                <w:sz w:val="10"/>
                <w:szCs w:val="10"/>
                <w:color w:val="auto"/>
                <w:w w:val="71"/>
              </w:rPr>
              <w:t>6</w:t>
            </w:r>
          </w:p>
        </w:tc>
        <w:tc>
          <w:tcPr>
            <w:tcW w:w="4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(1.9)</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(3.4)</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Diarrhea</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480" w:type="dxa"/>
            <w:vAlign w:val="bottom"/>
          </w:tcPr>
          <w:p>
            <w:pPr>
              <w:spacing w:after="0" w:line="122" w:lineRule="exact"/>
              <w:rPr>
                <w:sz w:val="20"/>
                <w:szCs w:val="20"/>
                <w:color w:val="auto"/>
              </w:rPr>
            </w:pPr>
            <w:r>
              <w:rPr>
                <w:rFonts w:ascii="Arial" w:cs="Arial" w:eastAsia="Arial" w:hAnsi="Arial"/>
                <w:sz w:val="11"/>
                <w:szCs w:val="11"/>
                <w:color w:val="auto"/>
              </w:rPr>
              <w:t>(6.9)</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18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(6.2)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(5.7)</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(5.1)</w:t>
            </w:r>
          </w:p>
        </w:tc>
        <w:tc>
          <w:tcPr>
            <w:tcW w:w="160" w:type="dxa"/>
            <w:vAlign w:val="bottom"/>
          </w:tcPr>
          <w:p>
            <w:pPr>
              <w:spacing w:after="0"/>
              <w:rPr>
                <w:sz w:val="10"/>
                <w:szCs w:val="10"/>
                <w:color w:val="auto"/>
              </w:rPr>
            </w:pPr>
          </w:p>
        </w:tc>
        <w:tc>
          <w:tcPr>
            <w:tcW w:w="340" w:type="dxa"/>
            <w:vAlign w:val="bottom"/>
            <w:gridSpan w:val="2"/>
          </w:tcPr>
          <w:p>
            <w:pPr>
              <w:jc w:val="center"/>
              <w:ind w:left="168"/>
              <w:spacing w:after="0" w:line="122" w:lineRule="exact"/>
              <w:rPr>
                <w:sz w:val="20"/>
                <w:szCs w:val="20"/>
                <w:color w:val="auto"/>
              </w:rPr>
            </w:pPr>
            <w:r>
              <w:rPr>
                <w:rFonts w:ascii="Arial" w:cs="Arial" w:eastAsia="Arial" w:hAnsi="Arial"/>
                <w:sz w:val="11"/>
                <w:szCs w:val="11"/>
                <w:color w:val="auto"/>
                <w:w w:val="97"/>
              </w:rPr>
              <w:t>12</w:t>
            </w:r>
          </w:p>
        </w:tc>
        <w:tc>
          <w:tcPr>
            <w:tcW w:w="460" w:type="dxa"/>
            <w:vAlign w:val="bottom"/>
          </w:tcPr>
          <w:p>
            <w:pPr>
              <w:ind w:left="20"/>
              <w:spacing w:after="0" w:line="122" w:lineRule="exact"/>
              <w:rPr>
                <w:sz w:val="20"/>
                <w:szCs w:val="20"/>
                <w:color w:val="auto"/>
              </w:rPr>
            </w:pPr>
            <w:r>
              <w:rPr>
                <w:rFonts w:ascii="Arial" w:cs="Arial" w:eastAsia="Arial" w:hAnsi="Arial"/>
                <w:sz w:val="11"/>
                <w:szCs w:val="11"/>
                <w:color w:val="auto"/>
              </w:rPr>
              <w:t>(3.8)</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(5.2)</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(4.3)</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Back pain</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(6.9)</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(2.7)</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(2.1)</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(3.8)</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(3.8)</w:t>
            </w:r>
          </w:p>
        </w:tc>
        <w:tc>
          <w:tcPr>
            <w:tcW w:w="1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center"/>
              <w:ind w:left="168"/>
              <w:spacing w:after="0" w:line="122" w:lineRule="exact"/>
              <w:rPr>
                <w:sz w:val="20"/>
                <w:szCs w:val="20"/>
                <w:color w:val="auto"/>
              </w:rPr>
            </w:pPr>
            <w:r>
              <w:rPr>
                <w:rFonts w:ascii="Arial" w:cs="Arial" w:eastAsia="Arial" w:hAnsi="Arial"/>
                <w:sz w:val="11"/>
                <w:szCs w:val="11"/>
                <w:color w:val="auto"/>
                <w:w w:val="97"/>
              </w:rPr>
              <w:t>23</w:t>
            </w:r>
          </w:p>
        </w:tc>
        <w:tc>
          <w:tcPr>
            <w:tcW w:w="4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(7.4)</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(5.2)</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Bronchitis</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tcPr>
          <w:p>
            <w:pPr>
              <w:spacing w:after="0" w:line="122" w:lineRule="exact"/>
              <w:rPr>
                <w:sz w:val="20"/>
                <w:szCs w:val="20"/>
                <w:color w:val="auto"/>
              </w:rPr>
            </w:pPr>
            <w:r>
              <w:rPr>
                <w:rFonts w:ascii="Arial" w:cs="Arial" w:eastAsia="Arial" w:hAnsi="Arial"/>
                <w:sz w:val="11"/>
                <w:szCs w:val="11"/>
                <w:color w:val="auto"/>
              </w:rPr>
              <w:t>(5.6)</w:t>
            </w:r>
          </w:p>
        </w:tc>
        <w:tc>
          <w:tcPr>
            <w:tcW w:w="16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(5.4)</w:t>
            </w:r>
          </w:p>
        </w:tc>
        <w:tc>
          <w:tcPr>
            <w:tcW w:w="18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(2.1)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(1.3)</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(2.6)</w:t>
            </w:r>
          </w:p>
        </w:tc>
        <w:tc>
          <w:tcPr>
            <w:tcW w:w="160" w:type="dxa"/>
            <w:vAlign w:val="bottom"/>
          </w:tcPr>
          <w:p>
            <w:pPr>
              <w:spacing w:after="0"/>
              <w:rPr>
                <w:sz w:val="10"/>
                <w:szCs w:val="10"/>
                <w:color w:val="auto"/>
              </w:rPr>
            </w:pPr>
          </w:p>
        </w:tc>
        <w:tc>
          <w:tcPr>
            <w:tcW w:w="340" w:type="dxa"/>
            <w:vAlign w:val="bottom"/>
            <w:gridSpan w:val="2"/>
          </w:tcPr>
          <w:p>
            <w:pPr>
              <w:jc w:val="center"/>
              <w:ind w:left="168"/>
              <w:spacing w:after="0" w:line="122" w:lineRule="exact"/>
              <w:rPr>
                <w:sz w:val="20"/>
                <w:szCs w:val="20"/>
                <w:color w:val="auto"/>
              </w:rPr>
            </w:pPr>
            <w:r>
              <w:rPr>
                <w:rFonts w:ascii="Arial" w:cs="Arial" w:eastAsia="Arial" w:hAnsi="Arial"/>
                <w:sz w:val="11"/>
                <w:szCs w:val="11"/>
                <w:color w:val="auto"/>
                <w:w w:val="97"/>
              </w:rPr>
              <w:t>10</w:t>
            </w:r>
          </w:p>
        </w:tc>
        <w:tc>
          <w:tcPr>
            <w:tcW w:w="460" w:type="dxa"/>
            <w:vAlign w:val="bottom"/>
          </w:tcPr>
          <w:p>
            <w:pPr>
              <w:ind w:left="20"/>
              <w:spacing w:after="0" w:line="122" w:lineRule="exact"/>
              <w:rPr>
                <w:sz w:val="20"/>
                <w:szCs w:val="20"/>
                <w:color w:val="auto"/>
              </w:rPr>
            </w:pPr>
            <w:r>
              <w:rPr>
                <w:rFonts w:ascii="Arial" w:cs="Arial" w:eastAsia="Arial" w:hAnsi="Arial"/>
                <w:sz w:val="11"/>
                <w:szCs w:val="11"/>
                <w:color w:val="auto"/>
              </w:rPr>
              <w:t>(3.2)</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(0.9)</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Myalgia</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(5.6)</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(2.7)</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(2.7)</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(1.9)</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(1.3)</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center"/>
              <w:ind w:left="188"/>
              <w:spacing w:after="0"/>
              <w:rPr>
                <w:sz w:val="20"/>
                <w:szCs w:val="20"/>
                <w:color w:val="auto"/>
              </w:rPr>
            </w:pPr>
            <w:r>
              <w:rPr>
                <w:rFonts w:ascii="Arial" w:cs="Arial" w:eastAsia="Arial" w:hAnsi="Arial"/>
                <w:sz w:val="10"/>
                <w:szCs w:val="10"/>
                <w:color w:val="auto"/>
                <w:w w:val="71"/>
              </w:rPr>
              <w:t>9</w:t>
            </w:r>
          </w:p>
        </w:tc>
        <w:tc>
          <w:tcPr>
            <w:tcW w:w="4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(2.9)</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(5.2)</w:t>
            </w:r>
          </w:p>
        </w:tc>
        <w:tc>
          <w:tcPr>
            <w:tcW w:w="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(6.1)</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Urinary tract infection</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tcPr>
          <w:p>
            <w:pPr>
              <w:spacing w:after="0" w:line="122" w:lineRule="exact"/>
              <w:rPr>
                <w:sz w:val="20"/>
                <w:szCs w:val="20"/>
                <w:color w:val="auto"/>
              </w:rPr>
            </w:pPr>
            <w:r>
              <w:rPr>
                <w:rFonts w:ascii="Arial" w:cs="Arial" w:eastAsia="Arial" w:hAnsi="Arial"/>
                <w:sz w:val="11"/>
                <w:szCs w:val="11"/>
                <w:color w:val="auto"/>
              </w:rPr>
              <w:t>(2.8)</w:t>
            </w:r>
          </w:p>
        </w:tc>
        <w:tc>
          <w:tcPr>
            <w:tcW w:w="16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(2.7)</w:t>
            </w:r>
          </w:p>
        </w:tc>
        <w:tc>
          <w:tcPr>
            <w:tcW w:w="18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(4.8)</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(2.5)</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(6.4)</w:t>
            </w:r>
          </w:p>
        </w:tc>
        <w:tc>
          <w:tcPr>
            <w:tcW w:w="160" w:type="dxa"/>
            <w:vAlign w:val="bottom"/>
          </w:tcPr>
          <w:p>
            <w:pPr>
              <w:spacing w:after="0"/>
              <w:rPr>
                <w:sz w:val="10"/>
                <w:szCs w:val="10"/>
                <w:color w:val="auto"/>
              </w:rPr>
            </w:pPr>
          </w:p>
        </w:tc>
        <w:tc>
          <w:tcPr>
            <w:tcW w:w="340" w:type="dxa"/>
            <w:vAlign w:val="bottom"/>
            <w:gridSpan w:val="2"/>
          </w:tcPr>
          <w:p>
            <w:pPr>
              <w:jc w:val="center"/>
              <w:ind w:left="168"/>
              <w:spacing w:after="0" w:line="122" w:lineRule="exact"/>
              <w:rPr>
                <w:sz w:val="20"/>
                <w:szCs w:val="20"/>
                <w:color w:val="auto"/>
              </w:rPr>
            </w:pPr>
            <w:r>
              <w:rPr>
                <w:rFonts w:ascii="Arial" w:cs="Arial" w:eastAsia="Arial" w:hAnsi="Arial"/>
                <w:sz w:val="11"/>
                <w:szCs w:val="11"/>
                <w:color w:val="auto"/>
                <w:w w:val="97"/>
              </w:rPr>
              <w:t>15</w:t>
            </w:r>
          </w:p>
        </w:tc>
        <w:tc>
          <w:tcPr>
            <w:tcW w:w="460" w:type="dxa"/>
            <w:vAlign w:val="bottom"/>
          </w:tcPr>
          <w:p>
            <w:pPr>
              <w:ind w:left="20"/>
              <w:spacing w:after="0" w:line="122" w:lineRule="exact"/>
              <w:rPr>
                <w:sz w:val="20"/>
                <w:szCs w:val="20"/>
                <w:color w:val="auto"/>
              </w:rPr>
            </w:pPr>
            <w:r>
              <w:rPr>
                <w:rFonts w:ascii="Arial" w:cs="Arial" w:eastAsia="Arial" w:hAnsi="Arial"/>
                <w:sz w:val="11"/>
                <w:szCs w:val="11"/>
                <w:color w:val="auto"/>
              </w:rPr>
              <w:t>(4.8)</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(1.7)</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(3.5)</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Dizziness</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(4.2)</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(2.7)</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(3.4)</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(3.2)</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(2.6)</w:t>
            </w:r>
          </w:p>
        </w:tc>
        <w:tc>
          <w:tcPr>
            <w:tcW w:w="1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center"/>
              <w:ind w:left="168"/>
              <w:spacing w:after="0" w:line="122" w:lineRule="exact"/>
              <w:rPr>
                <w:sz w:val="20"/>
                <w:szCs w:val="20"/>
                <w:color w:val="auto"/>
              </w:rPr>
            </w:pPr>
            <w:r>
              <w:rPr>
                <w:rFonts w:ascii="Arial" w:cs="Arial" w:eastAsia="Arial" w:hAnsi="Arial"/>
                <w:sz w:val="11"/>
                <w:szCs w:val="11"/>
                <w:color w:val="auto"/>
                <w:w w:val="97"/>
              </w:rPr>
              <w:t>11</w:t>
            </w:r>
          </w:p>
        </w:tc>
        <w:tc>
          <w:tcPr>
            <w:tcW w:w="4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(3.5)</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(6.9)</w:t>
            </w:r>
          </w:p>
        </w:tc>
        <w:tc>
          <w:tcPr>
            <w:tcW w:w="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(0.9)</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(6.9)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Rash</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tcPr>
          <w:p>
            <w:pPr>
              <w:spacing w:after="0" w:line="122" w:lineRule="exact"/>
              <w:rPr>
                <w:sz w:val="20"/>
                <w:szCs w:val="20"/>
                <w:color w:val="auto"/>
              </w:rPr>
            </w:pPr>
            <w:r>
              <w:rPr>
                <w:rFonts w:ascii="Arial" w:cs="Arial" w:eastAsia="Arial" w:hAnsi="Arial"/>
                <w:sz w:val="11"/>
                <w:szCs w:val="11"/>
                <w:color w:val="auto"/>
              </w:rPr>
              <w:t>(2.8)</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18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(1.4)</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center"/>
              <w:ind w:right="266"/>
              <w:spacing w:after="0"/>
              <w:rPr>
                <w:sz w:val="20"/>
                <w:szCs w:val="20"/>
                <w:color w:val="auto"/>
              </w:rPr>
            </w:pPr>
            <w:r>
              <w:rPr>
                <w:rFonts w:ascii="Arial" w:cs="Arial" w:eastAsia="Arial" w:hAnsi="Arial"/>
                <w:sz w:val="10"/>
                <w:szCs w:val="10"/>
                <w:color w:val="auto"/>
                <w:w w:val="71"/>
              </w:rPr>
              <w:t>0</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(1.3)</w:t>
            </w:r>
          </w:p>
        </w:tc>
        <w:tc>
          <w:tcPr>
            <w:tcW w:w="160" w:type="dxa"/>
            <w:vAlign w:val="bottom"/>
          </w:tcPr>
          <w:p>
            <w:pPr>
              <w:spacing w:after="0"/>
              <w:rPr>
                <w:sz w:val="10"/>
                <w:szCs w:val="10"/>
                <w:color w:val="auto"/>
              </w:rPr>
            </w:pPr>
          </w:p>
        </w:tc>
        <w:tc>
          <w:tcPr>
            <w:tcW w:w="320" w:type="dxa"/>
            <w:vAlign w:val="bottom"/>
          </w:tcPr>
          <w:p>
            <w:pPr>
              <w:jc w:val="center"/>
              <w:ind w:left="188"/>
              <w:spacing w:after="0"/>
              <w:rPr>
                <w:sz w:val="20"/>
                <w:szCs w:val="20"/>
                <w:color w:val="auto"/>
              </w:rPr>
            </w:pPr>
            <w:r>
              <w:rPr>
                <w:rFonts w:ascii="Arial" w:cs="Arial" w:eastAsia="Arial" w:hAnsi="Arial"/>
                <w:sz w:val="10"/>
                <w:szCs w:val="10"/>
                <w:color w:val="auto"/>
                <w:w w:val="71"/>
              </w:rPr>
              <w:t>6</w:t>
            </w:r>
          </w:p>
        </w:tc>
        <w:tc>
          <w:tcPr>
            <w:tcW w:w="4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(1.9)</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(0.9)</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Contusion</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(2.8)</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(2.1)</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(5.1)</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(1.3)</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center"/>
              <w:ind w:left="188"/>
              <w:spacing w:after="0"/>
              <w:rPr>
                <w:sz w:val="20"/>
                <w:szCs w:val="20"/>
                <w:color w:val="auto"/>
              </w:rPr>
            </w:pPr>
            <w:r>
              <w:rPr>
                <w:rFonts w:ascii="Arial" w:cs="Arial" w:eastAsia="Arial" w:hAnsi="Arial"/>
                <w:sz w:val="10"/>
                <w:szCs w:val="10"/>
                <w:color w:val="auto"/>
                <w:w w:val="71"/>
              </w:rPr>
              <w:t>6</w:t>
            </w:r>
          </w:p>
        </w:tc>
        <w:tc>
          <w:tcPr>
            <w:tcW w:w="4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(1.9)</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(1.7)</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Fall</w:t>
            </w: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tcPr>
          <w:p>
            <w:pPr>
              <w:spacing w:after="0" w:line="122" w:lineRule="exact"/>
              <w:rPr>
                <w:sz w:val="20"/>
                <w:szCs w:val="20"/>
                <w:color w:val="auto"/>
              </w:rPr>
            </w:pPr>
            <w:r>
              <w:rPr>
                <w:rFonts w:ascii="Arial" w:cs="Arial" w:eastAsia="Arial" w:hAnsi="Arial"/>
                <w:sz w:val="11"/>
                <w:szCs w:val="11"/>
                <w:color w:val="auto"/>
              </w:rPr>
              <w:t>(1.4)</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18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(2.1)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(1.3)</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(1.3)</w:t>
            </w:r>
          </w:p>
        </w:tc>
        <w:tc>
          <w:tcPr>
            <w:tcW w:w="160" w:type="dxa"/>
            <w:vAlign w:val="bottom"/>
          </w:tcPr>
          <w:p>
            <w:pPr>
              <w:spacing w:after="0"/>
              <w:rPr>
                <w:sz w:val="10"/>
                <w:szCs w:val="10"/>
                <w:color w:val="auto"/>
              </w:rPr>
            </w:pPr>
          </w:p>
        </w:tc>
        <w:tc>
          <w:tcPr>
            <w:tcW w:w="320" w:type="dxa"/>
            <w:vAlign w:val="bottom"/>
          </w:tcPr>
          <w:p>
            <w:pPr>
              <w:jc w:val="center"/>
              <w:ind w:left="188"/>
              <w:spacing w:after="0"/>
              <w:rPr>
                <w:sz w:val="20"/>
                <w:szCs w:val="20"/>
                <w:color w:val="auto"/>
              </w:rPr>
            </w:pPr>
            <w:r>
              <w:rPr>
                <w:rFonts w:ascii="Arial" w:cs="Arial" w:eastAsia="Arial" w:hAnsi="Arial"/>
                <w:sz w:val="10"/>
                <w:szCs w:val="10"/>
                <w:color w:val="auto"/>
                <w:w w:val="71"/>
              </w:rPr>
              <w:t>7</w:t>
            </w:r>
          </w:p>
        </w:tc>
        <w:tc>
          <w:tcPr>
            <w:tcW w:w="4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(2.2)</w:t>
            </w:r>
          </w:p>
        </w:tc>
        <w:tc>
          <w:tcPr>
            <w:tcW w:w="1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(3.4)</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w:t>
            </w:r>
          </w:p>
        </w:tc>
        <w:tc>
          <w:tcPr>
            <w:tcW w:w="480" w:type="dxa"/>
            <w:vAlign w:val="bottom"/>
          </w:tcPr>
          <w:p>
            <w:pPr>
              <w:ind w:left="20"/>
              <w:spacing w:after="0" w:line="122" w:lineRule="exact"/>
              <w:rPr>
                <w:sz w:val="20"/>
                <w:szCs w:val="20"/>
                <w:color w:val="auto"/>
              </w:rPr>
            </w:pPr>
            <w:r>
              <w:rPr>
                <w:rFonts w:ascii="Arial" w:cs="Arial" w:eastAsia="Arial" w:hAnsi="Arial"/>
                <w:sz w:val="11"/>
                <w:szCs w:val="11"/>
                <w:color w:val="auto"/>
              </w:rPr>
              <w:t>(5.2)</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Arthropod bite</w:t>
            </w: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0</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(5.4)</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(2.1)</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(0.6)</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(1.3)</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center"/>
              <w:ind w:left="188"/>
              <w:spacing w:after="0"/>
              <w:rPr>
                <w:sz w:val="20"/>
                <w:szCs w:val="20"/>
                <w:color w:val="auto"/>
              </w:rPr>
            </w:pPr>
            <w:r>
              <w:rPr>
                <w:rFonts w:ascii="Arial" w:cs="Arial" w:eastAsia="Arial" w:hAnsi="Arial"/>
                <w:sz w:val="10"/>
                <w:szCs w:val="10"/>
                <w:color w:val="auto"/>
                <w:w w:val="71"/>
              </w:rPr>
              <w:t>2</w:t>
            </w:r>
          </w:p>
        </w:tc>
        <w:tc>
          <w:tcPr>
            <w:tcW w:w="4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(0.6)</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286"/>
              <w:spacing w:after="0" w:line="122" w:lineRule="exact"/>
              <w:rPr>
                <w:sz w:val="20"/>
                <w:szCs w:val="20"/>
                <w:color w:val="auto"/>
              </w:rPr>
            </w:pPr>
            <w:r>
              <w:rPr>
                <w:rFonts w:ascii="Arial" w:cs="Arial" w:eastAsia="Arial" w:hAnsi="Arial"/>
                <w:sz w:val="11"/>
                <w:szCs w:val="11"/>
                <w:color w:val="auto"/>
                <w:w w:val="97"/>
              </w:rPr>
              <w:t>0</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4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7" w:lineRule="exact"/>
        <w:rPr>
          <w:sz w:val="20"/>
          <w:szCs w:val="20"/>
          <w:color w:val="auto"/>
        </w:rPr>
      </w:pPr>
    </w:p>
    <w:p>
      <w:pPr>
        <w:ind w:right="1900"/>
        <w:spacing w:after="0" w:line="329" w:lineRule="auto"/>
        <w:rPr>
          <w:sz w:val="20"/>
          <w:szCs w:val="20"/>
          <w:color w:val="auto"/>
        </w:rPr>
      </w:pPr>
      <w:r>
        <w:rPr>
          <w:rFonts w:ascii="Arial" w:cs="Arial" w:eastAsia="Arial" w:hAnsi="Arial"/>
          <w:sz w:val="18"/>
          <w:szCs w:val="18"/>
          <w:color w:val="auto"/>
        </w:rPr>
        <w:t xml:space="preserve">*Dose/dosing frequency was adjusted at W12 to 150 mg Q2W if LDL-C goals were not reached at W8. SAE, serious adverse event. </w:t>
      </w:r>
      <w:r>
        <w:rPr>
          <w:rFonts w:ascii="Arial" w:cs="Arial" w:eastAsia="Arial" w:hAnsi="Arial"/>
          <w:sz w:val="18"/>
          <w:szCs w:val="18"/>
          <w:b w:val="1"/>
          <w:bCs w:val="1"/>
          <w:color w:val="auto"/>
        </w:rPr>
        <w:t>Conclusions</w:t>
      </w:r>
    </w:p>
    <w:p>
      <w:pPr>
        <w:spacing w:after="0" w:line="1" w:lineRule="exact"/>
        <w:rPr>
          <w:sz w:val="20"/>
          <w:szCs w:val="20"/>
          <w:color w:val="auto"/>
        </w:rPr>
      </w:pPr>
    </w:p>
    <w:p>
      <w:pPr>
        <w:ind w:left="340" w:right="140" w:hanging="332"/>
        <w:spacing w:after="0" w:line="250" w:lineRule="auto"/>
        <w:tabs>
          <w:tab w:leader="none" w:pos="30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Alirocumab 150 mg and 300 mg Q4W, with possible dose regimen adjustment (to alirocumab 150 mg Q2W) at W12 if goals not reached at W8, demonstrated significant reductions in LDL-C levels versus placebo in patients with inadequately controlled baseline levels of LDL-C. Alirocumab was generally well-tolerated across the study groups.</w:t>
      </w:r>
    </w:p>
    <w:p>
      <w:pPr>
        <w:spacing w:after="0" w:line="1" w:lineRule="exact"/>
        <w:rPr>
          <w:rFonts w:ascii="Arial" w:cs="Arial" w:eastAsia="Arial" w:hAnsi="Arial"/>
          <w:sz w:val="18"/>
          <w:szCs w:val="18"/>
          <w:color w:val="auto"/>
        </w:rPr>
      </w:pPr>
    </w:p>
    <w:p>
      <w:pPr>
        <w:ind w:left="340" w:right="400" w:hanging="332"/>
        <w:spacing w:after="0" w:line="250" w:lineRule="auto"/>
        <w:tabs>
          <w:tab w:leader="none" w:pos="30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higher ISR rate observed in CHOICE I and II versus earlier ODYSSEY studies could potentially be a factor of two 1 mL injections at each administration (CHOICE I only; previous ODYSSEY studies had one 1 mL injection at each administration) and/or more frequent study visits (both studies).</w:t>
      </w:r>
    </w:p>
    <w:p>
      <w:pPr>
        <w:spacing w:after="0" w:line="1" w:lineRule="exact"/>
        <w:rPr>
          <w:rFonts w:ascii="Arial" w:cs="Arial" w:eastAsia="Arial" w:hAnsi="Arial"/>
          <w:sz w:val="18"/>
          <w:szCs w:val="18"/>
          <w:color w:val="auto"/>
        </w:rPr>
      </w:pPr>
    </w:p>
    <w:p>
      <w:pPr>
        <w:ind w:left="340" w:right="140" w:hanging="332"/>
        <w:spacing w:after="0" w:line="290" w:lineRule="auto"/>
        <w:tabs>
          <w:tab w:leader="none" w:pos="304" w:val="left"/>
        </w:tabs>
        <w:numPr>
          <w:ilvl w:val="0"/>
          <w:numId w:val="9"/>
        </w:numPr>
        <w:rPr>
          <w:rFonts w:ascii="Arial" w:cs="Arial" w:eastAsia="Arial" w:hAnsi="Arial"/>
          <w:sz w:val="17"/>
          <w:szCs w:val="17"/>
          <w:color w:val="auto"/>
        </w:rPr>
      </w:pPr>
      <w:r>
        <w:rPr>
          <w:rFonts w:ascii="Arial" w:cs="Arial" w:eastAsia="Arial" w:hAnsi="Arial"/>
          <w:sz w:val="17"/>
          <w:szCs w:val="17"/>
          <w:color w:val="auto"/>
        </w:rPr>
        <w:t>Besides confirming good efficacy as well as safety for alirocumab, these data show that dosing of alirocumab aiming to achieve target LDL-C levels can be optimized according to the presence of background statin, baseline LDL-C level, and CV risk (affecting LDL-C target level).</w:t>
      </w:r>
    </w:p>
    <w:p>
      <w:pPr>
        <w:sectPr>
          <w:pgSz w:w="11900" w:h="16838" w:orient="portrait"/>
          <w:cols w:equalWidth="0" w:num="1">
            <w:col w:w="11420"/>
          </w:cols>
          <w:pgMar w:left="240" w:top="1440" w:right="239" w:bottom="0" w:gutter="0" w:footer="0" w:header="0"/>
        </w:sectPr>
      </w:pPr>
    </w:p>
    <w:bookmarkStart w:id="6" w:name="page7"/>
    <w:bookmarkEnd w:id="6"/>
    <w:p>
      <w:pPr>
        <w:ind w:left="340" w:right="60" w:hanging="332"/>
        <w:spacing w:after="0" w:line="308" w:lineRule="auto"/>
        <w:tabs>
          <w:tab w:leader="none" w:pos="304"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aggregate, alirocumab Q4W and Q2W dosing regimens have the potential to allow physicians a choice in selecting an LDL-C-lowering regimen that is tailored to an individual patient’s requirements according to their background statin, LLT status, baseline LDL-C level, and CV risk.</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2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Hess G, et al. </w:t>
      </w:r>
      <w:r>
        <w:rPr>
          <w:rFonts w:ascii="Arial" w:cs="Arial" w:eastAsia="Arial" w:hAnsi="Arial"/>
          <w:sz w:val="18"/>
          <w:szCs w:val="18"/>
          <w:i w:val="1"/>
          <w:iCs w:val="1"/>
          <w:color w:val="auto"/>
        </w:rPr>
        <w:t>Curr Med Res Opin</w:t>
      </w:r>
      <w:r>
        <w:rPr>
          <w:rFonts w:ascii="Arial" w:cs="Arial" w:eastAsia="Arial" w:hAnsi="Arial"/>
          <w:sz w:val="18"/>
          <w:szCs w:val="18"/>
          <w:color w:val="auto"/>
        </w:rPr>
        <w:t>. 2014;10:1—14</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Huijgen R, et al. </w:t>
      </w:r>
      <w:r>
        <w:rPr>
          <w:rFonts w:ascii="Arial" w:cs="Arial" w:eastAsia="Arial" w:hAnsi="Arial"/>
          <w:sz w:val="18"/>
          <w:szCs w:val="18"/>
          <w:i w:val="1"/>
          <w:iCs w:val="1"/>
          <w:color w:val="auto"/>
        </w:rPr>
        <w:t>PLoS One</w:t>
      </w:r>
      <w:r>
        <w:rPr>
          <w:rFonts w:ascii="Arial" w:cs="Arial" w:eastAsia="Arial" w:hAnsi="Arial"/>
          <w:sz w:val="18"/>
          <w:szCs w:val="18"/>
          <w:color w:val="auto"/>
        </w:rPr>
        <w:t>. 2010;5:e9220</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Rosenson RS, et al. </w:t>
      </w:r>
      <w:r>
        <w:rPr>
          <w:rFonts w:ascii="Arial" w:cs="Arial" w:eastAsia="Arial" w:hAnsi="Arial"/>
          <w:sz w:val="18"/>
          <w:szCs w:val="18"/>
          <w:i w:val="1"/>
          <w:iCs w:val="1"/>
          <w:color w:val="auto"/>
        </w:rPr>
        <w:t>J Clin Lipidol</w:t>
      </w:r>
      <w:r>
        <w:rPr>
          <w:rFonts w:ascii="Arial" w:cs="Arial" w:eastAsia="Arial" w:hAnsi="Arial"/>
          <w:sz w:val="18"/>
          <w:szCs w:val="18"/>
          <w:color w:val="auto"/>
        </w:rPr>
        <w:t>. 2014;8:S58—71.</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Rey J, et al. 2014 ACC Abstract #1183/131 (http://content.onlinejacc.org/article. aspx?articleid=1855597)</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Reiner Z, et al. </w:t>
      </w:r>
      <w:r>
        <w:rPr>
          <w:rFonts w:ascii="Arial" w:cs="Arial" w:eastAsia="Arial" w:hAnsi="Arial"/>
          <w:sz w:val="18"/>
          <w:szCs w:val="18"/>
          <w:i w:val="1"/>
          <w:iCs w:val="1"/>
          <w:color w:val="auto"/>
        </w:rPr>
        <w:t>Eur Heart J</w:t>
      </w:r>
      <w:r>
        <w:rPr>
          <w:rFonts w:ascii="Arial" w:cs="Arial" w:eastAsia="Arial" w:hAnsi="Arial"/>
          <w:sz w:val="18"/>
          <w:szCs w:val="18"/>
          <w:color w:val="auto"/>
        </w:rPr>
        <w:t>. 2011;32:1769—1818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Acknowledgments</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ODYSSEY CHOICE I and CHOICE II studies were funded by Sanofi and Regeneron. Medical writing support was provided by Susanne Ulm of Prime Medica Ltd., Knutsford, Cheshire, UK, supported by Sanofi and Regeneron.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 Stroes received research/research grants from BMS, Amgen, Merck, and Sanofi.</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J.R. Guyton received consulting/honoraria fees from Amgen Inc., ARMCO, Novella, and Regeneron, and research/research grants from Amarin, Amgen Inc., Regeneron, and Sanofi-Aventis.</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M. Farnier has received research support from Amgen, Merck, and Sanofi, speaker’s bureau fees from Amgen, Sanofi, and Merck, honoraria from Abbott, Eli Lilly, and Pfizer, and consultant/advisory board fees from Astra Zenaca, Roche, Kowa, Recordati, SMB, Amgen, Sanofi, and Merck. D. Rader received consultant/advisory board fees from Sanofi.</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 M. Moriarty received research grants from Pfizer, Catabasis, Espirion, B. Braun, Kaneka, Amgen, Kowa, Lilly, Novartis, Sanofi, Regeneron, and Genzyme, and received honoraria from Amarin and Kowa; is a consultant for Regeneron, Duke Clinical Research Institute, Lilly, Catabasis, B. Braun, Kaneka, and Genzyme.</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J. Bergeron received consultant/advisory board fees from Amgen (Canada) and Sanofi (Canada), and gave educational lecture to GPs for Merck (Canada) and Valeant.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 Langslet received consultant/advisory board fees from Amgen, Sanofi-Aventis, and Janssen Pharmaceuticals.</w:t>
      </w:r>
    </w:p>
    <w:p>
      <w:pPr>
        <w:spacing w:after="0" w:line="9"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N. Lepor has received consultant fees/honoraria from Gilead, Quest Diagnostics, and Takeda, has a role in US Medical Innovations, received research/research grants from Amarin, Amgen, Gilead, Novartis, Regeneron, and Sanofi, and is a member of speaker’s bureau for Abbott, Arbor, Astellas Pharma US, Boerhinger-Ingelheim, Bristol Myers Squibb, Eli Lilly/Diachi Sankyo, Gilead, Pfizer, and Vivus. F. Civeira received grants, consulting fees, and/or honoraria from Amgen, Merck, and Sanofi.</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D. Gaudet received consultant/honoraria fees from Amgen, Catabasis, Chiesi, Novartis, Regeneron, and Sanofi-Aventis, and research/research grants from Aegerion Pharmaceuticals, Amgen, Astra Zeneca, Catabasis, Eli Lilly, Genzyme Corporation, ISIS Pharmaceuticals, Merck, Novartis, Pfizer, Regeneron, and Sanofi-Aventis.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G.F. Watts has nothing to disclose.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 Manvelian is an employee and a stockholder of Regeneron.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 Lecorps is an employee and stockholder of Sanofi.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Zhao is an employee of Regeneron (contractor).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M.T. Baccara-Dinet is an employee of Sanofi.</w:t>
      </w:r>
    </w:p>
    <w:p>
      <w:pPr>
        <w:spacing w:after="0" w:line="9" w:lineRule="exact"/>
        <w:rPr>
          <w:sz w:val="20"/>
          <w:szCs w:val="20"/>
          <w:color w:val="auto"/>
        </w:rPr>
      </w:pPr>
    </w:p>
    <w:p>
      <w:pPr>
        <w:ind w:right="1220"/>
        <w:spacing w:after="0" w:line="290" w:lineRule="auto"/>
        <w:rPr>
          <w:sz w:val="20"/>
          <w:szCs w:val="20"/>
          <w:color w:val="auto"/>
        </w:rPr>
      </w:pPr>
      <w:r>
        <w:rPr>
          <w:rFonts w:ascii="Arial" w:cs="Arial" w:eastAsia="Arial" w:hAnsi="Arial"/>
          <w:sz w:val="17"/>
          <w:szCs w:val="17"/>
          <w:color w:val="auto"/>
        </w:rPr>
        <w:t xml:space="preserve">E.M. Roth is employed by a company that has received research funds and has received consulting fees from Regeneron, Sanofi, and Amgen. Poster presented at the </w:t>
      </w:r>
      <w:r>
        <w:rPr>
          <w:rFonts w:ascii="Arial" w:cs="Arial" w:eastAsia="Arial" w:hAnsi="Arial"/>
          <w:sz w:val="17"/>
          <w:szCs w:val="17"/>
          <w:i w:val="1"/>
          <w:iCs w:val="1"/>
          <w:color w:val="auto"/>
        </w:rPr>
        <w:t>American College of Cardiology Congress, March 14—16, 2015, San Diego, CA,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left="92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169545</wp:posOffset>
            </wp:positionV>
            <wp:extent cx="6689090" cy="7821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89090" cy="782129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6689090" cy="7821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89090" cy="782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6689090" cy="7821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89090" cy="782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6689090" cy="78212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89090" cy="782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6689090" cy="78212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89090" cy="782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6689090" cy="78212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89090" cy="782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6689090" cy="7821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89090" cy="7821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2019-12-06T05:54:41Z</dcterms:created>
  <dcterms:modified xsi:type="dcterms:W3CDTF">2019-12-06T05:54:41Z</dcterms:modified>
</cp:coreProperties>
</file>