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0001697422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1"/>
        <w:gridCol w:w="4014"/>
      </w:tblGrid>
      <w:tr>
        <w:trPr/>
        <w:tc>
          <w:tcPr>
            <w:tcW w:w="6191" w:type="dxa"/>
            <w:tcBorders/>
            <w:vAlign w:val="center"/>
          </w:tcPr>
          <w:p>
            <w:pPr>
              <w:pStyle w:val="TableContents"/>
              <w:bidi w:val="0"/>
              <w:spacing w:before="0" w:after="283"/>
              <w:jc w:val="left"/>
              <w:rPr/>
            </w:pPr>
            <w:r>
              <w:rPr/>
              <w:t>Name of Issuer</w:t>
            </w:r>
          </w:p>
        </w:tc>
        <w:tc>
          <w:tcPr>
            <w:tcW w:w="4014" w:type="dxa"/>
            <w:tcBorders/>
            <w:vAlign w:val="center"/>
          </w:tcPr>
          <w:p>
            <w:pPr>
              <w:pStyle w:val="TableContents"/>
              <w:bidi w:val="0"/>
              <w:spacing w:before="0" w:after="0"/>
              <w:jc w:val="left"/>
              <w:rPr/>
            </w:pPr>
            <w:r>
              <w:rPr/>
              <w:t>Regeneron Pharmaceuticals, Inc.</w:t>
            </w:r>
          </w:p>
        </w:tc>
      </w:tr>
      <w:tr>
        <w:trPr/>
        <w:tc>
          <w:tcPr>
            <w:tcW w:w="6191" w:type="dxa"/>
            <w:tcBorders/>
            <w:vAlign w:val="center"/>
          </w:tcPr>
          <w:p>
            <w:pPr>
              <w:pStyle w:val="TableContents"/>
              <w:bidi w:val="0"/>
              <w:spacing w:before="0" w:after="283"/>
              <w:jc w:val="left"/>
              <w:rPr/>
            </w:pPr>
            <w:r>
              <w:rPr/>
              <w:t>SEC File Number</w:t>
            </w:r>
          </w:p>
        </w:tc>
        <w:tc>
          <w:tcPr>
            <w:tcW w:w="4014" w:type="dxa"/>
            <w:tcBorders/>
            <w:vAlign w:val="center"/>
          </w:tcPr>
          <w:p>
            <w:pPr>
              <w:pStyle w:val="TableContents"/>
              <w:bidi w:val="0"/>
              <w:spacing w:before="0" w:after="0"/>
              <w:jc w:val="left"/>
              <w:rPr/>
            </w:pPr>
            <w:r>
              <w:rPr/>
              <w:t>000-19034</w:t>
            </w:r>
          </w:p>
        </w:tc>
      </w:tr>
      <w:tr>
        <w:trPr/>
        <w:tc>
          <w:tcPr>
            <w:tcW w:w="6191" w:type="dxa"/>
            <w:tcBorders/>
            <w:vAlign w:val="center"/>
          </w:tcPr>
          <w:p>
            <w:pPr>
              <w:pStyle w:val="TableContents"/>
              <w:bidi w:val="0"/>
              <w:spacing w:before="0" w:after="283"/>
              <w:jc w:val="left"/>
              <w:rPr/>
            </w:pPr>
            <w:r>
              <w:rPr/>
              <w:t>Address of Issuer</w:t>
            </w:r>
          </w:p>
        </w:tc>
        <w:tc>
          <w:tcPr>
            <w:tcW w:w="4014" w:type="dxa"/>
            <w:tcBorders/>
            <w:vAlign w:val="center"/>
          </w:tcPr>
          <w:p>
            <w:pPr>
              <w:pStyle w:val="TableContents"/>
              <w:bidi w:val="0"/>
              <w:spacing w:before="0" w:after="0"/>
              <w:jc w:val="left"/>
              <w:rPr/>
            </w:pPr>
            <w:r>
              <w:rPr/>
              <w:t>777 Old Saw Mill River Road</w:t>
              <w:br/>
              <w:t>Tarrytown</w:t>
              <w:br/>
              <w:t xml:space="preserve">NEW YORK </w:t>
              <w:br/>
              <w:t>10591</w:t>
            </w:r>
          </w:p>
        </w:tc>
      </w:tr>
      <w:tr>
        <w:trPr/>
        <w:tc>
          <w:tcPr>
            <w:tcW w:w="6191" w:type="dxa"/>
            <w:tcBorders/>
            <w:vAlign w:val="center"/>
          </w:tcPr>
          <w:p>
            <w:pPr>
              <w:pStyle w:val="TableContents"/>
              <w:bidi w:val="0"/>
              <w:spacing w:before="0" w:after="283"/>
              <w:jc w:val="left"/>
              <w:rPr/>
            </w:pPr>
            <w:r>
              <w:rPr/>
              <w:t>Phone</w:t>
            </w:r>
          </w:p>
        </w:tc>
        <w:tc>
          <w:tcPr>
            <w:tcW w:w="4014" w:type="dxa"/>
            <w:tcBorders/>
            <w:vAlign w:val="center"/>
          </w:tcPr>
          <w:p>
            <w:pPr>
              <w:pStyle w:val="TableContents"/>
              <w:bidi w:val="0"/>
              <w:spacing w:before="0" w:after="0"/>
              <w:jc w:val="left"/>
              <w:rPr/>
            </w:pPr>
            <w:r>
              <w:rPr/>
              <w:t>914-847-7000</w:t>
            </w:r>
          </w:p>
        </w:tc>
      </w:tr>
      <w:tr>
        <w:trPr/>
        <w:tc>
          <w:tcPr>
            <w:tcW w:w="6191" w:type="dxa"/>
            <w:tcBorders/>
            <w:vAlign w:val="center"/>
          </w:tcPr>
          <w:p>
            <w:pPr>
              <w:pStyle w:val="TableContents"/>
              <w:bidi w:val="0"/>
              <w:spacing w:before="0" w:after="283"/>
              <w:jc w:val="left"/>
              <w:rPr/>
            </w:pPr>
            <w:r>
              <w:rPr/>
              <w:t>Name of Person for Whose Account the Securities are To Be Sold</w:t>
            </w:r>
          </w:p>
        </w:tc>
        <w:tc>
          <w:tcPr>
            <w:tcW w:w="4014" w:type="dxa"/>
            <w:tcBorders/>
            <w:vAlign w:val="center"/>
          </w:tcPr>
          <w:p>
            <w:pPr>
              <w:pStyle w:val="TableContents"/>
              <w:bidi w:val="0"/>
              <w:spacing w:before="0" w:after="0"/>
              <w:jc w:val="left"/>
              <w:rPr/>
            </w:pPr>
            <w:r>
              <w:rPr/>
              <w:t>Christopher Fenimore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1" w:type="dxa"/>
            <w:tcBorders/>
            <w:vAlign w:val="center"/>
          </w:tcPr>
          <w:p>
            <w:pPr>
              <w:pStyle w:val="TableContents"/>
              <w:bidi w:val="0"/>
              <w:spacing w:before="0" w:after="283"/>
              <w:jc w:val="left"/>
              <w:rPr/>
            </w:pPr>
            <w:r>
              <w:rPr/>
              <w:t>Relationship to Issuer</w:t>
            </w:r>
          </w:p>
        </w:tc>
        <w:tc>
          <w:tcPr>
            <w:tcW w:w="40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9"/>
        <w:gridCol w:w="1675"/>
        <w:gridCol w:w="1138"/>
        <w:gridCol w:w="1431"/>
        <w:gridCol w:w="1525"/>
        <w:gridCol w:w="1551"/>
        <w:gridCol w:w="1376"/>
      </w:tblGrid>
      <w:tr>
        <w:trPr/>
        <w:tc>
          <w:tcPr>
            <w:tcW w:w="1509" w:type="dxa"/>
            <w:tcBorders/>
            <w:vAlign w:val="center"/>
          </w:tcPr>
          <w:p>
            <w:pPr>
              <w:pStyle w:val="TableHeading"/>
              <w:suppressLineNumbers/>
              <w:bidi w:val="0"/>
              <w:spacing w:before="0" w:after="283"/>
              <w:jc w:val="center"/>
              <w:rPr/>
            </w:pPr>
            <w:r>
              <w:rPr/>
              <w:t>Title of the Class of Securities To Be Sold</w:t>
            </w:r>
          </w:p>
        </w:tc>
        <w:tc>
          <w:tcPr>
            <w:tcW w:w="1675" w:type="dxa"/>
            <w:tcBorders/>
            <w:vAlign w:val="center"/>
          </w:tcPr>
          <w:p>
            <w:pPr>
              <w:pStyle w:val="TableHeading"/>
              <w:suppressLineNumbers/>
              <w:bidi w:val="0"/>
              <w:spacing w:before="0" w:after="283"/>
              <w:jc w:val="center"/>
              <w:rPr/>
            </w:pPr>
            <w:r>
              <w:rPr/>
              <w:t>Name and Address of the Broker</w:t>
            </w:r>
          </w:p>
        </w:tc>
        <w:tc>
          <w:tcPr>
            <w:tcW w:w="1138" w:type="dxa"/>
            <w:tcBorders/>
            <w:vAlign w:val="center"/>
          </w:tcPr>
          <w:p>
            <w:pPr>
              <w:pStyle w:val="TableHeading"/>
              <w:suppressLineNumbers/>
              <w:bidi w:val="0"/>
              <w:spacing w:before="0" w:after="283"/>
              <w:jc w:val="center"/>
              <w:rPr/>
            </w:pPr>
            <w:r>
              <w:rPr/>
              <w:t>Number of Shares or Other Units To Be Sold</w:t>
            </w:r>
          </w:p>
        </w:tc>
        <w:tc>
          <w:tcPr>
            <w:tcW w:w="1431" w:type="dxa"/>
            <w:tcBorders/>
            <w:vAlign w:val="center"/>
          </w:tcPr>
          <w:p>
            <w:pPr>
              <w:pStyle w:val="TableHeading"/>
              <w:suppressLineNumbers/>
              <w:bidi w:val="0"/>
              <w:spacing w:before="0" w:after="283"/>
              <w:jc w:val="center"/>
              <w:rPr/>
            </w:pPr>
            <w:r>
              <w:rPr/>
              <w:t>Aggregate Market Value</w:t>
            </w:r>
          </w:p>
        </w:tc>
        <w:tc>
          <w:tcPr>
            <w:tcW w:w="1525" w:type="dxa"/>
            <w:tcBorders/>
            <w:vAlign w:val="center"/>
          </w:tcPr>
          <w:p>
            <w:pPr>
              <w:pStyle w:val="TableHeading"/>
              <w:suppressLineNumbers/>
              <w:bidi w:val="0"/>
              <w:spacing w:before="0" w:after="283"/>
              <w:jc w:val="center"/>
              <w:rPr/>
            </w:pPr>
            <w:r>
              <w:rPr/>
              <w:t>Number of Shares or Other Units Outstanding</w:t>
            </w:r>
          </w:p>
        </w:tc>
        <w:tc>
          <w:tcPr>
            <w:tcW w:w="1551" w:type="dxa"/>
            <w:tcBorders/>
            <w:vAlign w:val="center"/>
          </w:tcPr>
          <w:p>
            <w:pPr>
              <w:pStyle w:val="TableHeading"/>
              <w:suppressLineNumbers/>
              <w:bidi w:val="0"/>
              <w:spacing w:before="0" w:after="283"/>
              <w:jc w:val="center"/>
              <w:rPr/>
            </w:pPr>
            <w:r>
              <w:rPr/>
              <w:t>Approximate Date of Sale</w:t>
            </w:r>
          </w:p>
        </w:tc>
        <w:tc>
          <w:tcPr>
            <w:tcW w:w="1376" w:type="dxa"/>
            <w:tcBorders/>
            <w:vAlign w:val="center"/>
          </w:tcPr>
          <w:p>
            <w:pPr>
              <w:pStyle w:val="TableHeading"/>
              <w:suppressLineNumbers/>
              <w:bidi w:val="0"/>
              <w:spacing w:before="0" w:after="283"/>
              <w:jc w:val="center"/>
              <w:rPr/>
            </w:pPr>
            <w:r>
              <w:rPr/>
              <w:t>Name the Securities Exchange</w:t>
            </w:r>
          </w:p>
        </w:tc>
      </w:tr>
      <w:tr>
        <w:trPr/>
        <w:tc>
          <w:tcPr>
            <w:tcW w:w="1509" w:type="dxa"/>
            <w:tcBorders/>
            <w:vAlign w:val="center"/>
          </w:tcPr>
          <w:p>
            <w:pPr>
              <w:pStyle w:val="TableContents"/>
              <w:bidi w:val="0"/>
              <w:spacing w:before="0" w:after="283"/>
              <w:jc w:val="left"/>
              <w:rPr/>
            </w:pPr>
            <w:r>
              <w:rPr/>
              <w:t>Common Stock</w:t>
            </w:r>
          </w:p>
        </w:tc>
        <w:tc>
          <w:tcPr>
            <w:tcW w:w="167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38" w:type="dxa"/>
            <w:tcBorders/>
            <w:vAlign w:val="center"/>
          </w:tcPr>
          <w:p>
            <w:pPr>
              <w:pStyle w:val="TableContents"/>
              <w:bidi w:val="0"/>
              <w:spacing w:before="0" w:after="283"/>
              <w:jc w:val="left"/>
              <w:rPr/>
            </w:pPr>
            <w:r>
              <w:rPr/>
              <w:t>5680</w:t>
            </w:r>
          </w:p>
        </w:tc>
        <w:tc>
          <w:tcPr>
            <w:tcW w:w="1431" w:type="dxa"/>
            <w:tcBorders/>
            <w:vAlign w:val="center"/>
          </w:tcPr>
          <w:p>
            <w:pPr>
              <w:pStyle w:val="TableContents"/>
              <w:bidi w:val="0"/>
              <w:spacing w:before="0" w:after="283"/>
              <w:jc w:val="left"/>
              <w:rPr/>
            </w:pPr>
            <w:r>
              <w:rPr/>
              <w:t>6845564.57</w:t>
            </w:r>
          </w:p>
        </w:tc>
        <w:tc>
          <w:tcPr>
            <w:tcW w:w="1525" w:type="dxa"/>
            <w:tcBorders/>
            <w:vAlign w:val="center"/>
          </w:tcPr>
          <w:p>
            <w:pPr>
              <w:pStyle w:val="TableContents"/>
              <w:bidi w:val="0"/>
              <w:spacing w:before="0" w:after="283"/>
              <w:jc w:val="left"/>
              <w:rPr/>
            </w:pPr>
            <w:r>
              <w:rPr/>
              <w:t>108417383</w:t>
            </w:r>
          </w:p>
        </w:tc>
        <w:tc>
          <w:tcPr>
            <w:tcW w:w="1551" w:type="dxa"/>
            <w:tcBorders/>
            <w:vAlign w:val="center"/>
          </w:tcPr>
          <w:p>
            <w:pPr>
              <w:pStyle w:val="TableContents"/>
              <w:bidi w:val="0"/>
              <w:spacing w:before="0" w:after="283"/>
              <w:jc w:val="left"/>
              <w:rPr/>
            </w:pPr>
            <w:r>
              <w:rPr/>
              <w:t>08/28/2024</w:t>
            </w:r>
          </w:p>
        </w:tc>
        <w:tc>
          <w:tcPr>
            <w:tcW w:w="137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9"/>
        <w:gridCol w:w="1126"/>
        <w:gridCol w:w="1482"/>
        <w:gridCol w:w="1342"/>
        <w:gridCol w:w="527"/>
        <w:gridCol w:w="1126"/>
        <w:gridCol w:w="1187"/>
        <w:gridCol w:w="1068"/>
        <w:gridCol w:w="1208"/>
      </w:tblGrid>
      <w:tr>
        <w:trPr/>
        <w:tc>
          <w:tcPr>
            <w:tcW w:w="1139" w:type="dxa"/>
            <w:tcBorders/>
            <w:vAlign w:val="center"/>
          </w:tcPr>
          <w:p>
            <w:pPr>
              <w:pStyle w:val="TableHeading"/>
              <w:suppressLineNumbers/>
              <w:bidi w:val="0"/>
              <w:spacing w:before="0" w:after="283"/>
              <w:jc w:val="center"/>
              <w:rPr/>
            </w:pPr>
            <w:r>
              <w:rPr/>
              <w:t>Title of the Class</w:t>
            </w:r>
          </w:p>
        </w:tc>
        <w:tc>
          <w:tcPr>
            <w:tcW w:w="1126" w:type="dxa"/>
            <w:tcBorders/>
            <w:vAlign w:val="center"/>
          </w:tcPr>
          <w:p>
            <w:pPr>
              <w:pStyle w:val="TableHeading"/>
              <w:suppressLineNumbers/>
              <w:bidi w:val="0"/>
              <w:spacing w:before="0" w:after="283"/>
              <w:jc w:val="center"/>
              <w:rPr/>
            </w:pPr>
            <w:r>
              <w:rPr/>
              <w:t>Date you Acquired</w:t>
            </w:r>
          </w:p>
        </w:tc>
        <w:tc>
          <w:tcPr>
            <w:tcW w:w="1482" w:type="dxa"/>
            <w:tcBorders/>
            <w:vAlign w:val="center"/>
          </w:tcPr>
          <w:p>
            <w:pPr>
              <w:pStyle w:val="TableHeading"/>
              <w:suppressLineNumbers/>
              <w:bidi w:val="0"/>
              <w:spacing w:before="0" w:after="283"/>
              <w:jc w:val="center"/>
              <w:rPr/>
            </w:pPr>
            <w:r>
              <w:rPr/>
              <w:t>Nature of Acquisition Transaction</w:t>
            </w:r>
          </w:p>
        </w:tc>
        <w:tc>
          <w:tcPr>
            <w:tcW w:w="1342"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6" w:type="dxa"/>
            <w:tcBorders/>
            <w:vAlign w:val="center"/>
          </w:tcPr>
          <w:p>
            <w:pPr>
              <w:pStyle w:val="TableHeading"/>
              <w:suppressLineNumbers/>
              <w:bidi w:val="0"/>
              <w:spacing w:before="0" w:after="283"/>
              <w:jc w:val="center"/>
              <w:rPr/>
            </w:pPr>
            <w:r>
              <w:rPr/>
              <w:t>Date Donor Acquired</w:t>
            </w:r>
          </w:p>
        </w:tc>
        <w:tc>
          <w:tcPr>
            <w:tcW w:w="1187" w:type="dxa"/>
            <w:tcBorders/>
            <w:vAlign w:val="center"/>
          </w:tcPr>
          <w:p>
            <w:pPr>
              <w:pStyle w:val="TableHeading"/>
              <w:suppressLineNumbers/>
              <w:bidi w:val="0"/>
              <w:spacing w:before="0" w:after="283"/>
              <w:jc w:val="center"/>
              <w:rPr/>
            </w:pPr>
            <w:r>
              <w:rPr/>
              <w:t>Amount of Securities Acquired</w:t>
            </w:r>
          </w:p>
        </w:tc>
        <w:tc>
          <w:tcPr>
            <w:tcW w:w="1068" w:type="dxa"/>
            <w:tcBorders/>
            <w:vAlign w:val="center"/>
          </w:tcPr>
          <w:p>
            <w:pPr>
              <w:pStyle w:val="TableHeading"/>
              <w:suppressLineNumbers/>
              <w:bidi w:val="0"/>
              <w:spacing w:before="0" w:after="283"/>
              <w:jc w:val="center"/>
              <w:rPr/>
            </w:pPr>
            <w:r>
              <w:rPr/>
              <w:t>Date of Payment</w:t>
            </w:r>
          </w:p>
        </w:tc>
        <w:tc>
          <w:tcPr>
            <w:tcW w:w="120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9" w:type="dxa"/>
            <w:tcBorders/>
            <w:vAlign w:val="center"/>
          </w:tcPr>
          <w:p>
            <w:pPr>
              <w:pStyle w:val="TableContents"/>
              <w:bidi w:val="0"/>
              <w:spacing w:before="0" w:after="283"/>
              <w:jc w:val="left"/>
              <w:rPr/>
            </w:pPr>
            <w:r>
              <w:rPr/>
              <w:t>Common Stock</w:t>
            </w:r>
          </w:p>
        </w:tc>
        <w:tc>
          <w:tcPr>
            <w:tcW w:w="1126" w:type="dxa"/>
            <w:tcBorders/>
            <w:vAlign w:val="center"/>
          </w:tcPr>
          <w:p>
            <w:pPr>
              <w:pStyle w:val="TableContents"/>
              <w:bidi w:val="0"/>
              <w:spacing w:before="0" w:after="283"/>
              <w:jc w:val="left"/>
              <w:rPr/>
            </w:pPr>
            <w:r>
              <w:rPr/>
              <w:t>06/19/2014</w:t>
            </w:r>
          </w:p>
        </w:tc>
        <w:tc>
          <w:tcPr>
            <w:tcW w:w="1482" w:type="dxa"/>
            <w:tcBorders/>
            <w:vAlign w:val="center"/>
          </w:tcPr>
          <w:p>
            <w:pPr>
              <w:pStyle w:val="TableContents"/>
              <w:bidi w:val="0"/>
              <w:spacing w:before="0" w:after="283"/>
              <w:jc w:val="left"/>
              <w:rPr/>
            </w:pPr>
            <w:r>
              <w:rPr/>
              <w:t>Acquired via GRAT</w:t>
            </w:r>
          </w:p>
        </w:tc>
        <w:tc>
          <w:tcPr>
            <w:tcW w:w="1342" w:type="dxa"/>
            <w:tcBorders/>
            <w:vAlign w:val="center"/>
          </w:tcPr>
          <w:p>
            <w:pPr>
              <w:pStyle w:val="TableContents"/>
              <w:bidi w:val="0"/>
              <w:spacing w:before="0" w:after="283"/>
              <w:jc w:val="left"/>
              <w:rPr/>
            </w:pPr>
            <w:r>
              <w:rPr/>
              <w:t>Christopher Fenimore</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pPr>
            <w:r>
              <w:rPr/>
              <w:t>435</w:t>
            </w:r>
          </w:p>
        </w:tc>
        <w:tc>
          <w:tcPr>
            <w:tcW w:w="1068" w:type="dxa"/>
            <w:tcBorders/>
            <w:vAlign w:val="center"/>
          </w:tcPr>
          <w:p>
            <w:pPr>
              <w:pStyle w:val="TableContents"/>
              <w:bidi w:val="0"/>
              <w:spacing w:before="0" w:after="283"/>
              <w:jc w:val="left"/>
              <w:rPr/>
            </w:pPr>
            <w:r>
              <w:rPr/>
              <w:t>06/19/2014</w:t>
            </w:r>
          </w:p>
        </w:tc>
        <w:tc>
          <w:tcPr>
            <w:tcW w:w="1208" w:type="dxa"/>
            <w:tcBorders/>
            <w:vAlign w:val="center"/>
          </w:tcPr>
          <w:p>
            <w:pPr>
              <w:pStyle w:val="TableContents"/>
              <w:bidi w:val="0"/>
              <w:spacing w:before="0" w:after="283"/>
              <w:jc w:val="left"/>
              <w:rPr/>
            </w:pPr>
            <w:r>
              <w:rPr/>
              <w:t>Cash</w:t>
            </w:r>
          </w:p>
        </w:tc>
      </w:tr>
      <w:tr>
        <w:trPr/>
        <w:tc>
          <w:tcPr>
            <w:tcW w:w="1139" w:type="dxa"/>
            <w:tcBorders/>
            <w:vAlign w:val="center"/>
          </w:tcPr>
          <w:p>
            <w:pPr>
              <w:pStyle w:val="TableContents"/>
              <w:bidi w:val="0"/>
              <w:spacing w:before="0" w:after="283"/>
              <w:jc w:val="left"/>
              <w:rPr/>
            </w:pPr>
            <w:r>
              <w:rPr/>
              <w:t>Common Stock</w:t>
            </w:r>
          </w:p>
        </w:tc>
        <w:tc>
          <w:tcPr>
            <w:tcW w:w="1126" w:type="dxa"/>
            <w:tcBorders/>
            <w:vAlign w:val="center"/>
          </w:tcPr>
          <w:p>
            <w:pPr>
              <w:pStyle w:val="TableContents"/>
              <w:bidi w:val="0"/>
              <w:spacing w:before="0" w:after="283"/>
              <w:jc w:val="left"/>
              <w:rPr/>
            </w:pPr>
            <w:r>
              <w:rPr/>
              <w:t>06/19/2014</w:t>
            </w:r>
          </w:p>
        </w:tc>
        <w:tc>
          <w:tcPr>
            <w:tcW w:w="1482" w:type="dxa"/>
            <w:tcBorders/>
            <w:vAlign w:val="center"/>
          </w:tcPr>
          <w:p>
            <w:pPr>
              <w:pStyle w:val="TableContents"/>
              <w:bidi w:val="0"/>
              <w:spacing w:before="0" w:after="283"/>
              <w:jc w:val="left"/>
              <w:rPr/>
            </w:pPr>
            <w:r>
              <w:rPr/>
              <w:t>Acquired via GRAT</w:t>
            </w:r>
          </w:p>
        </w:tc>
        <w:tc>
          <w:tcPr>
            <w:tcW w:w="1342" w:type="dxa"/>
            <w:tcBorders/>
            <w:vAlign w:val="center"/>
          </w:tcPr>
          <w:p>
            <w:pPr>
              <w:pStyle w:val="TableContents"/>
              <w:bidi w:val="0"/>
              <w:spacing w:before="0" w:after="283"/>
              <w:jc w:val="left"/>
              <w:rPr/>
            </w:pPr>
            <w:r>
              <w:rPr/>
              <w:t>Christopher Fenimore</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pPr>
            <w:r>
              <w:rPr/>
              <w:t>333</w:t>
            </w:r>
          </w:p>
        </w:tc>
        <w:tc>
          <w:tcPr>
            <w:tcW w:w="1068" w:type="dxa"/>
            <w:tcBorders/>
            <w:vAlign w:val="center"/>
          </w:tcPr>
          <w:p>
            <w:pPr>
              <w:pStyle w:val="TableContents"/>
              <w:bidi w:val="0"/>
              <w:spacing w:before="0" w:after="283"/>
              <w:jc w:val="left"/>
              <w:rPr/>
            </w:pPr>
            <w:r>
              <w:rPr/>
              <w:t>06/19/2014</w:t>
            </w:r>
          </w:p>
        </w:tc>
        <w:tc>
          <w:tcPr>
            <w:tcW w:w="1208" w:type="dxa"/>
            <w:tcBorders/>
            <w:vAlign w:val="center"/>
          </w:tcPr>
          <w:p>
            <w:pPr>
              <w:pStyle w:val="TableContents"/>
              <w:bidi w:val="0"/>
              <w:spacing w:before="0" w:after="283"/>
              <w:jc w:val="left"/>
              <w:rPr/>
            </w:pPr>
            <w:r>
              <w:rPr/>
              <w:t>Cash</w:t>
            </w:r>
          </w:p>
        </w:tc>
      </w:tr>
      <w:tr>
        <w:trPr/>
        <w:tc>
          <w:tcPr>
            <w:tcW w:w="1139" w:type="dxa"/>
            <w:tcBorders/>
            <w:vAlign w:val="center"/>
          </w:tcPr>
          <w:p>
            <w:pPr>
              <w:pStyle w:val="TableContents"/>
              <w:bidi w:val="0"/>
              <w:spacing w:before="0" w:after="283"/>
              <w:jc w:val="left"/>
              <w:rPr/>
            </w:pPr>
            <w:r>
              <w:rPr/>
              <w:t>Common Stock</w:t>
            </w:r>
          </w:p>
        </w:tc>
        <w:tc>
          <w:tcPr>
            <w:tcW w:w="1126" w:type="dxa"/>
            <w:tcBorders/>
            <w:vAlign w:val="center"/>
          </w:tcPr>
          <w:p>
            <w:pPr>
              <w:pStyle w:val="TableContents"/>
              <w:bidi w:val="0"/>
              <w:spacing w:before="0" w:after="283"/>
              <w:jc w:val="left"/>
              <w:rPr/>
            </w:pPr>
            <w:r>
              <w:rPr/>
              <w:t>11/06/2014</w:t>
            </w:r>
          </w:p>
        </w:tc>
        <w:tc>
          <w:tcPr>
            <w:tcW w:w="1482" w:type="dxa"/>
            <w:tcBorders/>
            <w:vAlign w:val="center"/>
          </w:tcPr>
          <w:p>
            <w:pPr>
              <w:pStyle w:val="TableContents"/>
              <w:bidi w:val="0"/>
              <w:spacing w:before="0" w:after="283"/>
              <w:jc w:val="left"/>
              <w:rPr/>
            </w:pPr>
            <w:r>
              <w:rPr/>
              <w:t>Acquired via GRAT</w:t>
            </w:r>
          </w:p>
        </w:tc>
        <w:tc>
          <w:tcPr>
            <w:tcW w:w="1342" w:type="dxa"/>
            <w:tcBorders/>
            <w:vAlign w:val="center"/>
          </w:tcPr>
          <w:p>
            <w:pPr>
              <w:pStyle w:val="TableContents"/>
              <w:bidi w:val="0"/>
              <w:spacing w:before="0" w:after="283"/>
              <w:jc w:val="left"/>
              <w:rPr/>
            </w:pPr>
            <w:r>
              <w:rPr/>
              <w:t>Christopher Fenimore</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pPr>
            <w:r>
              <w:rPr/>
              <w:t>103</w:t>
            </w:r>
          </w:p>
        </w:tc>
        <w:tc>
          <w:tcPr>
            <w:tcW w:w="1068" w:type="dxa"/>
            <w:tcBorders/>
            <w:vAlign w:val="center"/>
          </w:tcPr>
          <w:p>
            <w:pPr>
              <w:pStyle w:val="TableContents"/>
              <w:bidi w:val="0"/>
              <w:spacing w:before="0" w:after="283"/>
              <w:jc w:val="left"/>
              <w:rPr/>
            </w:pPr>
            <w:r>
              <w:rPr/>
              <w:t>11/06/2014</w:t>
            </w:r>
          </w:p>
        </w:tc>
        <w:tc>
          <w:tcPr>
            <w:tcW w:w="1208" w:type="dxa"/>
            <w:tcBorders/>
            <w:vAlign w:val="center"/>
          </w:tcPr>
          <w:p>
            <w:pPr>
              <w:pStyle w:val="TableContents"/>
              <w:bidi w:val="0"/>
              <w:spacing w:before="0" w:after="283"/>
              <w:jc w:val="left"/>
              <w:rPr/>
            </w:pPr>
            <w:r>
              <w:rPr/>
              <w:t>Cash</w:t>
            </w:r>
          </w:p>
        </w:tc>
      </w:tr>
      <w:tr>
        <w:trPr/>
        <w:tc>
          <w:tcPr>
            <w:tcW w:w="1139" w:type="dxa"/>
            <w:tcBorders/>
            <w:vAlign w:val="center"/>
          </w:tcPr>
          <w:p>
            <w:pPr>
              <w:pStyle w:val="TableContents"/>
              <w:bidi w:val="0"/>
              <w:spacing w:before="0" w:after="283"/>
              <w:jc w:val="left"/>
              <w:rPr/>
            </w:pPr>
            <w:r>
              <w:rPr/>
              <w:t>Common Stock</w:t>
            </w:r>
          </w:p>
        </w:tc>
        <w:tc>
          <w:tcPr>
            <w:tcW w:w="1126" w:type="dxa"/>
            <w:tcBorders/>
            <w:vAlign w:val="center"/>
          </w:tcPr>
          <w:p>
            <w:pPr>
              <w:pStyle w:val="TableContents"/>
              <w:bidi w:val="0"/>
              <w:spacing w:before="0" w:after="283"/>
              <w:jc w:val="left"/>
              <w:rPr/>
            </w:pPr>
            <w:r>
              <w:rPr/>
              <w:t>12/11/2013</w:t>
            </w:r>
          </w:p>
        </w:tc>
        <w:tc>
          <w:tcPr>
            <w:tcW w:w="1482" w:type="dxa"/>
            <w:tcBorders/>
            <w:vAlign w:val="center"/>
          </w:tcPr>
          <w:p>
            <w:pPr>
              <w:pStyle w:val="TableContents"/>
              <w:bidi w:val="0"/>
              <w:spacing w:before="0" w:after="283"/>
              <w:jc w:val="left"/>
              <w:rPr/>
            </w:pPr>
            <w:r>
              <w:rPr/>
              <w:t>Stock Option Exercise</w:t>
            </w:r>
          </w:p>
        </w:tc>
        <w:tc>
          <w:tcPr>
            <w:tcW w:w="1342" w:type="dxa"/>
            <w:tcBorders/>
            <w:vAlign w:val="center"/>
          </w:tcPr>
          <w:p>
            <w:pPr>
              <w:pStyle w:val="TableContents"/>
              <w:bidi w:val="0"/>
              <w:spacing w:before="0" w:after="283"/>
              <w:jc w:val="left"/>
              <w:rPr/>
            </w:pPr>
            <w:r>
              <w:rPr/>
              <w:t>Company</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pPr>
            <w:r>
              <w:rPr/>
              <w:t>775</w:t>
            </w:r>
          </w:p>
        </w:tc>
        <w:tc>
          <w:tcPr>
            <w:tcW w:w="1068" w:type="dxa"/>
            <w:tcBorders/>
            <w:vAlign w:val="center"/>
          </w:tcPr>
          <w:p>
            <w:pPr>
              <w:pStyle w:val="TableContents"/>
              <w:bidi w:val="0"/>
              <w:spacing w:before="0" w:after="283"/>
              <w:jc w:val="left"/>
              <w:rPr/>
            </w:pPr>
            <w:r>
              <w:rPr/>
              <w:t>12/11/2013</w:t>
            </w:r>
          </w:p>
        </w:tc>
        <w:tc>
          <w:tcPr>
            <w:tcW w:w="1208" w:type="dxa"/>
            <w:tcBorders/>
            <w:vAlign w:val="center"/>
          </w:tcPr>
          <w:p>
            <w:pPr>
              <w:pStyle w:val="TableContents"/>
              <w:bidi w:val="0"/>
              <w:spacing w:before="0" w:after="283"/>
              <w:jc w:val="left"/>
              <w:rPr/>
            </w:pPr>
            <w:r>
              <w:rPr/>
              <w:t>Cash</w:t>
            </w:r>
          </w:p>
        </w:tc>
      </w:tr>
      <w:tr>
        <w:trPr/>
        <w:tc>
          <w:tcPr>
            <w:tcW w:w="1139" w:type="dxa"/>
            <w:tcBorders/>
            <w:vAlign w:val="center"/>
          </w:tcPr>
          <w:p>
            <w:pPr>
              <w:pStyle w:val="TableContents"/>
              <w:bidi w:val="0"/>
              <w:spacing w:before="0" w:after="283"/>
              <w:jc w:val="left"/>
              <w:rPr/>
            </w:pPr>
            <w:r>
              <w:rPr/>
              <w:t>Common Stock</w:t>
            </w:r>
          </w:p>
        </w:tc>
        <w:tc>
          <w:tcPr>
            <w:tcW w:w="1126" w:type="dxa"/>
            <w:tcBorders/>
            <w:vAlign w:val="center"/>
          </w:tcPr>
          <w:p>
            <w:pPr>
              <w:pStyle w:val="TableContents"/>
              <w:bidi w:val="0"/>
              <w:spacing w:before="0" w:after="283"/>
              <w:jc w:val="left"/>
              <w:rPr/>
            </w:pPr>
            <w:r>
              <w:rPr/>
              <w:t>11/06/2014</w:t>
            </w:r>
          </w:p>
        </w:tc>
        <w:tc>
          <w:tcPr>
            <w:tcW w:w="1482" w:type="dxa"/>
            <w:tcBorders/>
            <w:vAlign w:val="center"/>
          </w:tcPr>
          <w:p>
            <w:pPr>
              <w:pStyle w:val="TableContents"/>
              <w:bidi w:val="0"/>
              <w:spacing w:before="0" w:after="283"/>
              <w:jc w:val="left"/>
              <w:rPr/>
            </w:pPr>
            <w:r>
              <w:rPr/>
              <w:t>Stock Option Exercise</w:t>
            </w:r>
          </w:p>
        </w:tc>
        <w:tc>
          <w:tcPr>
            <w:tcW w:w="1342" w:type="dxa"/>
            <w:tcBorders/>
            <w:vAlign w:val="center"/>
          </w:tcPr>
          <w:p>
            <w:pPr>
              <w:pStyle w:val="TableContents"/>
              <w:bidi w:val="0"/>
              <w:spacing w:before="0" w:after="283"/>
              <w:jc w:val="left"/>
              <w:rPr/>
            </w:pPr>
            <w:r>
              <w:rPr/>
              <w:t>Company</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pPr>
            <w:r>
              <w:rPr/>
              <w:t>850</w:t>
            </w:r>
          </w:p>
        </w:tc>
        <w:tc>
          <w:tcPr>
            <w:tcW w:w="1068" w:type="dxa"/>
            <w:tcBorders/>
            <w:vAlign w:val="center"/>
          </w:tcPr>
          <w:p>
            <w:pPr>
              <w:pStyle w:val="TableContents"/>
              <w:bidi w:val="0"/>
              <w:spacing w:before="0" w:after="283"/>
              <w:jc w:val="left"/>
              <w:rPr/>
            </w:pPr>
            <w:r>
              <w:rPr/>
              <w:t>11/06/2014</w:t>
            </w:r>
          </w:p>
        </w:tc>
        <w:tc>
          <w:tcPr>
            <w:tcW w:w="1208" w:type="dxa"/>
            <w:tcBorders/>
            <w:vAlign w:val="center"/>
          </w:tcPr>
          <w:p>
            <w:pPr>
              <w:pStyle w:val="TableContents"/>
              <w:bidi w:val="0"/>
              <w:spacing w:before="0" w:after="283"/>
              <w:jc w:val="left"/>
              <w:rPr/>
            </w:pPr>
            <w:r>
              <w:rPr/>
              <w:t>Cash</w:t>
            </w:r>
          </w:p>
        </w:tc>
      </w:tr>
      <w:tr>
        <w:trPr/>
        <w:tc>
          <w:tcPr>
            <w:tcW w:w="1139" w:type="dxa"/>
            <w:tcBorders/>
            <w:vAlign w:val="center"/>
          </w:tcPr>
          <w:p>
            <w:pPr>
              <w:pStyle w:val="TableContents"/>
              <w:bidi w:val="0"/>
              <w:spacing w:before="0" w:after="283"/>
              <w:jc w:val="left"/>
              <w:rPr/>
            </w:pPr>
            <w:r>
              <w:rPr/>
              <w:t>Common Stock</w:t>
            </w:r>
          </w:p>
        </w:tc>
        <w:tc>
          <w:tcPr>
            <w:tcW w:w="1126" w:type="dxa"/>
            <w:tcBorders/>
            <w:vAlign w:val="center"/>
          </w:tcPr>
          <w:p>
            <w:pPr>
              <w:pStyle w:val="TableContents"/>
              <w:bidi w:val="0"/>
              <w:spacing w:before="0" w:after="283"/>
              <w:jc w:val="left"/>
              <w:rPr/>
            </w:pPr>
            <w:r>
              <w:rPr/>
              <w:t>03/25/2015</w:t>
            </w:r>
          </w:p>
        </w:tc>
        <w:tc>
          <w:tcPr>
            <w:tcW w:w="1482" w:type="dxa"/>
            <w:tcBorders/>
            <w:vAlign w:val="center"/>
          </w:tcPr>
          <w:p>
            <w:pPr>
              <w:pStyle w:val="TableContents"/>
              <w:bidi w:val="0"/>
              <w:spacing w:before="0" w:after="283"/>
              <w:jc w:val="left"/>
              <w:rPr/>
            </w:pPr>
            <w:r>
              <w:rPr/>
              <w:t>Stock Option Exercise</w:t>
            </w:r>
          </w:p>
        </w:tc>
        <w:tc>
          <w:tcPr>
            <w:tcW w:w="1342" w:type="dxa"/>
            <w:tcBorders/>
            <w:vAlign w:val="center"/>
          </w:tcPr>
          <w:p>
            <w:pPr>
              <w:pStyle w:val="TableContents"/>
              <w:bidi w:val="0"/>
              <w:spacing w:before="0" w:after="283"/>
              <w:jc w:val="left"/>
              <w:rPr/>
            </w:pPr>
            <w:r>
              <w:rPr/>
              <w:t>Company</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pPr>
            <w:r>
              <w:rPr/>
              <w:t>600</w:t>
            </w:r>
          </w:p>
        </w:tc>
        <w:tc>
          <w:tcPr>
            <w:tcW w:w="1068" w:type="dxa"/>
            <w:tcBorders/>
            <w:vAlign w:val="center"/>
          </w:tcPr>
          <w:p>
            <w:pPr>
              <w:pStyle w:val="TableContents"/>
              <w:bidi w:val="0"/>
              <w:spacing w:before="0" w:after="283"/>
              <w:jc w:val="left"/>
              <w:rPr/>
            </w:pPr>
            <w:r>
              <w:rPr/>
              <w:t>03/25/2015</w:t>
            </w:r>
          </w:p>
        </w:tc>
        <w:tc>
          <w:tcPr>
            <w:tcW w:w="1208" w:type="dxa"/>
            <w:tcBorders/>
            <w:vAlign w:val="center"/>
          </w:tcPr>
          <w:p>
            <w:pPr>
              <w:pStyle w:val="TableContents"/>
              <w:bidi w:val="0"/>
              <w:spacing w:before="0" w:after="283"/>
              <w:jc w:val="left"/>
              <w:rPr/>
            </w:pPr>
            <w:r>
              <w:rPr/>
              <w:t>Cash</w:t>
            </w:r>
          </w:p>
        </w:tc>
      </w:tr>
      <w:tr>
        <w:trPr/>
        <w:tc>
          <w:tcPr>
            <w:tcW w:w="1139" w:type="dxa"/>
            <w:tcBorders/>
            <w:vAlign w:val="center"/>
          </w:tcPr>
          <w:p>
            <w:pPr>
              <w:pStyle w:val="TableContents"/>
              <w:bidi w:val="0"/>
              <w:spacing w:before="0" w:after="283"/>
              <w:jc w:val="left"/>
              <w:rPr/>
            </w:pPr>
            <w:r>
              <w:rPr/>
              <w:t>Common Stock</w:t>
            </w:r>
          </w:p>
        </w:tc>
        <w:tc>
          <w:tcPr>
            <w:tcW w:w="1126" w:type="dxa"/>
            <w:tcBorders/>
            <w:vAlign w:val="center"/>
          </w:tcPr>
          <w:p>
            <w:pPr>
              <w:pStyle w:val="TableContents"/>
              <w:bidi w:val="0"/>
              <w:spacing w:before="0" w:after="283"/>
              <w:jc w:val="left"/>
              <w:rPr/>
            </w:pPr>
            <w:r>
              <w:rPr/>
              <w:t>12/20/2018</w:t>
            </w:r>
          </w:p>
        </w:tc>
        <w:tc>
          <w:tcPr>
            <w:tcW w:w="1482" w:type="dxa"/>
            <w:tcBorders/>
            <w:vAlign w:val="center"/>
          </w:tcPr>
          <w:p>
            <w:pPr>
              <w:pStyle w:val="TableContents"/>
              <w:bidi w:val="0"/>
              <w:spacing w:before="0" w:after="283"/>
              <w:jc w:val="left"/>
              <w:rPr/>
            </w:pPr>
            <w:r>
              <w:rPr/>
              <w:t>Stock Option Exercise</w:t>
            </w:r>
          </w:p>
        </w:tc>
        <w:tc>
          <w:tcPr>
            <w:tcW w:w="1342" w:type="dxa"/>
            <w:tcBorders/>
            <w:vAlign w:val="center"/>
          </w:tcPr>
          <w:p>
            <w:pPr>
              <w:pStyle w:val="TableContents"/>
              <w:bidi w:val="0"/>
              <w:spacing w:before="0" w:after="283"/>
              <w:jc w:val="left"/>
              <w:rPr/>
            </w:pPr>
            <w:r>
              <w:rPr/>
              <w:t>Company</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pPr>
            <w:r>
              <w:rPr/>
              <w:t>675</w:t>
            </w:r>
          </w:p>
        </w:tc>
        <w:tc>
          <w:tcPr>
            <w:tcW w:w="1068" w:type="dxa"/>
            <w:tcBorders/>
            <w:vAlign w:val="center"/>
          </w:tcPr>
          <w:p>
            <w:pPr>
              <w:pStyle w:val="TableContents"/>
              <w:bidi w:val="0"/>
              <w:spacing w:before="0" w:after="283"/>
              <w:jc w:val="left"/>
              <w:rPr/>
            </w:pPr>
            <w:r>
              <w:rPr/>
              <w:t>12/20/2018</w:t>
            </w:r>
          </w:p>
        </w:tc>
        <w:tc>
          <w:tcPr>
            <w:tcW w:w="1208" w:type="dxa"/>
            <w:tcBorders/>
            <w:vAlign w:val="center"/>
          </w:tcPr>
          <w:p>
            <w:pPr>
              <w:pStyle w:val="TableContents"/>
              <w:bidi w:val="0"/>
              <w:spacing w:before="0" w:after="283"/>
              <w:jc w:val="left"/>
              <w:rPr/>
            </w:pPr>
            <w:r>
              <w:rPr/>
              <w:t>Cash</w:t>
            </w:r>
          </w:p>
        </w:tc>
      </w:tr>
      <w:tr>
        <w:trPr/>
        <w:tc>
          <w:tcPr>
            <w:tcW w:w="1139" w:type="dxa"/>
            <w:tcBorders/>
            <w:vAlign w:val="center"/>
          </w:tcPr>
          <w:p>
            <w:pPr>
              <w:pStyle w:val="TableContents"/>
              <w:bidi w:val="0"/>
              <w:spacing w:before="0" w:after="283"/>
              <w:jc w:val="left"/>
              <w:rPr/>
            </w:pPr>
            <w:r>
              <w:rPr/>
              <w:t>Common Stock</w:t>
            </w:r>
          </w:p>
        </w:tc>
        <w:tc>
          <w:tcPr>
            <w:tcW w:w="1126" w:type="dxa"/>
            <w:tcBorders/>
            <w:vAlign w:val="center"/>
          </w:tcPr>
          <w:p>
            <w:pPr>
              <w:pStyle w:val="TableContents"/>
              <w:bidi w:val="0"/>
              <w:spacing w:before="0" w:after="283"/>
              <w:jc w:val="left"/>
              <w:rPr/>
            </w:pPr>
            <w:r>
              <w:rPr/>
              <w:t>01/18/2019</w:t>
            </w:r>
          </w:p>
        </w:tc>
        <w:tc>
          <w:tcPr>
            <w:tcW w:w="1482" w:type="dxa"/>
            <w:tcBorders/>
            <w:vAlign w:val="center"/>
          </w:tcPr>
          <w:p>
            <w:pPr>
              <w:pStyle w:val="TableContents"/>
              <w:bidi w:val="0"/>
              <w:spacing w:before="0" w:after="283"/>
              <w:jc w:val="left"/>
              <w:rPr/>
            </w:pPr>
            <w:r>
              <w:rPr/>
              <w:t>Stock Option Exercise</w:t>
            </w:r>
          </w:p>
        </w:tc>
        <w:tc>
          <w:tcPr>
            <w:tcW w:w="1342" w:type="dxa"/>
            <w:tcBorders/>
            <w:vAlign w:val="center"/>
          </w:tcPr>
          <w:p>
            <w:pPr>
              <w:pStyle w:val="TableContents"/>
              <w:bidi w:val="0"/>
              <w:spacing w:before="0" w:after="283"/>
              <w:jc w:val="left"/>
              <w:rPr/>
            </w:pPr>
            <w:r>
              <w:rPr/>
              <w:t>Company</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pPr>
            <w:r>
              <w:rPr/>
              <w:t>150</w:t>
            </w:r>
          </w:p>
        </w:tc>
        <w:tc>
          <w:tcPr>
            <w:tcW w:w="1068" w:type="dxa"/>
            <w:tcBorders/>
            <w:vAlign w:val="center"/>
          </w:tcPr>
          <w:p>
            <w:pPr>
              <w:pStyle w:val="TableContents"/>
              <w:bidi w:val="0"/>
              <w:spacing w:before="0" w:after="283"/>
              <w:jc w:val="left"/>
              <w:rPr/>
            </w:pPr>
            <w:r>
              <w:rPr/>
              <w:t>01/18/2019</w:t>
            </w:r>
          </w:p>
        </w:tc>
        <w:tc>
          <w:tcPr>
            <w:tcW w:w="1208" w:type="dxa"/>
            <w:tcBorders/>
            <w:vAlign w:val="center"/>
          </w:tcPr>
          <w:p>
            <w:pPr>
              <w:pStyle w:val="TableContents"/>
              <w:bidi w:val="0"/>
              <w:spacing w:before="0" w:after="283"/>
              <w:jc w:val="left"/>
              <w:rPr/>
            </w:pPr>
            <w:r>
              <w:rPr/>
              <w:t>Cash</w:t>
            </w:r>
          </w:p>
        </w:tc>
      </w:tr>
      <w:tr>
        <w:trPr/>
        <w:tc>
          <w:tcPr>
            <w:tcW w:w="1139" w:type="dxa"/>
            <w:tcBorders/>
            <w:vAlign w:val="center"/>
          </w:tcPr>
          <w:p>
            <w:pPr>
              <w:pStyle w:val="TableContents"/>
              <w:bidi w:val="0"/>
              <w:spacing w:before="0" w:after="283"/>
              <w:jc w:val="left"/>
              <w:rPr/>
            </w:pPr>
            <w:r>
              <w:rPr/>
              <w:t>Common Stock</w:t>
            </w:r>
          </w:p>
        </w:tc>
        <w:tc>
          <w:tcPr>
            <w:tcW w:w="1126" w:type="dxa"/>
            <w:tcBorders/>
            <w:vAlign w:val="center"/>
          </w:tcPr>
          <w:p>
            <w:pPr>
              <w:pStyle w:val="TableContents"/>
              <w:bidi w:val="0"/>
              <w:spacing w:before="0" w:after="283"/>
              <w:jc w:val="left"/>
              <w:rPr/>
            </w:pPr>
            <w:r>
              <w:rPr/>
              <w:t>04/18/2019</w:t>
            </w:r>
          </w:p>
        </w:tc>
        <w:tc>
          <w:tcPr>
            <w:tcW w:w="1482" w:type="dxa"/>
            <w:tcBorders/>
            <w:vAlign w:val="center"/>
          </w:tcPr>
          <w:p>
            <w:pPr>
              <w:pStyle w:val="TableContents"/>
              <w:bidi w:val="0"/>
              <w:spacing w:before="0" w:after="283"/>
              <w:jc w:val="left"/>
              <w:rPr/>
            </w:pPr>
            <w:r>
              <w:rPr/>
              <w:t>Stock Option Exercise</w:t>
            </w:r>
          </w:p>
        </w:tc>
        <w:tc>
          <w:tcPr>
            <w:tcW w:w="1342" w:type="dxa"/>
            <w:tcBorders/>
            <w:vAlign w:val="center"/>
          </w:tcPr>
          <w:p>
            <w:pPr>
              <w:pStyle w:val="TableContents"/>
              <w:bidi w:val="0"/>
              <w:spacing w:before="0" w:after="283"/>
              <w:jc w:val="left"/>
              <w:rPr/>
            </w:pPr>
            <w:r>
              <w:rPr/>
              <w:t>Company</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pPr>
            <w:r>
              <w:rPr/>
              <w:t>350</w:t>
            </w:r>
          </w:p>
        </w:tc>
        <w:tc>
          <w:tcPr>
            <w:tcW w:w="1068" w:type="dxa"/>
            <w:tcBorders/>
            <w:vAlign w:val="center"/>
          </w:tcPr>
          <w:p>
            <w:pPr>
              <w:pStyle w:val="TableContents"/>
              <w:bidi w:val="0"/>
              <w:spacing w:before="0" w:after="283"/>
              <w:jc w:val="left"/>
              <w:rPr/>
            </w:pPr>
            <w:r>
              <w:rPr/>
              <w:t>04/18/2019</w:t>
            </w:r>
          </w:p>
        </w:tc>
        <w:tc>
          <w:tcPr>
            <w:tcW w:w="1208" w:type="dxa"/>
            <w:tcBorders/>
            <w:vAlign w:val="center"/>
          </w:tcPr>
          <w:p>
            <w:pPr>
              <w:pStyle w:val="TableContents"/>
              <w:bidi w:val="0"/>
              <w:spacing w:before="0" w:after="283"/>
              <w:jc w:val="left"/>
              <w:rPr/>
            </w:pPr>
            <w:r>
              <w:rPr/>
              <w:t>Cash</w:t>
            </w:r>
          </w:p>
        </w:tc>
      </w:tr>
      <w:tr>
        <w:trPr/>
        <w:tc>
          <w:tcPr>
            <w:tcW w:w="1139" w:type="dxa"/>
            <w:tcBorders/>
            <w:vAlign w:val="center"/>
          </w:tcPr>
          <w:p>
            <w:pPr>
              <w:pStyle w:val="TableContents"/>
              <w:bidi w:val="0"/>
              <w:spacing w:before="0" w:after="283"/>
              <w:jc w:val="left"/>
              <w:rPr/>
            </w:pPr>
            <w:r>
              <w:rPr/>
              <w:t>Common Stock</w:t>
            </w:r>
          </w:p>
        </w:tc>
        <w:tc>
          <w:tcPr>
            <w:tcW w:w="1126" w:type="dxa"/>
            <w:tcBorders/>
            <w:vAlign w:val="center"/>
          </w:tcPr>
          <w:p>
            <w:pPr>
              <w:pStyle w:val="TableContents"/>
              <w:bidi w:val="0"/>
              <w:spacing w:before="0" w:after="283"/>
              <w:jc w:val="left"/>
              <w:rPr/>
            </w:pPr>
            <w:r>
              <w:rPr/>
              <w:t>12/20/2019</w:t>
            </w:r>
          </w:p>
        </w:tc>
        <w:tc>
          <w:tcPr>
            <w:tcW w:w="1482" w:type="dxa"/>
            <w:tcBorders/>
            <w:vAlign w:val="center"/>
          </w:tcPr>
          <w:p>
            <w:pPr>
              <w:pStyle w:val="TableContents"/>
              <w:bidi w:val="0"/>
              <w:spacing w:before="0" w:after="283"/>
              <w:jc w:val="left"/>
              <w:rPr/>
            </w:pPr>
            <w:r>
              <w:rPr/>
              <w:t>Stock Option Exercise</w:t>
            </w:r>
          </w:p>
        </w:tc>
        <w:tc>
          <w:tcPr>
            <w:tcW w:w="1342" w:type="dxa"/>
            <w:tcBorders/>
            <w:vAlign w:val="center"/>
          </w:tcPr>
          <w:p>
            <w:pPr>
              <w:pStyle w:val="TableContents"/>
              <w:bidi w:val="0"/>
              <w:spacing w:before="0" w:after="283"/>
              <w:jc w:val="left"/>
              <w:rPr/>
            </w:pPr>
            <w:r>
              <w:rPr/>
              <w:t>Company</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pPr>
            <w:r>
              <w:rPr/>
              <w:t>400</w:t>
            </w:r>
          </w:p>
        </w:tc>
        <w:tc>
          <w:tcPr>
            <w:tcW w:w="1068" w:type="dxa"/>
            <w:tcBorders/>
            <w:vAlign w:val="center"/>
          </w:tcPr>
          <w:p>
            <w:pPr>
              <w:pStyle w:val="TableContents"/>
              <w:bidi w:val="0"/>
              <w:spacing w:before="0" w:after="283"/>
              <w:jc w:val="left"/>
              <w:rPr/>
            </w:pPr>
            <w:r>
              <w:rPr/>
              <w:t>12/20/2019</w:t>
            </w:r>
          </w:p>
        </w:tc>
        <w:tc>
          <w:tcPr>
            <w:tcW w:w="1208" w:type="dxa"/>
            <w:tcBorders/>
            <w:vAlign w:val="center"/>
          </w:tcPr>
          <w:p>
            <w:pPr>
              <w:pStyle w:val="TableContents"/>
              <w:bidi w:val="0"/>
              <w:spacing w:before="0" w:after="283"/>
              <w:jc w:val="left"/>
              <w:rPr/>
            </w:pPr>
            <w:r>
              <w:rPr/>
              <w:t>Cash</w:t>
            </w:r>
          </w:p>
        </w:tc>
      </w:tr>
      <w:tr>
        <w:trPr/>
        <w:tc>
          <w:tcPr>
            <w:tcW w:w="1139" w:type="dxa"/>
            <w:tcBorders/>
            <w:vAlign w:val="center"/>
          </w:tcPr>
          <w:p>
            <w:pPr>
              <w:pStyle w:val="TableContents"/>
              <w:bidi w:val="0"/>
              <w:spacing w:before="0" w:after="283"/>
              <w:jc w:val="left"/>
              <w:rPr/>
            </w:pPr>
            <w:r>
              <w:rPr/>
              <w:t>Common Stock</w:t>
            </w:r>
          </w:p>
        </w:tc>
        <w:tc>
          <w:tcPr>
            <w:tcW w:w="1126" w:type="dxa"/>
            <w:tcBorders/>
            <w:vAlign w:val="center"/>
          </w:tcPr>
          <w:p>
            <w:pPr>
              <w:pStyle w:val="TableContents"/>
              <w:bidi w:val="0"/>
              <w:spacing w:before="0" w:after="283"/>
              <w:jc w:val="left"/>
              <w:rPr/>
            </w:pPr>
            <w:r>
              <w:rPr/>
              <w:t>01/24/2020</w:t>
            </w:r>
          </w:p>
        </w:tc>
        <w:tc>
          <w:tcPr>
            <w:tcW w:w="1482" w:type="dxa"/>
            <w:tcBorders/>
            <w:vAlign w:val="center"/>
          </w:tcPr>
          <w:p>
            <w:pPr>
              <w:pStyle w:val="TableContents"/>
              <w:bidi w:val="0"/>
              <w:spacing w:before="0" w:after="283"/>
              <w:jc w:val="left"/>
              <w:rPr/>
            </w:pPr>
            <w:r>
              <w:rPr/>
              <w:t>Stock Option Exercise</w:t>
            </w:r>
          </w:p>
        </w:tc>
        <w:tc>
          <w:tcPr>
            <w:tcW w:w="1342" w:type="dxa"/>
            <w:tcBorders/>
            <w:vAlign w:val="center"/>
          </w:tcPr>
          <w:p>
            <w:pPr>
              <w:pStyle w:val="TableContents"/>
              <w:bidi w:val="0"/>
              <w:spacing w:before="0" w:after="283"/>
              <w:jc w:val="left"/>
              <w:rPr/>
            </w:pPr>
            <w:r>
              <w:rPr/>
              <w:t>Company</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pPr>
            <w:r>
              <w:rPr/>
              <w:t>500</w:t>
            </w:r>
          </w:p>
        </w:tc>
        <w:tc>
          <w:tcPr>
            <w:tcW w:w="1068" w:type="dxa"/>
            <w:tcBorders/>
            <w:vAlign w:val="center"/>
          </w:tcPr>
          <w:p>
            <w:pPr>
              <w:pStyle w:val="TableContents"/>
              <w:bidi w:val="0"/>
              <w:spacing w:before="0" w:after="283"/>
              <w:jc w:val="left"/>
              <w:rPr/>
            </w:pPr>
            <w:r>
              <w:rPr/>
              <w:t>01/24/2020</w:t>
            </w:r>
          </w:p>
        </w:tc>
        <w:tc>
          <w:tcPr>
            <w:tcW w:w="1208" w:type="dxa"/>
            <w:tcBorders/>
            <w:vAlign w:val="center"/>
          </w:tcPr>
          <w:p>
            <w:pPr>
              <w:pStyle w:val="TableContents"/>
              <w:bidi w:val="0"/>
              <w:spacing w:before="0" w:after="283"/>
              <w:jc w:val="left"/>
              <w:rPr/>
            </w:pPr>
            <w:r>
              <w:rPr/>
              <w:t>Cash</w:t>
            </w:r>
          </w:p>
        </w:tc>
      </w:tr>
      <w:tr>
        <w:trPr/>
        <w:tc>
          <w:tcPr>
            <w:tcW w:w="1139" w:type="dxa"/>
            <w:tcBorders/>
            <w:vAlign w:val="center"/>
          </w:tcPr>
          <w:p>
            <w:pPr>
              <w:pStyle w:val="TableContents"/>
              <w:bidi w:val="0"/>
              <w:spacing w:before="0" w:after="283"/>
              <w:jc w:val="left"/>
              <w:rPr/>
            </w:pPr>
            <w:r>
              <w:rPr/>
              <w:t>Common Stock</w:t>
            </w:r>
          </w:p>
        </w:tc>
        <w:tc>
          <w:tcPr>
            <w:tcW w:w="1126" w:type="dxa"/>
            <w:tcBorders/>
            <w:vAlign w:val="center"/>
          </w:tcPr>
          <w:p>
            <w:pPr>
              <w:pStyle w:val="TableContents"/>
              <w:bidi w:val="0"/>
              <w:spacing w:before="0" w:after="283"/>
              <w:jc w:val="left"/>
              <w:rPr/>
            </w:pPr>
            <w:r>
              <w:rPr/>
              <w:t>06/15/2020</w:t>
            </w:r>
          </w:p>
        </w:tc>
        <w:tc>
          <w:tcPr>
            <w:tcW w:w="1482" w:type="dxa"/>
            <w:tcBorders/>
            <w:vAlign w:val="center"/>
          </w:tcPr>
          <w:p>
            <w:pPr>
              <w:pStyle w:val="TableContents"/>
              <w:bidi w:val="0"/>
              <w:spacing w:before="0" w:after="283"/>
              <w:jc w:val="left"/>
              <w:rPr/>
            </w:pPr>
            <w:r>
              <w:rPr/>
              <w:t>Stock Option Exercise</w:t>
            </w:r>
          </w:p>
        </w:tc>
        <w:tc>
          <w:tcPr>
            <w:tcW w:w="1342" w:type="dxa"/>
            <w:tcBorders/>
            <w:vAlign w:val="center"/>
          </w:tcPr>
          <w:p>
            <w:pPr>
              <w:pStyle w:val="TableContents"/>
              <w:bidi w:val="0"/>
              <w:spacing w:before="0" w:after="283"/>
              <w:jc w:val="left"/>
              <w:rPr/>
            </w:pPr>
            <w:r>
              <w:rPr/>
              <w:t>Company</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pPr>
            <w:r>
              <w:rPr/>
              <w:t>2180</w:t>
            </w:r>
          </w:p>
        </w:tc>
        <w:tc>
          <w:tcPr>
            <w:tcW w:w="1068" w:type="dxa"/>
            <w:tcBorders/>
            <w:vAlign w:val="center"/>
          </w:tcPr>
          <w:p>
            <w:pPr>
              <w:pStyle w:val="TableContents"/>
              <w:bidi w:val="0"/>
              <w:spacing w:before="0" w:after="283"/>
              <w:jc w:val="left"/>
              <w:rPr/>
            </w:pPr>
            <w:r>
              <w:rPr/>
              <w:t>06/15/2020</w:t>
            </w:r>
          </w:p>
        </w:tc>
        <w:tc>
          <w:tcPr>
            <w:tcW w:w="1208" w:type="dxa"/>
            <w:tcBorders/>
            <w:vAlign w:val="center"/>
          </w:tcPr>
          <w:p>
            <w:pPr>
              <w:pStyle w:val="TableContents"/>
              <w:bidi w:val="0"/>
              <w:spacing w:before="0" w:after="283"/>
              <w:jc w:val="left"/>
              <w:rPr/>
            </w:pPr>
            <w:r>
              <w:rPr/>
              <w:t>Cash</w:t>
            </w:r>
          </w:p>
        </w:tc>
      </w:tr>
      <w:tr>
        <w:trPr/>
        <w:tc>
          <w:tcPr>
            <w:tcW w:w="1139" w:type="dxa"/>
            <w:tcBorders/>
            <w:vAlign w:val="center"/>
          </w:tcPr>
          <w:p>
            <w:pPr>
              <w:pStyle w:val="TableContents"/>
              <w:bidi w:val="0"/>
              <w:spacing w:before="0" w:after="283"/>
              <w:jc w:val="left"/>
              <w:rPr/>
            </w:pPr>
            <w:r>
              <w:rPr/>
              <w:t>Common Stock</w:t>
            </w:r>
          </w:p>
        </w:tc>
        <w:tc>
          <w:tcPr>
            <w:tcW w:w="1126" w:type="dxa"/>
            <w:tcBorders/>
            <w:vAlign w:val="center"/>
          </w:tcPr>
          <w:p>
            <w:pPr>
              <w:pStyle w:val="TableContents"/>
              <w:bidi w:val="0"/>
              <w:spacing w:before="0" w:after="283"/>
              <w:jc w:val="left"/>
              <w:rPr/>
            </w:pPr>
            <w:r>
              <w:rPr/>
              <w:t>07/20/2020</w:t>
            </w:r>
          </w:p>
        </w:tc>
        <w:tc>
          <w:tcPr>
            <w:tcW w:w="1482" w:type="dxa"/>
            <w:tcBorders/>
            <w:vAlign w:val="center"/>
          </w:tcPr>
          <w:p>
            <w:pPr>
              <w:pStyle w:val="TableContents"/>
              <w:bidi w:val="0"/>
              <w:spacing w:before="0" w:after="283"/>
              <w:jc w:val="left"/>
              <w:rPr/>
            </w:pPr>
            <w:r>
              <w:rPr/>
              <w:t>Stock Option Exercise</w:t>
            </w:r>
          </w:p>
        </w:tc>
        <w:tc>
          <w:tcPr>
            <w:tcW w:w="1342" w:type="dxa"/>
            <w:tcBorders/>
            <w:vAlign w:val="center"/>
          </w:tcPr>
          <w:p>
            <w:pPr>
              <w:pStyle w:val="TableContents"/>
              <w:bidi w:val="0"/>
              <w:spacing w:before="0" w:after="283"/>
              <w:jc w:val="left"/>
              <w:rPr/>
            </w:pPr>
            <w:r>
              <w:rPr/>
              <w:t>Company</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pPr>
            <w:r>
              <w:rPr/>
              <w:t>2224</w:t>
            </w:r>
          </w:p>
        </w:tc>
        <w:tc>
          <w:tcPr>
            <w:tcW w:w="1068" w:type="dxa"/>
            <w:tcBorders/>
            <w:vAlign w:val="center"/>
          </w:tcPr>
          <w:p>
            <w:pPr>
              <w:pStyle w:val="TableContents"/>
              <w:bidi w:val="0"/>
              <w:spacing w:before="0" w:after="283"/>
              <w:jc w:val="left"/>
              <w:rPr/>
            </w:pPr>
            <w:r>
              <w:rPr/>
              <w:t>07/20/2020</w:t>
            </w:r>
          </w:p>
        </w:tc>
        <w:tc>
          <w:tcPr>
            <w:tcW w:w="1208"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Remarks</w:t>
            </w:r>
          </w:p>
        </w:tc>
        <w:tc>
          <w:tcPr>
            <w:tcW w:w="9047" w:type="dxa"/>
            <w:tcBorders/>
            <w:vAlign w:val="center"/>
          </w:tcPr>
          <w:p>
            <w:pPr>
              <w:pStyle w:val="TableContents"/>
              <w:bidi w:val="0"/>
              <w:spacing w:before="0" w:after="0"/>
              <w:jc w:val="left"/>
              <w:rPr/>
            </w:pPr>
            <w:r>
              <w:rPr/>
              <w:t xml:space="preserve">The shares covered under this filing are being sold under the Fenimore Irrevocable Trust For Lila Fenimore DTD 5/10/2016 (436 Shares), Fenimore Irrevocable Trust For Alex Fenimore DTD 5/10/2016 (435 Shares), The Christopher Fenimore Grantor Retained Annuity Trust DTD 10/25/2018 (4,809 Shares). Christopher Fenimore is appointed as agent to file for both irrevocable trusts and is the trustee for the grantor retained annuity trust. </w:t>
            </w:r>
          </w:p>
        </w:tc>
      </w:tr>
      <w:tr>
        <w:trPr/>
        <w:tc>
          <w:tcPr>
            <w:tcW w:w="1158" w:type="dxa"/>
            <w:tcBorders/>
            <w:vAlign w:val="center"/>
          </w:tcPr>
          <w:p>
            <w:pPr>
              <w:pStyle w:val="TableContents"/>
              <w:bidi w:val="0"/>
              <w:spacing w:before="0" w:after="283"/>
              <w:jc w:val="left"/>
              <w:rPr/>
            </w:pPr>
            <w:r>
              <w:rPr/>
              <w:t>Date of Notice</w:t>
            </w:r>
          </w:p>
        </w:tc>
        <w:tc>
          <w:tcPr>
            <w:tcW w:w="9047" w:type="dxa"/>
            <w:tcBorders/>
            <w:vAlign w:val="center"/>
          </w:tcPr>
          <w:p>
            <w:pPr>
              <w:pStyle w:val="TableContents"/>
              <w:bidi w:val="0"/>
              <w:spacing w:before="0" w:after="0"/>
              <w:jc w:val="left"/>
              <w:rPr/>
            </w:pPr>
            <w:r>
              <w:rPr/>
              <w:t>08/28/2024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0"/>
              <w:jc w:val="left"/>
              <w:rPr/>
            </w:pPr>
            <w:r>
              <w:rPr/>
              <w:t>/s/ UBS Financial Services Inc, as attorney-in-fact for Christopher Fenimore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770</Words>
  <Characters>4121</Characters>
  <CharactersWithSpaces>4753</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