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3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310"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FORM 8-K</w:t>
      </w:r>
    </w:p>
    <w:p>
      <w:pPr>
        <w:spacing w:after="0" w:line="246" w:lineRule="exact"/>
        <w:rPr>
          <w:sz w:val="24"/>
          <w:szCs w:val="24"/>
          <w:color w:val="auto"/>
        </w:rPr>
      </w:pPr>
    </w:p>
    <w:p>
      <w:pPr>
        <w:jc w:val="center"/>
        <w:ind w:right="213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83" w:lineRule="exact"/>
        <w:rPr>
          <w:sz w:val="24"/>
          <w:szCs w:val="24"/>
          <w:color w:val="auto"/>
        </w:rPr>
      </w:pPr>
    </w:p>
    <w:p>
      <w:pPr>
        <w:ind w:left="940"/>
        <w:spacing w:after="0"/>
        <w:tabs>
          <w:tab w:leader="none" w:pos="44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b w:val="1"/>
          <w:bCs w:val="1"/>
          <w:u w:val="single" w:color="auto"/>
          <w:color w:val="auto"/>
        </w:rPr>
        <w:t>February 4, 2005 (February 1, 2005)</w:t>
      </w:r>
    </w:p>
    <w:p>
      <w:pPr>
        <w:spacing w:after="0" w:line="200" w:lineRule="exact"/>
        <w:rPr>
          <w:sz w:val="24"/>
          <w:szCs w:val="24"/>
          <w:color w:val="auto"/>
        </w:rPr>
      </w:pPr>
    </w:p>
    <w:p>
      <w:pPr>
        <w:spacing w:after="0" w:line="29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1282700</wp:posOffset>
            </wp:positionH>
            <wp:positionV relativeFrom="paragraph">
              <wp:posOffset>83820</wp:posOffset>
            </wp:positionV>
            <wp:extent cx="2590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25"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w:t>
            </w:r>
          </w:p>
        </w:tc>
        <w:tc>
          <w:tcPr>
            <w:tcW w:w="2540" w:type="dxa"/>
            <w:vAlign w:val="bottom"/>
            <w:gridSpan w:val="2"/>
          </w:tcPr>
          <w:p>
            <w:pPr>
              <w:jc w:val="center"/>
              <w:ind w:left="1052"/>
              <w:spacing w:after="0"/>
              <w:rPr>
                <w:sz w:val="20"/>
                <w:szCs w:val="20"/>
                <w:color w:val="auto"/>
              </w:rPr>
            </w:pPr>
            <w:r>
              <w:rPr>
                <w:rFonts w:ascii="Arial" w:cs="Arial" w:eastAsia="Arial" w:hAnsi="Arial"/>
                <w:sz w:val="18"/>
                <w:szCs w:val="18"/>
                <w:b w:val="1"/>
                <w:bCs w:val="1"/>
                <w:color w:val="auto"/>
                <w:w w:val="90"/>
              </w:rPr>
              <w:t>0-19034</w:t>
            </w:r>
          </w:p>
        </w:tc>
        <w:tc>
          <w:tcPr>
            <w:tcW w:w="12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No. 13-3444607</w:t>
            </w:r>
          </w:p>
        </w:tc>
        <w:tc>
          <w:tcPr>
            <w:tcW w:w="600" w:type="dxa"/>
            <w:vAlign w:val="bottom"/>
          </w:tcPr>
          <w:p>
            <w:pPr>
              <w:spacing w:after="0"/>
              <w:rPr>
                <w:sz w:val="19"/>
                <w:szCs w:val="19"/>
                <w:color w:val="auto"/>
              </w:rPr>
            </w:pPr>
          </w:p>
        </w:tc>
      </w:tr>
      <w:tr>
        <w:trPr>
          <w:trHeight w:val="110"/>
        </w:trPr>
        <w:tc>
          <w:tcPr>
            <w:tcW w:w="460" w:type="dxa"/>
            <w:vAlign w:val="bottom"/>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140" w:type="dxa"/>
            <w:vAlign w:val="bottom"/>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80" w:type="dxa"/>
            <w:vAlign w:val="bottom"/>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600" w:type="dxa"/>
            <w:vAlign w:val="bottom"/>
          </w:tcPr>
          <w:p>
            <w:pPr>
              <w:spacing w:after="0"/>
              <w:rPr>
                <w:sz w:val="9"/>
                <w:szCs w:val="9"/>
                <w:color w:val="auto"/>
              </w:rPr>
            </w:pPr>
          </w:p>
        </w:tc>
      </w:tr>
      <w:tr>
        <w:trPr>
          <w:trHeight w:val="239"/>
        </w:trPr>
        <w:tc>
          <w:tcPr>
            <w:tcW w:w="4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8"/>
              </w:rPr>
              <w:t>(State or other jurisdiction</w:t>
            </w:r>
          </w:p>
        </w:tc>
        <w:tc>
          <w:tcPr>
            <w:tcW w:w="1140" w:type="dxa"/>
            <w:vAlign w:val="bottom"/>
          </w:tcPr>
          <w:p>
            <w:pPr>
              <w:spacing w:after="0"/>
              <w:rPr>
                <w:sz w:val="20"/>
                <w:szCs w:val="20"/>
                <w:color w:val="auto"/>
              </w:rPr>
            </w:pPr>
          </w:p>
        </w:tc>
        <w:tc>
          <w:tcPr>
            <w:tcW w:w="2680" w:type="dxa"/>
            <w:vAlign w:val="bottom"/>
            <w:gridSpan w:val="2"/>
          </w:tcPr>
          <w:p>
            <w:pPr>
              <w:jc w:val="center"/>
              <w:ind w:right="1280"/>
              <w:spacing w:after="0"/>
              <w:rPr>
                <w:sz w:val="20"/>
                <w:szCs w:val="20"/>
                <w:color w:val="auto"/>
              </w:rPr>
            </w:pPr>
            <w:r>
              <w:rPr>
                <w:rFonts w:ascii="Arial" w:cs="Arial" w:eastAsia="Arial" w:hAnsi="Arial"/>
                <w:sz w:val="14"/>
                <w:szCs w:val="14"/>
                <w:color w:val="auto"/>
                <w:w w:val="88"/>
              </w:rPr>
              <w:t>(Commission</w:t>
            </w: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(IRS Employer</w:t>
            </w:r>
          </w:p>
        </w:tc>
        <w:tc>
          <w:tcPr>
            <w:tcW w:w="600" w:type="dxa"/>
            <w:vAlign w:val="bottom"/>
          </w:tcPr>
          <w:p>
            <w:pPr>
              <w:spacing w:after="0"/>
              <w:rPr>
                <w:sz w:val="20"/>
                <w:szCs w:val="20"/>
                <w:color w:val="auto"/>
              </w:rPr>
            </w:pPr>
          </w:p>
        </w:tc>
      </w:tr>
      <w:tr>
        <w:trPr>
          <w:trHeight w:val="172"/>
        </w:trPr>
        <w:tc>
          <w:tcPr>
            <w:tcW w:w="46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90"/>
              </w:rPr>
              <w:t>of incorporation)</w:t>
            </w:r>
          </w:p>
        </w:tc>
        <w:tc>
          <w:tcPr>
            <w:tcW w:w="1140" w:type="dxa"/>
            <w:vAlign w:val="bottom"/>
          </w:tcPr>
          <w:p>
            <w:pPr>
              <w:spacing w:after="0"/>
              <w:rPr>
                <w:sz w:val="14"/>
                <w:szCs w:val="14"/>
                <w:color w:val="auto"/>
              </w:rPr>
            </w:pPr>
          </w:p>
        </w:tc>
        <w:tc>
          <w:tcPr>
            <w:tcW w:w="2680" w:type="dxa"/>
            <w:vAlign w:val="bottom"/>
            <w:gridSpan w:val="2"/>
          </w:tcPr>
          <w:p>
            <w:pPr>
              <w:jc w:val="center"/>
              <w:ind w:right="1280"/>
              <w:spacing w:after="0"/>
              <w:rPr>
                <w:sz w:val="20"/>
                <w:szCs w:val="20"/>
                <w:color w:val="auto"/>
              </w:rPr>
            </w:pPr>
            <w:r>
              <w:rPr>
                <w:rFonts w:ascii="Arial" w:cs="Arial" w:eastAsia="Arial" w:hAnsi="Arial"/>
                <w:sz w:val="14"/>
                <w:szCs w:val="14"/>
                <w:color w:val="auto"/>
                <w:w w:val="88"/>
              </w:rPr>
              <w:t>File Number)</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Identification No.)</w:t>
            </w:r>
          </w:p>
        </w:tc>
        <w:tc>
          <w:tcPr>
            <w:tcW w:w="600" w:type="dxa"/>
            <w:vAlign w:val="bottom"/>
          </w:tcPr>
          <w:p>
            <w:pPr>
              <w:spacing w:after="0"/>
              <w:rPr>
                <w:sz w:val="14"/>
                <w:szCs w:val="14"/>
                <w:color w:val="auto"/>
              </w:rPr>
            </w:pPr>
          </w:p>
        </w:tc>
      </w:tr>
      <w:tr>
        <w:trPr>
          <w:trHeight w:val="687"/>
        </w:trPr>
        <w:tc>
          <w:tcPr>
            <w:tcW w:w="460" w:type="dxa"/>
            <w:vAlign w:val="bottom"/>
          </w:tcPr>
          <w:p>
            <w:pPr>
              <w:spacing w:after="0"/>
              <w:rPr>
                <w:sz w:val="24"/>
                <w:szCs w:val="24"/>
                <w:color w:val="auto"/>
              </w:rPr>
            </w:pPr>
          </w:p>
        </w:tc>
        <w:tc>
          <w:tcPr>
            <w:tcW w:w="5580" w:type="dxa"/>
            <w:vAlign w:val="bottom"/>
            <w:gridSpan w:val="4"/>
          </w:tcPr>
          <w:p>
            <w:pPr>
              <w:jc w:val="center"/>
              <w:ind w:right="800"/>
              <w:spacing w:after="0"/>
              <w:rPr>
                <w:sz w:val="20"/>
                <w:szCs w:val="20"/>
                <w:color w:val="auto"/>
              </w:rPr>
            </w:pPr>
            <w:r>
              <w:rPr>
                <w:rFonts w:ascii="Arial" w:cs="Arial" w:eastAsia="Arial" w:hAnsi="Arial"/>
                <w:sz w:val="18"/>
                <w:szCs w:val="18"/>
                <w:b w:val="1"/>
                <w:bCs w:val="1"/>
                <w:color w:val="auto"/>
                <w:w w:val="91"/>
              </w:rPr>
              <w:t>777 Old Saw Mill River Road, Tarrytown, New York</w:t>
            </w:r>
          </w:p>
        </w:tc>
        <w:tc>
          <w:tcPr>
            <w:tcW w:w="1480" w:type="dxa"/>
            <w:vAlign w:val="bottom"/>
          </w:tcPr>
          <w:p>
            <w:pPr>
              <w:jc w:val="right"/>
              <w:ind w:right="104"/>
              <w:spacing w:after="0"/>
              <w:rPr>
                <w:sz w:val="20"/>
                <w:szCs w:val="20"/>
                <w:color w:val="auto"/>
              </w:rPr>
            </w:pPr>
            <w:r>
              <w:rPr>
                <w:rFonts w:ascii="Arial" w:cs="Arial" w:eastAsia="Arial" w:hAnsi="Arial"/>
                <w:sz w:val="18"/>
                <w:szCs w:val="18"/>
                <w:b w:val="1"/>
                <w:bCs w:val="1"/>
                <w:color w:val="auto"/>
              </w:rPr>
              <w:t>10591-6707</w:t>
            </w:r>
          </w:p>
        </w:tc>
        <w:tc>
          <w:tcPr>
            <w:tcW w:w="600" w:type="dxa"/>
            <w:vAlign w:val="bottom"/>
          </w:tcPr>
          <w:p>
            <w:pPr>
              <w:spacing w:after="0"/>
              <w:rPr>
                <w:sz w:val="24"/>
                <w:szCs w:val="24"/>
                <w:color w:val="auto"/>
              </w:rPr>
            </w:pPr>
          </w:p>
        </w:tc>
      </w:tr>
      <w:tr>
        <w:trPr>
          <w:trHeight w:val="110"/>
        </w:trPr>
        <w:tc>
          <w:tcPr>
            <w:tcW w:w="460" w:type="dxa"/>
            <w:vAlign w:val="bottom"/>
            <w:tcBorders>
              <w:bottom w:val="single" w:sz="8" w:color="808080"/>
            </w:tcBorders>
          </w:tcPr>
          <w:p>
            <w:pPr>
              <w:spacing w:after="0"/>
              <w:rPr>
                <w:sz w:val="9"/>
                <w:szCs w:val="9"/>
                <w:color w:val="auto"/>
              </w:rPr>
            </w:pPr>
          </w:p>
        </w:tc>
        <w:tc>
          <w:tcPr>
            <w:tcW w:w="5580" w:type="dxa"/>
            <w:vAlign w:val="bottom"/>
            <w:tcBorders>
              <w:bottom w:val="single" w:sz="8" w:color="808080"/>
            </w:tcBorders>
            <w:gridSpan w:val="4"/>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316"/>
        </w:trPr>
        <w:tc>
          <w:tcPr>
            <w:tcW w:w="460" w:type="dxa"/>
            <w:vAlign w:val="bottom"/>
          </w:tcPr>
          <w:p>
            <w:pPr>
              <w:spacing w:after="0"/>
              <w:rPr>
                <w:sz w:val="24"/>
                <w:szCs w:val="24"/>
                <w:color w:val="auto"/>
              </w:rPr>
            </w:pPr>
          </w:p>
        </w:tc>
        <w:tc>
          <w:tcPr>
            <w:tcW w:w="5580" w:type="dxa"/>
            <w:vAlign w:val="bottom"/>
            <w:gridSpan w:val="4"/>
          </w:tcPr>
          <w:p>
            <w:pPr>
              <w:jc w:val="center"/>
              <w:ind w:right="800"/>
              <w:spacing w:after="0"/>
              <w:rPr>
                <w:sz w:val="20"/>
                <w:szCs w:val="20"/>
                <w:color w:val="auto"/>
              </w:rPr>
            </w:pPr>
            <w:r>
              <w:rPr>
                <w:rFonts w:ascii="Arial" w:cs="Arial" w:eastAsia="Arial" w:hAnsi="Arial"/>
                <w:sz w:val="18"/>
                <w:szCs w:val="18"/>
                <w:color w:val="auto"/>
                <w:w w:val="90"/>
              </w:rPr>
              <w:t>(Address of principal executive offices)</w:t>
            </w:r>
          </w:p>
        </w:tc>
        <w:tc>
          <w:tcPr>
            <w:tcW w:w="1480" w:type="dxa"/>
            <w:vAlign w:val="bottom"/>
          </w:tcPr>
          <w:p>
            <w:pPr>
              <w:jc w:val="right"/>
              <w:ind w:right="264"/>
              <w:spacing w:after="0"/>
              <w:rPr>
                <w:sz w:val="20"/>
                <w:szCs w:val="20"/>
                <w:color w:val="auto"/>
              </w:rPr>
            </w:pPr>
            <w:r>
              <w:rPr>
                <w:rFonts w:ascii="Arial" w:cs="Arial" w:eastAsia="Arial" w:hAnsi="Arial"/>
                <w:sz w:val="14"/>
                <w:szCs w:val="14"/>
                <w:color w:val="auto"/>
              </w:rPr>
              <w:t>(Zip Code)</w:t>
            </w:r>
          </w:p>
        </w:tc>
        <w:tc>
          <w:tcPr>
            <w:tcW w:w="6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1390015</wp:posOffset>
            </wp:positionH>
            <wp:positionV relativeFrom="paragraph">
              <wp:posOffset>-1005840</wp:posOffset>
            </wp:positionV>
            <wp:extent cx="3429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3002280</wp:posOffset>
            </wp:positionH>
            <wp:positionV relativeFrom="paragraph">
              <wp:posOffset>-1005840</wp:posOffset>
            </wp:positionV>
            <wp:extent cx="3429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-1005840</wp:posOffset>
            </wp:positionV>
            <wp:extent cx="342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16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(914) 347-7000</w:t>
      </w:r>
    </w:p>
    <w:p>
      <w:pPr>
        <w:spacing w:after="0" w:line="200" w:lineRule="exact"/>
        <w:rPr>
          <w:sz w:val="24"/>
          <w:szCs w:val="24"/>
          <w:color w:val="auto"/>
        </w:rPr>
      </w:pPr>
    </w:p>
    <w:p>
      <w:pPr>
        <w:spacing w:after="0" w:line="295" w:lineRule="exact"/>
        <w:rPr>
          <w:sz w:val="24"/>
          <w:szCs w:val="24"/>
          <w:color w:val="auto"/>
        </w:rPr>
      </w:pPr>
    </w:p>
    <w:p>
      <w:pPr>
        <w:jc w:val="center"/>
        <w:ind w:right="2099"/>
        <w:spacing w:after="0"/>
        <w:rPr>
          <w:sz w:val="20"/>
          <w:szCs w:val="20"/>
          <w:color w:val="auto"/>
        </w:rPr>
      </w:pPr>
      <w:r>
        <w:rPr>
          <w:rFonts w:ascii="Arial" w:cs="Arial" w:eastAsia="Arial" w:hAnsi="Arial"/>
          <w:sz w:val="18"/>
          <w:szCs w:val="18"/>
          <w:u w:val="single" w:color="auto"/>
          <w:color w:val="auto"/>
        </w:rPr>
        <w:t>NOT APPLICABLE</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9" w:lineRule="exact"/>
        <w:rPr>
          <w:sz w:val="24"/>
          <w:szCs w:val="24"/>
          <w:color w:val="auto"/>
        </w:rPr>
      </w:pPr>
    </w:p>
    <w:p>
      <w:pPr>
        <w:ind w:right="2259"/>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43"/>
          <w:szCs w:val="43"/>
          <w:color w:val="auto"/>
          <w:vertAlign w:val="subscript"/>
        </w:rPr>
      </w:pPr>
    </w:p>
    <w:p>
      <w:pPr>
        <w:ind w:left="340" w:hanging="332"/>
        <w:spacing w:after="0" w:line="236" w:lineRule="auto"/>
        <w:tabs>
          <w:tab w:leader="none" w:pos="3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Soliciting material pursuant to Rule 14a-12 under the Exchange Act (17 CFR 240.14a-12)</w:t>
      </w:r>
    </w:p>
    <w:p>
      <w:pPr>
        <w:spacing w:after="0" w:line="277" w:lineRule="exact"/>
        <w:rPr>
          <w:rFonts w:ascii="MS PGothic" w:cs="MS PGothic" w:eastAsia="MS PGothic" w:hAnsi="MS PGothic"/>
          <w:sz w:val="43"/>
          <w:szCs w:val="43"/>
          <w:color w:val="auto"/>
          <w:vertAlign w:val="subscript"/>
        </w:rPr>
      </w:pPr>
    </w:p>
    <w:p>
      <w:pPr>
        <w:ind w:left="340" w:right="3659" w:hanging="332"/>
        <w:spacing w:after="0" w:line="186" w:lineRule="auto"/>
        <w:tabs>
          <w:tab w:leader="none" w:pos="340" w:val="left"/>
        </w:tabs>
        <w:numPr>
          <w:ilvl w:val="0"/>
          <w:numId w:val="1"/>
        </w:numPr>
        <w:rPr>
          <w:rFonts w:ascii="MS PGothic" w:cs="MS PGothic" w:eastAsia="MS PGothic" w:hAnsi="MS PGothic"/>
          <w:sz w:val="38"/>
          <w:szCs w:val="38"/>
          <w:color w:val="auto"/>
          <w:vertAlign w:val="subscript"/>
        </w:rPr>
      </w:pPr>
      <w:r>
        <w:rPr>
          <w:rFonts w:ascii="Arial" w:cs="Arial" w:eastAsia="Arial" w:hAnsi="Arial"/>
          <w:sz w:val="16"/>
          <w:szCs w:val="16"/>
          <w:color w:val="auto"/>
        </w:rPr>
        <w:t>Pre-commencement communications pursuant to Rule 14d-2(b) under the Exchange Act (17 CFR 240.14d-2(b))</w:t>
      </w:r>
    </w:p>
    <w:p>
      <w:pPr>
        <w:spacing w:after="0" w:line="238" w:lineRule="exact"/>
        <w:rPr>
          <w:rFonts w:ascii="MS PGothic" w:cs="MS PGothic" w:eastAsia="MS PGothic" w:hAnsi="MS PGothic"/>
          <w:sz w:val="38"/>
          <w:szCs w:val="38"/>
          <w:color w:val="auto"/>
          <w:vertAlign w:val="subscript"/>
        </w:rPr>
      </w:pPr>
    </w:p>
    <w:p>
      <w:pPr>
        <w:ind w:left="340" w:right="3679" w:hanging="332"/>
        <w:spacing w:after="0" w:line="186" w:lineRule="auto"/>
        <w:tabs>
          <w:tab w:leader="none" w:pos="340" w:val="left"/>
        </w:tabs>
        <w:numPr>
          <w:ilvl w:val="0"/>
          <w:numId w:val="1"/>
        </w:numPr>
        <w:rPr>
          <w:rFonts w:ascii="MS PGothic" w:cs="MS PGothic" w:eastAsia="MS PGothic" w:hAnsi="MS PGothic"/>
          <w:sz w:val="38"/>
          <w:szCs w:val="38"/>
          <w:color w:val="auto"/>
          <w:vertAlign w:val="subscript"/>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519239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92395"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8" w:lineRule="exact"/>
        <w:rPr>
          <w:sz w:val="24"/>
          <w:szCs w:val="24"/>
          <w:color w:val="auto"/>
        </w:rPr>
      </w:pPr>
    </w:p>
    <w:p>
      <w:pPr>
        <w:ind w:left="1300" w:right="2219"/>
        <w:spacing w:after="0" w:line="294" w:lineRule="auto"/>
        <w:rPr>
          <w:sz w:val="20"/>
          <w:szCs w:val="20"/>
          <w:color w:val="auto"/>
        </w:rPr>
      </w:pPr>
      <w:r>
        <w:rPr>
          <w:rFonts w:ascii="Arial" w:cs="Arial" w:eastAsia="Arial" w:hAnsi="Arial"/>
          <w:sz w:val="16"/>
          <w:szCs w:val="16"/>
          <w:color w:val="auto"/>
        </w:rPr>
        <w:t>On February 1, 2005, the United States District Court for the Southern District of New York denied the Company’s motion to dismiss the consolidated amended complaint in the previously disclosed purported class action securities lawsuit first commenced against the Company and certain of its officers and directors in May 2003. The Company believes that the lawsuit is without merit and intends to continue to defend the action vigorously.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514985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right="2219" w:firstLine="702"/>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213"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REGENERON PHARMACEUTICALS, INC.</w:t>
      </w:r>
    </w:p>
    <w:p>
      <w:pPr>
        <w:sectPr>
          <w:pgSz w:w="11900" w:h="16838" w:orient="portrait"/>
          <w:cols w:equalWidth="0" w:num="1">
            <w:col w:w="10219"/>
          </w:cols>
          <w:pgMar w:left="240" w:top="719" w:right="1440" w:bottom="0" w:gutter="0" w:footer="0" w:header="0"/>
        </w:sectPr>
      </w:pPr>
    </w:p>
    <w:bookmarkStart w:id="1" w:name="page2"/>
    <w:bookmarkEnd w:id="1"/>
    <w:p>
      <w:pPr>
        <w:spacing w:after="0"/>
        <w:tabs>
          <w:tab w:leader="none" w:pos="640" w:val="left"/>
          <w:tab w:leader="none" w:pos="4200" w:val="left"/>
          <w:tab w:leader="none" w:pos="4600" w:val="left"/>
        </w:tabs>
        <w:rPr>
          <w:sz w:val="20"/>
          <w:szCs w:val="20"/>
          <w:color w:val="auto"/>
        </w:rPr>
      </w:pPr>
      <w:r>
        <w:rPr>
          <w:rFonts w:ascii="Arial" w:cs="Arial" w:eastAsia="Arial" w:hAnsi="Arial"/>
          <w:sz w:val="18"/>
          <w:szCs w:val="18"/>
          <w:color w:val="auto"/>
        </w:rPr>
        <w:t>Dated:</w:t>
        <w:tab/>
        <w:t>February 4,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80010</wp:posOffset>
            </wp:positionV>
            <wp:extent cx="2212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Stuart Kolinski</w:t>
      </w:r>
    </w:p>
    <w:p>
      <w:pPr>
        <w:spacing w:after="0" w:line="15" w:lineRule="exact"/>
        <w:rPr>
          <w:sz w:val="20"/>
          <w:szCs w:val="20"/>
          <w:color w:val="auto"/>
        </w:rPr>
      </w:pPr>
    </w:p>
    <w:p>
      <w:pPr>
        <w:ind w:left="4620"/>
        <w:spacing w:after="0"/>
        <w:rPr>
          <w:sz w:val="20"/>
          <w:szCs w:val="20"/>
          <w:color w:val="auto"/>
        </w:rPr>
      </w:pPr>
      <w:r>
        <w:rPr>
          <w:rFonts w:ascii="Arial" w:cs="Arial" w:eastAsia="Arial" w:hAnsi="Arial"/>
          <w:sz w:val="15"/>
          <w:szCs w:val="15"/>
          <w:color w:val="auto"/>
        </w:rPr>
        <w:t>Vice President and General Counsel</w:t>
      </w:r>
    </w:p>
    <w:sectPr>
      <w:pgSz w:w="11900" w:h="16838" w:orient="portrait"/>
      <w:cols w:equalWidth="0" w:num="1">
        <w:col w:w="10219"/>
      </w:cols>
      <w:pgMar w:left="24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2019-12-20T06:30:26Z</dcterms:created>
  <dcterms:modified xsi:type="dcterms:W3CDTF">2019-12-20T06:30:26Z</dcterms:modified>
</cp:coreProperties>
</file>