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00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009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SCHLEIFER LEONARD S</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r>
      <w:tr>
        <w:trPr>
          <w:trHeight w:val="26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920" w:type="dxa"/>
            <w:vAlign w:val="bottom"/>
            <w:gridSpan w:val="2"/>
          </w:tcPr>
          <w:p>
            <w:pPr>
              <w:spacing w:after="0" w:line="20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REGENERON PHARMACEUTICALS INC</w:t>
              </w:r>
            </w:hyperlink>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REGN</w:t>
              </w:r>
              <w:r>
                <w:rPr>
                  <w:rFonts w:ascii="Arial" w:cs="Arial" w:eastAsia="Arial" w:hAnsi="Arial"/>
                  <w:sz w:val="3"/>
                  <w:szCs w:val="3"/>
                  <w:color w:val="auto"/>
                </w:rPr>
                <w:t xml:space="preserve"> ]</w:t>
              </w:r>
            </w:hyperlink>
          </w:p>
        </w:tc>
        <w:tc>
          <w:tcPr>
            <w:tcW w:w="100" w:type="dxa"/>
            <w:vAlign w:val="bottom"/>
          </w:tcPr>
          <w:p>
            <w:pPr>
              <w:spacing w:after="0"/>
              <w:rPr>
                <w:sz w:val="2"/>
                <w:szCs w:val="2"/>
                <w:color w:val="auto"/>
              </w:rPr>
            </w:pPr>
          </w:p>
        </w:tc>
        <w:tc>
          <w:tcPr>
            <w:tcW w:w="50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3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920" w:type="dxa"/>
            <w:vAlign w:val="bottom"/>
            <w:gridSpan w:val="2"/>
            <w:vMerge w:val="restart"/>
          </w:tcPr>
          <w:p>
            <w:pPr>
              <w:ind w:left="62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151"/>
        </w:trPr>
        <w:tc>
          <w:tcPr>
            <w:tcW w:w="3880" w:type="dxa"/>
            <w:vAlign w:val="bottom"/>
            <w:gridSpan w:val="2"/>
            <w:vMerge w:val="restart"/>
          </w:tcPr>
          <w:p>
            <w:pPr>
              <w:ind w:left="60"/>
              <w:spacing w:after="0"/>
              <w:rPr>
                <w:sz w:val="20"/>
                <w:szCs w:val="20"/>
                <w:color w:val="auto"/>
              </w:rPr>
            </w:pPr>
            <w:r>
              <w:rPr>
                <w:rFonts w:ascii="Arial" w:cs="Arial" w:eastAsia="Arial" w:hAnsi="Arial"/>
                <w:sz w:val="17"/>
                <w:szCs w:val="17"/>
                <w:color w:val="0000FF"/>
              </w:rPr>
              <w:t>12/16/2014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8"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52.03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12/16/2014</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240,000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12/16/2021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240,000</w:t>
            </w: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60" w:type="dxa"/>
            <w:vAlign w:val="bottom"/>
          </w:tcPr>
          <w:p>
            <w:pPr>
              <w:ind w:left="280"/>
              <w:spacing w:after="0"/>
              <w:rPr>
                <w:sz w:val="20"/>
                <w:szCs w:val="20"/>
                <w:color w:val="auto"/>
              </w:rPr>
            </w:pPr>
            <w:r>
              <w:rPr>
                <w:rFonts w:ascii="Arial" w:cs="Arial" w:eastAsia="Arial" w:hAnsi="Arial"/>
                <w:sz w:val="13"/>
                <w:szCs w:val="13"/>
                <w:color w:val="0000FF"/>
              </w:rPr>
              <w:t>400,000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399.66</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12/16/2014</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203,204</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12/16/2024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203,204</w:t>
            </w: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60" w:type="dxa"/>
            <w:vAlign w:val="bottom"/>
          </w:tcPr>
          <w:p>
            <w:pPr>
              <w:ind w:left="280"/>
              <w:spacing w:after="0"/>
              <w:rPr>
                <w:sz w:val="20"/>
                <w:szCs w:val="20"/>
                <w:color w:val="auto"/>
              </w:rPr>
            </w:pPr>
            <w:r>
              <w:rPr>
                <w:rFonts w:ascii="Arial" w:cs="Arial" w:eastAsia="Arial" w:hAnsi="Arial"/>
                <w:sz w:val="13"/>
                <w:szCs w:val="13"/>
                <w:color w:val="0000FF"/>
              </w:rPr>
              <w:t>203,204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3"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6"/>
        <w:spacing w:after="0" w:line="299"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16, 2011, the reporting person was granted an option to purchase 240,000 shares of Common Stock. The option vests, partially or in full, on December 31, 2014, based on the extent to which the company satisfies certain performance criteria during the period ending December 31, 2014. The performance criteria have been met and the option will vest as to all 240,000 shares on December 31, 2014.</w:t>
      </w: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/s/**Leonard S. Schleifer</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12/17/2014</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2019-12-18T10:25:04Z</dcterms:created>
  <dcterms:modified xsi:type="dcterms:W3CDTF">2019-12-18T10:25:04Z</dcterms:modified>
</cp:coreProperties>
</file>