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21, 2014 (November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15" w:lineRule="exact"/>
        <w:rPr>
          <w:sz w:val="24"/>
          <w:szCs w:val="24"/>
          <w:color w:val="auto"/>
        </w:rPr>
      </w:pPr>
    </w:p>
    <w:tbl>
      <w:tblPr>
        <w:tblLayout w:type="fixed"/>
        <w:tblInd w:w="880" w:type="dxa"/>
        <w:tblCellMar>
          <w:top w:w="0" w:type="dxa"/>
          <w:left w:w="0" w:type="dxa"/>
          <w:bottom w:w="0" w:type="dxa"/>
          <w:right w:w="0" w:type="dxa"/>
        </w:tblCellMar>
      </w:tblPr>
      <w:tr>
        <w:trPr>
          <w:trHeight w:val="214"/>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149"/>
        </w:trPr>
        <w:tc>
          <w:tcPr>
            <w:tcW w:w="5620" w:type="dxa"/>
            <w:vAlign w:val="bottom"/>
          </w:tcPr>
          <w:p>
            <w:pPr>
              <w:jc w:val="center"/>
              <w:ind w:right="1521"/>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20" w:type="dxa"/>
            <w:vAlign w:val="bottom"/>
          </w:tcPr>
          <w:p>
            <w:pPr>
              <w:jc w:val="center"/>
              <w:ind w:left="15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4"/>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190"/>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November 18, 2014,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the Second Amendment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Master Terms and Conditions for Warrants, dated as of October 18, 2011 (the “</w:t>
      </w:r>
      <w:r>
        <w:rPr>
          <w:rFonts w:ascii="Times New Roman" w:cs="Times New Roman" w:eastAsia="Times New Roman" w:hAnsi="Times New Roman"/>
          <w:sz w:val="18"/>
          <w:szCs w:val="18"/>
          <w:u w:val="single" w:color="auto"/>
          <w:color w:val="auto"/>
        </w:rPr>
        <w:t>Master Terms</w:t>
      </w:r>
      <w:r>
        <w:rPr>
          <w:rFonts w:ascii="Times New Roman" w:cs="Times New Roman" w:eastAsia="Times New Roman" w:hAnsi="Times New Roman"/>
          <w:sz w:val="18"/>
          <w:szCs w:val="18"/>
          <w:color w:val="auto"/>
        </w:rPr>
        <w:t>”), as supplemented by a confirmation dated October 18, 2011 (the “</w:t>
      </w:r>
      <w:r>
        <w:rPr>
          <w:rFonts w:ascii="Times New Roman" w:cs="Times New Roman" w:eastAsia="Times New Roman" w:hAnsi="Times New Roman"/>
          <w:sz w:val="18"/>
          <w:szCs w:val="18"/>
          <w:u w:val="single" w:color="auto"/>
          <w:color w:val="auto"/>
        </w:rPr>
        <w:t>Confirmation</w:t>
      </w:r>
      <w:r>
        <w:rPr>
          <w:rFonts w:ascii="Times New Roman" w:cs="Times New Roman" w:eastAsia="Times New Roman" w:hAnsi="Times New Roman"/>
          <w:sz w:val="18"/>
          <w:szCs w:val="18"/>
          <w:color w:val="auto"/>
        </w:rPr>
        <w:t>”) and as amended by the amendment dated May 14, 2014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with Credit Suisse Capital LLC (as assignee of Credit Suisse International) (the “</w:t>
      </w:r>
      <w:r>
        <w:rPr>
          <w:rFonts w:ascii="Times New Roman" w:cs="Times New Roman" w:eastAsia="Times New Roman" w:hAnsi="Times New Roman"/>
          <w:sz w:val="18"/>
          <w:szCs w:val="18"/>
          <w:u w:val="single" w:color="auto"/>
          <w:color w:val="auto"/>
        </w:rPr>
        <w:t>Warrant Holder</w:t>
      </w:r>
      <w:r>
        <w:rPr>
          <w:rFonts w:ascii="Times New Roman" w:cs="Times New Roman" w:eastAsia="Times New Roman" w:hAnsi="Times New Roman"/>
          <w:sz w:val="18"/>
          <w:szCs w:val="18"/>
          <w:color w:val="auto"/>
        </w:rPr>
        <w:t>”). The Master Terms, as supplemented by the Confirmation and amended by the First Amendment, are referred to below as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and, as further amended by the Second Amendment, as the “</w:t>
      </w:r>
      <w:r>
        <w:rPr>
          <w:rFonts w:ascii="Times New Roman" w:cs="Times New Roman" w:eastAsia="Times New Roman" w:hAnsi="Times New Roman"/>
          <w:sz w:val="18"/>
          <w:szCs w:val="18"/>
          <w:u w:val="single" w:color="auto"/>
          <w:color w:val="auto"/>
        </w:rPr>
        <w:t>Amended Warrant Agreement</w:t>
      </w:r>
      <w:r>
        <w:rPr>
          <w:rFonts w:ascii="Times New Roman" w:cs="Times New Roman" w:eastAsia="Times New Roman" w:hAnsi="Times New Roman"/>
          <w:sz w:val="18"/>
          <w:szCs w:val="18"/>
          <w:color w:val="auto"/>
        </w:rPr>
        <w:t>.” The Warrant Agreement governed the remaining outstanding warrants issued by the Company to the Warrant Holder in 2011 in connection with the issuance of Regeneron’s 1.875% convertible senior notes and the related hedging transactions.</w:t>
      </w:r>
    </w:p>
    <w:p>
      <w:pPr>
        <w:spacing w:after="0" w:line="18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the number of warrants held by the Warrant Holder has been reduced by 328,820, or 32.6%, resulting in 679,511 warrants being held by the Warrant Holder in accordance with the Amended Warrant Agreement. The aggregate amount paid by the Company to the Warrant Holder in consideration of entering into the Second Amendment is $100.7 million.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Second Amendment contains customary representations and warranties of the Company and the Warrant Holder, respectively.</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Amendment is qualified in its entirety by reference to the full text of the Second Amendment, a copy of which will be filed with the SEC as an exhibit to the Company’s Annual Report on Form 10-K for the year ending December 31, 2014.</w:t>
      </w:r>
    </w:p>
    <w:p>
      <w:pPr>
        <w:sectPr>
          <w:pgSz w:w="11900" w:h="16838" w:orient="portrait"/>
          <w:cols w:equalWidth="0" w:num="1">
            <w:col w:w="11400"/>
          </w:cols>
          <w:pgMar w:left="240" w:top="266" w:right="25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Senior Vice President, General Counsel and Secretary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21, 2014</w:t>
      </w:r>
    </w:p>
    <w:sectPr>
      <w:pgSz w:w="11900" w:h="16838" w:orient="portrait"/>
      <w:cols w:equalWidth="0" w:num="1">
        <w:col w:w="10740"/>
      </w:cols>
      <w:pgMar w:left="2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2019-12-06T04:15:26Z</dcterms:created>
  <dcterms:modified xsi:type="dcterms:W3CDTF">2019-12-06T04:15:26Z</dcterms:modified>
</cp:coreProperties>
</file>