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88860" cy="942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860" cy="942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900"/>
          </w:cols>
          <w:pgMar w:left="160" w:top="14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Chairman of the Board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11/14/2019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40,681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347,824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7,246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340,578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46,138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21.25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386,716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23,989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358.33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362,727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11/22/2019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348,727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22,093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326,634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358.92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326,478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1,479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324,999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360.37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324,407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2,492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361.46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321,915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362.61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319,631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363.53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316,026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3,755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364.55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312,271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3,269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365.25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309,002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11/25/2019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4,517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366.63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304,485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07/02/2019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145,661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10/02/2019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144,897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83,652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as Trustee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600"/>
          </w:cols>
          <w:pgMar w:left="160" w:top="14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93980</wp:posOffset>
            </wp:positionH>
            <wp:positionV relativeFrom="page">
              <wp:posOffset>38100</wp:posOffset>
            </wp:positionV>
            <wp:extent cx="7388860" cy="2386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860" cy="238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11/22/2019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46,138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46,138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107,655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6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156 shares of Company stock on November 25, 2019 at prices ranging from $358.68 to $358.94.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22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1,479 shares of Company stock on November 25, 2019 at prices ranging from $359.05 to $359.93.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16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592 shares of Company stock on November 25, 2019 at prices ranging from $360.01 to $360.83.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22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2,492 shares of Company stock on November 25, 2019 at prices ranging from $361.06 to $361.98.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22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2,284 shares of Company stock on November 25, 2019 at prices ranging from $362.02 to $362.98.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22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3,605 shares of Company stock on November 25, 2019 at prices ranging from $363.00 to $363.97.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22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3,755 shares of Company stock on November 25, 2019 at prices ranging from $364.04 to $364.98.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220" w:firstLine="8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3,269 shares of Company stock on November 25, 2019 at prices ranging from $365.02 to $365.71.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0" w:right="140" w:firstLine="8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4,517 shares of Company stock on November 25, 2019 at prices ranging from $366.07 to $366.93. Upon request by the Commission staff, the Company, or a security holder of the Company, the reporting person will provide full information regarding the number of shares sold by the reporting person on November 25, 2019 at each separate price.</w:t>
      </w:r>
    </w:p>
    <w:p>
      <w:pPr>
        <w:ind w:left="220" w:hanging="19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5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21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11/26/2019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20" w:right="3760" w:firstLine="8"/>
        <w:spacing w:after="0" w:line="323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80"/>
      </w:cols>
      <w:pgMar w:left="180" w:top="10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file:///cgi-bin/browse-edgar?action=getcompany&amp;CIK=0001013064" TargetMode="External"/><Relationship Id="rId13" Type="http://schemas.openxmlformats.org/officeDocument/2006/relationships/hyperlink" Target="file://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2019-11-26T16:49:56Z</dcterms:created>
  <dcterms:modified xsi:type="dcterms:W3CDTF">2019-11-26T16:49:56Z</dcterms:modified>
</cp:coreProperties>
</file>