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4" w:lineRule="exact"/>
        <w:rPr>
          <w:sz w:val="24"/>
          <w:szCs w:val="24"/>
          <w:color w:val="auto"/>
        </w:rPr>
      </w:pPr>
    </w:p>
    <w:p>
      <w:pPr>
        <w:ind w:left="780" w:right="3300" w:hanging="595"/>
        <w:spacing w:after="0" w:line="284" w:lineRule="auto"/>
        <w:tabs>
          <w:tab w:leader="none" w:pos="7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u w:val="single" w:color="auto"/>
          <w:color w:val="auto"/>
        </w:rPr>
        <w:t>December 31, 2011</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OR</w:t>
      </w:r>
    </w:p>
    <w:p>
      <w:pPr>
        <w:spacing w:after="0" w:line="34" w:lineRule="exact"/>
        <w:rPr>
          <w:sz w:val="24"/>
          <w:szCs w:val="24"/>
          <w:color w:val="auto"/>
        </w:rPr>
      </w:pPr>
    </w:p>
    <w:p>
      <w:pPr>
        <w:ind w:left="780" w:right="3020" w:hanging="597"/>
        <w:spacing w:after="0" w:line="306"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 to _____</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0-19034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10" w:lineRule="exact"/>
        <w:rPr>
          <w:sz w:val="24"/>
          <w:szCs w:val="24"/>
          <w:color w:val="auto"/>
        </w:rPr>
      </w:pPr>
    </w:p>
    <w:tbl>
      <w:tblPr>
        <w:tblLayout w:type="fixed"/>
        <w:tblInd w:w="200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New York</w:t>
            </w:r>
          </w:p>
        </w:tc>
        <w:tc>
          <w:tcPr>
            <w:tcW w:w="1960" w:type="dxa"/>
            <w:vAlign w:val="bottom"/>
            <w:gridSpan w:val="2"/>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13-3444607</w:t>
            </w:r>
          </w:p>
        </w:tc>
        <w:tc>
          <w:tcPr>
            <w:tcW w:w="74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960" w:type="dxa"/>
            <w:vAlign w:val="bottom"/>
            <w:gridSpan w:val="4"/>
          </w:tcPr>
          <w:p>
            <w:pPr>
              <w:jc w:val="center"/>
              <w:ind w:right="620"/>
              <w:spacing w:after="0"/>
              <w:rPr>
                <w:sz w:val="20"/>
                <w:szCs w:val="20"/>
                <w:color w:val="auto"/>
              </w:rPr>
            </w:pPr>
            <w:r>
              <w:rPr>
                <w:rFonts w:ascii="Arial" w:cs="Arial" w:eastAsia="Arial" w:hAnsi="Arial"/>
                <w:sz w:val="16"/>
                <w:szCs w:val="16"/>
                <w:i w:val="1"/>
                <w:iCs w:val="1"/>
                <w:color w:val="auto"/>
                <w:w w:val="92"/>
              </w:rPr>
              <w:t>(State or other jurisdiction of</w:t>
            </w:r>
          </w:p>
        </w:tc>
        <w:tc>
          <w:tcPr>
            <w:tcW w:w="2820" w:type="dxa"/>
            <w:vAlign w:val="bottom"/>
            <w:gridSpan w:val="3"/>
          </w:tcPr>
          <w:p>
            <w:pPr>
              <w:jc w:val="center"/>
              <w:ind w:left="521"/>
              <w:spacing w:after="0"/>
              <w:rPr>
                <w:sz w:val="20"/>
                <w:szCs w:val="20"/>
                <w:color w:val="auto"/>
              </w:rPr>
            </w:pPr>
            <w:r>
              <w:rPr>
                <w:rFonts w:ascii="Arial" w:cs="Arial" w:eastAsia="Arial" w:hAnsi="Arial"/>
                <w:sz w:val="16"/>
                <w:szCs w:val="16"/>
                <w:i w:val="1"/>
                <w:iCs w:val="1"/>
                <w:color w:val="auto"/>
                <w:w w:val="91"/>
              </w:rPr>
              <w:t>(I.R.S. Employer Identification No)</w:t>
            </w:r>
          </w:p>
        </w:tc>
      </w:tr>
      <w:tr>
        <w:trPr>
          <w:trHeight w:val="218"/>
        </w:trPr>
        <w:tc>
          <w:tcPr>
            <w:tcW w:w="20" w:type="dxa"/>
            <w:vAlign w:val="bottom"/>
          </w:tcPr>
          <w:p>
            <w:pPr>
              <w:spacing w:after="0"/>
              <w:rPr>
                <w:sz w:val="18"/>
                <w:szCs w:val="18"/>
                <w:color w:val="auto"/>
              </w:rPr>
            </w:pPr>
          </w:p>
        </w:tc>
        <w:tc>
          <w:tcPr>
            <w:tcW w:w="3960" w:type="dxa"/>
            <w:vAlign w:val="bottom"/>
            <w:gridSpan w:val="4"/>
          </w:tcPr>
          <w:p>
            <w:pPr>
              <w:jc w:val="center"/>
              <w:ind w:right="620"/>
              <w:spacing w:after="0"/>
              <w:rPr>
                <w:sz w:val="20"/>
                <w:szCs w:val="20"/>
                <w:color w:val="auto"/>
              </w:rPr>
            </w:pPr>
            <w:r>
              <w:rPr>
                <w:rFonts w:ascii="Arial" w:cs="Arial" w:eastAsia="Arial" w:hAnsi="Arial"/>
                <w:sz w:val="16"/>
                <w:szCs w:val="16"/>
                <w:i w:val="1"/>
                <w:iCs w:val="1"/>
                <w:color w:val="auto"/>
                <w:w w:val="93"/>
              </w:rPr>
              <w:t>incorporation or organization)</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27"/>
        </w:trPr>
        <w:tc>
          <w:tcPr>
            <w:tcW w:w="3980" w:type="dxa"/>
            <w:vAlign w:val="bottom"/>
            <w:gridSpan w:val="5"/>
          </w:tcPr>
          <w:p>
            <w:pPr>
              <w:jc w:val="center"/>
              <w:ind w:right="620"/>
              <w:spacing w:after="0"/>
              <w:rPr>
                <w:sz w:val="20"/>
                <w:szCs w:val="20"/>
                <w:color w:val="auto"/>
              </w:rPr>
            </w:pPr>
            <w:r>
              <w:rPr>
                <w:rFonts w:ascii="Arial" w:cs="Arial" w:eastAsia="Arial" w:hAnsi="Arial"/>
                <w:sz w:val="16"/>
                <w:szCs w:val="16"/>
                <w:color w:val="auto"/>
                <w:w w:val="92"/>
              </w:rPr>
              <w:t>777 Old Saw Mill River Road, Tarrytown, New York</w:t>
            </w:r>
          </w:p>
        </w:tc>
        <w:tc>
          <w:tcPr>
            <w:tcW w:w="2080" w:type="dxa"/>
            <w:vAlign w:val="bottom"/>
            <w:gridSpan w:val="2"/>
          </w:tcPr>
          <w:p>
            <w:pPr>
              <w:jc w:val="center"/>
              <w:ind w:left="1241"/>
              <w:spacing w:after="0"/>
              <w:rPr>
                <w:sz w:val="20"/>
                <w:szCs w:val="20"/>
                <w:color w:val="auto"/>
              </w:rPr>
            </w:pPr>
            <w:r>
              <w:rPr>
                <w:rFonts w:ascii="Arial" w:cs="Arial" w:eastAsia="Arial" w:hAnsi="Arial"/>
                <w:sz w:val="16"/>
                <w:szCs w:val="16"/>
                <w:color w:val="auto"/>
                <w:w w:val="88"/>
              </w:rPr>
              <w:t>10591-6707</w:t>
            </w:r>
          </w:p>
        </w:tc>
        <w:tc>
          <w:tcPr>
            <w:tcW w:w="74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3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89"/>
              </w:rPr>
              <w:t>(Address of principal executive offices)</w:t>
            </w: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(Zip code)</w:t>
            </w:r>
          </w:p>
        </w:tc>
        <w:tc>
          <w:tcPr>
            <w:tcW w:w="740" w:type="dxa"/>
            <w:vAlign w:val="bottom"/>
          </w:tcPr>
          <w:p>
            <w:pPr>
              <w:spacing w:after="0"/>
              <w:rPr>
                <w:sz w:val="18"/>
                <w:szCs w:val="18"/>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u w:val="single" w:color="auto"/>
          <w:color w:val="auto"/>
        </w:rPr>
        <w:t>(914) 847-7000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18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Name of each exchange on which registered</w:t>
            </w:r>
          </w:p>
        </w:tc>
      </w:tr>
      <w:tr>
        <w:trPr>
          <w:trHeight w:val="208"/>
        </w:trPr>
        <w:tc>
          <w:tcPr>
            <w:tcW w:w="6120" w:type="dxa"/>
            <w:vAlign w:val="bottom"/>
            <w:gridSpan w:val="4"/>
          </w:tcPr>
          <w:p>
            <w:pPr>
              <w:jc w:val="center"/>
              <w:ind w:left="1193"/>
              <w:spacing w:after="0"/>
              <w:rPr>
                <w:sz w:val="20"/>
                <w:szCs w:val="20"/>
                <w:color w:val="auto"/>
              </w:rPr>
            </w:pPr>
            <w:r>
              <w:rPr>
                <w:rFonts w:ascii="Arial" w:cs="Arial" w:eastAsia="Arial" w:hAnsi="Arial"/>
                <w:sz w:val="16"/>
                <w:szCs w:val="16"/>
                <w:color w:val="auto"/>
                <w:w w:val="88"/>
              </w:rPr>
              <w:t>Common Stock - par value $.001 per share</w:t>
            </w:r>
          </w:p>
        </w:tc>
        <w:tc>
          <w:tcPr>
            <w:tcW w:w="1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619"/>
        </w:trPr>
        <w:tc>
          <w:tcPr>
            <w:tcW w:w="3120" w:type="dxa"/>
            <w:vAlign w:val="bottom"/>
          </w:tcPr>
          <w:p>
            <w:pPr>
              <w:spacing w:after="0"/>
              <w:rPr>
                <w:sz w:val="24"/>
                <w:szCs w:val="24"/>
                <w:color w:val="auto"/>
              </w:rPr>
            </w:pPr>
          </w:p>
        </w:tc>
        <w:tc>
          <w:tcPr>
            <w:tcW w:w="5960" w:type="dxa"/>
            <w:vAlign w:val="bottom"/>
            <w:gridSpan w:val="5"/>
          </w:tcPr>
          <w:p>
            <w:pPr>
              <w:ind w:left="600"/>
              <w:spacing w:after="0"/>
              <w:rPr>
                <w:sz w:val="20"/>
                <w:szCs w:val="20"/>
                <w:color w:val="auto"/>
              </w:rPr>
            </w:pPr>
            <w:r>
              <w:rPr>
                <w:rFonts w:ascii="Arial" w:cs="Arial" w:eastAsia="Arial" w:hAnsi="Arial"/>
                <w:sz w:val="16"/>
                <w:szCs w:val="16"/>
                <w:color w:val="auto"/>
              </w:rPr>
              <w:t>Securities registered pursuant to section 12(g) of the Act: None</w:t>
            </w:r>
          </w:p>
        </w:tc>
      </w:tr>
      <w:tr>
        <w:trPr>
          <w:trHeight w:val="318"/>
        </w:trPr>
        <w:tc>
          <w:tcPr>
            <w:tcW w:w="6120" w:type="dxa"/>
            <w:vAlign w:val="bottom"/>
            <w:gridSpan w:val="4"/>
          </w:tcPr>
          <w:p>
            <w:pPr>
              <w:spacing w:after="0"/>
              <w:rPr>
                <w:sz w:val="20"/>
                <w:szCs w:val="20"/>
                <w:color w:val="auto"/>
              </w:rPr>
            </w:pPr>
            <w:r>
              <w:rPr>
                <w:rFonts w:ascii="Arial" w:cs="Arial" w:eastAsia="Arial" w:hAnsi="Arial"/>
                <w:sz w:val="12"/>
                <w:szCs w:val="12"/>
                <w:color w:val="auto"/>
                <w:w w:val="92"/>
              </w:rPr>
              <w:t>Indicate by check mark if the registrant is a well-known seasoned issuer, as defined in Rule 405 of the Securities Act. Yes  ü</w:t>
            </w:r>
          </w:p>
        </w:tc>
        <w:tc>
          <w:tcPr>
            <w:tcW w:w="2960" w:type="dxa"/>
            <w:vAlign w:val="bottom"/>
            <w:gridSpan w:val="2"/>
          </w:tcPr>
          <w:p>
            <w:pPr>
              <w:ind w:left="20"/>
              <w:spacing w:after="0"/>
              <w:rPr>
                <w:sz w:val="20"/>
                <w:szCs w:val="20"/>
                <w:color w:val="auto"/>
              </w:rPr>
            </w:pPr>
            <w:r>
              <w:rPr>
                <w:rFonts w:ascii="Arial" w:cs="Arial" w:eastAsia="Arial" w:hAnsi="Arial"/>
                <w:sz w:val="12"/>
                <w:szCs w:val="12"/>
                <w:color w:val="auto"/>
              </w:rPr>
              <w:t>No ____</w:t>
            </w:r>
          </w:p>
        </w:tc>
      </w:tr>
      <w:tr>
        <w:trPr>
          <w:trHeight w:val="20"/>
        </w:trPr>
        <w:tc>
          <w:tcPr>
            <w:tcW w:w="5940" w:type="dxa"/>
            <w:vAlign w:val="bottom"/>
            <w:gridSpan w:val="3"/>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08"/>
        </w:trPr>
        <w:tc>
          <w:tcPr>
            <w:tcW w:w="6120" w:type="dxa"/>
            <w:vAlign w:val="bottom"/>
            <w:gridSpan w:val="4"/>
          </w:tcPr>
          <w:p>
            <w:pPr>
              <w:spacing w:after="0"/>
              <w:rPr>
                <w:sz w:val="20"/>
                <w:szCs w:val="20"/>
                <w:color w:val="auto"/>
              </w:rPr>
            </w:pPr>
            <w:r>
              <w:rPr>
                <w:rFonts w:ascii="Arial" w:cs="Arial" w:eastAsia="Arial" w:hAnsi="Arial"/>
                <w:sz w:val="12"/>
                <w:szCs w:val="12"/>
                <w:color w:val="auto"/>
                <w:w w:val="92"/>
              </w:rPr>
              <w:t>Indicate by check mark if the registrant is not required to file reports pursuant to Section 13 or 15(d) of the Act. Yes ____ No</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ü</w:t>
            </w:r>
          </w:p>
        </w:tc>
        <w:tc>
          <w:tcPr>
            <w:tcW w:w="2800" w:type="dxa"/>
            <w:vAlign w:val="bottom"/>
          </w:tcPr>
          <w:p>
            <w:pPr>
              <w:spacing w:after="0"/>
              <w:rPr>
                <w:sz w:val="24"/>
                <w:szCs w:val="24"/>
                <w:color w:val="auto"/>
              </w:rPr>
            </w:pPr>
          </w:p>
        </w:tc>
      </w:tr>
    </w:tbl>
    <w:p>
      <w:pPr>
        <w:spacing w:after="0" w:line="185" w:lineRule="exact"/>
        <w:rPr>
          <w:sz w:val="24"/>
          <w:szCs w:val="24"/>
          <w:color w:val="auto"/>
        </w:rPr>
      </w:pPr>
    </w:p>
    <w:p>
      <w:pPr>
        <w:spacing w:after="0" w:line="260"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ü No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3296285</wp:posOffset>
            </wp:positionH>
            <wp:positionV relativeFrom="paragraph">
              <wp:posOffset>-21590</wp:posOffset>
            </wp:positionV>
            <wp:extent cx="1155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7620"/>
                    </a:xfrm>
                    <a:prstGeom prst="rect">
                      <a:avLst/>
                    </a:prstGeom>
                    <a:noFill/>
                  </pic:spPr>
                </pic:pic>
              </a:graphicData>
            </a:graphic>
          </wp:anchor>
        </w:drawing>
      </w:r>
    </w:p>
    <w:p>
      <w:pPr>
        <w:spacing w:after="0" w:line="142" w:lineRule="exact"/>
        <w:rPr>
          <w:sz w:val="24"/>
          <w:szCs w:val="24"/>
          <w:color w:val="auto"/>
        </w:rPr>
      </w:pPr>
    </w:p>
    <w:p>
      <w:pPr>
        <w:spacing w:after="0" w:line="26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ü No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4361180</wp:posOffset>
            </wp:positionH>
            <wp:positionV relativeFrom="paragraph">
              <wp:posOffset>-21590</wp:posOffset>
            </wp:positionV>
            <wp:extent cx="1155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7620"/>
                    </a:xfrm>
                    <a:prstGeom prst="rect">
                      <a:avLst/>
                    </a:prstGeom>
                    <a:noFill/>
                  </pic:spPr>
                </pic:pic>
              </a:graphicData>
            </a:graphic>
          </wp:anchor>
        </w:drawing>
      </w:r>
    </w:p>
    <w:p>
      <w:pPr>
        <w:spacing w:after="0" w:line="142" w:lineRule="exact"/>
        <w:rPr>
          <w:sz w:val="24"/>
          <w:szCs w:val="24"/>
          <w:color w:val="auto"/>
        </w:rPr>
      </w:pPr>
    </w:p>
    <w:p>
      <w:pPr>
        <w:spacing w:after="0" w:line="260" w:lineRule="auto"/>
        <w:rPr>
          <w:sz w:val="20"/>
          <w:szCs w:val="20"/>
          <w:color w:val="auto"/>
        </w:rPr>
      </w:pPr>
      <w:r>
        <w:rPr>
          <w:rFonts w:ascii="Arial" w:cs="Arial" w:eastAsia="Arial" w:hAnsi="Arial"/>
          <w:sz w:val="12"/>
          <w:szCs w:val="12"/>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___</w:t>
      </w:r>
    </w:p>
    <w:p>
      <w:pPr>
        <w:spacing w:after="0" w:line="162" w:lineRule="exact"/>
        <w:rPr>
          <w:sz w:val="24"/>
          <w:szCs w:val="24"/>
          <w:color w:val="auto"/>
        </w:rPr>
      </w:pPr>
    </w:p>
    <w:p>
      <w:pPr>
        <w:spacing w:after="0" w:line="23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2"/>
                <w:szCs w:val="12"/>
                <w:color w:val="auto"/>
                <w:w w:val="92"/>
              </w:rPr>
              <w:t>Large accelerated file</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ü</w:t>
            </w:r>
          </w:p>
        </w:tc>
        <w:tc>
          <w:tcPr>
            <w:tcW w:w="3560" w:type="dxa"/>
            <w:vAlign w:val="bottom"/>
          </w:tcPr>
          <w:p>
            <w:pPr>
              <w:ind w:left="1600"/>
              <w:spacing w:after="0" w:line="154" w:lineRule="exact"/>
              <w:rPr>
                <w:sz w:val="20"/>
                <w:szCs w:val="20"/>
                <w:color w:val="auto"/>
              </w:rPr>
            </w:pPr>
            <w:r>
              <w:rPr>
                <w:rFonts w:ascii="Arial" w:cs="Arial" w:eastAsia="Arial" w:hAnsi="Arial"/>
                <w:sz w:val="11"/>
                <w:szCs w:val="11"/>
                <w:color w:val="auto"/>
              </w:rPr>
              <w:t xml:space="preserve">Accelerated filer </w:t>
            </w:r>
            <w:r>
              <w:rPr>
                <w:rFonts w:ascii="Arial" w:cs="Arial" w:eastAsia="Arial" w:hAnsi="Arial"/>
                <w:sz w:val="17"/>
                <w:szCs w:val="17"/>
                <w:color w:val="auto"/>
              </w:rPr>
              <w:t>__</w:t>
            </w:r>
          </w:p>
        </w:tc>
        <w:tc>
          <w:tcPr>
            <w:tcW w:w="2960" w:type="dxa"/>
            <w:vAlign w:val="bottom"/>
            <w:gridSpan w:val="3"/>
          </w:tcPr>
          <w:p>
            <w:pPr>
              <w:ind w:left="900"/>
              <w:spacing w:after="0"/>
              <w:rPr>
                <w:sz w:val="20"/>
                <w:szCs w:val="20"/>
                <w:color w:val="auto"/>
              </w:rPr>
            </w:pPr>
            <w:r>
              <w:rPr>
                <w:rFonts w:ascii="Arial" w:cs="Arial" w:eastAsia="Arial" w:hAnsi="Arial"/>
                <w:sz w:val="12"/>
                <w:szCs w:val="12"/>
                <w:color w:val="auto"/>
              </w:rPr>
              <w:t>Non-accelerated filer ___</w:t>
            </w:r>
          </w:p>
        </w:tc>
        <w:tc>
          <w:tcPr>
            <w:tcW w:w="2340" w:type="dxa"/>
            <w:vAlign w:val="bottom"/>
          </w:tcPr>
          <w:p>
            <w:pPr>
              <w:ind w:left="800"/>
              <w:spacing w:after="0"/>
              <w:rPr>
                <w:sz w:val="20"/>
                <w:szCs w:val="20"/>
                <w:color w:val="auto"/>
              </w:rPr>
            </w:pPr>
            <w:r>
              <w:rPr>
                <w:rFonts w:ascii="Arial" w:cs="Arial" w:eastAsia="Arial" w:hAnsi="Arial"/>
                <w:sz w:val="12"/>
                <w:szCs w:val="12"/>
                <w:color w:val="auto"/>
                <w:w w:val="91"/>
              </w:rPr>
              <w:t>Smaller reporting company ___</w:t>
            </w:r>
          </w:p>
        </w:tc>
      </w:tr>
      <w:tr>
        <w:trPr>
          <w:trHeight w:val="356"/>
        </w:trPr>
        <w:tc>
          <w:tcPr>
            <w:tcW w:w="7780" w:type="dxa"/>
            <w:vAlign w:val="bottom"/>
            <w:gridSpan w:val="6"/>
          </w:tcPr>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____ No  ü</w:t>
            </w:r>
          </w:p>
        </w:tc>
        <w:tc>
          <w:tcPr>
            <w:tcW w:w="234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85" w:lineRule="exact"/>
        <w:rPr>
          <w:sz w:val="24"/>
          <w:szCs w:val="24"/>
          <w:color w:val="auto"/>
        </w:rPr>
      </w:pPr>
    </w:p>
    <w:p>
      <w:pPr>
        <w:spacing w:after="0" w:line="260" w:lineRule="auto"/>
        <w:rPr>
          <w:sz w:val="20"/>
          <w:szCs w:val="20"/>
          <w:color w:val="auto"/>
        </w:rPr>
      </w:pPr>
      <w:r>
        <w:rPr>
          <w:rFonts w:ascii="Arial" w:cs="Arial" w:eastAsia="Arial" w:hAnsi="Arial"/>
          <w:sz w:val="12"/>
          <w:szCs w:val="12"/>
          <w:color w:val="auto"/>
        </w:rPr>
        <w:t>The aggregate market value of the common stock held by non-affiliates of the registrant was approximately $4,913,223,000, computed by reference to the closing sales price of the stock on NASDAQ on June 30, 2011, the last trading day of the registrant’s most recently completed second fiscal quarter.</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6800" w:type="dxa"/>
            <w:vAlign w:val="bottom"/>
            <w:gridSpan w:val="2"/>
          </w:tcPr>
          <w:p>
            <w:pPr>
              <w:spacing w:after="0"/>
              <w:rPr>
                <w:sz w:val="20"/>
                <w:szCs w:val="20"/>
                <w:color w:val="auto"/>
              </w:rPr>
            </w:pPr>
            <w:r>
              <w:rPr>
                <w:rFonts w:ascii="Arial" w:cs="Arial" w:eastAsia="Arial" w:hAnsi="Arial"/>
                <w:sz w:val="12"/>
                <w:szCs w:val="12"/>
                <w:color w:val="auto"/>
              </w:rPr>
              <w:t>The number of shares outstanding of each of the registrant's classes of common stock as of February 10, 2012:</w:t>
            </w:r>
          </w:p>
        </w:tc>
        <w:tc>
          <w:tcPr>
            <w:tcW w:w="2340" w:type="dxa"/>
            <w:vAlign w:val="bottom"/>
          </w:tcPr>
          <w:p>
            <w:pPr>
              <w:spacing w:after="0"/>
              <w:rPr>
                <w:sz w:val="13"/>
                <w:szCs w:val="13"/>
                <w:color w:val="auto"/>
              </w:rPr>
            </w:pPr>
          </w:p>
        </w:tc>
      </w:tr>
      <w:tr>
        <w:trPr>
          <w:trHeight w:val="364"/>
        </w:trPr>
        <w:tc>
          <w:tcPr>
            <w:tcW w:w="200" w:type="dxa"/>
            <w:vAlign w:val="bottom"/>
          </w:tcPr>
          <w:p>
            <w:pPr>
              <w:spacing w:after="0"/>
              <w:rPr>
                <w:sz w:val="24"/>
                <w:szCs w:val="24"/>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Class of Common Stock</w:t>
            </w:r>
          </w:p>
        </w:tc>
        <w:tc>
          <w:tcPr>
            <w:tcW w:w="2340" w:type="dxa"/>
            <w:vAlign w:val="bottom"/>
          </w:tcPr>
          <w:p>
            <w:pPr>
              <w:ind w:left="1460"/>
              <w:spacing w:after="0"/>
              <w:rPr>
                <w:sz w:val="20"/>
                <w:szCs w:val="20"/>
                <w:color w:val="auto"/>
              </w:rPr>
            </w:pPr>
            <w:r>
              <w:rPr>
                <w:rFonts w:ascii="Arial" w:cs="Arial" w:eastAsia="Arial" w:hAnsi="Arial"/>
                <w:sz w:val="12"/>
                <w:szCs w:val="12"/>
                <w:color w:val="auto"/>
                <w:w w:val="88"/>
              </w:rPr>
              <w:t>Number of Shares</w:t>
            </w:r>
          </w:p>
        </w:tc>
      </w:tr>
      <w:tr>
        <w:trPr>
          <w:trHeight w:val="37"/>
        </w:trPr>
        <w:tc>
          <w:tcPr>
            <w:tcW w:w="200" w:type="dxa"/>
            <w:vAlign w:val="bottom"/>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191"/>
        </w:trPr>
        <w:tc>
          <w:tcPr>
            <w:tcW w:w="200" w:type="dxa"/>
            <w:vAlign w:val="bottom"/>
          </w:tcPr>
          <w:p>
            <w:pPr>
              <w:spacing w:after="0"/>
              <w:rPr>
                <w:sz w:val="16"/>
                <w:szCs w:val="16"/>
                <w:color w:val="auto"/>
              </w:rPr>
            </w:pPr>
          </w:p>
        </w:tc>
        <w:tc>
          <w:tcPr>
            <w:tcW w:w="66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rPr>
              <w:t>Class A Stock, $.001 par value</w:t>
            </w:r>
          </w:p>
        </w:tc>
        <w:tc>
          <w:tcPr>
            <w:tcW w:w="2340" w:type="dxa"/>
            <w:vAlign w:val="bottom"/>
            <w:tcBorders>
              <w:bottom w:val="single" w:sz="8" w:color="C0C0C0"/>
            </w:tcBorders>
            <w:shd w:val="clear" w:color="auto" w:fill="C0C0C0"/>
          </w:tcPr>
          <w:p>
            <w:pPr>
              <w:jc w:val="right"/>
              <w:ind w:right="139"/>
              <w:spacing w:after="0"/>
              <w:rPr>
                <w:sz w:val="20"/>
                <w:szCs w:val="20"/>
                <w:color w:val="auto"/>
              </w:rPr>
            </w:pPr>
            <w:r>
              <w:rPr>
                <w:rFonts w:ascii="Arial" w:cs="Arial" w:eastAsia="Arial" w:hAnsi="Arial"/>
                <w:sz w:val="12"/>
                <w:szCs w:val="12"/>
                <w:color w:val="auto"/>
              </w:rPr>
              <w:t>2,109,512</w:t>
            </w:r>
          </w:p>
        </w:tc>
      </w:tr>
      <w:tr>
        <w:trPr>
          <w:trHeight w:val="182"/>
        </w:trPr>
        <w:tc>
          <w:tcPr>
            <w:tcW w:w="20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Common Stock, $.001 par value</w:t>
            </w:r>
          </w:p>
        </w:tc>
        <w:tc>
          <w:tcPr>
            <w:tcW w:w="2340" w:type="dxa"/>
            <w:vAlign w:val="bottom"/>
          </w:tcPr>
          <w:p>
            <w:pPr>
              <w:jc w:val="right"/>
              <w:ind w:right="119"/>
              <w:spacing w:after="0"/>
              <w:rPr>
                <w:sz w:val="20"/>
                <w:szCs w:val="20"/>
                <w:color w:val="auto"/>
              </w:rPr>
            </w:pPr>
            <w:r>
              <w:rPr>
                <w:rFonts w:ascii="Arial" w:cs="Arial" w:eastAsia="Arial" w:hAnsi="Arial"/>
                <w:sz w:val="12"/>
                <w:szCs w:val="12"/>
                <w:color w:val="auto"/>
              </w:rPr>
              <w:t>91,779,465</w:t>
            </w:r>
          </w:p>
        </w:tc>
      </w:tr>
    </w:tbl>
    <w:p>
      <w:pPr>
        <w:spacing w:after="0" w:line="24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DOCUMENTS INCORPORATED BY REFERENCE:</w:t>
      </w:r>
    </w:p>
    <w:p>
      <w:pPr>
        <w:spacing w:after="0" w:line="56" w:lineRule="exact"/>
        <w:rPr>
          <w:sz w:val="24"/>
          <w:szCs w:val="24"/>
          <w:color w:val="auto"/>
        </w:rPr>
      </w:pPr>
    </w:p>
    <w:p>
      <w:pPr>
        <w:ind w:left="240"/>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2012 Annual Meeting of Shareholders are incorporated by reference into Part III of this Form 10-K.</w:t>
      </w:r>
    </w:p>
    <w:p>
      <w:pPr>
        <w:spacing w:after="0" w:line="31" w:lineRule="exact"/>
        <w:rPr>
          <w:sz w:val="24"/>
          <w:szCs w:val="24"/>
          <w:color w:val="auto"/>
        </w:rPr>
      </w:pPr>
    </w:p>
    <w:p>
      <w:pPr>
        <w:spacing w:after="0"/>
        <w:rPr>
          <w:sz w:val="20"/>
          <w:szCs w:val="20"/>
          <w:color w:val="auto"/>
        </w:rPr>
      </w:pPr>
      <w:r>
        <w:rPr>
          <w:rFonts w:ascii="Arial" w:cs="Arial" w:eastAsia="Arial" w:hAnsi="Arial"/>
          <w:sz w:val="12"/>
          <w:szCs w:val="12"/>
          <w:color w:val="auto"/>
        </w:rPr>
        <w:t>Exhibit index is located on pages 79 to 82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200660</wp:posOffset>
            </wp:positionV>
            <wp:extent cx="728091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PART I</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This Annual Report on Form 10-K contains forward-looking statements that involve risks and uncertainties relating to future events and the future financial performance of Regeneron Pharmaceuticals, Inc., and actual events or results</w:t>
      </w:r>
    </w:p>
    <w:p>
      <w:pPr>
        <w:spacing w:after="0" w:line="11" w:lineRule="exact"/>
        <w:rPr>
          <w:sz w:val="20"/>
          <w:szCs w:val="20"/>
          <w:color w:val="auto"/>
        </w:rPr>
      </w:pPr>
    </w:p>
    <w:p>
      <w:pPr>
        <w:jc w:val="both"/>
        <w:spacing w:after="0" w:line="244" w:lineRule="auto"/>
        <w:rPr>
          <w:sz w:val="20"/>
          <w:szCs w:val="20"/>
          <w:color w:val="auto"/>
        </w:rPr>
      </w:pPr>
      <w:r>
        <w:rPr>
          <w:rFonts w:ascii="Arial" w:cs="Arial" w:eastAsia="Arial" w:hAnsi="Arial"/>
          <w:sz w:val="11"/>
          <w:szCs w:val="11"/>
          <w:i w:val="1"/>
          <w:iCs w:val="1"/>
          <w:color w:val="auto"/>
        </w:rPr>
        <w:t>may differ materially from these forward-looking statements. These statements concern, and these risks and uncertainties include, among other things, the success of our commercialization of EYLEA</w:t>
      </w:r>
      <w:r>
        <w:rPr>
          <w:rFonts w:ascii="Arial" w:cs="Arial" w:eastAsia="Arial" w:hAnsi="Arial"/>
          <w:sz w:val="18"/>
          <w:szCs w:val="18"/>
          <w:i w:val="1"/>
          <w:iCs w:val="1"/>
          <w:color w:val="auto"/>
          <w:vertAlign w:val="superscript"/>
        </w:rPr>
        <w:t>®</w:t>
      </w:r>
      <w:r>
        <w:rPr>
          <w:rFonts w:ascii="Arial" w:cs="Arial" w:eastAsia="Arial" w:hAnsi="Arial"/>
          <w:sz w:val="11"/>
          <w:szCs w:val="11"/>
          <w:i w:val="1"/>
          <w:iCs w:val="1"/>
          <w:color w:val="auto"/>
        </w:rPr>
        <w:t>, the nature, timing, and possible success of and therapeutic applications for our product candidates and research programs now underway or planned, the likelihood and timing of possible regulatory approval and commercial launch of our late-stage product candidates, determinations by regulatory and administrative governmental authorities which may delay or restrict our ability to continue to develop or commercialize our product and drug candidates, competing drugs that may be superior to our product and drug candidates, uncertainty of market acceptance of our product and drug candidates, unanticipated expenses, the availability and cost of capital, the costs of developing, producing, and selling products, the potential for any collaboration agreement, including our agreements with Sanofi and Bayer HealthCare LLC, to be canceled or terminated without any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33" w:lineRule="exact"/>
        <w:rPr>
          <w:sz w:val="20"/>
          <w:szCs w:val="20"/>
          <w:color w:val="auto"/>
        </w:rPr>
      </w:pPr>
    </w:p>
    <w:p>
      <w:pPr>
        <w:jc w:val="both"/>
        <w:ind w:firstLine="352"/>
        <w:spacing w:after="0" w:line="274" w:lineRule="auto"/>
        <w:rPr>
          <w:sz w:val="20"/>
          <w:szCs w:val="20"/>
          <w:color w:val="auto"/>
        </w:rPr>
      </w:pPr>
      <w:r>
        <w:rPr>
          <w:rFonts w:ascii="Arial" w:cs="Arial" w:eastAsia="Arial" w:hAnsi="Arial"/>
          <w:sz w:val="16"/>
          <w:szCs w:val="16"/>
          <w:color w:val="auto"/>
        </w:rPr>
        <w:t>Regeneron Pharmaceuticals, Inc. is a fully integrated biopharmaceutical company that discovers, invents, develops, manufactures, and commercializes medicines for the treatment of serious medical conditions. We currently have two marketed products:</w:t>
      </w:r>
    </w:p>
    <w:p>
      <w:pPr>
        <w:spacing w:after="0" w:line="166" w:lineRule="exact"/>
        <w:rPr>
          <w:sz w:val="20"/>
          <w:szCs w:val="20"/>
          <w:color w:val="auto"/>
        </w:rPr>
      </w:pPr>
    </w:p>
    <w:p>
      <w:pPr>
        <w:ind w:left="480"/>
        <w:spacing w:after="0" w:line="223" w:lineRule="auto"/>
        <w:rPr>
          <w:sz w:val="20"/>
          <w:szCs w:val="20"/>
          <w:color w:val="auto"/>
        </w:rPr>
      </w:pPr>
      <w:r>
        <w:rPr>
          <w:rFonts w:ascii="Arial" w:cs="Arial" w:eastAsia="Arial" w:hAnsi="Arial"/>
          <w:sz w:val="15"/>
          <w:szCs w:val="15"/>
          <w:color w:val="auto"/>
        </w:rPr>
        <w:t>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Injection, known in the scientific literature as VEGF Trap-Eye, which is available in the United States for the treatment of neovascular age-related macular degeneration (wet AMD). Wet AMD is the leading cause of acquired blindness for people over the age of 65 in the United States and Europe;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line="221" w:lineRule="auto"/>
        <w:rPr>
          <w:sz w:val="20"/>
          <w:szCs w:val="20"/>
          <w:color w:val="auto"/>
        </w:rPr>
      </w:pPr>
      <w:r>
        <w:rPr>
          <w:rFonts w:ascii="Arial" w:cs="Arial" w:eastAsia="Arial" w:hAnsi="Arial"/>
          <w:sz w:val="15"/>
          <w:szCs w:val="15"/>
          <w:color w:val="auto"/>
        </w:rPr>
        <w:t>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(rilonacept) Injection for Subcutaneous Use, which is available by prescription in the United States for the treatment of Cryopyrin-Associated Periodic Syndromes (CAPS), including Familial Cold Auto-inflammatory Syndrome (FCAS) and Muckle-Wells Syndrome (MWS) in adults and children 12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13 product candidates in clinical development, all of which were discovered in our research laboratories. Our Trap-based, late-stage programs are:</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which is being developed for the treatment of additional serious eye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-92075</wp:posOffset>
            </wp:positionV>
            <wp:extent cx="56515" cy="56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640"/>
        <w:spacing w:after="0" w:line="234" w:lineRule="auto"/>
        <w:rPr>
          <w:sz w:val="20"/>
          <w:szCs w:val="20"/>
          <w:color w:val="auto"/>
        </w:rPr>
      </w:pPr>
      <w:r>
        <w:rPr>
          <w:rFonts w:ascii="Arial" w:cs="Arial" w:eastAsia="Arial" w:hAnsi="Arial"/>
          <w:sz w:val="15"/>
          <w:szCs w:val="15"/>
          <w:color w:val="auto"/>
        </w:rPr>
        <w:t>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known in the scientific literature as VEGF Trap, which is being developed in oncology in collaboration with Sanofi; and ARCALYST</w:t>
      </w:r>
      <w:r>
        <w:rPr>
          <w:rFonts w:ascii="Arial" w:cs="Arial" w:eastAsia="Arial" w:hAnsi="Arial"/>
          <w:sz w:val="25"/>
          <w:szCs w:val="25"/>
          <w:color w:val="auto"/>
          <w:vertAlign w:val="superscript"/>
        </w:rPr>
        <w:t>®</w:t>
      </w:r>
      <w:r>
        <w:rPr>
          <w:rFonts w:ascii="Arial" w:cs="Arial" w:eastAsia="Arial" w:hAnsi="Arial"/>
          <w:sz w:val="15"/>
          <w:szCs w:val="15"/>
          <w:color w:val="auto"/>
        </w:rPr>
        <w:t>, which is being developed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-301625</wp:posOffset>
            </wp:positionV>
            <wp:extent cx="56515" cy="56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-154940</wp:posOffset>
            </wp:positionV>
            <wp:extent cx="56515" cy="56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antibody-based clinical programs include the following fully human monoclonal antibodies: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Sarilumab (REGN88), an antibody to the interleukin-6 receptor (IL-6R), which is being developed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-76835</wp:posOffset>
            </wp:positionV>
            <wp:extent cx="56515" cy="56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REGN727, an antibody to Proprotein Convertase Substilisin/Kexin type 9 (PCSK9), which is being developed for low-density lipoprotein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-73660</wp:posOffset>
            </wp:positionV>
            <wp:extent cx="56515" cy="56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REGN668, an antibody to the interleukin-4 receptor (IL-4R), which is being developed in atopic dermatitis and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REGN421, an antibody to Delta-like ligand-4 (Dll4), a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REGN910, an antibody to Angiopoietin-2 (ANG2), another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REGN475, an antibody to Nerve Growth Factor (NGF), which is being developed for the treatment of pain (currently on clinical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REGN728,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REGN1033,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820"/>
        <w:spacing w:after="0" w:line="266" w:lineRule="auto"/>
        <w:rPr>
          <w:sz w:val="20"/>
          <w:szCs w:val="20"/>
          <w:color w:val="auto"/>
        </w:rPr>
      </w:pPr>
      <w:r>
        <w:rPr>
          <w:rFonts w:ascii="Arial" w:cs="Arial" w:eastAsia="Arial" w:hAnsi="Arial"/>
          <w:sz w:val="16"/>
          <w:szCs w:val="16"/>
          <w:color w:val="auto"/>
        </w:rPr>
        <w:t>REGN846, an antibody in clinical development against an undisclosed target, which is being developed in atopic dermatitis; and REGN1154,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-222885</wp:posOffset>
            </wp:positionV>
            <wp:extent cx="56515" cy="56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-99695</wp:posOffset>
            </wp:positionV>
            <wp:extent cx="56515" cy="56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2" w:name="page3"/>
    <w:bookmarkEnd w:id="2"/>
    <w:p>
      <w:pPr>
        <w:ind w:left="240"/>
        <w:spacing w:after="0"/>
        <w:rPr>
          <w:sz w:val="20"/>
          <w:szCs w:val="20"/>
          <w:color w:val="auto"/>
        </w:rPr>
      </w:pPr>
      <w:r>
        <w:rPr>
          <w:rFonts w:ascii="Arial" w:cs="Arial" w:eastAsia="Arial" w:hAnsi="Arial"/>
          <w:sz w:val="14"/>
          <w:szCs w:val="14"/>
          <w:color w:val="auto"/>
        </w:rPr>
        <w:t>With the exception of REGN475, REGN846, and REGN1154, which we are developing independently, all of these antibodies are being developed in collaboration with Sanofi.</w:t>
      </w:r>
    </w:p>
    <w:p>
      <w:pPr>
        <w:spacing w:after="0" w:line="252"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to combine that foundation with our clinical development and manufacturing capabilities, and to continue to expand our commercialization capabilities in anticipation of possible regulatory approval and launch of one or more of our late-stage product candidates. Our long-term objective is to build a successful, integrated, multi-product biopharmaceutical company that provides patients and medical professionals with innovative options for preventing and treating human diseases.</w:t>
      </w:r>
    </w:p>
    <w:p>
      <w:pPr>
        <w:spacing w:after="0" w:line="198" w:lineRule="exact"/>
        <w:rPr>
          <w:sz w:val="20"/>
          <w:szCs w:val="20"/>
          <w:color w:val="auto"/>
        </w:rPr>
      </w:pPr>
    </w:p>
    <w:p>
      <w:pPr>
        <w:jc w:val="both"/>
        <w:ind w:right="20" w:firstLine="291"/>
        <w:spacing w:after="0" w:line="294" w:lineRule="auto"/>
        <w:rPr>
          <w:sz w:val="20"/>
          <w:szCs w:val="20"/>
          <w:color w:val="auto"/>
        </w:rPr>
      </w:pPr>
      <w:r>
        <w:rPr>
          <w:rFonts w:ascii="Arial" w:cs="Arial" w:eastAsia="Arial" w:hAnsi="Arial"/>
          <w:sz w:val="14"/>
          <w:szCs w:val="14"/>
          <w:color w:val="auto"/>
        </w:rPr>
        <w:t xml:space="preserve">We believe that our ability to develop product candidates is enhanced by the application of our </w:t>
      </w:r>
      <w:r>
        <w:rPr>
          <w:rFonts w:ascii="Arial" w:cs="Arial" w:eastAsia="Arial" w:hAnsi="Arial"/>
          <w:sz w:val="14"/>
          <w:szCs w:val="14"/>
          <w:i w:val="1"/>
          <w:iCs w:val="1"/>
          <w:color w:val="auto"/>
        </w:rPr>
        <w:t>VelociSuite™</w:t>
      </w:r>
      <w:r>
        <w:rPr>
          <w:rFonts w:ascii="Arial" w:cs="Arial" w:eastAsia="Arial" w:hAnsi="Arial"/>
          <w:sz w:val="14"/>
          <w:szCs w:val="14"/>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w:t>
      </w:r>
    </w:p>
    <w:p>
      <w:pPr>
        <w:jc w:val="both"/>
        <w:ind w:right="20"/>
        <w:spacing w:after="0" w:line="212"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VelociGene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to understand the role of these proteins in normal physiology, as well as in models of disease. Our human monoclonal antibody technology (</w:t>
      </w:r>
      <w:r>
        <w:rPr>
          <w:rFonts w:ascii="Arial" w:cs="Arial" w:eastAsia="Arial" w:hAnsi="Arial"/>
          <w:sz w:val="14"/>
          <w:szCs w:val="14"/>
          <w:i w:val="1"/>
          <w:iCs w:val="1"/>
          <w:color w:val="auto"/>
        </w:rPr>
        <w:t>VelocImmune</w:t>
      </w:r>
      <w:r>
        <w:rPr>
          <w:rFonts w:ascii="Arial" w:cs="Arial" w:eastAsia="Arial" w:hAnsi="Arial"/>
          <w:sz w:val="23"/>
          <w:szCs w:val="23"/>
          <w:color w:val="auto"/>
          <w:vertAlign w:val="superscript"/>
        </w:rPr>
        <w:t>®</w:t>
      </w:r>
      <w:r>
        <w:rPr>
          <w:rFonts w:ascii="Arial" w:cs="Arial" w:eastAsia="Arial" w:hAnsi="Arial"/>
          <w:sz w:val="14"/>
          <w:szCs w:val="14"/>
          <w:color w:val="auto"/>
        </w:rPr>
        <w:t>) and cell line expression technologies (</w:t>
      </w:r>
      <w:r>
        <w:rPr>
          <w:rFonts w:ascii="Arial" w:cs="Arial" w:eastAsia="Arial" w:hAnsi="Arial"/>
          <w:sz w:val="14"/>
          <w:szCs w:val="14"/>
          <w:i w:val="1"/>
          <w:iCs w:val="1"/>
          <w:color w:val="auto"/>
        </w:rPr>
        <w:t>VelociMab</w:t>
      </w:r>
      <w:r>
        <w:rPr>
          <w:rFonts w:ascii="Arial" w:cs="Arial" w:eastAsia="Arial" w:hAnsi="Arial"/>
          <w:sz w:val="23"/>
          <w:szCs w:val="23"/>
          <w:color w:val="auto"/>
          <w:vertAlign w:val="superscript"/>
        </w:rPr>
        <w:t>®</w:t>
      </w:r>
      <w:r>
        <w:rPr>
          <w:rFonts w:ascii="Arial" w:cs="Arial" w:eastAsia="Arial" w:hAnsi="Arial"/>
          <w:sz w:val="14"/>
          <w:szCs w:val="14"/>
          <w:color w:val="auto"/>
        </w:rPr>
        <w:t>) may then be utilized to discover and produce new product candidates directed against the disease target. Our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 xml:space="preserve">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Commercial Products: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(aflibercept) Injection – wet AMD</w:t>
      </w:r>
    </w:p>
    <w:p>
      <w:pPr>
        <w:spacing w:after="0" w:line="126" w:lineRule="exact"/>
        <w:rPr>
          <w:sz w:val="20"/>
          <w:szCs w:val="20"/>
          <w:color w:val="auto"/>
        </w:rPr>
      </w:pPr>
    </w:p>
    <w:p>
      <w:pPr>
        <w:jc w:val="both"/>
        <w:ind w:firstLine="303"/>
        <w:spacing w:after="0" w:line="214" w:lineRule="auto"/>
        <w:rPr>
          <w:sz w:val="20"/>
          <w:szCs w:val="20"/>
          <w:color w:val="auto"/>
        </w:rPr>
      </w:pPr>
      <w:r>
        <w:rPr>
          <w:rFonts w:ascii="Arial" w:cs="Arial" w:eastAsia="Arial" w:hAnsi="Arial"/>
          <w:sz w:val="16"/>
          <w:szCs w:val="16"/>
          <w:color w:val="auto"/>
        </w:rPr>
        <w:t>In November 2011, we received U.S. marketing approval from the U.S. Food and Drug Administration (FDA)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Injection for the treatment of patients with wet AMD. The approval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granted by the FDA under a Priority Review, a designation that is given to drugs that offer major advances in treatment, or provide a treatment where no adequate therapy exists. Net product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2011 were $24.8 million.</w:t>
      </w:r>
    </w:p>
    <w:p>
      <w:pPr>
        <w:spacing w:after="0" w:line="86" w:lineRule="exact"/>
        <w:rPr>
          <w:sz w:val="20"/>
          <w:szCs w:val="20"/>
          <w:color w:val="auto"/>
        </w:rPr>
      </w:pPr>
    </w:p>
    <w:p>
      <w:pPr>
        <w:jc w:val="both"/>
        <w:ind w:right="20" w:firstLine="243"/>
        <w:spacing w:after="0" w:line="223" w:lineRule="auto"/>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known in the scientific literature as VEGF Trap-Eye, is a fusion protein locally administered in the eye that is designed to bind Vascular Endothelial Growth Factor-A (VEGF-A) and Placental Growth Factor (PlGF) proteins that are involved in the abnormal growth of new blood vessels. The abnormal growth of new blood vessels could leak blood and fluid, which causes disruption and dysfunction of the retina creating distortion and/or blind spots in central vision.</w:t>
      </w:r>
    </w:p>
    <w:p>
      <w:pPr>
        <w:spacing w:after="0" w:line="194" w:lineRule="exact"/>
        <w:rPr>
          <w:sz w:val="20"/>
          <w:szCs w:val="20"/>
          <w:color w:val="auto"/>
        </w:rPr>
      </w:pPr>
    </w:p>
    <w:p>
      <w:pPr>
        <w:jc w:val="both"/>
        <w:ind w:right="20" w:firstLine="255"/>
        <w:spacing w:after="0" w:line="223" w:lineRule="auto"/>
        <w:rPr>
          <w:sz w:val="20"/>
          <w:szCs w:val="20"/>
          <w:color w:val="auto"/>
        </w:rPr>
      </w:pPr>
      <w:r>
        <w:rPr>
          <w:rFonts w:ascii="Arial" w:cs="Arial" w:eastAsia="Arial" w:hAnsi="Arial"/>
          <w:sz w:val="15"/>
          <w:szCs w:val="15"/>
          <w:color w:val="auto"/>
        </w:rPr>
        <w:t>We are collaborating with Bayer HealthCare on the global development of EYLEA</w:t>
      </w:r>
      <w:r>
        <w:rPr>
          <w:rFonts w:ascii="Arial" w:cs="Arial" w:eastAsia="Arial" w:hAnsi="Arial"/>
          <w:sz w:val="25"/>
          <w:szCs w:val="25"/>
          <w:color w:val="auto"/>
          <w:vertAlign w:val="superscript"/>
        </w:rPr>
        <w:t>®</w:t>
      </w:r>
      <w:r>
        <w:rPr>
          <w:rFonts w:ascii="Arial" w:cs="Arial" w:eastAsia="Arial" w:hAnsi="Arial"/>
          <w:sz w:val="15"/>
          <w:szCs w:val="15"/>
          <w:color w:val="auto"/>
        </w:rPr>
        <w:t>. Bayer HealthCare has submitted applications for marketing authorization in the European Union, Japan, and other countries for wet AMD. Bayer HealthCare will market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outside the United States, where the companies will share equally the profits from any future sales of EYLEA</w:t>
      </w:r>
      <w:r>
        <w:rPr>
          <w:rFonts w:ascii="Arial" w:cs="Arial" w:eastAsia="Arial" w:hAnsi="Arial"/>
          <w:sz w:val="25"/>
          <w:szCs w:val="25"/>
          <w:color w:val="auto"/>
          <w:vertAlign w:val="superscript"/>
        </w:rPr>
        <w:t>®</w:t>
      </w:r>
      <w:r>
        <w:rPr>
          <w:rFonts w:ascii="Arial" w:cs="Arial" w:eastAsia="Arial" w:hAnsi="Arial"/>
          <w:sz w:val="15"/>
          <w:szCs w:val="15"/>
          <w:color w:val="auto"/>
        </w:rPr>
        <w:t>. We maintain exclusive rights to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the United States and are entitled to all profits from any such sales.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ARCALYST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 CAPS</w:t>
      </w:r>
    </w:p>
    <w:p>
      <w:pPr>
        <w:spacing w:after="0" w:line="126" w:lineRule="exact"/>
        <w:rPr>
          <w:sz w:val="20"/>
          <w:szCs w:val="20"/>
          <w:color w:val="auto"/>
        </w:rPr>
      </w:pPr>
    </w:p>
    <w:p>
      <w:pPr>
        <w:jc w:val="both"/>
        <w:ind w:right="20" w:firstLine="279"/>
        <w:spacing w:after="0" w:line="202" w:lineRule="auto"/>
        <w:rPr>
          <w:sz w:val="20"/>
          <w:szCs w:val="20"/>
          <w:color w:val="auto"/>
        </w:rPr>
      </w:pPr>
      <w:r>
        <w:rPr>
          <w:rFonts w:ascii="Arial" w:cs="Arial" w:eastAsia="Arial" w:hAnsi="Arial"/>
          <w:sz w:val="16"/>
          <w:szCs w:val="16"/>
          <w:color w:val="auto"/>
        </w:rPr>
        <w:t>Net product sales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 2011 were $19.9 million. Net product sales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2010 were $25.3 million, which included $20.5 million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product sales made in 2010 and $4.8 million of previously deferred net product sales, as described below under Item 7. “Management’s Discussion and Analysis of Financial Condition and Results of Operations - Results of Operations.”</w:t>
      </w:r>
    </w:p>
    <w:p>
      <w:pPr>
        <w:spacing w:after="0" w:line="191" w:lineRule="exact"/>
        <w:rPr>
          <w:sz w:val="20"/>
          <w:szCs w:val="20"/>
          <w:color w:val="auto"/>
        </w:rPr>
      </w:pPr>
    </w:p>
    <w:p>
      <w:pPr>
        <w:jc w:val="both"/>
        <w:ind w:right="20" w:firstLine="328"/>
        <w:spacing w:after="0" w:line="244" w:lineRule="auto"/>
        <w:rPr>
          <w:sz w:val="20"/>
          <w:szCs w:val="20"/>
          <w:color w:val="auto"/>
        </w:rPr>
      </w:pPr>
      <w:r>
        <w:rPr>
          <w:rFonts w:ascii="Arial" w:cs="Arial" w:eastAsia="Arial" w:hAnsi="Arial"/>
          <w:sz w:val="15"/>
          <w:szCs w:val="15"/>
          <w:color w:val="auto"/>
        </w:rPr>
        <w:t>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a protein-based product designed to bind the interleukin-1 (called IL-1) cytokine and prevent its interaction with cell surface receptors.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available by prescription in the United States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Clinical Programs: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 Ophthalmologic Diseases</w:t>
      </w:r>
    </w:p>
    <w:p>
      <w:pPr>
        <w:spacing w:after="0" w:line="126" w:lineRule="exact"/>
        <w:rPr>
          <w:sz w:val="20"/>
          <w:szCs w:val="20"/>
          <w:color w:val="auto"/>
        </w:rPr>
      </w:pPr>
    </w:p>
    <w:p>
      <w:pPr>
        <w:jc w:val="both"/>
        <w:ind w:firstLine="303"/>
        <w:spacing w:after="0" w:line="244" w:lineRule="auto"/>
        <w:rPr>
          <w:sz w:val="20"/>
          <w:szCs w:val="20"/>
          <w:color w:val="auto"/>
        </w:rPr>
      </w:pPr>
      <w:r>
        <w:rPr>
          <w:rFonts w:ascii="Arial" w:cs="Arial" w:eastAsia="Arial" w:hAnsi="Arial"/>
          <w:sz w:val="15"/>
          <w:szCs w:val="15"/>
          <w:color w:val="auto"/>
        </w:rPr>
        <w:t>We, together with our ex-U.S. collaborator Bayer HealthCare, are evaluating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Phase 3 programs in patients with central retinal vein occlusion (CRVO), diabetic macular edema (DME), and choroidal neovascularisation (CNV) of the retina as a result of pathologic myopia. We plan on initiating a Phase 3 study in branch retinal vein occlusion (BRVO) in the first quarter of 2012.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210" w:lineRule="exact"/>
        <w:rPr>
          <w:sz w:val="20"/>
          <w:szCs w:val="20"/>
          <w:color w:val="auto"/>
        </w:rPr>
      </w:pPr>
    </w:p>
    <w:p>
      <w:pPr>
        <w:jc w:val="both"/>
        <w:ind w:right="20" w:firstLine="328"/>
        <w:spacing w:after="0" w:line="217" w:lineRule="auto"/>
        <w:rPr>
          <w:sz w:val="20"/>
          <w:szCs w:val="20"/>
          <w:color w:val="auto"/>
        </w:rPr>
      </w:pPr>
      <w:r>
        <w:rPr>
          <w:rFonts w:ascii="Arial" w:cs="Arial" w:eastAsia="Arial" w:hAnsi="Arial"/>
          <w:sz w:val="14"/>
          <w:szCs w:val="14"/>
          <w:color w:val="auto"/>
        </w:rPr>
        <w:t>The Phase 3 trials in wet AMD, known as VIEW 1 and VIEW 2 (</w:t>
      </w:r>
      <w:r>
        <w:rPr>
          <w:rFonts w:ascii="Arial" w:cs="Arial" w:eastAsia="Arial" w:hAnsi="Arial"/>
          <w:sz w:val="14"/>
          <w:szCs w:val="14"/>
          <w:u w:val="single" w:color="auto"/>
          <w:color w:val="auto"/>
        </w:rPr>
        <w:t>V</w:t>
      </w:r>
      <w:r>
        <w:rPr>
          <w:rFonts w:ascii="Arial" w:cs="Arial" w:eastAsia="Arial" w:hAnsi="Arial"/>
          <w:sz w:val="14"/>
          <w:szCs w:val="14"/>
          <w:color w:val="auto"/>
        </w:rPr>
        <w:t xml:space="preserve">EGF Trap: </w:t>
      </w:r>
      <w:r>
        <w:rPr>
          <w:rFonts w:ascii="Arial" w:cs="Arial" w:eastAsia="Arial" w:hAnsi="Arial"/>
          <w:sz w:val="14"/>
          <w:szCs w:val="14"/>
          <w:u w:val="single" w:color="auto"/>
          <w:color w:val="auto"/>
        </w:rPr>
        <w:t>I</w:t>
      </w:r>
      <w:r>
        <w:rPr>
          <w:rFonts w:ascii="Arial" w:cs="Arial" w:eastAsia="Arial" w:hAnsi="Arial"/>
          <w:sz w:val="14"/>
          <w:szCs w:val="14"/>
          <w:color w:val="auto"/>
        </w:rPr>
        <w:t xml:space="preserve">nvestigation of </w:t>
      </w:r>
      <w:r>
        <w:rPr>
          <w:rFonts w:ascii="Arial" w:cs="Arial" w:eastAsia="Arial" w:hAnsi="Arial"/>
          <w:sz w:val="14"/>
          <w:szCs w:val="14"/>
          <w:u w:val="single" w:color="auto"/>
          <w:color w:val="auto"/>
        </w:rPr>
        <w:t>E</w:t>
      </w:r>
      <w:r>
        <w:rPr>
          <w:rFonts w:ascii="Arial" w:cs="Arial" w:eastAsia="Arial" w:hAnsi="Arial"/>
          <w:sz w:val="14"/>
          <w:szCs w:val="14"/>
          <w:color w:val="auto"/>
        </w:rPr>
        <w:t xml:space="preserve">fficacy and Safety in </w:t>
      </w:r>
      <w:r>
        <w:rPr>
          <w:rFonts w:ascii="Arial" w:cs="Arial" w:eastAsia="Arial" w:hAnsi="Arial"/>
          <w:sz w:val="14"/>
          <w:szCs w:val="14"/>
          <w:u w:val="single" w:color="auto"/>
          <w:color w:val="auto"/>
        </w:rPr>
        <w:t>W</w:t>
      </w:r>
      <w:r>
        <w:rPr>
          <w:rFonts w:ascii="Arial" w:cs="Arial" w:eastAsia="Arial" w:hAnsi="Arial"/>
          <w:sz w:val="14"/>
          <w:szCs w:val="14"/>
          <w:color w:val="auto"/>
        </w:rPr>
        <w:t>et age-related macular degeneration), compared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(ranibizumab injection), a registered trademark of Genentech, Inc.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an anti-VEGF agent approved for use and the current standard of care in wet AMD. VIEW 1 was conducted in North America and VIEW 2 was conducted in Europe, Asia Pacific, Japan, and Latin America. The VIEW 1 and VIEW 2 trials both evaluated</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4"/>
          <w:szCs w:val="14"/>
          <w:color w:val="auto"/>
        </w:rPr>
        <w:t>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doses of 0.5 milligrams (mg) and 2.0 mg at dosing intervals of four weeks and 2.0 mg at a dosing interval of eight weeks (following three initial monthly doses), compared with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according to its U.S. label, which specifies doses of 0.5 mg administered every four weeks over the first year. The primary endpoint of these non-</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4"/>
          <w:szCs w:val="14"/>
          <w:color w:val="auto"/>
        </w:rPr>
        <w:t>inferiority studies was the proportion of patients treated with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who maintain visual acuity at the end of one year compared to patients dosed monthly with Lucentis</w:t>
      </w:r>
      <w:r>
        <w:rPr>
          <w:rFonts w:ascii="Arial" w:cs="Arial" w:eastAsia="Arial" w:hAnsi="Arial"/>
          <w:sz w:val="23"/>
          <w:szCs w:val="23"/>
          <w:color w:val="auto"/>
          <w:vertAlign w:val="superscript"/>
        </w:rPr>
        <w:t>®</w:t>
      </w:r>
      <w:r>
        <w:rPr>
          <w:rFonts w:ascii="Arial" w:cs="Arial" w:eastAsia="Arial" w:hAnsi="Arial"/>
          <w:sz w:val="14"/>
          <w:szCs w:val="14"/>
          <w:color w:val="auto"/>
        </w:rPr>
        <w:t>. Visual acuity is defined as the total number of letters read correctly on the Early Treatment Diabetic Retinopathy Study (ETDRS) chart, a standard research tool for measuring visual acuity. Maintenance of vision is defined as losing fewer than three lines (equivalent to 15 letters) on the ETDRS chart. Secondary endpoints included the mean change from baseline in visual acuity as measured by ETDRS, the proportion of patients who gained at least 15 letters of vision at week 52, and the amount of fluid under the retina.</w:t>
      </w:r>
    </w:p>
    <w:p>
      <w:pPr>
        <w:spacing w:after="0" w:line="175" w:lineRule="exact"/>
        <w:rPr>
          <w:sz w:val="20"/>
          <w:szCs w:val="20"/>
          <w:color w:val="auto"/>
        </w:rPr>
      </w:pPr>
    </w:p>
    <w:p>
      <w:pPr>
        <w:jc w:val="both"/>
        <w:ind w:right="20" w:firstLine="243"/>
        <w:spacing w:after="0" w:line="213" w:lineRule="auto"/>
        <w:rPr>
          <w:sz w:val="20"/>
          <w:szCs w:val="20"/>
          <w:color w:val="auto"/>
        </w:rPr>
      </w:pPr>
      <w:r>
        <w:rPr>
          <w:rFonts w:ascii="Arial" w:cs="Arial" w:eastAsia="Arial" w:hAnsi="Arial"/>
          <w:sz w:val="14"/>
          <w:szCs w:val="14"/>
          <w:color w:val="auto"/>
        </w:rPr>
        <w:t>We and Bayer HealthCare announced week 52 results from the VIEW 1 and VIEW 2 studies in November 2010. In these studies, all regimens of EYLEA</w:t>
      </w:r>
      <w:r>
        <w:rPr>
          <w:rFonts w:ascii="Arial" w:cs="Arial" w:eastAsia="Arial" w:hAnsi="Arial"/>
          <w:sz w:val="23"/>
          <w:szCs w:val="23"/>
          <w:color w:val="auto"/>
          <w:vertAlign w:val="superscript"/>
        </w:rPr>
        <w:t>®</w:t>
      </w:r>
      <w:r>
        <w:rPr>
          <w:rFonts w:ascii="Arial" w:cs="Arial" w:eastAsia="Arial" w:hAnsi="Arial"/>
          <w:sz w:val="14"/>
          <w:szCs w:val="14"/>
          <w:color w:val="auto"/>
        </w:rPr>
        <w:t>, including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every two months, successfully met the primary endpoint of statistical non-inferiority compared to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every month. A generally favorable safety profile was</w:t>
      </w:r>
    </w:p>
    <w:p>
      <w:pPr>
        <w:spacing w:after="0" w:line="2"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observed for both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Lucentis</w:t>
      </w:r>
      <w:r>
        <w:rPr>
          <w:rFonts w:ascii="Arial" w:cs="Arial" w:eastAsia="Arial" w:hAnsi="Arial"/>
          <w:sz w:val="26"/>
          <w:szCs w:val="26"/>
          <w:color w:val="auto"/>
          <w:vertAlign w:val="superscript"/>
        </w:rPr>
        <w:t>®</w:t>
      </w:r>
      <w:r>
        <w:rPr>
          <w:rFonts w:ascii="Arial" w:cs="Arial" w:eastAsia="Arial" w:hAnsi="Arial"/>
          <w:sz w:val="16"/>
          <w:szCs w:val="16"/>
          <w:color w:val="auto"/>
        </w:rPr>
        <w:t>.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 the most frequently reported events were falls, pneumonia, myocardial infarction, atrial fibrillation, breast cancer, and acute coronary syndrome. There were no notable differences among the study arms.</w:t>
      </w:r>
    </w:p>
    <w:p>
      <w:pPr>
        <w:spacing w:after="0" w:line="191" w:lineRule="exact"/>
        <w:rPr>
          <w:sz w:val="20"/>
          <w:szCs w:val="20"/>
          <w:color w:val="auto"/>
        </w:rPr>
      </w:pPr>
    </w:p>
    <w:p>
      <w:pPr>
        <w:jc w:val="both"/>
        <w:ind w:right="20" w:firstLine="291"/>
        <w:spacing w:after="0" w:line="254" w:lineRule="auto"/>
        <w:rPr>
          <w:sz w:val="20"/>
          <w:szCs w:val="20"/>
          <w:color w:val="auto"/>
        </w:rPr>
      </w:pPr>
      <w:r>
        <w:rPr>
          <w:rFonts w:ascii="Arial" w:cs="Arial" w:eastAsia="Arial" w:hAnsi="Arial"/>
          <w:sz w:val="14"/>
          <w:szCs w:val="14"/>
          <w:color w:val="auto"/>
        </w:rPr>
        <w:t>Based on these positive results, we submitted a Biologics License Application (BLA) to the FDA in February 2011 for marketing approval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wet AMD in the United States. In April 2011, the FDA accepted the BLA for filing and granted our request for Priority Review. In June 2011, the Dermatologic and Ophthalmic Drugs Advisory Committee of the FDA unanimously recommended that the FDA approve our BLA. In 2011, Bayer HealthCare submitted regulatory applications for marketing approval of</w:t>
      </w:r>
    </w:p>
    <w:p>
      <w:pPr>
        <w:spacing w:after="0" w:line="2"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wet AMD in the European Union, Japan, and other countries. In November 2011, we received U.S. marketing approval from the FDA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Injection for the treatment of patients with wet AMD.</w:t>
      </w:r>
    </w:p>
    <w:p>
      <w:pPr>
        <w:spacing w:after="0" w:line="212" w:lineRule="exact"/>
        <w:rPr>
          <w:sz w:val="20"/>
          <w:szCs w:val="20"/>
          <w:color w:val="auto"/>
        </w:rPr>
      </w:pPr>
    </w:p>
    <w:p>
      <w:pPr>
        <w:jc w:val="both"/>
        <w:ind w:right="20" w:firstLine="267"/>
        <w:spacing w:after="0" w:line="294" w:lineRule="auto"/>
        <w:rPr>
          <w:sz w:val="20"/>
          <w:szCs w:val="20"/>
          <w:color w:val="auto"/>
        </w:rPr>
      </w:pPr>
      <w:r>
        <w:rPr>
          <w:rFonts w:ascii="Arial" w:cs="Arial" w:eastAsia="Arial" w:hAnsi="Arial"/>
          <w:sz w:val="14"/>
          <w:szCs w:val="14"/>
          <w:color w:val="auto"/>
        </w:rPr>
        <w:t>In December 2011, we and Bayer HealthCare announced Year 2 results from the VIEW 1 and VIEW 2 studies. In the second year of the studies, patients were treated with the same dose per injection as in the first year and were evaluated monthly to determine need for retreatment. Patients were treated at least every 12 weeks. All Year 2 analyses were</w:t>
      </w:r>
    </w:p>
    <w:p>
      <w:pPr>
        <w:jc w:val="both"/>
        <w:spacing w:after="0" w:line="239" w:lineRule="auto"/>
        <w:rPr>
          <w:sz w:val="20"/>
          <w:szCs w:val="20"/>
          <w:color w:val="auto"/>
        </w:rPr>
      </w:pPr>
      <w:r>
        <w:rPr>
          <w:rFonts w:ascii="Arial" w:cs="Arial" w:eastAsia="Arial" w:hAnsi="Arial"/>
          <w:sz w:val="14"/>
          <w:szCs w:val="14"/>
          <w:color w:val="auto"/>
        </w:rPr>
        <w:t>considered exploratory. In an integrated analysis of the VIEW 1 and VIEW 2 studies, the visual acuity gain from baseline in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2.0 mg every eight week group at week 96 was 7.6 letters compared to 8.4 letters at week 52, with an average of 11.2 injections over two years and 4.2 injections during the second year. The visual acuity gain from</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baseline in the monthly Lucentis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at week 96 was 7.9 letters compared to 8.7 letters at week 52, with an average of 16.5 injections over two years and 4.7 injections during the second year. The results of each of the VIEW 1 and VIEW 2 studies were consistent with the integrated analysis.</w:t>
      </w:r>
    </w:p>
    <w:p>
      <w:pPr>
        <w:spacing w:after="0" w:line="191" w:lineRule="exact"/>
        <w:rPr>
          <w:sz w:val="20"/>
          <w:szCs w:val="20"/>
          <w:color w:val="auto"/>
        </w:rPr>
      </w:pPr>
    </w:p>
    <w:p>
      <w:pPr>
        <w:jc w:val="both"/>
        <w:ind w:firstLine="279"/>
        <w:spacing w:after="0" w:line="238" w:lineRule="auto"/>
        <w:rPr>
          <w:sz w:val="20"/>
          <w:szCs w:val="20"/>
          <w:color w:val="auto"/>
        </w:rPr>
      </w:pPr>
      <w:r>
        <w:rPr>
          <w:rFonts w:ascii="Arial" w:cs="Arial" w:eastAsia="Arial" w:hAnsi="Arial"/>
          <w:sz w:val="15"/>
          <w:szCs w:val="15"/>
          <w:color w:val="auto"/>
        </w:rPr>
        <w:t>The overall fewer average number of injections in the second year in the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2.0 mg every eight week group compared to the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group (4.2 versus 4.7; nominal p&lt;0.0001) was driven by the fact that fewer patients needed more intense therapy in the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group and those patients required fewer injections.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4" w:name="page5"/>
    <w:bookmarkEnd w:id="4"/>
    <w:p>
      <w:pPr>
        <w:jc w:val="both"/>
        <w:ind w:firstLine="267"/>
        <w:spacing w:after="0" w:line="213" w:lineRule="auto"/>
        <w:rPr>
          <w:sz w:val="20"/>
          <w:szCs w:val="20"/>
          <w:color w:val="auto"/>
        </w:rPr>
      </w:pPr>
      <w:r>
        <w:rPr>
          <w:rFonts w:ascii="Arial" w:cs="Arial" w:eastAsia="Arial" w:hAnsi="Arial"/>
          <w:sz w:val="14"/>
          <w:szCs w:val="14"/>
          <w:color w:val="auto"/>
        </w:rPr>
        <w:t>The proportion of patients who required frequent injections (six or more) during Year 2 was lower in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2.0 mg every eight week group compared to the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group (15.9% versus 26.5%). In the 25% of patients who required the most intense therapy (the greatest number of injections), patients in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2.0 mg every eight week</w:t>
      </w:r>
    </w:p>
    <w:p>
      <w:pPr>
        <w:spacing w:after="0" w:line="2"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group required an average of 1.4 fewer injections in Year 2 compared to the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group (6.6 versus 8.0). In the 25% of patients in each group who had the fewest number of injections in Year 2, the average number of injections was similar (approximately 3 for both groups, corresponding to the protocol-mandated minimum number of injections).</w:t>
      </w:r>
    </w:p>
    <w:p>
      <w:pPr>
        <w:spacing w:after="0" w:line="192" w:lineRule="exact"/>
        <w:rPr>
          <w:sz w:val="20"/>
          <w:szCs w:val="20"/>
          <w:color w:val="auto"/>
        </w:rPr>
      </w:pPr>
    </w:p>
    <w:p>
      <w:pPr>
        <w:jc w:val="both"/>
        <w:ind w:right="20" w:firstLine="291"/>
        <w:spacing w:after="0" w:line="258" w:lineRule="auto"/>
        <w:rPr>
          <w:sz w:val="20"/>
          <w:szCs w:val="20"/>
          <w:color w:val="auto"/>
        </w:rPr>
      </w:pPr>
      <w:r>
        <w:rPr>
          <w:rFonts w:ascii="Arial" w:cs="Arial" w:eastAsia="Arial" w:hAnsi="Arial"/>
          <w:sz w:val="15"/>
          <w:szCs w:val="15"/>
          <w:color w:val="auto"/>
        </w:rPr>
        <w:t>A generally favorable safety profile was observed for both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Lucentis</w:t>
      </w:r>
      <w:r>
        <w:rPr>
          <w:rFonts w:ascii="Arial" w:cs="Arial" w:eastAsia="Arial" w:hAnsi="Arial"/>
          <w:sz w:val="25"/>
          <w:szCs w:val="25"/>
          <w:color w:val="auto"/>
          <w:vertAlign w:val="superscript"/>
        </w:rPr>
        <w:t>®</w:t>
      </w:r>
      <w:r>
        <w:rPr>
          <w:rFonts w:ascii="Arial" w:cs="Arial" w:eastAsia="Arial" w:hAnsi="Arial"/>
          <w:sz w:val="15"/>
          <w:szCs w:val="15"/>
          <w:color w:val="auto"/>
        </w:rPr>
        <w:t>. The incidence of ocular treatment emergent adverse events was balanced across all four treatment groups in both studies. The most frequent ocular adverse events (greater than 10% of patients for the overall study population) were conjunctival hemorrhage, eye pain, retinal hemorrhage, and visual acuity reduced. The most frequent serious non-ocular adverse events were typical of those reported in this elderly population who receive intravitreal treatment for wet AMD; the most frequently reported events (greater than 1% of patients for the overall study population) were falls, pneumonia, myocardial infarction and atrial fibrillation. There were no notable differences among the study arms. The incidence of arterial thrombotic events as defined by the "Anti-Platelet Trialists" group criteria was 3.2% of patients for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3.3% of patients in the combined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groups.</w:t>
      </w:r>
    </w:p>
    <w:p>
      <w:pPr>
        <w:spacing w:after="0" w:line="73" w:lineRule="exact"/>
        <w:rPr>
          <w:sz w:val="20"/>
          <w:szCs w:val="20"/>
          <w:color w:val="auto"/>
        </w:rPr>
      </w:pPr>
    </w:p>
    <w:p>
      <w:pPr>
        <w:jc w:val="both"/>
        <w:ind w:right="20" w:firstLine="243"/>
        <w:spacing w:after="0" w:line="229" w:lineRule="auto"/>
        <w:rPr>
          <w:sz w:val="20"/>
          <w:szCs w:val="20"/>
          <w:color w:val="auto"/>
        </w:rPr>
      </w:pPr>
      <w:r>
        <w:rPr>
          <w:rFonts w:ascii="Arial" w:cs="Arial" w:eastAsia="Arial" w:hAnsi="Arial"/>
          <w:sz w:val="14"/>
          <w:szCs w:val="14"/>
          <w:color w:val="auto"/>
        </w:rPr>
        <w:t>In the fourth quarter of 2011, we and Bayer HealthCare initiated a Phase 3 trial, known as SIGHT, evaluating the efficacy and safety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neovascular form of wet AMD in China.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be evaluated for its effect on improving and maintaining vision when dosed as an intravitreal injection on a schedule of 2.0 mg every two months (following three initial monthly doses), as compared with Photodynamic Therapy (PDT) with verteporfin. After assessment of the primary endpoint at week 28, all patients,</w:t>
      </w:r>
    </w:p>
    <w:p>
      <w:pPr>
        <w:jc w:val="both"/>
        <w:ind w:right="20"/>
        <w:spacing w:after="0" w:line="211" w:lineRule="auto"/>
        <w:rPr>
          <w:sz w:val="20"/>
          <w:szCs w:val="20"/>
          <w:color w:val="auto"/>
        </w:rPr>
      </w:pPr>
      <w:r>
        <w:rPr>
          <w:rFonts w:ascii="Arial" w:cs="Arial" w:eastAsia="Arial" w:hAnsi="Arial"/>
          <w:sz w:val="16"/>
          <w:szCs w:val="16"/>
          <w:color w:val="auto"/>
        </w:rPr>
        <w:t>including those on PDT, will receive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treatment until the end of the study at week 52. The trial will include approximately 300 patients and will be the largest retinal trial conducted in China. The SIGHT trial is being led by Bayer HealthCare.</w:t>
      </w:r>
    </w:p>
    <w:p>
      <w:pPr>
        <w:spacing w:after="0" w:line="191" w:lineRule="exact"/>
        <w:rPr>
          <w:sz w:val="20"/>
          <w:szCs w:val="20"/>
          <w:color w:val="auto"/>
        </w:rPr>
      </w:pPr>
    </w:p>
    <w:p>
      <w:pPr>
        <w:jc w:val="both"/>
        <w:ind w:right="20" w:firstLine="291"/>
        <w:spacing w:after="0" w:line="254" w:lineRule="auto"/>
        <w:rPr>
          <w:sz w:val="20"/>
          <w:szCs w:val="20"/>
          <w:color w:val="auto"/>
        </w:rPr>
      </w:pPr>
      <w:r>
        <w:rPr>
          <w:rFonts w:ascii="Arial" w:cs="Arial" w:eastAsia="Arial" w:hAnsi="Arial"/>
          <w:sz w:val="14"/>
          <w:szCs w:val="14"/>
          <w:color w:val="auto"/>
        </w:rPr>
        <w:t>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also in Phase 3 clinical studies for the treatment of CRVO, another cause of visual impairment. We led the COPERNICUS (</w:t>
      </w:r>
      <w:r>
        <w:rPr>
          <w:rFonts w:ascii="Arial" w:cs="Arial" w:eastAsia="Arial" w:hAnsi="Arial"/>
          <w:sz w:val="14"/>
          <w:szCs w:val="14"/>
          <w:u w:val="single" w:color="auto"/>
          <w:color w:val="auto"/>
        </w:rPr>
        <w:t>CO</w:t>
      </w:r>
      <w:r>
        <w:rPr>
          <w:rFonts w:ascii="Arial" w:cs="Arial" w:eastAsia="Arial" w:hAnsi="Arial"/>
          <w:sz w:val="14"/>
          <w:szCs w:val="14"/>
          <w:color w:val="auto"/>
        </w:rPr>
        <w:t xml:space="preserve">ntrolled </w:t>
      </w:r>
      <w:r>
        <w:rPr>
          <w:rFonts w:ascii="Arial" w:cs="Arial" w:eastAsia="Arial" w:hAnsi="Arial"/>
          <w:sz w:val="14"/>
          <w:szCs w:val="14"/>
          <w:u w:val="single" w:color="auto"/>
          <w:color w:val="auto"/>
        </w:rPr>
        <w:t>P</w:t>
      </w:r>
      <w:r>
        <w:rPr>
          <w:rFonts w:ascii="Arial" w:cs="Arial" w:eastAsia="Arial" w:hAnsi="Arial"/>
          <w:sz w:val="14"/>
          <w:szCs w:val="14"/>
          <w:color w:val="auto"/>
        </w:rPr>
        <w:t xml:space="preserve">hase 3 </w:t>
      </w:r>
      <w:r>
        <w:rPr>
          <w:rFonts w:ascii="Arial" w:cs="Arial" w:eastAsia="Arial" w:hAnsi="Arial"/>
          <w:sz w:val="14"/>
          <w:szCs w:val="14"/>
          <w:u w:val="single" w:color="auto"/>
          <w:color w:val="auto"/>
        </w:rPr>
        <w:t>E</w:t>
      </w:r>
      <w:r>
        <w:rPr>
          <w:rFonts w:ascii="Arial" w:cs="Arial" w:eastAsia="Arial" w:hAnsi="Arial"/>
          <w:sz w:val="14"/>
          <w:szCs w:val="14"/>
          <w:color w:val="auto"/>
        </w:rPr>
        <w:t xml:space="preserve">valuation of </w:t>
      </w:r>
      <w:r>
        <w:rPr>
          <w:rFonts w:ascii="Arial" w:cs="Arial" w:eastAsia="Arial" w:hAnsi="Arial"/>
          <w:sz w:val="14"/>
          <w:szCs w:val="14"/>
          <w:u w:val="single" w:color="auto"/>
          <w:color w:val="auto"/>
        </w:rPr>
        <w:t>R</w:t>
      </w:r>
      <w:r>
        <w:rPr>
          <w:rFonts w:ascii="Arial" w:cs="Arial" w:eastAsia="Arial" w:hAnsi="Arial"/>
          <w:sz w:val="14"/>
          <w:szCs w:val="14"/>
          <w:color w:val="auto"/>
        </w:rPr>
        <w:t>epeated i</w:t>
      </w:r>
      <w:r>
        <w:rPr>
          <w:rFonts w:ascii="Arial" w:cs="Arial" w:eastAsia="Arial" w:hAnsi="Arial"/>
          <w:sz w:val="14"/>
          <w:szCs w:val="14"/>
          <w:u w:val="single" w:color="auto"/>
          <w:color w:val="auto"/>
        </w:rPr>
        <w:t>N</w:t>
      </w:r>
      <w:r>
        <w:rPr>
          <w:rFonts w:ascii="Arial" w:cs="Arial" w:eastAsia="Arial" w:hAnsi="Arial"/>
          <w:sz w:val="14"/>
          <w:szCs w:val="14"/>
          <w:color w:val="auto"/>
        </w:rPr>
        <w:t xml:space="preserve">travitreal administration of VEGF Trap-Eye </w:t>
      </w:r>
      <w:r>
        <w:rPr>
          <w:rFonts w:ascii="Arial" w:cs="Arial" w:eastAsia="Arial" w:hAnsi="Arial"/>
          <w:sz w:val="14"/>
          <w:szCs w:val="14"/>
          <w:u w:val="single" w:color="auto"/>
          <w:color w:val="auto"/>
        </w:rPr>
        <w:t>I</w:t>
      </w:r>
      <w:r>
        <w:rPr>
          <w:rFonts w:ascii="Arial" w:cs="Arial" w:eastAsia="Arial" w:hAnsi="Arial"/>
          <w:sz w:val="14"/>
          <w:szCs w:val="14"/>
          <w:color w:val="auto"/>
        </w:rPr>
        <w:t xml:space="preserve">n </w:t>
      </w:r>
      <w:r>
        <w:rPr>
          <w:rFonts w:ascii="Arial" w:cs="Arial" w:eastAsia="Arial" w:hAnsi="Arial"/>
          <w:sz w:val="14"/>
          <w:szCs w:val="14"/>
          <w:u w:val="single" w:color="auto"/>
          <w:color w:val="auto"/>
        </w:rPr>
        <w:t>C</w:t>
      </w:r>
      <w:r>
        <w:rPr>
          <w:rFonts w:ascii="Arial" w:cs="Arial" w:eastAsia="Arial" w:hAnsi="Arial"/>
          <w:sz w:val="14"/>
          <w:szCs w:val="14"/>
          <w:color w:val="auto"/>
        </w:rPr>
        <w:t xml:space="preserve">entral retinal vein occlusion: </w:t>
      </w:r>
      <w:r>
        <w:rPr>
          <w:rFonts w:ascii="Arial" w:cs="Arial" w:eastAsia="Arial" w:hAnsi="Arial"/>
          <w:sz w:val="14"/>
          <w:szCs w:val="14"/>
          <w:u w:val="single" w:color="auto"/>
          <w:color w:val="auto"/>
        </w:rPr>
        <w:t>U</w:t>
      </w:r>
      <w:r>
        <w:rPr>
          <w:rFonts w:ascii="Arial" w:cs="Arial" w:eastAsia="Arial" w:hAnsi="Arial"/>
          <w:sz w:val="14"/>
          <w:szCs w:val="14"/>
          <w:color w:val="auto"/>
        </w:rPr>
        <w:t xml:space="preserve">tility and </w:t>
      </w:r>
      <w:r>
        <w:rPr>
          <w:rFonts w:ascii="Arial" w:cs="Arial" w:eastAsia="Arial" w:hAnsi="Arial"/>
          <w:sz w:val="14"/>
          <w:szCs w:val="14"/>
          <w:u w:val="single" w:color="auto"/>
          <w:color w:val="auto"/>
        </w:rPr>
        <w:t>S</w:t>
      </w:r>
      <w:r>
        <w:rPr>
          <w:rFonts w:ascii="Arial" w:cs="Arial" w:eastAsia="Arial" w:hAnsi="Arial"/>
          <w:sz w:val="14"/>
          <w:szCs w:val="14"/>
          <w:color w:val="auto"/>
        </w:rPr>
        <w:t>afety) study, and Bayer HealthCare led the GALILEO (</w:t>
      </w:r>
      <w:r>
        <w:rPr>
          <w:rFonts w:ascii="Arial" w:cs="Arial" w:eastAsia="Arial" w:hAnsi="Arial"/>
          <w:sz w:val="14"/>
          <w:szCs w:val="14"/>
          <w:u w:val="single" w:color="auto"/>
          <w:color w:val="auto"/>
        </w:rPr>
        <w:t>G</w:t>
      </w:r>
      <w:r>
        <w:rPr>
          <w:rFonts w:ascii="Arial" w:cs="Arial" w:eastAsia="Arial" w:hAnsi="Arial"/>
          <w:sz w:val="14"/>
          <w:szCs w:val="14"/>
          <w:color w:val="auto"/>
        </w:rPr>
        <w:t xml:space="preserve">eneral </w:t>
      </w:r>
      <w:r>
        <w:rPr>
          <w:rFonts w:ascii="Arial" w:cs="Arial" w:eastAsia="Arial" w:hAnsi="Arial"/>
          <w:sz w:val="14"/>
          <w:szCs w:val="14"/>
          <w:u w:val="single" w:color="auto"/>
          <w:color w:val="auto"/>
        </w:rPr>
        <w:t>A</w:t>
      </w:r>
      <w:r>
        <w:rPr>
          <w:rFonts w:ascii="Arial" w:cs="Arial" w:eastAsia="Arial" w:hAnsi="Arial"/>
          <w:sz w:val="14"/>
          <w:szCs w:val="14"/>
          <w:color w:val="auto"/>
        </w:rPr>
        <w:t xml:space="preserve">ssessment </w:t>
      </w:r>
      <w:r>
        <w:rPr>
          <w:rFonts w:ascii="Arial" w:cs="Arial" w:eastAsia="Arial" w:hAnsi="Arial"/>
          <w:sz w:val="14"/>
          <w:szCs w:val="14"/>
          <w:u w:val="single" w:color="auto"/>
          <w:color w:val="auto"/>
        </w:rPr>
        <w:t>L</w:t>
      </w:r>
      <w:r>
        <w:rPr>
          <w:rFonts w:ascii="Arial" w:cs="Arial" w:eastAsia="Arial" w:hAnsi="Arial"/>
          <w:sz w:val="14"/>
          <w:szCs w:val="14"/>
          <w:color w:val="auto"/>
        </w:rPr>
        <w:t xml:space="preserve">imiting </w:t>
      </w:r>
      <w:r>
        <w:rPr>
          <w:rFonts w:ascii="Arial" w:cs="Arial" w:eastAsia="Arial" w:hAnsi="Arial"/>
          <w:sz w:val="14"/>
          <w:szCs w:val="14"/>
          <w:u w:val="single" w:color="auto"/>
          <w:color w:val="auto"/>
        </w:rPr>
        <w:t>I</w:t>
      </w:r>
      <w:r>
        <w:rPr>
          <w:rFonts w:ascii="Arial" w:cs="Arial" w:eastAsia="Arial" w:hAnsi="Arial"/>
          <w:sz w:val="14"/>
          <w:szCs w:val="14"/>
          <w:color w:val="auto"/>
        </w:rPr>
        <w:t>nfi</w:t>
      </w:r>
      <w:r>
        <w:rPr>
          <w:rFonts w:ascii="Arial" w:cs="Arial" w:eastAsia="Arial" w:hAnsi="Arial"/>
          <w:sz w:val="14"/>
          <w:szCs w:val="14"/>
          <w:u w:val="single" w:color="auto"/>
          <w:color w:val="auto"/>
        </w:rPr>
        <w:t>L</w:t>
      </w:r>
      <w:r>
        <w:rPr>
          <w:rFonts w:ascii="Arial" w:cs="Arial" w:eastAsia="Arial" w:hAnsi="Arial"/>
          <w:sz w:val="14"/>
          <w:szCs w:val="14"/>
          <w:color w:val="auto"/>
        </w:rPr>
        <w:t xml:space="preserve">tration of </w:t>
      </w:r>
      <w:r>
        <w:rPr>
          <w:rFonts w:ascii="Arial" w:cs="Arial" w:eastAsia="Arial" w:hAnsi="Arial"/>
          <w:sz w:val="14"/>
          <w:szCs w:val="14"/>
          <w:u w:val="single" w:color="auto"/>
          <w:color w:val="auto"/>
        </w:rPr>
        <w:t>E</w:t>
      </w:r>
      <w:r>
        <w:rPr>
          <w:rFonts w:ascii="Arial" w:cs="Arial" w:eastAsia="Arial" w:hAnsi="Arial"/>
          <w:sz w:val="14"/>
          <w:szCs w:val="14"/>
          <w:color w:val="auto"/>
        </w:rPr>
        <w:t xml:space="preserve">xudates in central retinal vein </w:t>
      </w:r>
      <w:r>
        <w:rPr>
          <w:rFonts w:ascii="Arial" w:cs="Arial" w:eastAsia="Arial" w:hAnsi="Arial"/>
          <w:sz w:val="14"/>
          <w:szCs w:val="14"/>
          <w:u w:val="single" w:color="auto"/>
          <w:color w:val="auto"/>
        </w:rPr>
        <w:t>O</w:t>
      </w:r>
      <w:r>
        <w:rPr>
          <w:rFonts w:ascii="Arial" w:cs="Arial" w:eastAsia="Arial" w:hAnsi="Arial"/>
          <w:sz w:val="14"/>
          <w:szCs w:val="14"/>
          <w:color w:val="auto"/>
        </w:rPr>
        <w:t>cclusion with VEGF Trap-Eye) study. Patients in both studies received six monthly intravitreal injections of either</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a dose of 2.0 mg or sham control injections. The primary endpoint of both studies was improvement in visual acuity versus baseline after six months of treatment as measured by the ETDRS eye chart. At the end of the initial six months, patients were dosed on an as-needed (PRN) basis for another six months. All patients were eligible for</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rescue laser treatment. In the COPERNICUS study, patients who were randomized to sham injections in the first six months were eligible to cross over to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PRN dosing in the second six months.</w:t>
      </w:r>
    </w:p>
    <w:p>
      <w:pPr>
        <w:spacing w:after="0" w:line="191" w:lineRule="exact"/>
        <w:rPr>
          <w:sz w:val="20"/>
          <w:szCs w:val="20"/>
          <w:color w:val="auto"/>
        </w:rPr>
      </w:pPr>
    </w:p>
    <w:p>
      <w:pPr>
        <w:jc w:val="both"/>
        <w:ind w:firstLine="255"/>
        <w:spacing w:after="0" w:line="212" w:lineRule="auto"/>
        <w:rPr>
          <w:sz w:val="20"/>
          <w:szCs w:val="20"/>
          <w:color w:val="auto"/>
        </w:rPr>
      </w:pPr>
      <w:r>
        <w:rPr>
          <w:rFonts w:ascii="Arial" w:cs="Arial" w:eastAsia="Arial" w:hAnsi="Arial"/>
          <w:sz w:val="14"/>
          <w:szCs w:val="14"/>
          <w:color w:val="auto"/>
        </w:rPr>
        <w:t>In December 2010, we and Bayer HealthCare announced that in the COPERNICUS study,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demonstrated a statistically significant improvement in visual acuity at six months compared to sham injections, the primary endpoint of the study. In this study, 56.1% of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gained at least 15 letters of vision from baseline, compared to 12.3% of patients receiving sham injections (p&lt;0.0001). In the study,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generally well tolerated. The most common adverse events were those typically</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associated with intravitreal injections or the underlying disease. Serious ocular adverse events in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group were uncommon (3.5%), consisting of individual reports of corneal abrasion, endophalmitis, retinal vein occlusion, and reduced visual acuity, and were more frequent in the control group (13.5%). The incidence of non-ocular serious adverse</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events was generally well-balanced between the treatment arms. There were no deaths among the 114 patients treated with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two (2.7%) in the 73 patients treated with sham injections.</w:t>
      </w:r>
    </w:p>
    <w:p>
      <w:pPr>
        <w:spacing w:after="0" w:line="191" w:lineRule="exact"/>
        <w:rPr>
          <w:sz w:val="20"/>
          <w:szCs w:val="20"/>
          <w:color w:val="auto"/>
        </w:rPr>
      </w:pPr>
    </w:p>
    <w:p>
      <w:pPr>
        <w:jc w:val="both"/>
        <w:ind w:right="20" w:firstLine="243"/>
        <w:spacing w:after="0" w:line="241" w:lineRule="auto"/>
        <w:rPr>
          <w:sz w:val="20"/>
          <w:szCs w:val="20"/>
          <w:color w:val="auto"/>
        </w:rPr>
      </w:pPr>
      <w:r>
        <w:rPr>
          <w:rFonts w:ascii="Arial" w:cs="Arial" w:eastAsia="Arial" w:hAnsi="Arial"/>
          <w:sz w:val="14"/>
          <w:szCs w:val="14"/>
          <w:color w:val="auto"/>
        </w:rPr>
        <w:t>The one-year COPERNICUS results showed that 55.3% of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for 24 weeks, then on a PRN basis (guided by anatomic and visual acuity monitoring) over the next 28 weeks, gained at least 15 letters from baseline on an ETDRS eye chart compared to 30.1% of patients who received sham injections for the first 24</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4"/>
          <w:szCs w:val="14"/>
          <w:color w:val="auto"/>
        </w:rPr>
        <w:t>weeks followed by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from week 24 to week 52 (p=0.0006). In terms of gain in visual acuity from baseline to week 52,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monthly for 24 weeks followed by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gained, on average, 16.2 letters of vision compared to a mean gain of 3.8 letters for patients who switched at week 24 from sham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(p&lt;0.0001). These results demonstrate that the benefits achieved with monthly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treatment through week 24 were maintained out to week 52. At week 24,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had a mean gain of 17.3 letters, while patients receiving sham had a mean loss of 4.0 letters (p&lt;0.0001). Patients who received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monthly followed by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were administered a mean of 2.7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injections from week 24 to 52, while patients who switched from sham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received a mean of 3.9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injections.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generally well tolerated in the study. At week 52, the most frequently reported adverse events in patients who went from monthly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were reduction of visual acuity, conjunctival hemorrhage, eye pain, and intraocular pressure increased. The most frequently reported adverse events in patients who switched from sham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were reduction of visual acuity, conjunctival hemorrhage, intraocular pressure increased, and retinal hemorrhage. At week 52, 5.3% of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who switched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and 16.2% of patients who switched from sham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PRN reported at least one ocular serious adverse event.</w:t>
      </w:r>
    </w:p>
    <w:p>
      <w:pPr>
        <w:spacing w:after="0" w:line="85" w:lineRule="exact"/>
        <w:rPr>
          <w:sz w:val="20"/>
          <w:szCs w:val="20"/>
          <w:color w:val="auto"/>
        </w:rPr>
      </w:pPr>
    </w:p>
    <w:p>
      <w:pPr>
        <w:jc w:val="both"/>
        <w:ind w:right="20" w:firstLine="315"/>
        <w:spacing w:after="0" w:line="213" w:lineRule="auto"/>
        <w:rPr>
          <w:sz w:val="20"/>
          <w:szCs w:val="20"/>
          <w:color w:val="auto"/>
        </w:rPr>
      </w:pPr>
      <w:r>
        <w:rPr>
          <w:rFonts w:ascii="Arial" w:cs="Arial" w:eastAsia="Arial" w:hAnsi="Arial"/>
          <w:sz w:val="14"/>
          <w:szCs w:val="14"/>
          <w:color w:val="auto"/>
        </w:rPr>
        <w:t>In April 2011, we and Bayer HealthCare announced that in the GALILEO study,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also demonstrated a statistically significant improvement in visual acuity at six months compared to sham injections, the primary endpoint of the study. In this trial, 60.2% of patients receiving 2.0 mg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monthly gained at least 15 letters of vision</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from baseline, compared to 22.1% of patients receiving sham injections (p&lt;0.0001). Patients receiving 2.0 mg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monthly gained, on average, 18 letters of vision compared to a mean gain of 3.3 letters with sham injections (p&lt;0.0001), a secondary endpoint.</w:t>
      </w:r>
    </w:p>
    <w:p>
      <w:pPr>
        <w:spacing w:after="0" w:line="192" w:lineRule="exact"/>
        <w:rPr>
          <w:sz w:val="20"/>
          <w:szCs w:val="20"/>
          <w:color w:val="auto"/>
        </w:rPr>
      </w:pPr>
    </w:p>
    <w:p>
      <w:pPr>
        <w:jc w:val="both"/>
        <w:ind w:right="20" w:firstLine="340"/>
        <w:spacing w:after="0" w:line="213" w:lineRule="auto"/>
        <w:rPr>
          <w:sz w:val="20"/>
          <w:szCs w:val="20"/>
          <w:color w:val="auto"/>
        </w:rPr>
      </w:pPr>
      <w:r>
        <w:rPr>
          <w:rFonts w:ascii="Arial" w:cs="Arial" w:eastAsia="Arial" w:hAnsi="Arial"/>
          <w:sz w:val="14"/>
          <w:szCs w:val="14"/>
          <w:color w:val="auto"/>
        </w:rPr>
        <w:t>As in the COPERNICUS trial,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generally well tolerated in the GALILEO study and the most common adverse events were those typically associated with intravitreal injections or the underlying disease. Serious ocular adverse events in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group were 2.9% and were more frequent in the control group (8.8%). The most</w:t>
      </w:r>
    </w:p>
    <w:p>
      <w:pPr>
        <w:spacing w:after="0" w:line="2" w:lineRule="exact"/>
        <w:rPr>
          <w:sz w:val="20"/>
          <w:szCs w:val="20"/>
          <w:color w:val="auto"/>
        </w:rPr>
      </w:pPr>
    </w:p>
    <w:p>
      <w:pPr>
        <w:jc w:val="both"/>
        <w:ind w:right="20"/>
        <w:spacing w:after="0" w:line="232" w:lineRule="auto"/>
        <w:rPr>
          <w:sz w:val="20"/>
          <w:szCs w:val="20"/>
          <w:color w:val="auto"/>
        </w:rPr>
      </w:pPr>
      <w:r>
        <w:rPr>
          <w:rFonts w:ascii="Arial" w:cs="Arial" w:eastAsia="Arial" w:hAnsi="Arial"/>
          <w:sz w:val="15"/>
          <w:szCs w:val="15"/>
          <w:color w:val="auto"/>
        </w:rPr>
        <w:t>frequently reported adverse events overall in the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arm were eye pain, conjunctival hemorrhage, and elevated intraocular pressure. The most frequently reported adverse events in the control group were macular edema, eye irritation, and reduced visual acuity. The incidence of non-ocular serious adverse events was generally well-balanced between the treatment arms. The most frequent non-ocular adverse events were headache and nasopharyngitis. There were no deaths in the study.</w:t>
      </w:r>
    </w:p>
    <w:p>
      <w:pPr>
        <w:spacing w:after="0" w:line="192" w:lineRule="exact"/>
        <w:rPr>
          <w:sz w:val="20"/>
          <w:szCs w:val="20"/>
          <w:color w:val="auto"/>
        </w:rPr>
      </w:pPr>
    </w:p>
    <w:p>
      <w:pPr>
        <w:jc w:val="both"/>
        <w:ind w:right="20" w:firstLine="246"/>
        <w:spacing w:after="0" w:line="241" w:lineRule="auto"/>
        <w:rPr>
          <w:sz w:val="20"/>
          <w:szCs w:val="20"/>
          <w:color w:val="auto"/>
        </w:rPr>
      </w:pPr>
      <w:r>
        <w:rPr>
          <w:rFonts w:ascii="Arial" w:cs="Arial" w:eastAsia="Arial" w:hAnsi="Arial"/>
          <w:sz w:val="14"/>
          <w:szCs w:val="14"/>
          <w:color w:val="auto"/>
        </w:rPr>
        <w:t>The one-year GALILEO results showed that 60.2% of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for 24 weeks, then on a PRN basis (guided by anatomic and visual acuity monitoring) over the next 28 weeks, gained at least 15 letters from baseline on an ETDRS eye chart compared to 32.4% of patients receiving sham injections (p=0.0004). In terms</w:t>
      </w:r>
    </w:p>
    <w:p>
      <w:pPr>
        <w:spacing w:after="0" w:line="1" w:lineRule="exact"/>
        <w:rPr>
          <w:sz w:val="20"/>
          <w:szCs w:val="20"/>
          <w:color w:val="auto"/>
        </w:rPr>
      </w:pPr>
    </w:p>
    <w:p>
      <w:pPr>
        <w:jc w:val="both"/>
        <w:ind w:right="20"/>
        <w:spacing w:after="0" w:line="210" w:lineRule="auto"/>
        <w:rPr>
          <w:sz w:val="20"/>
          <w:szCs w:val="20"/>
          <w:color w:val="auto"/>
        </w:rPr>
      </w:pPr>
      <w:r>
        <w:rPr>
          <w:rFonts w:ascii="Arial" w:cs="Arial" w:eastAsia="Arial" w:hAnsi="Arial"/>
          <w:sz w:val="14"/>
          <w:szCs w:val="14"/>
          <w:color w:val="auto"/>
        </w:rPr>
        <w:t>of gain in visual acuity from baseline to week 52,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gained, on average, 16.9 letters of vision compared to a mean gain of 3.8 letters for patients receiving sham injections (p&lt;0.0001). These results demonstrate that the benefits achieved with monthly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treatment through week 24 were maintained out to week 52. At week 24, patients receiving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had a mean gain of 18 letters compared to a mean gain of 3.3 letters for patients with sham injections (p&lt;0.0001). Patients treated with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received an average of 2.5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injections from week 24 to week 52.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generally well tolerated in the study. At week 52, the most frequently reported adverse</w:t>
      </w:r>
    </w:p>
    <w:p>
      <w:pPr>
        <w:spacing w:after="0" w:line="4" w:lineRule="exact"/>
        <w:rPr>
          <w:sz w:val="20"/>
          <w:szCs w:val="20"/>
          <w:color w:val="auto"/>
        </w:rPr>
      </w:pPr>
    </w:p>
    <w:p>
      <w:pPr>
        <w:jc w:val="both"/>
        <w:ind w:right="20"/>
        <w:spacing w:after="0" w:line="231" w:lineRule="auto"/>
        <w:rPr>
          <w:sz w:val="20"/>
          <w:szCs w:val="20"/>
          <w:color w:val="auto"/>
        </w:rPr>
      </w:pPr>
      <w:r>
        <w:rPr>
          <w:rFonts w:ascii="Arial" w:cs="Arial" w:eastAsia="Arial" w:hAnsi="Arial"/>
          <w:sz w:val="16"/>
          <w:szCs w:val="16"/>
          <w:color w:val="auto"/>
        </w:rPr>
        <w:t>events overall in the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arm were macular edema, elevated intraocular pressure, eye pain, conjunctival hemorrhage, and retinal hemorrhage. The most frequently reported adverse events in the sham group were macular edema, retinal hemorrhage, retinal vascular disorder, reduction of visual acuity and eye irritation. At week 52, 9.6% of patients in the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arm and 8.8% of patients in the sham arm presented with at least one ocular serious adverse event.</w:t>
      </w:r>
    </w:p>
    <w:p>
      <w:pPr>
        <w:sectPr>
          <w:pgSz w:w="11900" w:h="16838" w:orient="portrait"/>
          <w:cols w:equalWidth="0" w:num="1">
            <w:col w:w="11440"/>
          </w:cols>
          <w:pgMar w:left="240" w:top="546" w:right="219" w:bottom="1137"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28091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137" w:gutter="0" w:footer="0" w:header="0"/>
          <w:type w:val="continuous"/>
        </w:sectPr>
      </w:pPr>
    </w:p>
    <w:bookmarkStart w:id="5" w:name="page6"/>
    <w:bookmarkEnd w:id="5"/>
    <w:p>
      <w:pPr>
        <w:jc w:val="both"/>
        <w:ind w:firstLine="255"/>
        <w:spacing w:after="0" w:line="237" w:lineRule="auto"/>
        <w:rPr>
          <w:sz w:val="20"/>
          <w:szCs w:val="20"/>
          <w:color w:val="auto"/>
        </w:rPr>
      </w:pPr>
      <w:r>
        <w:rPr>
          <w:rFonts w:ascii="Arial" w:cs="Arial" w:eastAsia="Arial" w:hAnsi="Arial"/>
          <w:sz w:val="16"/>
          <w:szCs w:val="16"/>
          <w:color w:val="auto"/>
        </w:rPr>
        <w:t>Based on the positive six-month results in the COPERNICUS and GALILEO studies, we submitted a supplemental BLA for U.S. regulatory approval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CRVO in November 2011. Under the Prescription Drug User Fee Act (PDUFA), we were granted a target date for an FDA decision on our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supplemental BLA of September 23, 2012. Bayer HealthCare plans to submit regulatory applications in this indication in Europe in late 2012 or early 2013.</w:t>
      </w:r>
    </w:p>
    <w:p>
      <w:pPr>
        <w:spacing w:after="0" w:line="191" w:lineRule="exact"/>
        <w:rPr>
          <w:sz w:val="20"/>
          <w:szCs w:val="20"/>
          <w:color w:val="auto"/>
        </w:rPr>
      </w:pPr>
    </w:p>
    <w:p>
      <w:pPr>
        <w:jc w:val="both"/>
        <w:ind w:right="20" w:firstLine="255"/>
        <w:spacing w:after="0"/>
        <w:rPr>
          <w:sz w:val="20"/>
          <w:szCs w:val="20"/>
          <w:color w:val="auto"/>
        </w:rPr>
      </w:pPr>
      <w:r>
        <w:rPr>
          <w:rFonts w:ascii="Arial" w:cs="Arial" w:eastAsia="Arial" w:hAnsi="Arial"/>
          <w:sz w:val="14"/>
          <w:szCs w:val="14"/>
          <w:color w:val="auto"/>
        </w:rPr>
        <w:t>In the second quarter of 2011, we and Bayer HealthCare initiated Phase 3 studies to evaluate the safety and efficacy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DME. These clinical trials have three study arms. In the first arm, patients will be treated every month with 2.0 mg of EYLEA</w:t>
      </w:r>
      <w:r>
        <w:rPr>
          <w:rFonts w:ascii="Arial" w:cs="Arial" w:eastAsia="Arial" w:hAnsi="Arial"/>
          <w:sz w:val="23"/>
          <w:szCs w:val="23"/>
          <w:color w:val="auto"/>
          <w:vertAlign w:val="superscript"/>
        </w:rPr>
        <w:t>®</w:t>
      </w:r>
      <w:r>
        <w:rPr>
          <w:rFonts w:ascii="Arial" w:cs="Arial" w:eastAsia="Arial" w:hAnsi="Arial"/>
          <w:sz w:val="14"/>
          <w:szCs w:val="14"/>
          <w:color w:val="auto"/>
        </w:rPr>
        <w:t>. In the second arm, patients will be treated with 2.0 mg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every two months after an initial phase of monthly injections. In the third arm, the comparator arm, patients will be treated with macular laser photocoagulation. The primary endpoint of the study is mean change in visual acuity from baseline as measured by the ETDRS eye chart. All patients will be followed for three years. We are conducting one of these studies, called VISTA-</w:t>
      </w:r>
    </w:p>
    <w:p>
      <w:pPr>
        <w:spacing w:after="0" w:line="3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DME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Trap-Eye: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S</w:t>
      </w:r>
      <w:r>
        <w:rPr>
          <w:rFonts w:ascii="Arial" w:cs="Arial" w:eastAsia="Arial" w:hAnsi="Arial"/>
          <w:sz w:val="16"/>
          <w:szCs w:val="16"/>
          <w:color w:val="auto"/>
        </w:rPr>
        <w:t xml:space="preserve">afety, </w:t>
      </w:r>
      <w:r>
        <w:rPr>
          <w:rFonts w:ascii="Arial" w:cs="Arial" w:eastAsia="Arial" w:hAnsi="Arial"/>
          <w:sz w:val="16"/>
          <w:szCs w:val="16"/>
          <w:u w:val="single" w:color="auto"/>
          <w:color w:val="auto"/>
        </w:rPr>
        <w:t>T</w:t>
      </w:r>
      <w:r>
        <w:rPr>
          <w:rFonts w:ascii="Arial" w:cs="Arial" w:eastAsia="Arial" w:hAnsi="Arial"/>
          <w:sz w:val="16"/>
          <w:szCs w:val="16"/>
          <w:color w:val="auto"/>
        </w:rPr>
        <w:t xml:space="preserve">reatment effect, and </w:t>
      </w:r>
      <w:r>
        <w:rPr>
          <w:rFonts w:ascii="Arial" w:cs="Arial" w:eastAsia="Arial" w:hAnsi="Arial"/>
          <w:sz w:val="16"/>
          <w:szCs w:val="16"/>
          <w:u w:val="single" w:color="auto"/>
          <w:color w:val="auto"/>
        </w:rPr>
        <w:t>A</w:t>
      </w:r>
      <w:r>
        <w:rPr>
          <w:rFonts w:ascii="Arial" w:cs="Arial" w:eastAsia="Arial" w:hAnsi="Arial"/>
          <w:sz w:val="16"/>
          <w:szCs w:val="16"/>
          <w:color w:val="auto"/>
        </w:rPr>
        <w:t xml:space="preserve">natomic outcomes in </w:t>
      </w:r>
      <w:r>
        <w:rPr>
          <w:rFonts w:ascii="Arial" w:cs="Arial" w:eastAsia="Arial" w:hAnsi="Arial"/>
          <w:sz w:val="16"/>
          <w:szCs w:val="16"/>
          <w:u w:val="single" w:color="auto"/>
          <w:color w:val="auto"/>
        </w:rPr>
        <w:t>DME</w:t>
      </w:r>
      <w:r>
        <w:rPr>
          <w:rFonts w:ascii="Arial" w:cs="Arial" w:eastAsia="Arial" w:hAnsi="Arial"/>
          <w:sz w:val="16"/>
          <w:szCs w:val="16"/>
          <w:color w:val="auto"/>
        </w:rPr>
        <w:t>), with study centers in the United States. Bayer HealthCare is conducting the second study, named VIVID-DME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Trap-Eye </w:t>
      </w:r>
      <w:r>
        <w:rPr>
          <w:rFonts w:ascii="Arial" w:cs="Arial" w:eastAsia="Arial" w:hAnsi="Arial"/>
          <w:sz w:val="16"/>
          <w:szCs w:val="16"/>
          <w:u w:val="single" w:color="auto"/>
          <w:color w:val="auto"/>
        </w:rPr>
        <w:t>I</w:t>
      </w:r>
      <w:r>
        <w:rPr>
          <w:rFonts w:ascii="Arial" w:cs="Arial" w:eastAsia="Arial" w:hAnsi="Arial"/>
          <w:sz w:val="16"/>
          <w:szCs w:val="16"/>
          <w:color w:val="auto"/>
        </w:rPr>
        <w:t xml:space="preserve">n </w:t>
      </w:r>
      <w:r>
        <w:rPr>
          <w:rFonts w:ascii="Arial" w:cs="Arial" w:eastAsia="Arial" w:hAnsi="Arial"/>
          <w:sz w:val="16"/>
          <w:szCs w:val="16"/>
          <w:u w:val="single" w:color="auto"/>
          <w:color w:val="auto"/>
        </w:rPr>
        <w:t>V</w:t>
      </w:r>
      <w:r>
        <w:rPr>
          <w:rFonts w:ascii="Arial" w:cs="Arial" w:eastAsia="Arial" w:hAnsi="Arial"/>
          <w:sz w:val="16"/>
          <w:szCs w:val="16"/>
          <w:color w:val="auto"/>
        </w:rPr>
        <w:t xml:space="preserve">ision </w:t>
      </w:r>
      <w:r>
        <w:rPr>
          <w:rFonts w:ascii="Arial" w:cs="Arial" w:eastAsia="Arial" w:hAnsi="Arial"/>
          <w:sz w:val="16"/>
          <w:szCs w:val="16"/>
          <w:u w:val="single" w:color="auto"/>
          <w:color w:val="auto"/>
        </w:rPr>
        <w:t>I</w:t>
      </w:r>
      <w:r>
        <w:rPr>
          <w:rFonts w:ascii="Arial" w:cs="Arial" w:eastAsia="Arial" w:hAnsi="Arial"/>
          <w:sz w:val="16"/>
          <w:szCs w:val="16"/>
          <w:color w:val="auto"/>
        </w:rPr>
        <w:t xml:space="preserve">mpairment </w:t>
      </w:r>
      <w:r>
        <w:rPr>
          <w:rFonts w:ascii="Arial" w:cs="Arial" w:eastAsia="Arial" w:hAnsi="Arial"/>
          <w:sz w:val="16"/>
          <w:szCs w:val="16"/>
          <w:u w:val="single" w:color="auto"/>
          <w:color w:val="auto"/>
        </w:rPr>
        <w:t>D</w:t>
      </w:r>
      <w:r>
        <w:rPr>
          <w:rFonts w:ascii="Arial" w:cs="Arial" w:eastAsia="Arial" w:hAnsi="Arial"/>
          <w:sz w:val="16"/>
          <w:szCs w:val="16"/>
          <w:color w:val="auto"/>
        </w:rPr>
        <w:t xml:space="preserve">ue to </w:t>
      </w:r>
      <w:r>
        <w:rPr>
          <w:rFonts w:ascii="Arial" w:cs="Arial" w:eastAsia="Arial" w:hAnsi="Arial"/>
          <w:sz w:val="16"/>
          <w:szCs w:val="16"/>
          <w:u w:val="single" w:color="auto"/>
          <w:color w:val="auto"/>
        </w:rPr>
        <w:t>DME</w:t>
      </w:r>
      <w:r>
        <w:rPr>
          <w:rFonts w:ascii="Arial" w:cs="Arial" w:eastAsia="Arial" w:hAnsi="Arial"/>
          <w:sz w:val="16"/>
          <w:szCs w:val="16"/>
          <w:color w:val="auto"/>
        </w:rPr>
        <w:t>), with study centers in Europe, Japan, and Australia. The VISTA-DME trial was fully enrolled in early 2012.</w:t>
      </w:r>
    </w:p>
    <w:p>
      <w:pPr>
        <w:spacing w:after="0" w:line="194" w:lineRule="exact"/>
        <w:rPr>
          <w:sz w:val="20"/>
          <w:szCs w:val="20"/>
          <w:color w:val="auto"/>
        </w:rPr>
      </w:pPr>
    </w:p>
    <w:p>
      <w:pPr>
        <w:jc w:val="both"/>
        <w:ind w:right="20" w:firstLine="243"/>
        <w:spacing w:after="0" w:line="225" w:lineRule="auto"/>
        <w:rPr>
          <w:sz w:val="20"/>
          <w:szCs w:val="20"/>
          <w:color w:val="auto"/>
        </w:rPr>
      </w:pPr>
      <w:r>
        <w:rPr>
          <w:rFonts w:ascii="Arial" w:cs="Arial" w:eastAsia="Arial" w:hAnsi="Arial"/>
          <w:sz w:val="16"/>
          <w:szCs w:val="16"/>
          <w:color w:val="auto"/>
        </w:rPr>
        <w:t>In the first quarter of 2011, we and Bayer HealthCare initiated a Phase 3 trial in Asia in collaboration with the Singapore Eye Research Institute (SERI) investigating the efficacy and safety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patients with CNV of the retina as a result of pathologic myopia. The study, which will enroll approximately 110 patients, has started in Japan and is scheduled to run until June 2013.</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first quarter of 2012, we plan to initiate a multinational study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patients with BRVO (VIBRANT).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 with Bayer HealthCare</w:t>
      </w:r>
    </w:p>
    <w:p>
      <w:pPr>
        <w:spacing w:after="0" w:line="233" w:lineRule="exact"/>
        <w:rPr>
          <w:sz w:val="20"/>
          <w:szCs w:val="20"/>
          <w:color w:val="auto"/>
        </w:rPr>
      </w:pPr>
    </w:p>
    <w:p>
      <w:pPr>
        <w:jc w:val="both"/>
        <w:ind w:right="20" w:firstLine="267"/>
        <w:spacing w:after="0" w:line="232" w:lineRule="auto"/>
        <w:rPr>
          <w:sz w:val="20"/>
          <w:szCs w:val="20"/>
          <w:color w:val="auto"/>
        </w:rPr>
      </w:pPr>
      <w:r>
        <w:rPr>
          <w:rFonts w:ascii="Arial" w:cs="Arial" w:eastAsia="Arial" w:hAnsi="Arial"/>
          <w:sz w:val="14"/>
          <w:szCs w:val="14"/>
          <w:color w:val="auto"/>
        </w:rPr>
        <w:t>In October 2006, we entered into a license and collaboration agreement with Bayer HealthCare for the global development and commercialization outside the United States of EYLEA</w:t>
      </w:r>
      <w:r>
        <w:rPr>
          <w:rFonts w:ascii="Arial" w:cs="Arial" w:eastAsia="Arial" w:hAnsi="Arial"/>
          <w:sz w:val="23"/>
          <w:szCs w:val="23"/>
          <w:color w:val="auto"/>
          <w:vertAlign w:val="superscript"/>
        </w:rPr>
        <w:t>®</w:t>
      </w:r>
      <w:r>
        <w:rPr>
          <w:rFonts w:ascii="Arial" w:cs="Arial" w:eastAsia="Arial" w:hAnsi="Arial"/>
          <w:sz w:val="14"/>
          <w:szCs w:val="14"/>
          <w:color w:val="auto"/>
        </w:rPr>
        <w:t>. Under the agreement, we and Bayer HealthCare collaborate on, and share the costs of, the development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through an integrated global plan. Bayer HealthCare will market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the United States, where the companies will share equally in profits from any future sales of EYLEA</w:t>
      </w:r>
      <w:r>
        <w:rPr>
          <w:rFonts w:ascii="Arial" w:cs="Arial" w:eastAsia="Arial" w:hAnsi="Arial"/>
          <w:sz w:val="23"/>
          <w:szCs w:val="23"/>
          <w:color w:val="auto"/>
          <w:vertAlign w:val="superscript"/>
        </w:rPr>
        <w:t>®</w:t>
      </w:r>
      <w:r>
        <w:rPr>
          <w:rFonts w:ascii="Arial" w:cs="Arial" w:eastAsia="Arial" w:hAnsi="Arial"/>
          <w:sz w:val="14"/>
          <w:szCs w:val="14"/>
          <w:color w:val="auto"/>
        </w:rPr>
        <w:t>. Commencing on the first commercial sale of</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a major market country outside the United States,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United States, we retain exclusive commercialization</w:t>
      </w:r>
    </w:p>
    <w:p>
      <w:pPr>
        <w:spacing w:after="0" w:line="1" w:lineRule="exact"/>
        <w:rPr>
          <w:sz w:val="20"/>
          <w:szCs w:val="20"/>
          <w:color w:val="auto"/>
        </w:rPr>
      </w:pPr>
    </w:p>
    <w:p>
      <w:pPr>
        <w:jc w:val="both"/>
        <w:ind w:right="20"/>
        <w:spacing w:after="0" w:line="213" w:lineRule="auto"/>
        <w:rPr>
          <w:sz w:val="20"/>
          <w:szCs w:val="20"/>
          <w:color w:val="auto"/>
        </w:rPr>
      </w:pPr>
      <w:r>
        <w:rPr>
          <w:rFonts w:ascii="Arial" w:cs="Arial" w:eastAsia="Arial" w:hAnsi="Arial"/>
          <w:sz w:val="16"/>
          <w:szCs w:val="16"/>
          <w:color w:val="auto"/>
        </w:rPr>
        <w:t>rights to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are entitled to all profits from any such sales. We have received $60 million in development milestone payments and can earn up to $50 million in future milestone payments related to marketing approvals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major market countries outside the United States. We can also earn up to $135 million in sales milestone payments if total annual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outside the United States achieve certain specified levels starting at $200 million.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 ZALTRAP</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(aflibercept) also known as VEGF Trap – Oncology</w:t>
      </w:r>
    </w:p>
    <w:p>
      <w:pPr>
        <w:spacing w:after="0" w:line="126" w:lineRule="exact"/>
        <w:rPr>
          <w:sz w:val="20"/>
          <w:szCs w:val="20"/>
          <w:color w:val="auto"/>
        </w:rPr>
      </w:pPr>
    </w:p>
    <w:p>
      <w:pPr>
        <w:jc w:val="both"/>
        <w:ind w:right="20" w:firstLine="255"/>
        <w:spacing w:after="0" w:line="223" w:lineRule="auto"/>
        <w:rPr>
          <w:sz w:val="20"/>
          <w:szCs w:val="20"/>
          <w:color w:val="auto"/>
        </w:rPr>
      </w:pPr>
      <w:r>
        <w:rPr>
          <w:rFonts w:ascii="Arial" w:cs="Arial" w:eastAsia="Arial" w:hAnsi="Arial"/>
          <w:sz w:val="15"/>
          <w:szCs w:val="15"/>
          <w:color w:val="auto"/>
        </w:rPr>
        <w:t>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is a fusion protein that is designed to bind all forms of VEGF-A, VEGF-B, and PlGF, and prevent their interaction with cell surface receptors. VEGF-A (and to a lesser degree, PlGF) is required for the growth of new blood vessels (a process known as angiogenesis) that are needed for tumors to grow.</w:t>
      </w:r>
    </w:p>
    <w:p>
      <w:pPr>
        <w:spacing w:after="0" w:line="192" w:lineRule="exact"/>
        <w:rPr>
          <w:sz w:val="20"/>
          <w:szCs w:val="20"/>
          <w:color w:val="auto"/>
        </w:rPr>
      </w:pPr>
    </w:p>
    <w:p>
      <w:pPr>
        <w:jc w:val="both"/>
        <w:ind w:firstLine="255"/>
        <w:spacing w:after="0" w:line="229" w:lineRule="auto"/>
        <w:rPr>
          <w:sz w:val="20"/>
          <w:szCs w:val="20"/>
          <w:color w:val="auto"/>
        </w:rPr>
      </w:pPr>
      <w:r>
        <w:rPr>
          <w:rFonts w:ascii="Arial" w:cs="Arial" w:eastAsia="Arial" w:hAnsi="Arial"/>
          <w:sz w:val="14"/>
          <w:szCs w:val="14"/>
          <w:color w:val="auto"/>
        </w:rPr>
        <w:t>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being developed globally in cancer indications in collaboration with Sanofi. In April 2011, we and Sanofi announced that the Phase 3 VELOUR trial evaluating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combination with the FOLFIRI chemotherapy regimen [folinic acid (leucovorin), 5-fluorouracil, and irinotecan] versus a regimen of FOLFIRI plus placebo met its primary endpoint of improving overall survival (OS) in previously treated metastatic colorectal cancer (mCRC) patients. The VELOUR data were presented in June 2011 at the</w:t>
      </w:r>
    </w:p>
    <w:p>
      <w:pPr>
        <w:jc w:val="both"/>
        <w:spacing w:after="0" w:line="234" w:lineRule="auto"/>
        <w:rPr>
          <w:sz w:val="20"/>
          <w:szCs w:val="20"/>
          <w:color w:val="auto"/>
        </w:rPr>
      </w:pPr>
      <w:r>
        <w:rPr>
          <w:rFonts w:ascii="Arial" w:cs="Arial" w:eastAsia="Arial" w:hAnsi="Arial"/>
          <w:sz w:val="16"/>
          <w:szCs w:val="16"/>
          <w:color w:val="auto"/>
        </w:rPr>
        <w:t>European Society of Medical Oncology World Congress on Gastrointestinal Cancer. In this study, the addition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the FOLFIRI chemotherapy regimen significantly improved both overall survival (HR=0.817; p=0.0032) and progression-free survival (HR=0.758; p=0.00007) compared to FOLFIRI plus placebo. A similar effect was seen with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therapy whether or not patients had received prior bevacizumab therapy.</w:t>
      </w:r>
    </w:p>
    <w:p>
      <w:pPr>
        <w:spacing w:after="0" w:line="84" w:lineRule="exact"/>
        <w:rPr>
          <w:sz w:val="20"/>
          <w:szCs w:val="20"/>
          <w:color w:val="auto"/>
        </w:rPr>
      </w:pPr>
    </w:p>
    <w:p>
      <w:pPr>
        <w:jc w:val="both"/>
        <w:ind w:right="20" w:firstLine="303"/>
        <w:spacing w:after="0" w:line="247" w:lineRule="auto"/>
        <w:rPr>
          <w:sz w:val="20"/>
          <w:szCs w:val="20"/>
          <w:color w:val="auto"/>
        </w:rPr>
      </w:pPr>
      <w:r>
        <w:rPr>
          <w:rFonts w:ascii="Arial" w:cs="Arial" w:eastAsia="Arial" w:hAnsi="Arial"/>
          <w:sz w:val="15"/>
          <w:szCs w:val="15"/>
          <w:color w:val="auto"/>
        </w:rPr>
        <w:t>In the VELOUR study, grade 3 or 4 adverse events that occurred with a more than two percent greater incidence in the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arm than in the placebo arm included diarrhea, asthenia/fatigue, stomatitis/ulceration, infections, hypertension, GI/abdominal pains, neutropenia, neutropenic complications and proteinuria. Deaths on study treatment due to adverse events occurred in 2.4 percent of patients in the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arm and in 1.0 percent of patients in the placebo arm.</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6" w:name="page7"/>
    <w:bookmarkEnd w:id="6"/>
    <w:p>
      <w:pPr>
        <w:jc w:val="both"/>
        <w:ind w:right="20" w:firstLine="279"/>
        <w:spacing w:after="0" w:line="212" w:lineRule="auto"/>
        <w:rPr>
          <w:sz w:val="20"/>
          <w:szCs w:val="20"/>
          <w:color w:val="auto"/>
        </w:rPr>
      </w:pPr>
      <w:r>
        <w:rPr>
          <w:rFonts w:ascii="Arial" w:cs="Arial" w:eastAsia="Arial" w:hAnsi="Arial"/>
          <w:sz w:val="16"/>
          <w:szCs w:val="16"/>
          <w:color w:val="auto"/>
        </w:rPr>
        <w:t>Based upon these positive findings, Sanofi submitted regulatory applications for marketing approval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previously-treated mCRC patients to the European Medicines Agency (EMA) in December 2011, and to the FDA in early February 2012.</w:t>
      </w:r>
    </w:p>
    <w:p>
      <w:pPr>
        <w:spacing w:after="0" w:line="192"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6"/>
          <w:szCs w:val="16"/>
          <w:color w:val="auto"/>
        </w:rPr>
        <w:t>Another randomized, double-blind Phase 3 trial (VENICE), which is fully enrolled, is evaluating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first-line treatment for hormone-refractory metastatic prostate cancer in combination with docetaxel/prednisone. The VENICE trial is being monitored by an Independent Data Monitoring Committee (IDMC), a body of independent clinical and statistical experts. The IDMCs meet periodically to evaluate data from the trial and may recommend changes in study design or study discontinuation. In July 2011, the study’s IDMC met for a scheduled interim analysis and recommended that the trial continue to completion. A final analysis will be conducted when a pre-specified number of events have occurred in this trial, which is anticipated in the second quarter of 2012.</w:t>
      </w:r>
    </w:p>
    <w:p>
      <w:pPr>
        <w:spacing w:after="0" w:line="193" w:lineRule="exact"/>
        <w:rPr>
          <w:sz w:val="20"/>
          <w:szCs w:val="20"/>
          <w:color w:val="auto"/>
        </w:rPr>
      </w:pPr>
    </w:p>
    <w:p>
      <w:pPr>
        <w:jc w:val="both"/>
        <w:ind w:right="20" w:firstLine="303"/>
        <w:spacing w:after="0" w:line="241" w:lineRule="auto"/>
        <w:rPr>
          <w:sz w:val="20"/>
          <w:szCs w:val="20"/>
          <w:color w:val="auto"/>
        </w:rPr>
      </w:pPr>
      <w:r>
        <w:rPr>
          <w:rFonts w:ascii="Arial" w:cs="Arial" w:eastAsia="Arial" w:hAnsi="Arial"/>
          <w:sz w:val="14"/>
          <w:szCs w:val="14"/>
          <w:color w:val="auto"/>
        </w:rPr>
        <w:t>In December 2011, we announced initial data from the Phase 2 AFFIRM study in the first-line mCRC setting of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combination with the modified FOLFOX6 [folinic acid (leucovorin), 5-fluorouracil, and oxaliplatin] chemotherapy regimen. The primary endpoint of the study was the Progression Free Survival (PFS) rate at one year. The</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results showed that in patients who received ZALTRAP</w:t>
      </w:r>
      <w:r>
        <w:rPr>
          <w:rFonts w:ascii="Arial" w:cs="Arial" w:eastAsia="Arial" w:hAnsi="Arial"/>
          <w:sz w:val="26"/>
          <w:szCs w:val="26"/>
          <w:color w:val="auto"/>
          <w:vertAlign w:val="superscript"/>
        </w:rPr>
        <w:t>®</w:t>
      </w:r>
      <w:r>
        <w:rPr>
          <w:rFonts w:ascii="Arial" w:cs="Arial" w:eastAsia="Arial" w:hAnsi="Arial"/>
          <w:sz w:val="16"/>
          <w:szCs w:val="16"/>
          <w:color w:val="auto"/>
        </w:rPr>
        <w:t>, the PFS rate at one year was similar to that seen in the standard therapy arm for patients who received modified FOLFOX6 alone. The study was not designed for a direct statistical comparison between arms. The control arm was used as an internal benchmark only. The side effect profile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similar to what has been seen in prior trials with ZALTRAP</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ZALTRAP</w:t>
      </w:r>
      <w:r>
        <w:rPr>
          <w:rFonts w:ascii="Arial" w:cs="Arial" w:eastAsia="Arial" w:hAnsi="Arial"/>
          <w:sz w:val="26"/>
          <w:szCs w:val="26"/>
          <w:b w:val="1"/>
          <w:bCs w:val="1"/>
          <w:color w:val="auto"/>
          <w:vertAlign w:val="superscript"/>
        </w:rPr>
        <w:t>®</w:t>
      </w:r>
      <w:r>
        <w:rPr>
          <w:rFonts w:ascii="Arial" w:cs="Arial" w:eastAsia="Arial" w:hAnsi="Arial"/>
          <w:sz w:val="16"/>
          <w:szCs w:val="16"/>
          <w:b w:val="1"/>
          <w:bCs w:val="1"/>
          <w:color w:val="auto"/>
        </w:rPr>
        <w:t xml:space="preserve"> Collaboration with Sanofi</w:t>
      </w:r>
    </w:p>
    <w:p>
      <w:pPr>
        <w:spacing w:after="0" w:line="130" w:lineRule="exact"/>
        <w:rPr>
          <w:sz w:val="20"/>
          <w:szCs w:val="20"/>
          <w:color w:val="auto"/>
        </w:rPr>
      </w:pPr>
    </w:p>
    <w:p>
      <w:pPr>
        <w:jc w:val="both"/>
        <w:ind w:right="20" w:firstLine="267"/>
        <w:spacing w:after="0" w:line="212" w:lineRule="auto"/>
        <w:rPr>
          <w:sz w:val="20"/>
          <w:szCs w:val="20"/>
          <w:color w:val="auto"/>
        </w:rPr>
      </w:pPr>
      <w:r>
        <w:rPr>
          <w:rFonts w:ascii="Arial" w:cs="Arial" w:eastAsia="Arial" w:hAnsi="Arial"/>
          <w:sz w:val="14"/>
          <w:szCs w:val="14"/>
          <w:color w:val="auto"/>
        </w:rPr>
        <w:t>We and Sanofi globally collaborate on the development and commercialization of ZALTRAP</w:t>
      </w:r>
      <w:r>
        <w:rPr>
          <w:rFonts w:ascii="Arial" w:cs="Arial" w:eastAsia="Arial" w:hAnsi="Arial"/>
          <w:sz w:val="23"/>
          <w:szCs w:val="23"/>
          <w:color w:val="auto"/>
          <w:vertAlign w:val="superscript"/>
        </w:rPr>
        <w:t>®</w:t>
      </w:r>
      <w:r>
        <w:rPr>
          <w:rFonts w:ascii="Arial" w:cs="Arial" w:eastAsia="Arial" w:hAnsi="Arial"/>
          <w:sz w:val="14"/>
          <w:szCs w:val="14"/>
          <w:color w:val="auto"/>
        </w:rPr>
        <w:t>. Under the terms of our September 2003 collaboration agreement, as amended, we and Sanofi will share co-promotion rights and profits on sales, if any, of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of Japan for disease indications included in our collaboration. In Japan, we are entitled to a royalty of approximately 35% on annual sales of ZALTRAP</w:t>
      </w:r>
      <w:r>
        <w:rPr>
          <w:rFonts w:ascii="Arial" w:cs="Arial" w:eastAsia="Arial" w:hAnsi="Arial"/>
          <w:sz w:val="23"/>
          <w:szCs w:val="23"/>
          <w:color w:val="auto"/>
          <w:vertAlign w:val="superscript"/>
        </w:rPr>
        <w:t>®</w:t>
      </w:r>
      <w:r>
        <w:rPr>
          <w:rFonts w:ascii="Arial" w:cs="Arial" w:eastAsia="Arial" w:hAnsi="Arial"/>
          <w:sz w:val="14"/>
          <w:szCs w:val="14"/>
          <w:color w:val="auto"/>
        </w:rPr>
        <w:t>, subject to certain potential adjustments. We may also receive up to $400 million in milestone payments</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5"/>
          <w:szCs w:val="15"/>
          <w:color w:val="auto"/>
        </w:rPr>
        <w:t>upon receipt of specified marketing approvals, including up to $360 million related to the receipt of marketing approvals for up to eight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oncology and other indications in the United States or the European Union and up to $40 million related to the receipt of marketing approvals for up to five oncology indications in Japan.</w:t>
      </w:r>
    </w:p>
    <w:p>
      <w:pPr>
        <w:spacing w:after="0" w:line="191" w:lineRule="exact"/>
        <w:rPr>
          <w:sz w:val="20"/>
          <w:szCs w:val="20"/>
          <w:color w:val="auto"/>
        </w:rPr>
      </w:pPr>
    </w:p>
    <w:p>
      <w:pPr>
        <w:jc w:val="both"/>
        <w:ind w:right="20" w:firstLine="255"/>
        <w:spacing w:after="0" w:line="213" w:lineRule="auto"/>
        <w:rPr>
          <w:sz w:val="20"/>
          <w:szCs w:val="20"/>
          <w:color w:val="auto"/>
        </w:rPr>
      </w:pPr>
      <w:r>
        <w:rPr>
          <w:rFonts w:ascii="Arial" w:cs="Arial" w:eastAsia="Arial" w:hAnsi="Arial"/>
          <w:sz w:val="14"/>
          <w:szCs w:val="14"/>
          <w:color w:val="auto"/>
        </w:rPr>
        <w:t>Under the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 agreement, as amended, agreed upon worldwide development expenses incurred by both companies during the term of the agreement will be funded by Sanofi. If the collaboration becomes profitable, we will be obligated to reimburse Sanofi out of our share of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profits for 50% of the development expenses</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that they funded. The reimbursement payment in any quarter will equal 5% of the then outstanding repayment obligation, but never more than our share of the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profits in the quarter unless we elect to reimburse Sanofi at a faster rate.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 ARCALYST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(rilonacept) – Inflammatory Diseases</w:t>
      </w:r>
    </w:p>
    <w:p>
      <w:pPr>
        <w:spacing w:after="0" w:line="126"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5"/>
          <w:szCs w:val="15"/>
          <w:color w:val="auto"/>
        </w:rPr>
        <w:t>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discontinuation of therapy. The break-up of urate crystals can result in stimulation of inflammatory mediators, including IL-1, resulting in acute flares of joint pain and inflammation. These painful flares generally persist for at least five days.</w:t>
      </w:r>
    </w:p>
    <w:p>
      <w:pPr>
        <w:spacing w:after="0" w:line="188" w:lineRule="exact"/>
        <w:rPr>
          <w:sz w:val="20"/>
          <w:szCs w:val="20"/>
          <w:color w:val="auto"/>
        </w:rPr>
      </w:pPr>
    </w:p>
    <w:p>
      <w:pPr>
        <w:jc w:val="both"/>
        <w:ind w:right="20" w:firstLine="209"/>
        <w:spacing w:after="0" w:line="222" w:lineRule="auto"/>
        <w:rPr>
          <w:sz w:val="20"/>
          <w:szCs w:val="20"/>
          <w:color w:val="auto"/>
        </w:rPr>
      </w:pPr>
      <w:r>
        <w:rPr>
          <w:rFonts w:ascii="Arial" w:cs="Arial" w:eastAsia="Arial" w:hAnsi="Arial"/>
          <w:sz w:val="12"/>
          <w:szCs w:val="12"/>
          <w:color w:val="auto"/>
        </w:rPr>
        <w:t>We conducted a Phase 3 clinical development program with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in gout patients initiating uric acid-lowering therapy. The program consisted of three studies: PRE-SURGE 1 (</w:t>
      </w:r>
      <w:r>
        <w:rPr>
          <w:rFonts w:ascii="Arial" w:cs="Arial" w:eastAsia="Arial" w:hAnsi="Arial"/>
          <w:sz w:val="12"/>
          <w:szCs w:val="12"/>
          <w:u w:val="single" w:color="auto"/>
          <w:color w:val="auto"/>
        </w:rPr>
        <w:t>PRE</w:t>
      </w:r>
      <w:r>
        <w:rPr>
          <w:rFonts w:ascii="Arial" w:cs="Arial" w:eastAsia="Arial" w:hAnsi="Arial"/>
          <w:sz w:val="12"/>
          <w:szCs w:val="12"/>
          <w:color w:val="auto"/>
        </w:rPr>
        <w:t xml:space="preserve">vention </w:t>
      </w:r>
      <w:r>
        <w:rPr>
          <w:rFonts w:ascii="Arial" w:cs="Arial" w:eastAsia="Arial" w:hAnsi="Arial"/>
          <w:sz w:val="12"/>
          <w:szCs w:val="12"/>
          <w:u w:val="single" w:color="auto"/>
          <w:color w:val="auto"/>
        </w:rPr>
        <w:t>S</w:t>
      </w:r>
      <w:r>
        <w:rPr>
          <w:rFonts w:ascii="Arial" w:cs="Arial" w:eastAsia="Arial" w:hAnsi="Arial"/>
          <w:sz w:val="12"/>
          <w:szCs w:val="12"/>
          <w:color w:val="auto"/>
        </w:rPr>
        <w:t xml:space="preserve">tudy against </w:t>
      </w:r>
      <w:r>
        <w:rPr>
          <w:rFonts w:ascii="Arial" w:cs="Arial" w:eastAsia="Arial" w:hAnsi="Arial"/>
          <w:sz w:val="12"/>
          <w:szCs w:val="12"/>
          <w:u w:val="single" w:color="auto"/>
          <w:color w:val="auto"/>
        </w:rPr>
        <w:t>UR</w:t>
      </w:r>
      <w:r>
        <w:rPr>
          <w:rFonts w:ascii="Arial" w:cs="Arial" w:eastAsia="Arial" w:hAnsi="Arial"/>
          <w:sz w:val="12"/>
          <w:szCs w:val="12"/>
          <w:color w:val="auto"/>
        </w:rPr>
        <w:t xml:space="preserve">ate-lowering drug-induced </w:t>
      </w:r>
      <w:r>
        <w:rPr>
          <w:rFonts w:ascii="Arial" w:cs="Arial" w:eastAsia="Arial" w:hAnsi="Arial"/>
          <w:sz w:val="12"/>
          <w:szCs w:val="12"/>
          <w:u w:val="single" w:color="auto"/>
          <w:color w:val="auto"/>
        </w:rPr>
        <w:t>G</w:t>
      </w:r>
      <w:r>
        <w:rPr>
          <w:rFonts w:ascii="Arial" w:cs="Arial" w:eastAsia="Arial" w:hAnsi="Arial"/>
          <w:sz w:val="12"/>
          <w:szCs w:val="12"/>
          <w:color w:val="auto"/>
        </w:rPr>
        <w:t xml:space="preserve">out </w:t>
      </w:r>
      <w:r>
        <w:rPr>
          <w:rFonts w:ascii="Arial" w:cs="Arial" w:eastAsia="Arial" w:hAnsi="Arial"/>
          <w:sz w:val="12"/>
          <w:szCs w:val="12"/>
          <w:u w:val="single" w:color="auto"/>
          <w:color w:val="auto"/>
        </w:rPr>
        <w:t>E</w:t>
      </w:r>
      <w:r>
        <w:rPr>
          <w:rFonts w:ascii="Arial" w:cs="Arial" w:eastAsia="Arial" w:hAnsi="Arial"/>
          <w:sz w:val="12"/>
          <w:szCs w:val="12"/>
          <w:color w:val="auto"/>
        </w:rPr>
        <w:t>xacerbations), PRE-SURGE 2, and RE-SURGE (</w:t>
      </w:r>
      <w:r>
        <w:rPr>
          <w:rFonts w:ascii="Arial" w:cs="Arial" w:eastAsia="Arial" w:hAnsi="Arial"/>
          <w:sz w:val="12"/>
          <w:szCs w:val="12"/>
          <w:u w:val="single" w:color="auto"/>
          <w:color w:val="auto"/>
        </w:rPr>
        <w:t>RE</w:t>
      </w:r>
      <w:r>
        <w:rPr>
          <w:rFonts w:ascii="Arial" w:cs="Arial" w:eastAsia="Arial" w:hAnsi="Arial"/>
          <w:sz w:val="12"/>
          <w:szCs w:val="12"/>
          <w:color w:val="auto"/>
        </w:rPr>
        <w:t xml:space="preserve">view of </w:t>
      </w:r>
      <w:r>
        <w:rPr>
          <w:rFonts w:ascii="Arial" w:cs="Arial" w:eastAsia="Arial" w:hAnsi="Arial"/>
          <w:sz w:val="12"/>
          <w:szCs w:val="12"/>
          <w:u w:val="single" w:color="auto"/>
          <w:color w:val="auto"/>
        </w:rPr>
        <w:t>S</w:t>
      </w:r>
      <w:r>
        <w:rPr>
          <w:rFonts w:ascii="Arial" w:cs="Arial" w:eastAsia="Arial" w:hAnsi="Arial"/>
          <w:sz w:val="12"/>
          <w:szCs w:val="12"/>
          <w:color w:val="auto"/>
        </w:rPr>
        <w:t xml:space="preserve">afety </w:t>
      </w:r>
      <w:r>
        <w:rPr>
          <w:rFonts w:ascii="Arial" w:cs="Arial" w:eastAsia="Arial" w:hAnsi="Arial"/>
          <w:sz w:val="12"/>
          <w:szCs w:val="12"/>
          <w:u w:val="single" w:color="auto"/>
          <w:color w:val="auto"/>
        </w:rPr>
        <w:t>U</w:t>
      </w:r>
      <w:r>
        <w:rPr>
          <w:rFonts w:ascii="Arial" w:cs="Arial" w:eastAsia="Arial" w:hAnsi="Arial"/>
          <w:sz w:val="12"/>
          <w:szCs w:val="12"/>
          <w:color w:val="auto"/>
        </w:rPr>
        <w:t xml:space="preserve">tilizing </w:t>
      </w:r>
      <w:r>
        <w:rPr>
          <w:rFonts w:ascii="Arial" w:cs="Arial" w:eastAsia="Arial" w:hAnsi="Arial"/>
          <w:sz w:val="12"/>
          <w:szCs w:val="12"/>
          <w:u w:val="single" w:color="auto"/>
          <w:color w:val="auto"/>
        </w:rPr>
        <w:t>R</w:t>
      </w:r>
      <w:r>
        <w:rPr>
          <w:rFonts w:ascii="Arial" w:cs="Arial" w:eastAsia="Arial" w:hAnsi="Arial"/>
          <w:sz w:val="12"/>
          <w:szCs w:val="12"/>
          <w:color w:val="auto"/>
        </w:rPr>
        <w:t xml:space="preserve">ilonacept in </w:t>
      </w:r>
      <w:r>
        <w:rPr>
          <w:rFonts w:ascii="Arial" w:cs="Arial" w:eastAsia="Arial" w:hAnsi="Arial"/>
          <w:sz w:val="12"/>
          <w:szCs w:val="12"/>
          <w:u w:val="single" w:color="auto"/>
          <w:color w:val="auto"/>
        </w:rPr>
        <w:t>G</w:t>
      </w:r>
      <w:r>
        <w:rPr>
          <w:rFonts w:ascii="Arial" w:cs="Arial" w:eastAsia="Arial" w:hAnsi="Arial"/>
          <w:sz w:val="12"/>
          <w:szCs w:val="12"/>
          <w:color w:val="auto"/>
        </w:rPr>
        <w:t xml:space="preserve">out </w:t>
      </w:r>
      <w:r>
        <w:rPr>
          <w:rFonts w:ascii="Arial" w:cs="Arial" w:eastAsia="Arial" w:hAnsi="Arial"/>
          <w:sz w:val="12"/>
          <w:szCs w:val="12"/>
          <w:u w:val="single" w:color="auto"/>
          <w:color w:val="auto"/>
        </w:rPr>
        <w:t>E</w:t>
      </w:r>
      <w:r>
        <w:rPr>
          <w:rFonts w:ascii="Arial" w:cs="Arial" w:eastAsia="Arial" w:hAnsi="Arial"/>
          <w:sz w:val="12"/>
          <w:szCs w:val="12"/>
          <w:color w:val="auto"/>
        </w:rPr>
        <w:t>xacerbations).</w:t>
      </w:r>
    </w:p>
    <w:p>
      <w:pPr>
        <w:spacing w:after="0" w:line="177" w:lineRule="exact"/>
        <w:rPr>
          <w:sz w:val="20"/>
          <w:szCs w:val="20"/>
          <w:color w:val="auto"/>
        </w:rPr>
      </w:pPr>
    </w:p>
    <w:p>
      <w:pPr>
        <w:jc w:val="both"/>
        <w:ind w:right="20" w:firstLine="340"/>
        <w:spacing w:after="0" w:line="241" w:lineRule="auto"/>
        <w:rPr>
          <w:sz w:val="20"/>
          <w:szCs w:val="20"/>
          <w:color w:val="auto"/>
        </w:rPr>
      </w:pPr>
      <w:r>
        <w:rPr>
          <w:rFonts w:ascii="Arial" w:cs="Arial" w:eastAsia="Arial" w:hAnsi="Arial"/>
          <w:sz w:val="14"/>
          <w:szCs w:val="14"/>
          <w:color w:val="auto"/>
        </w:rPr>
        <w:t>In June 2010, we announced that results from PRE-SURGE 1, a North America-based double-blind, placebo-controlled study, showed that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prevented gout attacks, as measured by the primary study endpoint of the number of gout flares per patient over the 16 week treatment period. In addition, all secondary endpoints of the study were</w:t>
      </w:r>
    </w:p>
    <w:p>
      <w:pPr>
        <w:spacing w:after="0" w:line="1"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positive (p&lt;0.001 vs. placebo). Among these endpoints, treatment with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reduced the proportion of patients who experienced two or more flares during the study period by up to 88%. Treatment with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also reduced the proportion of patients who experienced at least one gout flare during the study period by up to 65%.</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7" w:name="page8"/>
    <w:bookmarkEnd w:id="7"/>
    <w:p>
      <w:pPr>
        <w:jc w:val="both"/>
        <w:ind w:right="20" w:firstLine="291"/>
        <w:spacing w:after="0" w:line="226" w:lineRule="auto"/>
        <w:rPr>
          <w:sz w:val="20"/>
          <w:szCs w:val="20"/>
          <w:color w:val="auto"/>
        </w:rPr>
      </w:pPr>
      <w:r>
        <w:rPr>
          <w:rFonts w:ascii="Arial" w:cs="Arial" w:eastAsia="Arial" w:hAnsi="Arial"/>
          <w:sz w:val="14"/>
          <w:szCs w:val="14"/>
          <w:color w:val="auto"/>
        </w:rPr>
        <w:t>In February 2011, we reported the results of PRE-SURGE 2 and RE-SURGE. In the PRE-SURGE 2 efficacy study in gout patients initiating allopurinol therapy, which was identical to PRE-SURGE 1 in design and analysis, 248 patients were randomized.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met the primary and all secondary study endpoints. The primary endpoint was the number of gout flares per patient over the 16-week treatment period. Patients who received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a weekly, self-administered, subcutaneous dose of either 160 mg or 80 mg had a 72% decrease in mean number of gout flares compared to the placebo group (p&lt;0.0001). Among secondary endpoints, treatment with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reduced the</w:t>
      </w:r>
    </w:p>
    <w:p>
      <w:pPr>
        <w:jc w:val="both"/>
        <w:ind w:right="20"/>
        <w:spacing w:after="0" w:line="207" w:lineRule="auto"/>
        <w:rPr>
          <w:sz w:val="20"/>
          <w:szCs w:val="20"/>
          <w:color w:val="auto"/>
        </w:rPr>
      </w:pPr>
      <w:r>
        <w:rPr>
          <w:rFonts w:ascii="Arial" w:cs="Arial" w:eastAsia="Arial" w:hAnsi="Arial"/>
          <w:sz w:val="16"/>
          <w:szCs w:val="16"/>
          <w:color w:val="auto"/>
        </w:rPr>
        <w:t>proportion of patients who experienced two or more flares during the study period by up to 82%. In addition, treatment with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reduced the proportion of patients who experienced at least one gout flare during the study period by up to 63%.</w:t>
      </w:r>
    </w:p>
    <w:p>
      <w:pPr>
        <w:spacing w:after="0" w:line="192" w:lineRule="exact"/>
        <w:rPr>
          <w:sz w:val="20"/>
          <w:szCs w:val="20"/>
          <w:color w:val="auto"/>
        </w:rPr>
      </w:pPr>
    </w:p>
    <w:p>
      <w:pPr>
        <w:jc w:val="both"/>
        <w:ind w:right="20" w:firstLine="267"/>
        <w:spacing w:after="0" w:line="223" w:lineRule="auto"/>
        <w:rPr>
          <w:sz w:val="20"/>
          <w:szCs w:val="20"/>
          <w:color w:val="auto"/>
        </w:rPr>
      </w:pPr>
      <w:r>
        <w:rPr>
          <w:rFonts w:ascii="Arial" w:cs="Arial" w:eastAsia="Arial" w:hAnsi="Arial"/>
          <w:sz w:val="16"/>
          <w:szCs w:val="16"/>
          <w:color w:val="auto"/>
        </w:rPr>
        <w:t>We also announced that in the RE-SURGE study, which evaluated the safety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versus placebo over 16 weeks,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generally well tolerated, and the safety profile was consistent with that reported in the PRE-SURGE 1 and PRE-SURGE 2 studies. In the overall gout program, the most frequently reported adverse events were injection site reaction and headache.</w:t>
      </w:r>
    </w:p>
    <w:p>
      <w:pPr>
        <w:spacing w:after="0" w:line="194" w:lineRule="exact"/>
        <w:rPr>
          <w:sz w:val="20"/>
          <w:szCs w:val="20"/>
          <w:color w:val="auto"/>
        </w:rPr>
      </w:pPr>
    </w:p>
    <w:p>
      <w:pPr>
        <w:jc w:val="both"/>
        <w:ind w:right="20" w:firstLine="255"/>
        <w:spacing w:after="0" w:line="223" w:lineRule="auto"/>
        <w:rPr>
          <w:sz w:val="20"/>
          <w:szCs w:val="20"/>
          <w:color w:val="auto"/>
        </w:rPr>
      </w:pPr>
      <w:r>
        <w:rPr>
          <w:rFonts w:ascii="Arial" w:cs="Arial" w:eastAsia="Arial" w:hAnsi="Arial"/>
          <w:sz w:val="16"/>
          <w:szCs w:val="16"/>
          <w:color w:val="auto"/>
        </w:rPr>
        <w:t>In the RE-SURGE study,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also met all secondary endpoints, which evaluated efficacy, over the 16 week treatment period (p&lt;0.0001). These included the number of gout flares per patient, the proportion of patients who experienced two or more flares, and the proportion of patients who experienced at least one gout flare during the study period.</w:t>
      </w:r>
    </w:p>
    <w:p>
      <w:pPr>
        <w:spacing w:after="0" w:line="194" w:lineRule="exact"/>
        <w:rPr>
          <w:sz w:val="20"/>
          <w:szCs w:val="20"/>
          <w:color w:val="auto"/>
        </w:rPr>
      </w:pPr>
    </w:p>
    <w:p>
      <w:pPr>
        <w:jc w:val="both"/>
        <w:ind w:right="20" w:firstLine="267"/>
        <w:spacing w:after="0" w:line="234" w:lineRule="auto"/>
        <w:rPr>
          <w:sz w:val="20"/>
          <w:szCs w:val="20"/>
          <w:color w:val="auto"/>
        </w:rPr>
      </w:pPr>
      <w:r>
        <w:rPr>
          <w:rFonts w:ascii="Arial" w:cs="Arial" w:eastAsia="Arial" w:hAnsi="Arial"/>
          <w:sz w:val="16"/>
          <w:szCs w:val="16"/>
          <w:color w:val="auto"/>
        </w:rPr>
        <w:t>Based on the results of the three Phase 3 studies, we submitted a supplemental BLA for U.S. regulatory approval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in patients initiating uric acid-lowering therapy. In November 2011, the FDA accepted for review our supplemental BLA. Under PDUFA, we were granted a target date for an FDA decision on the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supplemental BLA of July 30, 2012.</w:t>
      </w:r>
    </w:p>
    <w:p>
      <w:pPr>
        <w:spacing w:after="0" w:line="108"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6"/>
          <w:szCs w:val="16"/>
          <w:color w:val="auto"/>
        </w:rPr>
        <w:t>We also initiated a long-term safety study in this setting, known as UPSURGE (</w:t>
      </w:r>
      <w:r>
        <w:rPr>
          <w:rFonts w:ascii="Arial" w:cs="Arial" w:eastAsia="Arial" w:hAnsi="Arial"/>
          <w:sz w:val="16"/>
          <w:szCs w:val="16"/>
          <w:u w:val="single" w:color="auto"/>
          <w:color w:val="auto"/>
        </w:rPr>
        <w:t>U</w:t>
      </w:r>
      <w:r>
        <w:rPr>
          <w:rFonts w:ascii="Arial" w:cs="Arial" w:eastAsia="Arial" w:hAnsi="Arial"/>
          <w:sz w:val="16"/>
          <w:szCs w:val="16"/>
          <w:color w:val="auto"/>
        </w:rPr>
        <w:t xml:space="preserve">nderstanding long-term safety in a </w:t>
      </w:r>
      <w:r>
        <w:rPr>
          <w:rFonts w:ascii="Arial" w:cs="Arial" w:eastAsia="Arial" w:hAnsi="Arial"/>
          <w:sz w:val="16"/>
          <w:szCs w:val="16"/>
          <w:u w:val="single" w:color="auto"/>
          <w:color w:val="auto"/>
        </w:rPr>
        <w:t>P</w:t>
      </w:r>
      <w:r>
        <w:rPr>
          <w:rFonts w:ascii="Arial" w:cs="Arial" w:eastAsia="Arial" w:hAnsi="Arial"/>
          <w:sz w:val="16"/>
          <w:szCs w:val="16"/>
          <w:color w:val="auto"/>
        </w:rPr>
        <w:t xml:space="preserve">reventative </w:t>
      </w:r>
      <w:r>
        <w:rPr>
          <w:rFonts w:ascii="Arial" w:cs="Arial" w:eastAsia="Arial" w:hAnsi="Arial"/>
          <w:sz w:val="16"/>
          <w:szCs w:val="16"/>
          <w:u w:val="single" w:color="auto"/>
          <w:color w:val="auto"/>
        </w:rPr>
        <w:t>S</w:t>
      </w:r>
      <w:r>
        <w:rPr>
          <w:rFonts w:ascii="Arial" w:cs="Arial" w:eastAsia="Arial" w:hAnsi="Arial"/>
          <w:sz w:val="16"/>
          <w:szCs w:val="16"/>
          <w:color w:val="auto"/>
        </w:rPr>
        <w:t xml:space="preserve">tudy against </w:t>
      </w:r>
      <w:r>
        <w:rPr>
          <w:rFonts w:ascii="Arial" w:cs="Arial" w:eastAsia="Arial" w:hAnsi="Arial"/>
          <w:sz w:val="16"/>
          <w:szCs w:val="16"/>
          <w:u w:val="single" w:color="auto"/>
          <w:color w:val="auto"/>
        </w:rPr>
        <w:t>UR</w:t>
      </w:r>
      <w:r>
        <w:rPr>
          <w:rFonts w:ascii="Arial" w:cs="Arial" w:eastAsia="Arial" w:hAnsi="Arial"/>
          <w:sz w:val="16"/>
          <w:szCs w:val="16"/>
          <w:color w:val="auto"/>
        </w:rPr>
        <w:t xml:space="preserve">ate-lowering drug-induced </w:t>
      </w:r>
      <w:r>
        <w:rPr>
          <w:rFonts w:ascii="Arial" w:cs="Arial" w:eastAsia="Arial" w:hAnsi="Arial"/>
          <w:sz w:val="16"/>
          <w:szCs w:val="16"/>
          <w:u w:val="single" w:color="auto"/>
          <w:color w:val="auto"/>
        </w:rPr>
        <w:t>G</w:t>
      </w:r>
      <w:r>
        <w:rPr>
          <w:rFonts w:ascii="Arial" w:cs="Arial" w:eastAsia="Arial" w:hAnsi="Arial"/>
          <w:sz w:val="16"/>
          <w:szCs w:val="16"/>
          <w:color w:val="auto"/>
        </w:rPr>
        <w:t xml:space="preserve">out </w:t>
      </w:r>
      <w:r>
        <w:rPr>
          <w:rFonts w:ascii="Arial" w:cs="Arial" w:eastAsia="Arial" w:hAnsi="Arial"/>
          <w:sz w:val="16"/>
          <w:szCs w:val="16"/>
          <w:u w:val="single" w:color="auto"/>
          <w:color w:val="auto"/>
        </w:rPr>
        <w:t>E</w:t>
      </w:r>
      <w:r>
        <w:rPr>
          <w:rFonts w:ascii="Arial" w:cs="Arial" w:eastAsia="Arial" w:hAnsi="Arial"/>
          <w:sz w:val="16"/>
          <w:szCs w:val="16"/>
          <w:color w:val="auto"/>
        </w:rPr>
        <w:t>xacerbations), during the fourth quarter of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own worldwide rights to ARCALYST</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 Sarilumab (REGN88; IL-6R Antibody) for inflammatory diseases</w:t>
      </w:r>
    </w:p>
    <w:p>
      <w:pPr>
        <w:spacing w:after="0" w:line="208" w:lineRule="exact"/>
        <w:rPr>
          <w:sz w:val="20"/>
          <w:szCs w:val="20"/>
          <w:color w:val="auto"/>
        </w:rPr>
      </w:pPr>
    </w:p>
    <w:p>
      <w:pPr>
        <w:jc w:val="both"/>
        <w:ind w:right="20" w:firstLine="400"/>
        <w:spacing w:after="0" w:line="212" w:lineRule="auto"/>
        <w:rPr>
          <w:sz w:val="20"/>
          <w:szCs w:val="20"/>
          <w:color w:val="auto"/>
        </w:rPr>
      </w:pPr>
      <w:r>
        <w:rPr>
          <w:rFonts w:ascii="Arial" w:cs="Arial" w:eastAsia="Arial" w:hAnsi="Arial"/>
          <w:sz w:val="16"/>
          <w:szCs w:val="16"/>
          <w:color w:val="auto"/>
        </w:rPr>
        <w:t>IL-6 is a key cytokine involved in the pathogenesis of rheumatoid arthritis, causing inflammation and joint destruction. A therapeutic antibody to IL-6R, Actemra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(tocilizumab), a registered trademark of Chugai Seiyaku Kabushiki Kaisha, has been approved for the treatment of rheumatoid arthritis.</w:t>
      </w:r>
    </w:p>
    <w:p>
      <w:pPr>
        <w:spacing w:after="0" w:line="192"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14"/>
          <w:szCs w:val="14"/>
          <w:color w:val="auto"/>
        </w:rPr>
        <w:t xml:space="preserve">Sarilumab is a fully human monoclonal antibody to IL-6R generated using our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 In July 2011, we and Sanofi announced that in the Phase 2b stage of the MOBILITY trial in rheumatoid arthritis, patients treated with sarilumab in combination with a standard RA treatment, methotrexate (MTX), achieved a significant and clinically meaningful improvement in signs and symptoms of moderate-to-severe RA compared to patients treated with MTX alone. The Phase 2b stage of the MOBILITY study was a 306-patient, dose-ranging, multi-national, randomized, multi-arm, double-blind, placebo-controlled study, that compared five different dose regimens of sarilumab in combination with MTX to placebo plus MTX. The primary endpoint of the study was the proportion of patients achieving at least a 20% improvement in RA symptoms (ACR20) after 12 weeks.</w:t>
      </w:r>
    </w:p>
    <w:p>
      <w:pPr>
        <w:spacing w:after="0" w:line="193" w:lineRule="exact"/>
        <w:rPr>
          <w:sz w:val="20"/>
          <w:szCs w:val="20"/>
          <w:color w:val="auto"/>
        </w:rPr>
      </w:pPr>
    </w:p>
    <w:p>
      <w:pPr>
        <w:jc w:val="both"/>
        <w:ind w:right="20" w:firstLine="243"/>
        <w:spacing w:after="0" w:line="304" w:lineRule="auto"/>
        <w:rPr>
          <w:sz w:val="20"/>
          <w:szCs w:val="20"/>
          <w:color w:val="auto"/>
        </w:rPr>
      </w:pPr>
      <w:r>
        <w:rPr>
          <w:rFonts w:ascii="Arial" w:cs="Arial" w:eastAsia="Arial" w:hAnsi="Arial"/>
          <w:sz w:val="14"/>
          <w:szCs w:val="14"/>
          <w:color w:val="auto"/>
        </w:rPr>
        <w:t>In the Phase 2b stage of the MOBILITY trial, there was a dose response observed in patients receiving sarilumab in combination with MTX. An ACR20 response after 12 weeks was seen in 49.0% of patients receiving the lowest sarilumab dose regimen and 72.0% of patients receiving the highest dose regimen compared to 46.2% of patients receiving placebo and MTX (p=0.02, corrected for multiplicity, for the highest sarilumab dose regimen). The most common adverse events (&gt;5%) reported more frequently in active treatment arms included infections (non-serious), neutropenia, and liver function test abnormalities. The types and frequencies of adverse events were consistent with those previously reported with IL-6 inhibition. The incidence of serious adverse events among the five sarilumab treatment groups and the placebo group was comparable.</w:t>
      </w:r>
    </w:p>
    <w:p>
      <w:pPr>
        <w:spacing w:after="0" w:line="170" w:lineRule="exact"/>
        <w:rPr>
          <w:sz w:val="20"/>
          <w:szCs w:val="20"/>
          <w:color w:val="auto"/>
        </w:rPr>
      </w:pPr>
    </w:p>
    <w:p>
      <w:pPr>
        <w:jc w:val="both"/>
        <w:ind w:right="20" w:firstLine="340"/>
        <w:spacing w:after="0" w:line="274" w:lineRule="auto"/>
        <w:rPr>
          <w:sz w:val="20"/>
          <w:szCs w:val="20"/>
          <w:color w:val="auto"/>
        </w:rPr>
      </w:pPr>
      <w:r>
        <w:rPr>
          <w:rFonts w:ascii="Arial" w:cs="Arial" w:eastAsia="Arial" w:hAnsi="Arial"/>
          <w:sz w:val="16"/>
          <w:szCs w:val="16"/>
          <w:color w:val="auto"/>
        </w:rPr>
        <w:t>Sarilumab also demonstrated significant benefit compared to placebo in secondary endpoints, including ACR 50, ACR 70, and Disease Activity Score (DAS) 28 scores, additional measures of clinical activity used in RA trials.</w:t>
      </w:r>
    </w:p>
    <w:p>
      <w:pPr>
        <w:spacing w:after="0" w:line="187" w:lineRule="exact"/>
        <w:rPr>
          <w:sz w:val="20"/>
          <w:szCs w:val="20"/>
          <w:color w:val="auto"/>
        </w:rPr>
      </w:pPr>
    </w:p>
    <w:p>
      <w:pPr>
        <w:jc w:val="both"/>
        <w:ind w:right="20" w:firstLine="279"/>
        <w:spacing w:after="0" w:line="289" w:lineRule="auto"/>
        <w:rPr>
          <w:sz w:val="20"/>
          <w:szCs w:val="20"/>
          <w:color w:val="auto"/>
        </w:rPr>
      </w:pPr>
      <w:r>
        <w:rPr>
          <w:rFonts w:ascii="Arial" w:cs="Arial" w:eastAsia="Arial" w:hAnsi="Arial"/>
          <w:sz w:val="15"/>
          <w:szCs w:val="15"/>
          <w:color w:val="auto"/>
        </w:rPr>
        <w:t>In July 2011, we and Sanofi announced that in the phase 2b ALIGN trial in ankylosing spondylitis (AS), sarilumab did not demonstrate significant improvements in the signs and symptoms of active AS compared to placebo in patients who had inadequate response to Non-Steroidal Anti-Inflammatory Drugs (NSAIDs). Sarilumab was generally well tolerated. The most common adverse events reported more frequently in active treatment arms included infections and neutropenia.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8" w:name="page9"/>
    <w:bookmarkEnd w:id="8"/>
    <w:p>
      <w:pPr>
        <w:ind w:left="240"/>
        <w:spacing w:after="0"/>
        <w:rPr>
          <w:sz w:val="20"/>
          <w:szCs w:val="20"/>
          <w:color w:val="auto"/>
        </w:rPr>
      </w:pPr>
      <w:r>
        <w:rPr>
          <w:rFonts w:ascii="Arial" w:cs="Arial" w:eastAsia="Arial" w:hAnsi="Arial"/>
          <w:sz w:val="16"/>
          <w:szCs w:val="16"/>
          <w:color w:val="auto"/>
        </w:rPr>
        <w:t>During the third quarter of 2011, we and Sanofi initiated the Phase 3 stage of the Phase 2/3 MOBILITY study.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 REGN727 (PCSK9 Antibody) for LDL cholesterol reduction</w:t>
      </w:r>
    </w:p>
    <w:p>
      <w:pPr>
        <w:spacing w:after="0" w:line="229" w:lineRule="exact"/>
        <w:rPr>
          <w:sz w:val="20"/>
          <w:szCs w:val="20"/>
          <w:color w:val="auto"/>
        </w:rPr>
      </w:pPr>
    </w:p>
    <w:p>
      <w:pPr>
        <w:jc w:val="both"/>
        <w:ind w:right="20" w:firstLine="340"/>
        <w:spacing w:after="0" w:line="319" w:lineRule="auto"/>
        <w:rPr>
          <w:sz w:val="20"/>
          <w:szCs w:val="20"/>
          <w:color w:val="auto"/>
        </w:rPr>
      </w:pPr>
      <w:r>
        <w:rPr>
          <w:rFonts w:ascii="Arial" w:cs="Arial" w:eastAsia="Arial" w:hAnsi="Arial"/>
          <w:sz w:val="14"/>
          <w:szCs w:val="14"/>
          <w:color w:val="auto"/>
        </w:rPr>
        <w:t xml:space="preserve">Elevated LDL cholesterol (“bad cholesterol”) level is a validated risk factor leading to cardiovascular disease. Statins are a class of drugs that lower LDL cholesterol by upregulating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4"/>
          <w:szCs w:val="14"/>
          <w:i w:val="1"/>
          <w:iCs w:val="1"/>
          <w:color w:val="auto"/>
        </w:rPr>
        <w:t>New England Journal of Medicine</w:t>
      </w:r>
      <w:r>
        <w:rPr>
          <w:rFonts w:ascii="Arial" w:cs="Arial" w:eastAsia="Arial" w:hAnsi="Arial"/>
          <w:sz w:val="14"/>
          <w:szCs w:val="14"/>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 to generate a fully human monoclonal antibody inhibitor of PCSK9, called REGN727, that is intended to lower LDL cholesterol.</w:t>
      </w:r>
    </w:p>
    <w:p>
      <w:pPr>
        <w:spacing w:after="0" w:line="18" w:lineRule="exact"/>
        <w:rPr>
          <w:sz w:val="20"/>
          <w:szCs w:val="20"/>
          <w:color w:val="auto"/>
        </w:rPr>
      </w:pPr>
    </w:p>
    <w:p>
      <w:pPr>
        <w:jc w:val="both"/>
        <w:ind w:firstLine="352"/>
        <w:spacing w:after="0" w:line="278" w:lineRule="auto"/>
        <w:rPr>
          <w:sz w:val="20"/>
          <w:szCs w:val="20"/>
          <w:color w:val="auto"/>
        </w:rPr>
      </w:pPr>
      <w:r>
        <w:rPr>
          <w:rFonts w:ascii="Arial" w:cs="Arial" w:eastAsia="Arial" w:hAnsi="Arial"/>
          <w:sz w:val="15"/>
          <w:szCs w:val="15"/>
          <w:color w:val="auto"/>
        </w:rPr>
        <w:t>In May 2010, we announced that in an interim efficacy analysis of a dose-escalating, randomized, double-blind, placebo-controlled, Phase 1 trial in healthy volunteers, REGN727 achieved substantial, dose dependent decreases of LDL cholesterol. Each dosing cohort consisted of six treated and two placebo patients. In July 2010, we presented additional data from this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In these early trials, REGN727 was generally safe and well tolerated with no trend in drug-related adverse events and no evidence of hepato- or myo-toxicity. Injection site reactions were minimal.</w:t>
      </w:r>
    </w:p>
    <w:p>
      <w:pPr>
        <w:spacing w:after="0" w:line="185" w:lineRule="exact"/>
        <w:rPr>
          <w:sz w:val="20"/>
          <w:szCs w:val="20"/>
          <w:color w:val="auto"/>
        </w:rPr>
      </w:pPr>
    </w:p>
    <w:p>
      <w:pPr>
        <w:jc w:val="both"/>
        <w:ind w:right="20" w:firstLine="291"/>
        <w:spacing w:after="0" w:line="283" w:lineRule="auto"/>
        <w:rPr>
          <w:sz w:val="20"/>
          <w:szCs w:val="20"/>
          <w:color w:val="auto"/>
        </w:rPr>
      </w:pPr>
      <w:r>
        <w:rPr>
          <w:rFonts w:ascii="Arial" w:cs="Arial" w:eastAsia="Arial" w:hAnsi="Arial"/>
          <w:sz w:val="15"/>
          <w:szCs w:val="15"/>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at that time, in eleven patients, a single dose of REGN727 achieved an approximately 40% maximum mean additional reduction of LDL cholesterol from baseline. No serious adverse events and no dose limiting toxicities were reported.</w:t>
      </w:r>
    </w:p>
    <w:p>
      <w:pPr>
        <w:spacing w:after="0" w:line="182" w:lineRule="exact"/>
        <w:rPr>
          <w:sz w:val="20"/>
          <w:szCs w:val="20"/>
          <w:color w:val="auto"/>
        </w:rPr>
      </w:pPr>
    </w:p>
    <w:p>
      <w:pPr>
        <w:jc w:val="both"/>
        <w:ind w:right="20" w:firstLine="267"/>
        <w:spacing w:after="0" w:line="258" w:lineRule="auto"/>
        <w:rPr>
          <w:sz w:val="20"/>
          <w:szCs w:val="20"/>
          <w:color w:val="auto"/>
        </w:rPr>
      </w:pPr>
      <w:r>
        <w:rPr>
          <w:rFonts w:ascii="Arial" w:cs="Arial" w:eastAsia="Arial" w:hAnsi="Arial"/>
          <w:sz w:val="16"/>
          <w:szCs w:val="16"/>
          <w:color w:val="auto"/>
        </w:rPr>
        <w:t>During 2011, three Phase 2 studies with subcutaneous regimens of REGN727 were initiated: (1) a randomized, double-blind, multi-dose, placebo controlled, 75-patient trial in patients with heterozygous familial hypercholesterolemia (heFH), (2) a randomized, double-blind, multi-dose, placebo controlled, 90-patient trial in combination with atorvastatin in patients with primary hypercholesterolemia, and (3) a randomized, double-blind, multi-dose, placebo controlled, 180-patient trial in combination with atorvastatin in patients with primary hypercholesterolemia and on stable doses of atorvastatin. The primary endpoint of each Phase 2 study is the change in LDL cholesterol from baseline compared to placebo over the study period.</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5"/>
          <w:szCs w:val="15"/>
          <w:color w:val="auto"/>
        </w:rPr>
        <w:t>In November 2011, we announced preliminary results from the Phase 2 heFH trial. The objective of the study was to compare the effect of adding REGN727 to the existing lipid lowering therapy in heFH patients. In the primary efficacy analysis of the study, after 12 weeks of treatment, patients who received different dosing regimens of REGN727 achieved mean LDL cholesterol reductions from baseline ranging from approximately 30% to greater than 65%, depending on the dosing regimen of REGN727, compared to a mean reduction of 10% with placebo (p&lt;0.05 for all dose groups). Patients in the study are being followed for a total of 20 weeks for safety. In this trial, REGN727 was generally well tolerated over 12 weeks. There were no elevations in liver function tests greater than three times the upper limit of normal (ULN) and no cases of elevated creatine phosphokinase reported. The most common adverse event was injection site reaction and there were no serious adverse events on active treatment. Full safety data from the 8-week post-treatment monitoring period will be presented at a future medical congress upon final analysis.</w:t>
      </w:r>
    </w:p>
    <w:p>
      <w:pPr>
        <w:spacing w:after="0" w:line="18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4"/>
          <w:szCs w:val="14"/>
          <w:color w:val="auto"/>
        </w:rPr>
        <w:t>In November 2011, we also announced preliminary results from the Phase 2 trial studying patients with primary hypercholesterolemia who were on stable doses of atorvastatin. The primary objective of the study was to compare the effect of switching to a high dose of atorvastatin alone (80mg) versus a high dose of atorvastatin combined with REGN727. In the primary endpoint of the study, after eight weeks of treatment, patients who received REGN727 plus atorvastatin 80mg achieved a greater than 65% reduction in mean LDL cholesterol compared to a mean reduction of 17% for atorvastatin 80mg alone (p&lt;0.001). The study also included a third arm in which REGN727 was added to the stable low dose of atorvastatin and the patients achieved a greater than 65% reduction in mean LDL cholesterol. Patients in the study were followed for a total of 16 weeks for safety. In this trial, REGN727 was generally well tolerated over 16 weeks. There was one serious adverse event of dehydration in the REGN727 plus atorvastatin 80mg group that was deemed not treatment related. One patient in the REGN727 plus atorvastatin 80mg group with mildly elevated aspartate aminotransferase (AST) prior to randomization (&gt;ULN and &lt;/= 3ULN) experienced an elevation of AST&gt;3ULN and &lt;/=5ULN and one patient discontinued therapy due to a hypersensitivity reaction (rash).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9" w:name="page10"/>
    <w:bookmarkEnd w:id="9"/>
    <w:p>
      <w:pPr>
        <w:jc w:val="both"/>
        <w:ind w:right="20" w:firstLine="328"/>
        <w:spacing w:after="0" w:line="274" w:lineRule="auto"/>
        <w:rPr>
          <w:sz w:val="20"/>
          <w:szCs w:val="20"/>
          <w:color w:val="auto"/>
        </w:rPr>
      </w:pPr>
      <w:r>
        <w:rPr>
          <w:rFonts w:ascii="Arial" w:cs="Arial" w:eastAsia="Arial" w:hAnsi="Arial"/>
          <w:sz w:val="16"/>
          <w:szCs w:val="16"/>
          <w:color w:val="auto"/>
        </w:rPr>
        <w:t>Initial data from the third Phase 2 trial, studying subcutaneous regimens of REGN727 in combination with atorvastatin in patients with primary hypercholesterolemia, are expected to be available in the first half of 2012.</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REGN727 is being developed in collaboration with Sanofi.</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 REGN668 (IL-4R Antibody) for allergic and immune conditions</w:t>
      </w:r>
    </w:p>
    <w:p>
      <w:pPr>
        <w:spacing w:after="0" w:line="229" w:lineRule="exact"/>
        <w:rPr>
          <w:sz w:val="20"/>
          <w:szCs w:val="20"/>
          <w:color w:val="auto"/>
        </w:rPr>
      </w:pPr>
    </w:p>
    <w:p>
      <w:pPr>
        <w:jc w:val="both"/>
        <w:ind w:right="20" w:firstLine="303"/>
        <w:spacing w:after="0" w:line="309" w:lineRule="auto"/>
        <w:rPr>
          <w:sz w:val="20"/>
          <w:szCs w:val="20"/>
          <w:color w:val="auto"/>
        </w:rPr>
      </w:pPr>
      <w:r>
        <w:rPr>
          <w:rFonts w:ascii="Arial" w:cs="Arial" w:eastAsia="Arial" w:hAnsi="Arial"/>
          <w:sz w:val="15"/>
          <w:szCs w:val="15"/>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42" w:lineRule="exact"/>
        <w:rPr>
          <w:sz w:val="20"/>
          <w:szCs w:val="20"/>
          <w:color w:val="auto"/>
        </w:rPr>
      </w:pPr>
    </w:p>
    <w:p>
      <w:pPr>
        <w:jc w:val="both"/>
        <w:ind w:right="20" w:firstLine="255"/>
        <w:spacing w:after="0" w:line="212" w:lineRule="auto"/>
        <w:rPr>
          <w:sz w:val="20"/>
          <w:szCs w:val="20"/>
          <w:color w:val="auto"/>
        </w:rPr>
      </w:pPr>
      <w:r>
        <w:rPr>
          <w:rFonts w:ascii="Arial" w:cs="Arial" w:eastAsia="Arial" w:hAnsi="Arial"/>
          <w:sz w:val="16"/>
          <w:szCs w:val="16"/>
          <w:color w:val="auto"/>
        </w:rPr>
        <w:t xml:space="preserve">REGN668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that is designed to bind to IL-4R. REGN668 is in a Phase 1b study in patients with atopic dermatitis and a Phase 2 study in eosinophilic asthma. REGN668 is being developed in collaboration with Sanofi.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7. REGN421 (Dll4 Antibody) for advanced malignancies</w:t>
      </w:r>
    </w:p>
    <w:p>
      <w:pPr>
        <w:spacing w:after="0" w:line="229" w:lineRule="exact"/>
        <w:rPr>
          <w:sz w:val="20"/>
          <w:szCs w:val="20"/>
          <w:color w:val="auto"/>
        </w:rPr>
      </w:pPr>
    </w:p>
    <w:p>
      <w:pPr>
        <w:jc w:val="both"/>
        <w:ind w:right="20" w:firstLine="279"/>
        <w:spacing w:after="0" w:line="257" w:lineRule="auto"/>
        <w:rPr>
          <w:sz w:val="20"/>
          <w:szCs w:val="20"/>
          <w:color w:val="auto"/>
        </w:rPr>
      </w:pPr>
      <w:r>
        <w:rPr>
          <w:rFonts w:ascii="Arial" w:cs="Arial" w:eastAsia="Arial" w:hAnsi="Arial"/>
          <w:sz w:val="16"/>
          <w:szCs w:val="16"/>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81" w:lineRule="exact"/>
        <w:rPr>
          <w:sz w:val="20"/>
          <w:szCs w:val="20"/>
          <w:color w:val="auto"/>
        </w:rPr>
      </w:pPr>
    </w:p>
    <w:p>
      <w:pPr>
        <w:jc w:val="both"/>
        <w:ind w:right="20" w:firstLine="255"/>
        <w:spacing w:after="0" w:line="212" w:lineRule="auto"/>
        <w:rPr>
          <w:sz w:val="20"/>
          <w:szCs w:val="20"/>
          <w:color w:val="auto"/>
        </w:rPr>
      </w:pPr>
      <w:r>
        <w:rPr>
          <w:rFonts w:ascii="Arial" w:cs="Arial" w:eastAsia="Arial" w:hAnsi="Arial"/>
          <w:sz w:val="16"/>
          <w:szCs w:val="16"/>
          <w:color w:val="auto"/>
        </w:rPr>
        <w:t xml:space="preserve">REGN421 is a fully human monoclonal antibody to Dll4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and is in Phase 1 clinical development. REGN421 is being developed in collaboration with Sanofi.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 REGN910 (ANG2 Antibody) for oncology</w:t>
      </w:r>
    </w:p>
    <w:p>
      <w:pPr>
        <w:spacing w:after="0" w:line="229" w:lineRule="exact"/>
        <w:rPr>
          <w:sz w:val="20"/>
          <w:szCs w:val="20"/>
          <w:color w:val="auto"/>
        </w:rPr>
      </w:pPr>
    </w:p>
    <w:p>
      <w:pPr>
        <w:jc w:val="both"/>
        <w:ind w:right="20" w:firstLine="303"/>
        <w:spacing w:after="0" w:line="264" w:lineRule="auto"/>
        <w:rPr>
          <w:sz w:val="20"/>
          <w:szCs w:val="20"/>
          <w:color w:val="auto"/>
        </w:rPr>
      </w:pPr>
      <w:r>
        <w:rPr>
          <w:rFonts w:ascii="Arial" w:cs="Arial" w:eastAsia="Arial" w:hAnsi="Arial"/>
          <w:sz w:val="16"/>
          <w:szCs w:val="16"/>
          <w:color w:val="auto"/>
        </w:rPr>
        <w:t>In the fourth quarter of 2010, we initiated a Phase 1 study in an oncology setting of REGN910, an antibody that specifically blocks ANG2. The angiopoietins, which were discovered at Regeneron, are ligands for the endothelial cell receptor Tie2 and are essential for vascular development and angiogenesis. Unlike other family members, ANG2 is strongly upregulated by endothelial cells at sites of angiogenesis and vascular remodeling, including tumors.</w:t>
      </w:r>
    </w:p>
    <w:p>
      <w:pPr>
        <w:spacing w:after="0" w:line="173" w:lineRule="exact"/>
        <w:rPr>
          <w:sz w:val="20"/>
          <w:szCs w:val="20"/>
          <w:color w:val="auto"/>
        </w:rPr>
      </w:pPr>
    </w:p>
    <w:p>
      <w:pPr>
        <w:jc w:val="both"/>
        <w:ind w:right="20" w:firstLine="243"/>
        <w:spacing w:after="0" w:line="212" w:lineRule="auto"/>
        <w:rPr>
          <w:sz w:val="20"/>
          <w:szCs w:val="20"/>
          <w:color w:val="auto"/>
        </w:rPr>
      </w:pPr>
      <w:r>
        <w:rPr>
          <w:rFonts w:ascii="Arial" w:cs="Arial" w:eastAsia="Arial" w:hAnsi="Arial"/>
          <w:sz w:val="16"/>
          <w:szCs w:val="16"/>
          <w:color w:val="auto"/>
        </w:rPr>
        <w:t xml:space="preserve">REGN910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which is being developed for cancer indications. REGN910 is being developed in collaboration with Sanofi.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9. REGN475 (NGF Antibody) for pain</w:t>
      </w:r>
    </w:p>
    <w:p>
      <w:pPr>
        <w:spacing w:after="0" w:line="208" w:lineRule="exact"/>
        <w:rPr>
          <w:sz w:val="20"/>
          <w:szCs w:val="20"/>
          <w:color w:val="auto"/>
        </w:rPr>
      </w:pPr>
    </w:p>
    <w:p>
      <w:pPr>
        <w:jc w:val="both"/>
        <w:ind w:firstLine="267"/>
        <w:spacing w:after="0" w:line="223" w:lineRule="auto"/>
        <w:rPr>
          <w:sz w:val="20"/>
          <w:szCs w:val="20"/>
          <w:color w:val="auto"/>
        </w:rPr>
      </w:pPr>
      <w:r>
        <w:rPr>
          <w:rFonts w:ascii="Arial" w:cs="Arial" w:eastAsia="Arial" w:hAnsi="Arial"/>
          <w:sz w:val="16"/>
          <w:szCs w:val="16"/>
          <w:color w:val="auto"/>
        </w:rPr>
        <w:t xml:space="preserve">REGN475 is a fully human monoclonal antibody to NGF,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w:t>
      </w:r>
    </w:p>
    <w:p>
      <w:pPr>
        <w:spacing w:after="0" w:line="215" w:lineRule="exact"/>
        <w:rPr>
          <w:sz w:val="20"/>
          <w:szCs w:val="20"/>
          <w:color w:val="auto"/>
        </w:rPr>
      </w:pPr>
    </w:p>
    <w:p>
      <w:pPr>
        <w:jc w:val="both"/>
        <w:ind w:right="20" w:firstLine="243"/>
        <w:spacing w:after="0" w:line="274" w:lineRule="auto"/>
        <w:rPr>
          <w:sz w:val="20"/>
          <w:szCs w:val="20"/>
          <w:color w:val="auto"/>
        </w:rPr>
      </w:pPr>
      <w:r>
        <w:rPr>
          <w:rFonts w:ascii="Arial" w:cs="Arial" w:eastAsia="Arial" w:hAnsi="Arial"/>
          <w:sz w:val="16"/>
          <w:szCs w:val="16"/>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187" w:lineRule="exact"/>
        <w:rPr>
          <w:sz w:val="20"/>
          <w:szCs w:val="20"/>
          <w:color w:val="auto"/>
        </w:rPr>
      </w:pPr>
    </w:p>
    <w:p>
      <w:pPr>
        <w:jc w:val="both"/>
        <w:ind w:right="20" w:firstLine="267"/>
        <w:spacing w:after="0" w:line="258" w:lineRule="auto"/>
        <w:rPr>
          <w:sz w:val="20"/>
          <w:szCs w:val="20"/>
          <w:color w:val="auto"/>
        </w:rPr>
      </w:pPr>
      <w:r>
        <w:rPr>
          <w:rFonts w:ascii="Arial" w:cs="Arial" w:eastAsia="Arial" w:hAnsi="Arial"/>
          <w:sz w:val="16"/>
          <w:szCs w:val="16"/>
          <w:color w:val="auto"/>
        </w:rPr>
        <w:t>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along with the two other anti-NGF antibodies in development by competitors, on clinical hold. An FDA Arthritis Advisory Committee meeting is scheduled for March 12, 2012 to discuss possible safety issues related to anti-NGF compounds. There are currently no ongoing trials with REGN475.</w:t>
      </w:r>
    </w:p>
    <w:p>
      <w:pPr>
        <w:spacing w:after="0" w:line="201" w:lineRule="exact"/>
        <w:rPr>
          <w:sz w:val="20"/>
          <w:szCs w:val="20"/>
          <w:color w:val="auto"/>
        </w:rPr>
      </w:pPr>
    </w:p>
    <w:p>
      <w:pPr>
        <w:jc w:val="both"/>
        <w:ind w:right="20" w:firstLine="291"/>
        <w:spacing w:after="0" w:line="264" w:lineRule="auto"/>
        <w:rPr>
          <w:sz w:val="20"/>
          <w:szCs w:val="20"/>
          <w:color w:val="auto"/>
        </w:rPr>
      </w:pPr>
      <w:r>
        <w:rPr>
          <w:rFonts w:ascii="Arial" w:cs="Arial" w:eastAsia="Arial" w:hAnsi="Arial"/>
          <w:sz w:val="16"/>
          <w:szCs w:val="16"/>
          <w:color w:val="auto"/>
        </w:rPr>
        <w:t>In February 2012, Sanofi elected not to continue co-development of REGN475, and Regeneron now has sole global rights to REGN475. Under the terms of our agreement, Sanofi remains obligated to fund agreed-upon REGN475 development costs through the end of 2012 and is entitled to receive a mid-single digit royalty on any future sales of REGN475.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10. REGN728</w:t>
      </w:r>
    </w:p>
    <w:p>
      <w:pPr>
        <w:spacing w:after="0" w:line="208" w:lineRule="exact"/>
        <w:rPr>
          <w:sz w:val="20"/>
          <w:szCs w:val="20"/>
          <w:color w:val="auto"/>
        </w:rPr>
      </w:pPr>
    </w:p>
    <w:p>
      <w:pPr>
        <w:jc w:val="both"/>
        <w:ind w:right="20" w:firstLine="279"/>
        <w:spacing w:after="0" w:line="212" w:lineRule="auto"/>
        <w:rPr>
          <w:sz w:val="20"/>
          <w:szCs w:val="20"/>
          <w:color w:val="auto"/>
        </w:rPr>
      </w:pPr>
      <w:r>
        <w:rPr>
          <w:rFonts w:ascii="Arial" w:cs="Arial" w:eastAsia="Arial" w:hAnsi="Arial"/>
          <w:sz w:val="16"/>
          <w:szCs w:val="16"/>
          <w:color w:val="auto"/>
        </w:rPr>
        <w:t xml:space="preserve">In the fourth quarter of 2010, clinical trials began with REGN728,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against an undisclosed target. REGN728 is being developed in collaboration with Sanofi.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11. REGN1033</w:t>
      </w:r>
    </w:p>
    <w:p>
      <w:pPr>
        <w:spacing w:after="0" w:line="229" w:lineRule="exact"/>
        <w:rPr>
          <w:sz w:val="20"/>
          <w:szCs w:val="20"/>
          <w:color w:val="auto"/>
        </w:rPr>
      </w:pPr>
    </w:p>
    <w:p>
      <w:pPr>
        <w:jc w:val="both"/>
        <w:ind w:right="20" w:firstLine="255"/>
        <w:spacing w:after="0" w:line="342" w:lineRule="auto"/>
        <w:rPr>
          <w:sz w:val="20"/>
          <w:szCs w:val="20"/>
          <w:color w:val="auto"/>
        </w:rPr>
      </w:pPr>
      <w:r>
        <w:rPr>
          <w:rFonts w:ascii="Arial" w:cs="Arial" w:eastAsia="Arial" w:hAnsi="Arial"/>
          <w:sz w:val="14"/>
          <w:szCs w:val="14"/>
          <w:color w:val="auto"/>
        </w:rPr>
        <w:t xml:space="preserve">In December 2011, the FDA accepted our investigational new drug (IND) filing for REGN1033 and in January 2012, we initiated a Phase 1 clinical study. REGN1033 is a fully human monoclonal antibody generated using our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 against an undisclosed target. REGN1033 is being developed in collaboration with Sanofi.</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12. REGN846</w:t>
      </w:r>
    </w:p>
    <w:p>
      <w:pPr>
        <w:spacing w:after="0" w:line="208" w:lineRule="exact"/>
        <w:rPr>
          <w:sz w:val="20"/>
          <w:szCs w:val="20"/>
          <w:color w:val="auto"/>
        </w:rPr>
      </w:pPr>
    </w:p>
    <w:p>
      <w:pPr>
        <w:jc w:val="both"/>
        <w:ind w:right="20" w:firstLine="291"/>
        <w:spacing w:after="0" w:line="230" w:lineRule="auto"/>
        <w:rPr>
          <w:sz w:val="20"/>
          <w:szCs w:val="20"/>
          <w:color w:val="auto"/>
        </w:rPr>
      </w:pPr>
      <w:r>
        <w:rPr>
          <w:rFonts w:ascii="Arial" w:cs="Arial" w:eastAsia="Arial" w:hAnsi="Arial"/>
          <w:sz w:val="16"/>
          <w:szCs w:val="16"/>
          <w:color w:val="auto"/>
        </w:rPr>
        <w:t xml:space="preserve">REGN846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against an undisclosed target, and is being evaluated in a Phase 2a study in patients with atopic dermatitis. In July 2011, Sanofi elected not to continue co-development of REGN846, and Regeneron now has sole global rights to REGN846. Under the terms of our agreement, Sanofi remains obligated to fund REGN846 clinical costs through conclusion of a planned proof-of-concept trial and is entitled to receive a mid-single digit royalty on any future sales of REGN846.</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13. REGN1154</w:t>
      </w:r>
    </w:p>
    <w:p>
      <w:pPr>
        <w:spacing w:after="0" w:line="208" w:lineRule="exact"/>
        <w:rPr>
          <w:sz w:val="20"/>
          <w:szCs w:val="20"/>
          <w:color w:val="auto"/>
        </w:rPr>
      </w:pPr>
    </w:p>
    <w:p>
      <w:pPr>
        <w:jc w:val="both"/>
        <w:ind w:right="20" w:firstLine="291"/>
        <w:spacing w:after="0" w:line="230" w:lineRule="auto"/>
        <w:rPr>
          <w:sz w:val="20"/>
          <w:szCs w:val="20"/>
          <w:color w:val="auto"/>
        </w:rPr>
      </w:pPr>
      <w:r>
        <w:rPr>
          <w:rFonts w:ascii="Arial" w:cs="Arial" w:eastAsia="Arial" w:hAnsi="Arial"/>
          <w:sz w:val="16"/>
          <w:szCs w:val="16"/>
          <w:color w:val="auto"/>
        </w:rPr>
        <w:t xml:space="preserve">REGN1154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against an undisclosed target. In December 2011, we submitted a Phase 1 clinical trial protocol in Australia for REGN1154 under the clinical trial notification (CTN) regulatory process. We plan to initiate human studies in the first quarter of 2012 in Australia. Sanofi decided not to opt-in to the REGN1154 program and we have sole global rights. Under the terms of our agreement, Sanofi is entitled to receive a mid-single digit royalty on any future sales of REGN1154.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Research and Development Technologies:</w:t>
      </w:r>
    </w:p>
    <w:p>
      <w:pPr>
        <w:spacing w:after="0" w:line="233"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5"/>
          <w:szCs w:val="15"/>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89" w:lineRule="exact"/>
        <w:rPr>
          <w:sz w:val="20"/>
          <w:szCs w:val="20"/>
          <w:color w:val="auto"/>
        </w:rPr>
      </w:pPr>
    </w:p>
    <w:p>
      <w:pPr>
        <w:jc w:val="both"/>
        <w:ind w:right="20" w:firstLine="303"/>
        <w:spacing w:after="0" w:line="255" w:lineRule="auto"/>
        <w:rPr>
          <w:sz w:val="20"/>
          <w:szCs w:val="20"/>
          <w:color w:val="auto"/>
        </w:rPr>
      </w:pPr>
      <w:r>
        <w:rPr>
          <w:rFonts w:ascii="Arial" w:cs="Arial" w:eastAsia="Arial" w:hAnsi="Arial"/>
          <w:sz w:val="14"/>
          <w:szCs w:val="14"/>
          <w:color w:val="auto"/>
        </w:rPr>
        <w:t>Our scientists have developed two different technologies to design protein therapeutics to block the action of specific cell surface or secreted proteins. The first technology, termed the “Trap” technology, was used to generate our two approved products,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EYLEA</w:t>
      </w:r>
      <w:r>
        <w:rPr>
          <w:rFonts w:ascii="Arial" w:cs="Arial" w:eastAsia="Arial" w:hAnsi="Arial"/>
          <w:sz w:val="23"/>
          <w:szCs w:val="23"/>
          <w:color w:val="auto"/>
          <w:vertAlign w:val="superscript"/>
        </w:rPr>
        <w:t>®</w:t>
      </w:r>
      <w:r>
        <w:rPr>
          <w:rFonts w:ascii="Arial" w:cs="Arial" w:eastAsia="Arial" w:hAnsi="Arial"/>
          <w:sz w:val="14"/>
          <w:szCs w:val="14"/>
          <w:color w:val="auto"/>
        </w:rPr>
        <w:t>, as well as ZALTRAP</w:t>
      </w:r>
      <w:r>
        <w:rPr>
          <w:rFonts w:ascii="Arial" w:cs="Arial" w:eastAsia="Arial" w:hAnsi="Arial"/>
          <w:sz w:val="23"/>
          <w:szCs w:val="23"/>
          <w:color w:val="auto"/>
          <w:vertAlign w:val="superscript"/>
        </w:rPr>
        <w:t>®</w:t>
      </w:r>
      <w:r>
        <w:rPr>
          <w:rFonts w:ascii="Arial" w:cs="Arial" w:eastAsia="Arial" w:hAnsi="Arial"/>
          <w:sz w:val="14"/>
          <w:szCs w:val="14"/>
          <w:color w:val="auto"/>
        </w:rPr>
        <w:t>, which is in Phase 3 clinical trials. These novel “Traps” are composed of fusions between two distinct receptor components and the constant region of an antibody molecule called the “Fc region”, resulting in high affinity</w:t>
      </w:r>
    </w:p>
    <w:p>
      <w:pPr>
        <w:spacing w:after="0" w:line="2"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 xml:space="preserve">product candidates. </w:t>
      </w:r>
      <w:r>
        <w:rPr>
          <w:rFonts w:ascii="Arial" w:cs="Arial" w:eastAsia="Arial" w:hAnsi="Arial"/>
          <w:sz w:val="16"/>
          <w:szCs w:val="16"/>
          <w:i w:val="1"/>
          <w:iCs w:val="1"/>
          <w:color w:val="auto"/>
        </w:rPr>
        <w:t>VelociSuite</w:t>
      </w:r>
      <w:r>
        <w:rPr>
          <w:rFonts w:ascii="Arial" w:cs="Arial" w:eastAsia="Arial" w:hAnsi="Arial"/>
          <w:sz w:val="26"/>
          <w:szCs w:val="26"/>
          <w:i w:val="1"/>
          <w:iCs w:val="1"/>
          <w:color w:val="auto"/>
          <w:vertAlign w:val="superscript"/>
        </w:rPr>
        <w:t>TM</w:t>
      </w:r>
      <w:r>
        <w:rPr>
          <w:rFonts w:ascii="Arial" w:cs="Arial" w:eastAsia="Arial" w:hAnsi="Arial"/>
          <w:sz w:val="16"/>
          <w:szCs w:val="16"/>
          <w:color w:val="auto"/>
        </w:rPr>
        <w:t xml:space="preserve"> is our second technology platform; it is used for discovering, developing, and producing fully human monoclonal antibodies that can address both secreted and cell-surface targets.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VelociSuite</w:t>
      </w:r>
      <w:r>
        <w:rPr>
          <w:rFonts w:ascii="Arial" w:cs="Arial" w:eastAsia="Arial" w:hAnsi="Arial"/>
          <w:sz w:val="26"/>
          <w:szCs w:val="26"/>
          <w:b w:val="1"/>
          <w:bCs w:val="1"/>
          <w:i w:val="1"/>
          <w:iCs w:val="1"/>
          <w:color w:val="auto"/>
          <w:vertAlign w:val="superscript"/>
        </w:rPr>
        <w:t>TM</w:t>
      </w:r>
    </w:p>
    <w:p>
      <w:pPr>
        <w:spacing w:after="0" w:line="126" w:lineRule="exact"/>
        <w:rPr>
          <w:sz w:val="20"/>
          <w:szCs w:val="20"/>
          <w:color w:val="auto"/>
        </w:rPr>
      </w:pPr>
    </w:p>
    <w:p>
      <w:pPr>
        <w:jc w:val="both"/>
        <w:ind w:firstLine="303"/>
        <w:spacing w:after="0" w:line="211" w:lineRule="auto"/>
        <w:rPr>
          <w:sz w:val="20"/>
          <w:szCs w:val="20"/>
          <w:color w:val="auto"/>
        </w:rPr>
      </w:pPr>
      <w:r>
        <w:rPr>
          <w:rFonts w:ascii="Arial" w:cs="Arial" w:eastAsia="Arial" w:hAnsi="Arial"/>
          <w:sz w:val="14"/>
          <w:szCs w:val="14"/>
          <w:i w:val="1"/>
          <w:iCs w:val="1"/>
          <w:color w:val="auto"/>
        </w:rPr>
        <w:t>VelociSuite</w:t>
      </w:r>
      <w:r>
        <w:rPr>
          <w:rFonts w:ascii="Arial" w:cs="Arial" w:eastAsia="Arial" w:hAnsi="Arial"/>
          <w:sz w:val="23"/>
          <w:szCs w:val="23"/>
          <w:i w:val="1"/>
          <w:iCs w:val="1"/>
          <w:color w:val="auto"/>
          <w:vertAlign w:val="superscript"/>
        </w:rPr>
        <w:t>TM</w:t>
      </w:r>
      <w:r>
        <w:rPr>
          <w:rFonts w:ascii="Arial" w:cs="Arial" w:eastAsia="Arial" w:hAnsi="Arial"/>
          <w:sz w:val="14"/>
          <w:szCs w:val="14"/>
          <w:i w:val="1"/>
          <w:iCs w:val="1"/>
          <w:color w:val="auto"/>
        </w:rPr>
        <w:t xml:space="preserve"> </w:t>
      </w:r>
      <w:r>
        <w:rPr>
          <w:rFonts w:ascii="Arial" w:cs="Arial" w:eastAsia="Arial" w:hAnsi="Arial"/>
          <w:sz w:val="14"/>
          <w:szCs w:val="14"/>
          <w:color w:val="auto"/>
        </w:rPr>
        <w:t>consists of</w:t>
      </w:r>
      <w:r>
        <w:rPr>
          <w:rFonts w:ascii="Arial" w:cs="Arial" w:eastAsia="Arial" w:hAnsi="Arial"/>
          <w:sz w:val="14"/>
          <w:szCs w:val="14"/>
          <w:i w:val="1"/>
          <w:iCs w:val="1"/>
          <w:color w:val="auto"/>
        </w:rPr>
        <w:t xml:space="preserve"> VelocImmune</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VelociGene</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VelociMouse</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and VelociMab</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The</w:t>
      </w:r>
      <w:r>
        <w:rPr>
          <w:rFonts w:ascii="Arial" w:cs="Arial" w:eastAsia="Arial" w:hAnsi="Arial"/>
          <w:sz w:val="14"/>
          <w:szCs w:val="14"/>
          <w:i w:val="1"/>
          <w:iCs w:val="1"/>
          <w:color w:val="auto"/>
        </w:rPr>
        <w:t xml:space="preserve"> VelocImmune</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mouse platform is utilized to produce fully human monoclonal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antibodies.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was generated by exploiting our </w:t>
      </w:r>
      <w:r>
        <w:rPr>
          <w:rFonts w:ascii="Arial" w:cs="Arial" w:eastAsia="Arial" w:hAnsi="Arial"/>
          <w:sz w:val="14"/>
          <w:szCs w:val="14"/>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 (see below), in a process in which six megabases of mouse immune gene loci were replaced, or “humanized,” with corresponding human immune gene loci.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mice can be used to generate efficiently fully human monoclonal antibodies to targets of therapeutic interest.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and our entire </w:t>
      </w:r>
      <w:r>
        <w:rPr>
          <w:rFonts w:ascii="Arial" w:cs="Arial" w:eastAsia="Arial" w:hAnsi="Arial"/>
          <w:sz w:val="14"/>
          <w:szCs w:val="14"/>
          <w:i w:val="1"/>
          <w:iCs w:val="1"/>
          <w:color w:val="auto"/>
        </w:rPr>
        <w:t>VelociSuite</w:t>
      </w:r>
      <w:r>
        <w:rPr>
          <w:rFonts w:ascii="Arial" w:cs="Arial" w:eastAsia="Arial" w:hAnsi="Arial"/>
          <w:sz w:val="23"/>
          <w:szCs w:val="23"/>
          <w:i w:val="1"/>
          <w:iCs w:val="1"/>
          <w:color w:val="auto"/>
          <w:vertAlign w:val="superscript"/>
        </w:rPr>
        <w:t>TM</w:t>
      </w:r>
      <w:r>
        <w:rPr>
          <w:rFonts w:ascii="Arial" w:cs="Arial" w:eastAsia="Arial" w:hAnsi="Arial"/>
          <w:sz w:val="14"/>
          <w:szCs w:val="14"/>
          <w:color w:val="auto"/>
        </w:rPr>
        <w:t xml:space="preserve"> offer the potential to increase the speed and efficiency through which human monoclonal antibody therapeutics may be</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 xml:space="preserve">discovered and validated, thereby improving the overall efficiency of our early stage drug development activities. We are utilizing the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to produce our next generation of drug candidates for preclinical and clinical development.</w:t>
      </w:r>
    </w:p>
    <w:p>
      <w:pPr>
        <w:spacing w:after="0" w:line="192" w:lineRule="exact"/>
        <w:rPr>
          <w:sz w:val="20"/>
          <w:szCs w:val="20"/>
          <w:color w:val="auto"/>
        </w:rPr>
      </w:pPr>
    </w:p>
    <w:p>
      <w:pPr>
        <w:jc w:val="both"/>
        <w:ind w:right="20" w:firstLine="303"/>
        <w:spacing w:after="0" w:line="242"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4"/>
          <w:szCs w:val="14"/>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offers the</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 xml:space="preserve">opportunity to humanize targets by replacing the mouse gene with the human homolog. Thus, </w:t>
      </w:r>
      <w:r>
        <w:rPr>
          <w:rFonts w:ascii="Arial" w:cs="Arial" w:eastAsia="Arial" w:hAnsi="Arial"/>
          <w:sz w:val="16"/>
          <w:szCs w:val="16"/>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allows scientists to rapidly identify the physical and biological effects of deleting or over-expressing the target gene, as well as to characterize and test potential therapeutic molecules.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11" w:name="page12"/>
    <w:bookmarkEnd w:id="11"/>
    <w:p>
      <w:pPr>
        <w:jc w:val="both"/>
        <w:ind w:right="20" w:firstLine="279"/>
        <w:spacing w:after="0" w:line="241"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VelociMouse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5"/>
          <w:szCs w:val="15"/>
          <w:color w:val="auto"/>
        </w:rPr>
        <w:t xml:space="preserve">transmission. Furthermore, mice developed using our </w:t>
      </w:r>
      <w:r>
        <w:rPr>
          <w:rFonts w:ascii="Arial" w:cs="Arial" w:eastAsia="Arial" w:hAnsi="Arial"/>
          <w:sz w:val="15"/>
          <w:szCs w:val="15"/>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technology are suitable for direct phenotyping or other studies. We have also developed our </w:t>
      </w:r>
      <w:r>
        <w:rPr>
          <w:rFonts w:ascii="Arial" w:cs="Arial" w:eastAsia="Arial" w:hAnsi="Arial"/>
          <w:sz w:val="15"/>
          <w:szCs w:val="15"/>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platform for the rapid screening of antibodies and rapid generation of expression cell lines for our Traps and our </w:t>
      </w:r>
      <w:r>
        <w:rPr>
          <w:rFonts w:ascii="Arial" w:cs="Arial" w:eastAsia="Arial" w:hAnsi="Arial"/>
          <w:sz w:val="15"/>
          <w:szCs w:val="15"/>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human monoclonal antibodies.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Antibody Collaboration and License Agreements</w:t>
      </w:r>
    </w:p>
    <w:p>
      <w:pPr>
        <w:spacing w:after="0" w:line="229" w:lineRule="exact"/>
        <w:rPr>
          <w:sz w:val="20"/>
          <w:szCs w:val="20"/>
          <w:color w:val="auto"/>
        </w:rPr>
      </w:pPr>
    </w:p>
    <w:p>
      <w:pPr>
        <w:jc w:val="both"/>
        <w:ind w:right="20" w:firstLine="328"/>
        <w:spacing w:after="0" w:line="279" w:lineRule="auto"/>
        <w:rPr>
          <w:sz w:val="20"/>
          <w:szCs w:val="20"/>
          <w:color w:val="auto"/>
        </w:rPr>
      </w:pPr>
      <w:r>
        <w:rPr>
          <w:rFonts w:ascii="Arial" w:cs="Arial" w:eastAsia="Arial" w:hAnsi="Arial"/>
          <w:sz w:val="15"/>
          <w:szCs w:val="15"/>
          <w:b w:val="1"/>
          <w:bCs w:val="1"/>
          <w:color w:val="auto"/>
        </w:rPr>
        <w:t xml:space="preserve">Sanofi. </w:t>
      </w:r>
      <w:r>
        <w:rPr>
          <w:rFonts w:ascii="Arial" w:cs="Arial" w:eastAsia="Arial" w:hAnsi="Arial"/>
          <w:sz w:val="15"/>
          <w:szCs w:val="15"/>
          <w:color w:val="auto"/>
        </w:rPr>
        <w:t>In November 2007, we and Sanofi entered into a global, strategic collaboration to discover, develop, and commercialize fully human monoclonal antibodies. The</w:t>
      </w:r>
      <w:r>
        <w:rPr>
          <w:rFonts w:ascii="Arial" w:cs="Arial" w:eastAsia="Arial" w:hAnsi="Arial"/>
          <w:sz w:val="15"/>
          <w:szCs w:val="15"/>
          <w:b w:val="1"/>
          <w:bCs w:val="1"/>
          <w:color w:val="auto"/>
        </w:rPr>
        <w:t xml:space="preserve"> </w:t>
      </w:r>
      <w:r>
        <w:rPr>
          <w:rFonts w:ascii="Arial" w:cs="Arial" w:eastAsia="Arial" w:hAnsi="Arial"/>
          <w:sz w:val="15"/>
          <w:szCs w:val="15"/>
          <w:color w:val="auto"/>
        </w:rPr>
        <w:t>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185" w:lineRule="exact"/>
        <w:rPr>
          <w:sz w:val="20"/>
          <w:szCs w:val="20"/>
          <w:color w:val="auto"/>
        </w:rPr>
      </w:pPr>
    </w:p>
    <w:p>
      <w:pPr>
        <w:jc w:val="both"/>
        <w:ind w:right="20" w:firstLine="352"/>
        <w:spacing w:after="0" w:line="301" w:lineRule="auto"/>
        <w:rPr>
          <w:sz w:val="20"/>
          <w:szCs w:val="20"/>
          <w:color w:val="auto"/>
        </w:rPr>
      </w:pPr>
      <w:r>
        <w:rPr>
          <w:rFonts w:ascii="Arial" w:cs="Arial" w:eastAsia="Arial" w:hAnsi="Arial"/>
          <w:sz w:val="14"/>
          <w:szCs w:val="14"/>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172" w:lineRule="exact"/>
        <w:rPr>
          <w:sz w:val="20"/>
          <w:szCs w:val="20"/>
          <w:color w:val="auto"/>
        </w:rPr>
      </w:pPr>
    </w:p>
    <w:p>
      <w:pPr>
        <w:jc w:val="both"/>
        <w:ind w:firstLine="243"/>
        <w:spacing w:after="0" w:line="309" w:lineRule="auto"/>
        <w:rPr>
          <w:sz w:val="20"/>
          <w:szCs w:val="20"/>
          <w:color w:val="auto"/>
        </w:rPr>
      </w:pPr>
      <w:r>
        <w:rPr>
          <w:rFonts w:ascii="Arial" w:cs="Arial" w:eastAsia="Arial" w:hAnsi="Arial"/>
          <w:sz w:val="14"/>
          <w:szCs w:val="14"/>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166" w:lineRule="exact"/>
        <w:rPr>
          <w:sz w:val="20"/>
          <w:szCs w:val="20"/>
          <w:color w:val="auto"/>
        </w:rPr>
      </w:pPr>
    </w:p>
    <w:p>
      <w:pPr>
        <w:jc w:val="both"/>
        <w:ind w:right="20" w:firstLine="267"/>
        <w:spacing w:after="0" w:line="274" w:lineRule="auto"/>
        <w:rPr>
          <w:sz w:val="20"/>
          <w:szCs w:val="20"/>
          <w:color w:val="auto"/>
        </w:rPr>
      </w:pPr>
      <w:r>
        <w:rPr>
          <w:rFonts w:ascii="Arial" w:cs="Arial" w:eastAsia="Arial" w:hAnsi="Arial"/>
          <w:sz w:val="16"/>
          <w:szCs w:val="16"/>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187"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is also obligated to fund up to $30 million of agreed-upon costs we incur to expand our manufacturing capacity at our Rensselaer, New York facilities.</w:t>
      </w:r>
    </w:p>
    <w:p>
      <w:pPr>
        <w:spacing w:after="0" w:line="201" w:lineRule="exact"/>
        <w:rPr>
          <w:sz w:val="20"/>
          <w:szCs w:val="20"/>
          <w:color w:val="auto"/>
        </w:rPr>
      </w:pPr>
    </w:p>
    <w:p>
      <w:pPr>
        <w:jc w:val="both"/>
        <w:ind w:right="20" w:firstLine="267"/>
        <w:spacing w:after="0" w:line="348" w:lineRule="auto"/>
        <w:rPr>
          <w:sz w:val="20"/>
          <w:szCs w:val="20"/>
          <w:color w:val="auto"/>
        </w:rPr>
      </w:pPr>
      <w:r>
        <w:rPr>
          <w:rFonts w:ascii="Arial" w:cs="Arial" w:eastAsia="Arial" w:hAnsi="Arial"/>
          <w:sz w:val="14"/>
          <w:szCs w:val="14"/>
          <w:color w:val="auto"/>
        </w:rPr>
        <w:t>In 2010, as we scaled up our capacity to conduct antibody discovery activities, Sanofi funded $137.7 million of our preclinical research under the expanded collaboration. The balance between that amount and $160 million, or $22.3 million, has been added to the funding otherwise available to us in 2011-2012 under the amended discovery agreement.</w:t>
      </w:r>
    </w:p>
    <w:p>
      <w:pPr>
        <w:spacing w:after="0" w:line="14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From the collaboration's inception in November 2007 through December 31, 2011, Sanofi has funded a total of $474.6 million of our costs under the discovery agreement and a total of $400.4 million of our development costs under the license agreement, or a total of $875.0 million in funding for our antibody research and development activities during this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2" w:name="page13"/>
    <w:bookmarkEnd w:id="12"/>
    <w:p>
      <w:pPr>
        <w:jc w:val="both"/>
        <w:ind w:firstLine="243"/>
        <w:spacing w:after="0" w:line="230" w:lineRule="auto"/>
        <w:rPr>
          <w:sz w:val="20"/>
          <w:szCs w:val="20"/>
          <w:color w:val="auto"/>
        </w:rPr>
      </w:pPr>
      <w:r>
        <w:rPr>
          <w:rFonts w:ascii="Arial" w:cs="Arial" w:eastAsia="Arial" w:hAnsi="Arial"/>
          <w:sz w:val="16"/>
          <w:szCs w:val="16"/>
          <w:color w:val="auto"/>
        </w:rPr>
        <w:t xml:space="preserve">In August 2008, we entered into an agreement with Sanofi to use our </w:t>
      </w:r>
      <w:r>
        <w:rPr>
          <w:rFonts w:ascii="Arial" w:cs="Arial" w:eastAsia="Arial" w:hAnsi="Arial"/>
          <w:sz w:val="16"/>
          <w:szCs w:val="16"/>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platform to supply Sanofi with genetically modified mammalian models of gene function and disease. Under this agreement, Sanofi is required to pay us a minimum of $21.5 million for the term of the agreement, which extends through December 2012, for knock-out and transgenic models of gene function for target genes identified by Sanofi. Sanofi will use these models for its internal research programs that are outside of the scope of our antibody collaboration.</w:t>
      </w:r>
    </w:p>
    <w:p>
      <w:pPr>
        <w:spacing w:after="0" w:line="192" w:lineRule="exact"/>
        <w:rPr>
          <w:sz w:val="20"/>
          <w:szCs w:val="20"/>
          <w:color w:val="auto"/>
        </w:rPr>
      </w:pPr>
    </w:p>
    <w:p>
      <w:pPr>
        <w:jc w:val="both"/>
        <w:ind w:right="20" w:firstLine="303"/>
        <w:spacing w:after="0" w:line="283" w:lineRule="auto"/>
        <w:rPr>
          <w:sz w:val="20"/>
          <w:szCs w:val="20"/>
          <w:color w:val="auto"/>
        </w:rPr>
      </w:pPr>
      <w:r>
        <w:rPr>
          <w:rFonts w:ascii="Arial" w:cs="Arial" w:eastAsia="Arial" w:hAnsi="Arial"/>
          <w:sz w:val="14"/>
          <w:szCs w:val="14"/>
          <w:b w:val="1"/>
          <w:bCs w:val="1"/>
          <w:color w:val="auto"/>
        </w:rPr>
        <w:t xml:space="preserve">Astellas Pharma Inc. </w:t>
      </w:r>
      <w:r>
        <w:rPr>
          <w:rFonts w:ascii="Arial" w:cs="Arial" w:eastAsia="Arial" w:hAnsi="Arial"/>
          <w:sz w:val="14"/>
          <w:szCs w:val="14"/>
          <w:color w:val="auto"/>
        </w:rPr>
        <w:t>In March 2007, we entered into a six-year, non-exclusive license agreement with Astellas Pharma Inc. to allow Astellas to utilize our</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technology in its internal research programs to discover human monoclonal antibodies. Under the terms of the agreement, Astellas made a $20.0 million 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w:t>
      </w:r>
    </w:p>
    <w:p>
      <w:pPr>
        <w:spacing w:after="0" w:line="75" w:lineRule="exact"/>
        <w:rPr>
          <w:sz w:val="20"/>
          <w:szCs w:val="20"/>
          <w:color w:val="auto"/>
        </w:rPr>
      </w:pPr>
    </w:p>
    <w:p>
      <w:pPr>
        <w:jc w:val="both"/>
        <w:ind w:right="20" w:firstLine="279"/>
        <w:spacing w:after="0" w:line="264" w:lineRule="auto"/>
        <w:rPr>
          <w:sz w:val="20"/>
          <w:szCs w:val="20"/>
          <w:color w:val="auto"/>
        </w:rPr>
      </w:pPr>
      <w:r>
        <w:rPr>
          <w:rFonts w:ascii="Arial" w:cs="Arial" w:eastAsia="Arial" w:hAnsi="Arial"/>
          <w:sz w:val="14"/>
          <w:szCs w:val="14"/>
          <w:b w:val="1"/>
          <w:bCs w:val="1"/>
          <w:color w:val="auto"/>
        </w:rPr>
        <w:t xml:space="preserve">AstraZeneca UK Limited. </w:t>
      </w:r>
      <w:r>
        <w:rPr>
          <w:rFonts w:ascii="Arial" w:cs="Arial" w:eastAsia="Arial" w:hAnsi="Arial"/>
          <w:sz w:val="14"/>
          <w:szCs w:val="14"/>
          <w:color w:val="auto"/>
        </w:rPr>
        <w:t>In February 2007, we entered into a six-year, non-exclusive license agreement with AstraZeneca UK Limited to allow AstraZeneca to utilize our</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in its internal research programs to discover human monoclonal antibodies. Under the terms of the agreement, AstraZeneca made a $20.0 million annual,</w:t>
      </w:r>
      <w:r>
        <w:rPr>
          <w:rFonts w:ascii="Arial" w:cs="Arial" w:eastAsia="Arial" w:hAnsi="Arial"/>
          <w:sz w:val="14"/>
          <w:szCs w:val="14"/>
          <w:i w:val="1"/>
          <w:iCs w:val="1"/>
          <w:color w:val="auto"/>
        </w:rPr>
        <w:t xml:space="preserve"> </w:t>
      </w:r>
      <w:r>
        <w:rPr>
          <w:rFonts w:ascii="Arial" w:cs="Arial" w:eastAsia="Arial" w:hAnsi="Arial"/>
          <w:sz w:val="14"/>
          <w:szCs w:val="14"/>
          <w:color w:val="auto"/>
        </w:rPr>
        <w:t>non-refundable payment to us in each of the first quarters of 2007, 2008, 2009, and 2010. In November 2010, as permitted by the agreement, MedImmune Limited (as successor by novation from AstraZeneca) gave written notice of voluntary termination of the agreement, effective in February 2011, thereby canceling its obligation to make either of the final</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 xml:space="preserve">two annual payments. We remain entitled to receive a mid-single digit royalty on any future sales of antibody products discovered by MedImmune using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Royalty Agreement with Novartis Pharma AG</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6"/>
          <w:szCs w:val="16"/>
          <w:color w:val="auto"/>
        </w:rPr>
        <w:t>Under a June 2009 agreement with Novartis (that replaced a previous collaboration and license agreement), we receive royalties on worldwide sales of Novartis’ canakinumab, a fully human anti-interleukin-IL1β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We are unable to predict whether canakinumab will be approved for gout or any other indication in addition to CAPS, or whether, even if approved, canakinumab for such indication(s) will be successfully commercialized. Accordingly, we are unable to predict whether these royalties will ever contribute materially to our results of operations or financial condition. To date these royalties have been minimal.</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Institutes of Health Grant</w:t>
      </w:r>
    </w:p>
    <w:p>
      <w:pPr>
        <w:spacing w:after="0" w:line="233" w:lineRule="exact"/>
        <w:rPr>
          <w:sz w:val="20"/>
          <w:szCs w:val="20"/>
          <w:color w:val="auto"/>
        </w:rPr>
      </w:pPr>
    </w:p>
    <w:p>
      <w:pPr>
        <w:jc w:val="both"/>
        <w:ind w:right="20" w:firstLine="279"/>
        <w:spacing w:after="0" w:line="260" w:lineRule="auto"/>
        <w:rPr>
          <w:sz w:val="20"/>
          <w:szCs w:val="20"/>
          <w:color w:val="auto"/>
        </w:rPr>
      </w:pPr>
      <w:r>
        <w:rPr>
          <w:rFonts w:ascii="Arial" w:cs="Arial" w:eastAsia="Arial" w:hAnsi="Arial"/>
          <w:sz w:val="16"/>
          <w:szCs w:val="16"/>
          <w:color w:val="auto"/>
        </w:rPr>
        <w:t>In September 2006, we were awarded a five-year grant from the National Institutes of Health (NIH) as part of the NIH’s Knockout Mouse Project. The goal of the Knockout Mouse Project was to build a comprehensive and broadly available resource of knockout mice to accelerate the understanding of gene function and human diseases. Under the NIH grant, as amended, amounts received or receivable by us from the grant’s inception through December 31, 2011 totaled $25.1 million. No further funding will be received by us in connection with the NIH Grant.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Programs</w:t>
      </w:r>
    </w:p>
    <w:p>
      <w:pPr>
        <w:spacing w:after="0" w:line="233"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6"/>
          <w:szCs w:val="16"/>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33" w:lineRule="exact"/>
        <w:rPr>
          <w:sz w:val="20"/>
          <w:szCs w:val="20"/>
          <w:color w:val="auto"/>
        </w:rPr>
      </w:pPr>
    </w:p>
    <w:p>
      <w:pPr>
        <w:jc w:val="both"/>
        <w:ind w:firstLine="303"/>
        <w:spacing w:after="0" w:line="264" w:lineRule="auto"/>
        <w:rPr>
          <w:sz w:val="20"/>
          <w:szCs w:val="20"/>
          <w:color w:val="auto"/>
        </w:rPr>
      </w:pPr>
      <w:r>
        <w:rPr>
          <w:rFonts w:ascii="Arial" w:cs="Arial" w:eastAsia="Arial" w:hAnsi="Arial"/>
          <w:sz w:val="16"/>
          <w:szCs w:val="16"/>
          <w:color w:val="auto"/>
        </w:rPr>
        <w:t>We have a New Products Marketing and Planning group and a Market Research group to evaluate commercial opportunities for our targets and drug candidates, assess the competitive environment, and analyze the commercial potential of our product portfolio. This group works in close collaboration with our collaborators for co-developed products to develop marketing plans and forecasts and to develop and execute pre-launch market development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3" w:name="page14"/>
    <w:bookmarkEnd w:id="13"/>
    <w:p>
      <w:pPr>
        <w:jc w:val="both"/>
        <w:ind w:left="3" w:right="20" w:firstLine="267"/>
        <w:spacing w:after="0" w:line="212" w:lineRule="auto"/>
        <w:rPr>
          <w:sz w:val="20"/>
          <w:szCs w:val="20"/>
          <w:color w:val="auto"/>
        </w:rPr>
      </w:pPr>
      <w:r>
        <w:rPr>
          <w:rFonts w:ascii="Arial" w:cs="Arial" w:eastAsia="Arial" w:hAnsi="Arial"/>
          <w:sz w:val="16"/>
          <w:szCs w:val="16"/>
          <w:color w:val="auto"/>
        </w:rPr>
        <w:t>In connection with the sales and marketing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CAPS, we have a small marketing, trade, reimbursement, and distribution group to provide case management and reimbursement services to patients with CAPS and their treating physicians.</w:t>
      </w:r>
    </w:p>
    <w:p>
      <w:pPr>
        <w:spacing w:after="0" w:line="192" w:lineRule="exact"/>
        <w:rPr>
          <w:sz w:val="20"/>
          <w:szCs w:val="20"/>
          <w:color w:val="auto"/>
        </w:rPr>
      </w:pPr>
    </w:p>
    <w:p>
      <w:pPr>
        <w:jc w:val="both"/>
        <w:ind w:left="3" w:right="20" w:firstLine="291"/>
        <w:spacing w:after="0" w:line="237" w:lineRule="auto"/>
        <w:rPr>
          <w:sz w:val="20"/>
          <w:szCs w:val="20"/>
          <w:color w:val="auto"/>
        </w:rPr>
      </w:pPr>
      <w:r>
        <w:rPr>
          <w:rFonts w:ascii="Arial" w:cs="Arial" w:eastAsia="Arial" w:hAnsi="Arial"/>
          <w:sz w:val="16"/>
          <w:szCs w:val="16"/>
          <w:color w:val="auto"/>
        </w:rPr>
        <w:t>In preparation for the launch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wet AMD in 2011, we hired and trained a full-service commercialization group to execute the launch of EYLEA</w:t>
      </w:r>
      <w:r>
        <w:rPr>
          <w:rFonts w:ascii="Arial" w:cs="Arial" w:eastAsia="Arial" w:hAnsi="Arial"/>
          <w:sz w:val="26"/>
          <w:szCs w:val="26"/>
          <w:color w:val="auto"/>
          <w:vertAlign w:val="superscript"/>
        </w:rPr>
        <w:t>®</w:t>
      </w:r>
      <w:r>
        <w:rPr>
          <w:rFonts w:ascii="Arial" w:cs="Arial" w:eastAsia="Arial" w:hAnsi="Arial"/>
          <w:sz w:val="16"/>
          <w:szCs w:val="16"/>
          <w:color w:val="auto"/>
        </w:rPr>
        <w:t>. The group includes experienced professionals in the fields of marketing, communications, professional education, patient education and advocacy, reimbursement and managed markets, trade and distribution, commercial operations, commercial analytics, market research, and forecasting. Moreover, we have hired, trained, and deployed a field-based organization of approximately 75 individuals, including regional sales directors, medical sales specialists, and reimbursement managers, each with 7+ years of experience in the biopharmaceutical industry in a variety of therapeutic areas including oncology, ophthalmology, immunology, and inflammation. We outsource the warehousing and distribution of our finished drug products.</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Manufacturing</w:t>
      </w:r>
    </w:p>
    <w:p>
      <w:pPr>
        <w:spacing w:after="0" w:line="208" w:lineRule="exact"/>
        <w:rPr>
          <w:sz w:val="20"/>
          <w:szCs w:val="20"/>
          <w:color w:val="auto"/>
        </w:rPr>
      </w:pPr>
    </w:p>
    <w:p>
      <w:pPr>
        <w:jc w:val="both"/>
        <w:ind w:left="3" w:right="20" w:firstLine="234"/>
        <w:spacing w:after="0" w:line="264" w:lineRule="auto"/>
        <w:rPr>
          <w:sz w:val="20"/>
          <w:szCs w:val="20"/>
          <w:color w:val="auto"/>
        </w:rPr>
      </w:pPr>
      <w:r>
        <w:rPr>
          <w:rFonts w:ascii="Arial" w:cs="Arial" w:eastAsia="Arial" w:hAnsi="Arial"/>
          <w:sz w:val="16"/>
          <w:szCs w:val="16"/>
          <w:color w:val="auto"/>
        </w:rPr>
        <w:t>Our manufacturing facilities are located in Rensselaer, New York and consist of three buildings totaling approximately 395,000 square feet of research, manufacturing, office, and warehouse space. We currently have approximately 54,000 liters of cell culture capacity at these facilities. At December 31, 2011, we employed 439 people at our Rensselaer facilities. There were no impairment losses associated with long-lived assets at these facilities as of December 31, 2011.</w:t>
      </w:r>
    </w:p>
    <w:p>
      <w:pPr>
        <w:spacing w:after="0" w:line="194" w:lineRule="exact"/>
        <w:rPr>
          <w:sz w:val="20"/>
          <w:szCs w:val="20"/>
          <w:color w:val="auto"/>
        </w:rPr>
      </w:pPr>
    </w:p>
    <w:p>
      <w:pPr>
        <w:jc w:val="both"/>
        <w:ind w:left="3" w:right="20" w:firstLine="303"/>
        <w:spacing w:after="0" w:line="278" w:lineRule="auto"/>
        <w:rPr>
          <w:sz w:val="20"/>
          <w:szCs w:val="20"/>
          <w:color w:val="auto"/>
        </w:rPr>
      </w:pPr>
      <w:r>
        <w:rPr>
          <w:rFonts w:ascii="Arial" w:cs="Arial" w:eastAsia="Arial" w:hAnsi="Arial"/>
          <w:sz w:val="15"/>
          <w:szCs w:val="15"/>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We are approved to manufacture our marketed products at our Rensselaer facilities. If our manufacturing facilities fail to maintain compliance with FDA and other regulatory requirements, we may be required to suspend manufacturing. This would likely have a material adverse effect on our business, operating results, financial condition, and cash flows.</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Competition</w:t>
      </w:r>
    </w:p>
    <w:p>
      <w:pPr>
        <w:spacing w:after="0" w:line="212" w:lineRule="exact"/>
        <w:rPr>
          <w:sz w:val="20"/>
          <w:szCs w:val="20"/>
          <w:color w:val="auto"/>
        </w:rPr>
      </w:pPr>
    </w:p>
    <w:p>
      <w:pPr>
        <w:jc w:val="both"/>
        <w:ind w:left="3" w:firstLine="267"/>
        <w:spacing w:after="0" w:line="254" w:lineRule="auto"/>
        <w:rPr>
          <w:sz w:val="20"/>
          <w:szCs w:val="20"/>
          <w:color w:val="auto"/>
        </w:rPr>
      </w:pPr>
      <w:r>
        <w:rPr>
          <w:rFonts w:ascii="Arial" w:cs="Arial" w:eastAsia="Arial" w:hAnsi="Arial"/>
          <w:sz w:val="14"/>
          <w:szCs w:val="14"/>
          <w:color w:val="auto"/>
        </w:rPr>
        <w:t>We face substantial competition from pharmaceutical, biotechnology, and chemical companies (see Item 1A. “Risk Factors – Risks Related to Commercialization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and Risks Related to Commercialization of Products”). Our competitors include Genentech (a member of the Roche group), Novartis, Pfizer Inc., Bayer HealthCare, Onyx Pharmaceuticals, Inc., Eli Lilly and Company, Abbott Laboratories, Sanofi, Merck &amp; Co., Inc., Amgen Inc., AstraZeneca, Bristol-Myers Squibb, Johnson</w:t>
      </w:r>
    </w:p>
    <w:p>
      <w:pPr>
        <w:spacing w:after="0" w:line="2" w:lineRule="exact"/>
        <w:rPr>
          <w:sz w:val="20"/>
          <w:szCs w:val="20"/>
          <w:color w:val="auto"/>
        </w:rPr>
      </w:pPr>
    </w:p>
    <w:p>
      <w:pPr>
        <w:jc w:val="both"/>
        <w:ind w:left="3" w:hanging="3"/>
        <w:spacing w:after="0" w:line="275" w:lineRule="auto"/>
        <w:tabs>
          <w:tab w:leader="none" w:pos="165" w:val="left"/>
        </w:tabs>
        <w:numPr>
          <w:ilvl w:val="0"/>
          <w:numId w:val="3"/>
        </w:numPr>
        <w:rPr>
          <w:rFonts w:ascii="Arial" w:cs="Arial" w:eastAsia="Arial" w:hAnsi="Arial"/>
          <w:sz w:val="15"/>
          <w:szCs w:val="15"/>
          <w:color w:val="auto"/>
        </w:rPr>
      </w:pPr>
      <w:r>
        <w:rPr>
          <w:rFonts w:ascii="Arial" w:cs="Arial" w:eastAsia="Arial" w:hAnsi="Arial"/>
          <w:sz w:val="15"/>
          <w:szCs w:val="15"/>
          <w:color w:val="auto"/>
        </w:rPr>
        <w:t>Johnson, GlaxoSmithKline,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will depend, to a great extent,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67" w:lineRule="exact"/>
        <w:rPr>
          <w:sz w:val="20"/>
          <w:szCs w:val="20"/>
          <w:color w:val="auto"/>
        </w:rPr>
      </w:pPr>
    </w:p>
    <w:p>
      <w:pPr>
        <w:jc w:val="both"/>
        <w:ind w:left="3" w:right="20" w:firstLine="303"/>
        <w:spacing w:after="0" w:line="213" w:lineRule="auto"/>
        <w:rPr>
          <w:sz w:val="20"/>
          <w:szCs w:val="20"/>
          <w:color w:val="auto"/>
        </w:rPr>
      </w:pPr>
      <w:r>
        <w:rPr>
          <w:rFonts w:ascii="Arial" w:cs="Arial" w:eastAsia="Arial" w:hAnsi="Arial"/>
          <w:sz w:val="14"/>
          <w:szCs w:val="14"/>
          <w:i w:val="1"/>
          <w:iCs w:val="1"/>
          <w:color w:val="auto"/>
        </w:rPr>
        <w:t>EYLEA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market for eye disease products is very competitive. Novartis and Genentech are collaborating on the commercialization and further development of a VEGF</w:t>
      </w:r>
      <w:r>
        <w:rPr>
          <w:rFonts w:ascii="Arial" w:cs="Arial" w:eastAsia="Arial" w:hAnsi="Arial"/>
          <w:sz w:val="14"/>
          <w:szCs w:val="14"/>
          <w:i w:val="1"/>
          <w:iCs w:val="1"/>
          <w:color w:val="auto"/>
        </w:rPr>
        <w:t xml:space="preserve"> </w:t>
      </w:r>
      <w:r>
        <w:rPr>
          <w:rFonts w:ascii="Arial" w:cs="Arial" w:eastAsia="Arial" w:hAnsi="Arial"/>
          <w:sz w:val="14"/>
          <w:szCs w:val="14"/>
          <w:color w:val="auto"/>
        </w:rPr>
        <w:t>antibody fragment (Lucentis</w:t>
      </w:r>
      <w:r>
        <w:rPr>
          <w:rFonts w:ascii="Arial" w:cs="Arial" w:eastAsia="Arial" w:hAnsi="Arial"/>
          <w:sz w:val="23"/>
          <w:szCs w:val="23"/>
          <w:color w:val="auto"/>
          <w:vertAlign w:val="superscript"/>
        </w:rPr>
        <w:t>®</w:t>
      </w:r>
      <w:r>
        <w:rPr>
          <w:rFonts w:ascii="Arial" w:cs="Arial" w:eastAsia="Arial" w:hAnsi="Arial"/>
          <w:sz w:val="14"/>
          <w:szCs w:val="14"/>
          <w:color w:val="auto"/>
        </w:rPr>
        <w:t>) for the treatment of wet AMD, DME, RVO, and other eye indications.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approved by the FDA in June 2006 for the treatment of wet</w:t>
      </w:r>
    </w:p>
    <w:p>
      <w:pPr>
        <w:spacing w:after="0" w:line="2" w:lineRule="exact"/>
        <w:rPr>
          <w:sz w:val="20"/>
          <w:szCs w:val="20"/>
          <w:color w:val="auto"/>
        </w:rPr>
      </w:pPr>
    </w:p>
    <w:p>
      <w:pPr>
        <w:jc w:val="both"/>
        <w:ind w:left="3"/>
        <w:spacing w:after="0" w:line="264" w:lineRule="auto"/>
        <w:rPr>
          <w:sz w:val="20"/>
          <w:szCs w:val="20"/>
          <w:color w:val="auto"/>
        </w:rPr>
      </w:pPr>
      <w:r>
        <w:rPr>
          <w:rFonts w:ascii="Arial" w:cs="Arial" w:eastAsia="Arial" w:hAnsi="Arial"/>
          <w:sz w:val="14"/>
          <w:szCs w:val="14"/>
          <w:color w:val="auto"/>
        </w:rPr>
        <w:t>AMD and in June 2010 for the treatment of macular edema following retinal vein occlusion (RVO).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approved by the European Medicines Agency (EMA) for wet AMD in January 2007, for the treatment of DME in January 2011, and for the treatment of RVO in June 2011. Many other companies, including Genentech, are working on the development of product candidates and extended delivery devices for the potential treatment of wet AMD, DME, and RVO including those that act by blocking VEGF and VEGF receptors, as well as use of small interfering ribonucleic acids (siRNAs) that modulate gene expression. For example, in January, 2012, Genentech submitted an IND for an extended delivery device. In addition, ophthalmologists are using off-label, with success for the treatment of wet AMD, DME, and RVO, a third-party repackaged version of Genentech’s</w:t>
      </w:r>
    </w:p>
    <w:p>
      <w:pPr>
        <w:spacing w:after="0" w:line="1" w:lineRule="exact"/>
        <w:rPr>
          <w:sz w:val="20"/>
          <w:szCs w:val="20"/>
          <w:color w:val="auto"/>
        </w:rPr>
      </w:pPr>
    </w:p>
    <w:p>
      <w:pPr>
        <w:jc w:val="both"/>
        <w:ind w:left="3"/>
        <w:spacing w:after="0" w:line="209" w:lineRule="auto"/>
        <w:rPr>
          <w:sz w:val="20"/>
          <w:szCs w:val="20"/>
          <w:color w:val="auto"/>
        </w:rPr>
      </w:pPr>
      <w:r>
        <w:rPr>
          <w:rFonts w:ascii="Arial" w:cs="Arial" w:eastAsia="Arial" w:hAnsi="Arial"/>
          <w:sz w:val="14"/>
          <w:szCs w:val="14"/>
          <w:color w:val="auto"/>
        </w:rPr>
        <w:t>approved VEGF antagonist,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(bevacizumab). The relatively low cost of therapy with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patients with wet AMD presents a significant competitive challenge in this indication. The National Eye Institute (NEI) and others are conducting long-term, controlled clinical trials comparing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was non-inferior to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in the primary efficacy endpoint of mean visual acuity gain at 52 weeks.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also being evaluated in eye diseases in trials that have been initiated in the United Kingdom, Canada, Brazil, Mexico, Germany, Israel, and other areas. It may be difficult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compete in this or other eye indications for which it may be approved against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off-label use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because doctors and patients have had significant experience using these medicines and because of the relatively low cost of Avastin</w:t>
      </w:r>
      <w:r>
        <w:rPr>
          <w:rFonts w:ascii="Arial" w:cs="Arial" w:eastAsia="Arial" w:hAnsi="Arial"/>
          <w:sz w:val="23"/>
          <w:szCs w:val="23"/>
          <w:color w:val="auto"/>
          <w:vertAlign w:val="superscript"/>
        </w:rPr>
        <w:t>®</w:t>
      </w:r>
      <w:r>
        <w:rPr>
          <w:rFonts w:ascii="Arial" w:cs="Arial" w:eastAsia="Arial" w:hAnsi="Arial"/>
          <w:sz w:val="14"/>
          <w:szCs w:val="14"/>
          <w:color w:val="auto"/>
        </w:rPr>
        <w:t>. Moreover, the recently reported results of the CATT study, combined with the relatively low cost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treating patients with wet AMD, may well exacerbate the competitive challenge which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face in this or other eye indications for which it may be approved. In addition, while we believe that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would not be well tolerated if administered directly to the eye, if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approved for the treatment of certain cancers, there is a risk that third parties will attempt to repackage</w:t>
      </w:r>
    </w:p>
    <w:p>
      <w:pPr>
        <w:spacing w:after="0" w:line="10" w:lineRule="exact"/>
        <w:rPr>
          <w:sz w:val="20"/>
          <w:szCs w:val="20"/>
          <w:color w:val="auto"/>
        </w:rPr>
      </w:pPr>
    </w:p>
    <w:p>
      <w:pPr>
        <w:jc w:val="both"/>
        <w:ind w:left="3" w:right="20"/>
        <w:spacing w:after="0" w:line="218" w:lineRule="auto"/>
        <w:rPr>
          <w:sz w:val="20"/>
          <w:szCs w:val="20"/>
          <w:color w:val="auto"/>
        </w:rPr>
      </w:pPr>
      <w:r>
        <w:rPr>
          <w:rFonts w:ascii="Arial" w:cs="Arial" w:eastAsia="Arial" w:hAnsi="Arial"/>
          <w:sz w:val="15"/>
          <w:szCs w:val="15"/>
          <w:color w:val="auto"/>
        </w:rPr>
        <w:t>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off-label use and sale for the treatment of wet AMD and other diseases of the eye, which would present a potential low-cost competitive threat to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wet AMD or other eye indications.</w:t>
      </w:r>
    </w:p>
    <w:p>
      <w:pPr>
        <w:spacing w:after="0" w:line="18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28091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46" w:right="219" w:bottom="1440" w:gutter="0" w:footer="0" w:header="0"/>
        </w:sectPr>
      </w:pPr>
    </w:p>
    <w:bookmarkStart w:id="14" w:name="page15"/>
    <w:bookmarkEnd w:id="14"/>
    <w:p>
      <w:pPr>
        <w:jc w:val="both"/>
        <w:ind w:right="20" w:firstLine="267"/>
        <w:spacing w:after="0" w:line="255" w:lineRule="auto"/>
        <w:rPr>
          <w:sz w:val="20"/>
          <w:szCs w:val="20"/>
          <w:color w:val="auto"/>
        </w:rPr>
      </w:pPr>
      <w:r>
        <w:rPr>
          <w:rFonts w:ascii="Arial" w:cs="Arial" w:eastAsia="Arial" w:hAnsi="Arial"/>
          <w:sz w:val="14"/>
          <w:szCs w:val="14"/>
          <w:i w:val="1"/>
          <w:iCs w:val="1"/>
          <w:color w:val="auto"/>
        </w:rPr>
        <w:t>ARCALYST</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In 2009, Novartis received regulatory approval in the United States and Europe for canakinumab, a fully human anti-interleukin-IL1ß antibody, for the treatment</w:t>
      </w:r>
      <w:r>
        <w:rPr>
          <w:rFonts w:ascii="Arial" w:cs="Arial" w:eastAsia="Arial" w:hAnsi="Arial"/>
          <w:sz w:val="14"/>
          <w:szCs w:val="14"/>
          <w:i w:val="1"/>
          <w:iCs w:val="1"/>
          <w:color w:val="auto"/>
        </w:rPr>
        <w:t xml:space="preserve"> </w:t>
      </w:r>
      <w:r>
        <w:rPr>
          <w:rFonts w:ascii="Arial" w:cs="Arial" w:eastAsia="Arial" w:hAnsi="Arial"/>
          <w:sz w:val="14"/>
          <w:szCs w:val="14"/>
          <w:color w:val="auto"/>
        </w:rPr>
        <w:t>of CAPS. In January 2011, Novartis announced that it had submitted an application to the EMA for approval of canakinumab in the treatment of gout flares. Novartis submitted a supplemental BLA to the FDA in the first quarter of 2011 for approval of canakinumab in gout, which was denied in August 2011 based upon safety concerns. Canakinumab is also in development for atherosclerosis and a number of other inflammatory diseases. In addition, there are both small molecules and antibodies in development by other third parties that are designed to block the synthesis of IL-1 or inhibit the signaling of IL-1. For example, Xoma Ltd., in collaboration with Servier, is developing an antibody to IL-1, and both Amgen and MedImmune are developing antibodies to the IL-1 receptor. These drug candidates could offer competitive advantages over ARCALYST</w:t>
      </w:r>
      <w:r>
        <w:rPr>
          <w:rFonts w:ascii="Arial" w:cs="Arial" w:eastAsia="Arial" w:hAnsi="Arial"/>
          <w:sz w:val="23"/>
          <w:szCs w:val="23"/>
          <w:color w:val="auto"/>
          <w:vertAlign w:val="superscript"/>
        </w:rPr>
        <w:t>®</w:t>
      </w:r>
      <w:r>
        <w:rPr>
          <w:rFonts w:ascii="Arial" w:cs="Arial" w:eastAsia="Arial" w:hAnsi="Arial"/>
          <w:sz w:val="14"/>
          <w:szCs w:val="14"/>
          <w:color w:val="auto"/>
        </w:rPr>
        <w:t>. The successful development</w:t>
      </w:r>
    </w:p>
    <w:p>
      <w:pPr>
        <w:spacing w:after="0" w:line="2" w:lineRule="exact"/>
        <w:rPr>
          <w:sz w:val="20"/>
          <w:szCs w:val="20"/>
          <w:color w:val="auto"/>
        </w:rPr>
      </w:pPr>
    </w:p>
    <w:p>
      <w:pPr>
        <w:jc w:val="both"/>
        <w:ind w:right="20"/>
        <w:spacing w:after="0" w:line="181" w:lineRule="auto"/>
        <w:rPr>
          <w:sz w:val="20"/>
          <w:szCs w:val="20"/>
          <w:color w:val="auto"/>
        </w:rPr>
      </w:pPr>
      <w:r>
        <w:rPr>
          <w:rFonts w:ascii="Arial" w:cs="Arial" w:eastAsia="Arial" w:hAnsi="Arial"/>
          <w:sz w:val="15"/>
          <w:szCs w:val="15"/>
          <w:color w:val="auto"/>
        </w:rPr>
        <w:t>and/or commercialization of these competing molecules could adversely affect sales of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for CAPS and delay or impair our ability to commercialize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for indications other than CAPS.</w:t>
      </w:r>
    </w:p>
    <w:p>
      <w:pPr>
        <w:spacing w:after="0" w:line="193" w:lineRule="exact"/>
        <w:rPr>
          <w:sz w:val="20"/>
          <w:szCs w:val="20"/>
          <w:color w:val="auto"/>
        </w:rPr>
      </w:pPr>
    </w:p>
    <w:p>
      <w:pPr>
        <w:jc w:val="both"/>
        <w:ind w:right="20" w:firstLine="279"/>
        <w:spacing w:after="0" w:line="244" w:lineRule="auto"/>
        <w:rPr>
          <w:sz w:val="20"/>
          <w:szCs w:val="20"/>
          <w:color w:val="auto"/>
        </w:rPr>
      </w:pPr>
      <w:r>
        <w:rPr>
          <w:rFonts w:ascii="Arial" w:cs="Arial" w:eastAsia="Arial" w:hAnsi="Arial"/>
          <w:sz w:val="15"/>
          <w:szCs w:val="15"/>
          <w:i w:val="1"/>
          <w:iCs w:val="1"/>
          <w:color w:val="auto"/>
        </w:rPr>
        <w:t>ZALTRAP</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Many companies are developing therapeutic molecules designed to block the actions of VEGF specifically and angiogenesis in general. A variety of approaches</w:t>
      </w:r>
      <w:r>
        <w:rPr>
          <w:rFonts w:ascii="Arial" w:cs="Arial" w:eastAsia="Arial" w:hAnsi="Arial"/>
          <w:sz w:val="15"/>
          <w:szCs w:val="15"/>
          <w:i w:val="1"/>
          <w:iCs w:val="1"/>
          <w:color w:val="auto"/>
        </w:rPr>
        <w:t xml:space="preserve"> </w:t>
      </w:r>
      <w:r>
        <w:rPr>
          <w:rFonts w:ascii="Arial" w:cs="Arial" w:eastAsia="Arial" w:hAnsi="Arial"/>
          <w:sz w:val="15"/>
          <w:szCs w:val="15"/>
          <w:color w:val="auto"/>
        </w:rPr>
        <w:t>have been employed, including antibodies to VEGF, antibodies to the VEGF receptor, small molecule antagonists to the VEGF receptor tyrosine kinase, and other anti-angiogenesis strategies. Many of these alternative approaches may offer competitive advantages to aflibercept in efficacy, side-effect profile, durability of effect, or method of delivery. Additionally, some of these molecules are already approved for marketing and have a broader range of indications than our product candidate.</w:t>
      </w:r>
    </w:p>
    <w:p>
      <w:pPr>
        <w:spacing w:after="0" w:line="189" w:lineRule="exact"/>
        <w:rPr>
          <w:sz w:val="20"/>
          <w:szCs w:val="20"/>
          <w:color w:val="auto"/>
        </w:rPr>
      </w:pPr>
    </w:p>
    <w:p>
      <w:pPr>
        <w:jc w:val="both"/>
        <w:ind w:right="20" w:firstLine="267"/>
        <w:spacing w:after="0" w:line="241" w:lineRule="auto"/>
        <w:rPr>
          <w:sz w:val="20"/>
          <w:szCs w:val="20"/>
          <w:color w:val="auto"/>
        </w:rPr>
      </w:pPr>
      <w:r>
        <w:rPr>
          <w:rFonts w:ascii="Arial" w:cs="Arial" w:eastAsia="Arial" w:hAnsi="Arial"/>
          <w:sz w:val="14"/>
          <w:szCs w:val="14"/>
          <w:color w:val="auto"/>
        </w:rPr>
        <w:t>In particular, Genentech has an approved VEGF antagonist, Avastin</w:t>
      </w:r>
      <w:r>
        <w:rPr>
          <w:rFonts w:ascii="Arial" w:cs="Arial" w:eastAsia="Arial" w:hAnsi="Arial"/>
          <w:sz w:val="23"/>
          <w:szCs w:val="23"/>
          <w:color w:val="auto"/>
          <w:vertAlign w:val="superscript"/>
        </w:rPr>
        <w:t>®</w:t>
      </w:r>
      <w:r>
        <w:rPr>
          <w:rFonts w:ascii="Arial" w:cs="Arial" w:eastAsia="Arial" w:hAnsi="Arial"/>
          <w:sz w:val="14"/>
          <w:szCs w:val="14"/>
          <w:color w:val="auto"/>
        </w:rPr>
        <w:t>, on the market for treating certain cancers and a number of pharmaceutical and biotechnology companies are working to develop competing VEGF antagonists, including Novartis, Amgen, Imclone LLC/Eli Lilly, Pfizer, AstraZeneca, and GlaxoSmithKline. Many of these molecules are</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5"/>
          <w:szCs w:val="15"/>
          <w:color w:val="auto"/>
        </w:rPr>
        <w:t>further along in development than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may offer competitive advantages over our molecule. Pfizer, Onyx (together with its partner Bayer HealthCare), and GlaxoSmithKline are selling and marketing oral medications that target tumor cell growth and new vasculature formation that fuels the growth of tumors.</w:t>
      </w:r>
    </w:p>
    <w:p>
      <w:pPr>
        <w:spacing w:after="0" w:line="192" w:lineRule="exact"/>
        <w:rPr>
          <w:sz w:val="20"/>
          <w:szCs w:val="20"/>
          <w:color w:val="auto"/>
        </w:rPr>
      </w:pPr>
    </w:p>
    <w:p>
      <w:pPr>
        <w:jc w:val="both"/>
        <w:ind w:right="20" w:firstLine="303"/>
        <w:spacing w:after="0" w:line="223" w:lineRule="auto"/>
        <w:rPr>
          <w:sz w:val="20"/>
          <w:szCs w:val="20"/>
          <w:color w:val="auto"/>
        </w:rPr>
      </w:pPr>
      <w:r>
        <w:rPr>
          <w:rFonts w:ascii="Arial" w:cs="Arial" w:eastAsia="Arial" w:hAnsi="Arial"/>
          <w:sz w:val="15"/>
          <w:szCs w:val="15"/>
          <w:i w:val="1"/>
          <w:iCs w:val="1"/>
          <w:color w:val="auto"/>
        </w:rPr>
        <w:t xml:space="preserve">Monoclonal Antibodies. </w:t>
      </w:r>
      <w:r>
        <w:rPr>
          <w:rFonts w:ascii="Arial" w:cs="Arial" w:eastAsia="Arial" w:hAnsi="Arial"/>
          <w:sz w:val="15"/>
          <w:szCs w:val="15"/>
          <w:color w:val="auto"/>
        </w:rPr>
        <w:t>Our clinical candidates in development are all fully human monoclonal antibodies which were generated using our</w:t>
      </w:r>
      <w:r>
        <w:rPr>
          <w:rFonts w:ascii="Arial" w:cs="Arial" w:eastAsia="Arial" w:hAnsi="Arial"/>
          <w:sz w:val="15"/>
          <w:szCs w:val="15"/>
          <w:i w:val="1"/>
          <w:iCs w:val="1"/>
          <w:color w:val="auto"/>
        </w:rPr>
        <w:t xml:space="preserve"> VelocImmune</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Our</w:t>
      </w:r>
      <w:r>
        <w:rPr>
          <w:rFonts w:ascii="Arial" w:cs="Arial" w:eastAsia="Arial" w:hAnsi="Arial"/>
          <w:sz w:val="15"/>
          <w:szCs w:val="15"/>
          <w:i w:val="1"/>
          <w:iCs w:val="1"/>
          <w:color w:val="auto"/>
        </w:rPr>
        <w:t xml:space="preserve"> </w:t>
      </w:r>
      <w:r>
        <w:rPr>
          <w:rFonts w:ascii="Arial" w:cs="Arial" w:eastAsia="Arial" w:hAnsi="Arial"/>
          <w:sz w:val="15"/>
          <w:szCs w:val="15"/>
          <w:color w:val="auto"/>
        </w:rPr>
        <w:t>antibody generation technologies and clinical candidates face competition from many pharmaceutical and biotechnology companies using various technologies.</w:t>
      </w:r>
    </w:p>
    <w:p>
      <w:pPr>
        <w:spacing w:after="0" w:line="213" w:lineRule="exact"/>
        <w:rPr>
          <w:sz w:val="20"/>
          <w:szCs w:val="20"/>
          <w:color w:val="auto"/>
        </w:rPr>
      </w:pPr>
    </w:p>
    <w:p>
      <w:pPr>
        <w:jc w:val="both"/>
        <w:ind w:right="20" w:firstLine="303"/>
        <w:spacing w:after="0" w:line="294" w:lineRule="auto"/>
        <w:rPr>
          <w:sz w:val="20"/>
          <w:szCs w:val="20"/>
          <w:color w:val="auto"/>
        </w:rPr>
      </w:pPr>
      <w:r>
        <w:rPr>
          <w:rFonts w:ascii="Arial" w:cs="Arial" w:eastAsia="Arial" w:hAnsi="Arial"/>
          <w:sz w:val="14"/>
          <w:szCs w:val="14"/>
          <w:color w:val="auto"/>
        </w:rPr>
        <w:t>Numerous other companies are developing therapeutic antibody products. Companies such as Pfizer, Johnson &amp; Johnson, AstraZeneca, Amgen, Biogen Idec, Inc., Novartis, Genentech, Bristol-Myers Squib, Abbott, and GlaxoSmithKline have generated therapeutic products that are currently in development or on the market that are derived from</w:t>
      </w:r>
    </w:p>
    <w:p>
      <w:pPr>
        <w:jc w:val="both"/>
        <w:ind w:right="20"/>
        <w:spacing w:after="0" w:line="211" w:lineRule="auto"/>
        <w:rPr>
          <w:sz w:val="20"/>
          <w:szCs w:val="20"/>
          <w:color w:val="auto"/>
        </w:rPr>
      </w:pPr>
      <w:r>
        <w:rPr>
          <w:rFonts w:ascii="Arial" w:cs="Arial" w:eastAsia="Arial" w:hAnsi="Arial"/>
          <w:sz w:val="16"/>
          <w:szCs w:val="16"/>
          <w:color w:val="auto"/>
        </w:rPr>
        <w:t xml:space="preserve">recombinant DNA that comprise human antibody sequences. As noted above, Astellas has licensed our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as part of their internal antibody development programs.</w:t>
      </w:r>
    </w:p>
    <w:p>
      <w:pPr>
        <w:spacing w:after="0" w:line="212"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 is marketing an antibody against IL-6R (tocilizumab) for the treatment of rheumatoid arthritis and systemic juvenile idiopathic arthritis, and several other companies, including Centocor Ortho Biotech, Inc. and Bristol-Myers Squibb, have antibodies against IL-6 in clinical development for this disease. GlaxoSmithKline, in partnership with OncoMed Pharmaceuticals, Inc., has a Dll4 antibody in clinical development for the treatment of solid tumors. Aerovance has completed initial clinical trials of two formulations of a biologic directed against IL-4. Amgen previously had an antibody against IL-4R in clinical development for the treatment of asthma. Amgen and Pfizer have development programs for antibodies against PCSK9; Alnylam has a clinical program underway with an RNAi molecule against PCSK9. Amgen, Pfizer, and AstraZeneca have development programs underway for antibodies against ANG2.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5" w:name="page16"/>
    <w:bookmarkEnd w:id="15"/>
    <w:p>
      <w:pPr>
        <w:jc w:val="both"/>
        <w:ind w:right="20" w:firstLine="255"/>
        <w:spacing w:after="0" w:line="276" w:lineRule="auto"/>
        <w:rPr>
          <w:sz w:val="20"/>
          <w:szCs w:val="20"/>
          <w:color w:val="auto"/>
        </w:rPr>
      </w:pPr>
      <w:r>
        <w:rPr>
          <w:rFonts w:ascii="Arial" w:cs="Arial" w:eastAsia="Arial" w:hAnsi="Arial"/>
          <w:sz w:val="15"/>
          <w:szCs w:val="15"/>
          <w:i w:val="1"/>
          <w:iCs w:val="1"/>
          <w:color w:val="auto"/>
        </w:rPr>
        <w:t xml:space="preserve">Other Areas. </w:t>
      </w:r>
      <w:r>
        <w:rPr>
          <w:rFonts w:ascii="Arial" w:cs="Arial" w:eastAsia="Arial" w:hAnsi="Arial"/>
          <w:sz w:val="15"/>
          <w:szCs w:val="15"/>
          <w:color w:val="auto"/>
        </w:rPr>
        <w:t>Many pharmaceutical and biotechnology companies are attempting to discover new therapeutics for indications in which we invest substantial time and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Roche,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9" w:lineRule="exact"/>
        <w:rPr>
          <w:sz w:val="20"/>
          <w:szCs w:val="20"/>
          <w:color w:val="auto"/>
        </w:rPr>
      </w:pPr>
    </w:p>
    <w:p>
      <w:pPr>
        <w:jc w:val="both"/>
        <w:ind w:right="20" w:firstLine="328"/>
        <w:spacing w:after="0" w:line="264"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94" w:lineRule="exact"/>
        <w:rPr>
          <w:sz w:val="20"/>
          <w:szCs w:val="20"/>
          <w:color w:val="auto"/>
        </w:rPr>
      </w:pPr>
    </w:p>
    <w:p>
      <w:pPr>
        <w:jc w:val="both"/>
        <w:ind w:right="20" w:firstLine="303"/>
        <w:spacing w:after="0" w:line="258" w:lineRule="auto"/>
        <w:rPr>
          <w:sz w:val="20"/>
          <w:szCs w:val="20"/>
          <w:color w:val="auto"/>
        </w:rPr>
      </w:pPr>
      <w:r>
        <w:rPr>
          <w:rFonts w:ascii="Arial" w:cs="Arial" w:eastAsia="Arial" w:hAnsi="Arial"/>
          <w:sz w:val="16"/>
          <w:szCs w:val="16"/>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Trademarks, and Trade Secrets</w:t>
      </w:r>
    </w:p>
    <w:p>
      <w:pPr>
        <w:spacing w:after="0" w:line="233"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Item 1A. “Risk Factors – Risks Related to Intellectual Property and Market Exclusivity – </w:t>
      </w:r>
      <w:r>
        <w:rPr>
          <w:rFonts w:ascii="Arial" w:cs="Arial" w:eastAsia="Arial" w:hAnsi="Arial"/>
          <w:sz w:val="16"/>
          <w:szCs w:val="16"/>
          <w:i w:val="1"/>
          <w:iCs w:val="1"/>
          <w:color w:val="auto"/>
        </w:rPr>
        <w:t>We may be restricted in our development, manufacturing, and/or commercialization activities</w:t>
      </w:r>
      <w:r>
        <w:rPr>
          <w:rFonts w:ascii="Arial" w:cs="Arial" w:eastAsia="Arial" w:hAnsi="Arial"/>
          <w:sz w:val="16"/>
          <w:szCs w:val="16"/>
          <w:color w:val="auto"/>
        </w:rPr>
        <w:t xml:space="preserve"> </w:t>
      </w:r>
      <w:r>
        <w:rPr>
          <w:rFonts w:ascii="Arial" w:cs="Arial" w:eastAsia="Arial" w:hAnsi="Arial"/>
          <w:sz w:val="16"/>
          <w:szCs w:val="16"/>
          <w:i w:val="1"/>
          <w:iCs w:val="1"/>
          <w:color w:val="auto"/>
        </w:rPr>
        <w:t>by, and could be subject to damage awards if we are found to have infringed, third-party patents or other proprietary rights, and the costs and expenses of ongoing patent litigation have been and will likely continue to be significant.”</w:t>
      </w:r>
      <w:r>
        <w:rPr>
          <w:rFonts w:ascii="Arial" w:cs="Arial" w:eastAsia="Arial" w:hAnsi="Arial"/>
          <w:sz w:val="16"/>
          <w:szCs w:val="16"/>
          <w:color w:val="auto"/>
        </w:rPr>
        <w:t>). Our policy is to file patent applications to protect technology, inventions, and improvements that we consider important to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and operations. As of December 31, 2011, we held an ownership interest in a total of approximately 186 issued patents in the United States and approximately 570 issued patents in foreign countries with respect to our products and technologies. In addition, we hold an ownership interest in hundreds of patent applications in the United States and foreign countries.</w:t>
      </w:r>
    </w:p>
    <w:p>
      <w:pPr>
        <w:spacing w:after="0" w:line="183" w:lineRule="exact"/>
        <w:rPr>
          <w:sz w:val="20"/>
          <w:szCs w:val="20"/>
          <w:color w:val="auto"/>
        </w:rPr>
      </w:pPr>
    </w:p>
    <w:p>
      <w:pPr>
        <w:jc w:val="both"/>
        <w:ind w:firstLine="315"/>
        <w:spacing w:after="0" w:line="223" w:lineRule="auto"/>
        <w:rPr>
          <w:sz w:val="20"/>
          <w:szCs w:val="20"/>
          <w:color w:val="auto"/>
        </w:rPr>
      </w:pPr>
      <w:r>
        <w:rPr>
          <w:rFonts w:ascii="Arial" w:cs="Arial" w:eastAsia="Arial" w:hAnsi="Arial"/>
          <w:sz w:val="16"/>
          <w:szCs w:val="16"/>
          <w:color w:val="auto"/>
        </w:rPr>
        <w:t xml:space="preserve">Our patent portfolio includes granted patents and pending patent applications covering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technologies, including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mouse platform which produces fully human monoclonal antibodies. Our issued patents covering these technologies generally expire between 2020 and 2028. However, we continue to file patent applications directed to improvements to these technology platforms.</w:t>
      </w:r>
    </w:p>
    <w:p>
      <w:pPr>
        <w:spacing w:after="0" w:line="194" w:lineRule="exact"/>
        <w:rPr>
          <w:sz w:val="20"/>
          <w:szCs w:val="20"/>
          <w:color w:val="auto"/>
        </w:rPr>
      </w:pPr>
    </w:p>
    <w:p>
      <w:pPr>
        <w:jc w:val="both"/>
        <w:ind w:right="20" w:firstLine="243"/>
        <w:spacing w:after="0" w:line="231" w:lineRule="auto"/>
        <w:rPr>
          <w:sz w:val="20"/>
          <w:szCs w:val="20"/>
          <w:color w:val="auto"/>
        </w:rPr>
      </w:pPr>
      <w:r>
        <w:rPr>
          <w:rFonts w:ascii="Arial" w:cs="Arial" w:eastAsia="Arial" w:hAnsi="Arial"/>
          <w:sz w:val="14"/>
          <w:szCs w:val="14"/>
          <w:color w:val="auto"/>
        </w:rPr>
        <w:t>Our patent portfolio also includes issued patents and pending applications relating to our marketed products,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EYLEA</w:t>
      </w:r>
      <w:r>
        <w:rPr>
          <w:rFonts w:ascii="Arial" w:cs="Arial" w:eastAsia="Arial" w:hAnsi="Arial"/>
          <w:sz w:val="23"/>
          <w:szCs w:val="23"/>
          <w:color w:val="auto"/>
          <w:vertAlign w:val="superscript"/>
        </w:rPr>
        <w:t>®</w:t>
      </w:r>
      <w:r>
        <w:rPr>
          <w:rFonts w:ascii="Arial" w:cs="Arial" w:eastAsia="Arial" w:hAnsi="Arial"/>
          <w:sz w:val="14"/>
          <w:szCs w:val="14"/>
          <w:color w:val="auto"/>
        </w:rPr>
        <w:t>, and our product candidates in clinical development. These patents cover the proteins and DNA encoding the proteins, manufacturing patents, method of use patents, and pharmaceutical compositions, as well as various methods of using the products. For each of ARCALYST</w:t>
      </w:r>
      <w:r>
        <w:rPr>
          <w:rFonts w:ascii="Arial" w:cs="Arial" w:eastAsia="Arial" w:hAnsi="Arial"/>
          <w:sz w:val="23"/>
          <w:szCs w:val="23"/>
          <w:color w:val="auto"/>
          <w:vertAlign w:val="superscript"/>
        </w:rPr>
        <w:t>®</w:t>
      </w:r>
      <w:r>
        <w:rPr>
          <w:rFonts w:ascii="Arial" w:cs="Arial" w:eastAsia="Arial" w:hAnsi="Arial"/>
          <w:sz w:val="14"/>
          <w:szCs w:val="14"/>
          <w:color w:val="auto"/>
        </w:rPr>
        <w:t>,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our late-stage product candidate, ZALTRAP</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these patents generally expire between 2020 and 2028.</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However, the projected patent terms may be subject to extension based on potential patent term extensions in countries where such extensions are available.</w:t>
      </w:r>
    </w:p>
    <w:p>
      <w:pPr>
        <w:spacing w:after="0" w:line="21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4"/>
          <w:szCs w:val="14"/>
          <w:color w:val="auto"/>
        </w:rPr>
        <w:t>We also are the nonexclusive licensee of a number of additional patents and patent applications. In December 2011, we and Genentech entered into a Non-Exclusive License and Partial Settlement Agreement relating to ophthalmic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United States. Pursuant to this agreement, we received a non-exclusive license to certain patents relating to VEGF receptor proteins, known as the Davis-Smyth patents, and other technology patents. Under the terms of the agreement, we agreed to make payments to Genentech</w:t>
      </w:r>
    </w:p>
    <w:p>
      <w:pPr>
        <w:spacing w:after="0" w:line="2" w:lineRule="exact"/>
        <w:rPr>
          <w:sz w:val="20"/>
          <w:szCs w:val="20"/>
          <w:color w:val="auto"/>
        </w:rPr>
      </w:pPr>
    </w:p>
    <w:p>
      <w:pPr>
        <w:jc w:val="both"/>
        <w:spacing w:after="0" w:line="213" w:lineRule="auto"/>
        <w:rPr>
          <w:sz w:val="20"/>
          <w:szCs w:val="20"/>
          <w:color w:val="auto"/>
        </w:rPr>
      </w:pPr>
      <w:r>
        <w:rPr>
          <w:rFonts w:ascii="Arial" w:cs="Arial" w:eastAsia="Arial" w:hAnsi="Arial"/>
          <w:sz w:val="16"/>
          <w:szCs w:val="16"/>
          <w:color w:val="auto"/>
        </w:rPr>
        <w:t>based on U.S.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commencing upon FDA approval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November 2011 through May 7, 2016. We will be required to make a one-time, non-refundable $60 million payment upon cumulative U.S.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reaching $400 million. In addition, we agreed to pay royalties of 4.75% on cumulative U.S.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between $400 million and $3 billion and 5.5% on any cumulative U.S.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over $3 billion.</w:t>
      </w:r>
    </w:p>
    <w:p>
      <w:pPr>
        <w:spacing w:after="0" w:line="108" w:lineRule="exact"/>
        <w:rPr>
          <w:sz w:val="20"/>
          <w:szCs w:val="20"/>
          <w:color w:val="auto"/>
        </w:rPr>
      </w:pPr>
    </w:p>
    <w:p>
      <w:pPr>
        <w:jc w:val="both"/>
        <w:ind w:right="20" w:firstLine="340"/>
        <w:spacing w:after="0" w:line="294" w:lineRule="auto"/>
        <w:rPr>
          <w:sz w:val="20"/>
          <w:szCs w:val="20"/>
          <w:color w:val="auto"/>
        </w:rPr>
      </w:pPr>
      <w:r>
        <w:rPr>
          <w:rFonts w:ascii="Arial" w:cs="Arial" w:eastAsia="Arial" w:hAnsi="Arial"/>
          <w:sz w:val="14"/>
          <w:szCs w:val="14"/>
          <w:color w:val="auto"/>
        </w:rPr>
        <w:t>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 Pursuant to this agreement, we agreed to</w:t>
      </w:r>
    </w:p>
    <w:p>
      <w:pPr>
        <w:jc w:val="both"/>
        <w:ind w:right="20"/>
        <w:spacing w:after="0" w:line="228" w:lineRule="auto"/>
        <w:rPr>
          <w:sz w:val="20"/>
          <w:szCs w:val="20"/>
          <w:color w:val="auto"/>
        </w:rPr>
      </w:pPr>
      <w:r>
        <w:rPr>
          <w:rFonts w:ascii="Arial" w:cs="Arial" w:eastAsia="Arial" w:hAnsi="Arial"/>
          <w:sz w:val="16"/>
          <w:szCs w:val="16"/>
          <w:color w:val="auto"/>
        </w:rPr>
        <w:t xml:space="preserve">pay Cellectis a low, single-digit royalty based on any future revenue received by us from any future licenses or sales of our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or services. No royalties are payable to Cellectis on 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including antibodies developed under our collaboration with Sanofi. We also have non-exclusive license agreements with Amgen and other organizations for patent rights related to ARCALYST</w:t>
      </w:r>
      <w:r>
        <w:rPr>
          <w:rFonts w:ascii="Arial" w:cs="Arial" w:eastAsia="Arial" w:hAnsi="Arial"/>
          <w:sz w:val="26"/>
          <w:szCs w:val="26"/>
          <w:color w:val="auto"/>
          <w:vertAlign w:val="superscript"/>
        </w:rPr>
        <w:t>®</w:t>
      </w:r>
      <w:r>
        <w:rPr>
          <w:rFonts w:ascii="Arial" w:cs="Arial" w:eastAsia="Arial" w:hAnsi="Arial"/>
          <w:sz w:val="16"/>
          <w:szCs w:val="16"/>
          <w:color w:val="auto"/>
        </w:rPr>
        <w:t>. In connection with these licenses, we pay a combined mid-single digit royalty on net sales of ARCALYST</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6" w:name="page17"/>
    <w:bookmarkEnd w:id="16"/>
    <w:p>
      <w:pPr>
        <w:jc w:val="both"/>
        <w:ind w:right="20" w:firstLine="279"/>
        <w:spacing w:after="0" w:line="260" w:lineRule="auto"/>
        <w:rPr>
          <w:sz w:val="20"/>
          <w:szCs w:val="20"/>
          <w:color w:val="auto"/>
        </w:rPr>
      </w:pPr>
      <w:r>
        <w:rPr>
          <w:rFonts w:ascii="Arial" w:cs="Arial" w:eastAsia="Arial" w:hAnsi="Arial"/>
          <w:sz w:val="16"/>
          <w:szCs w:val="16"/>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98" w:lineRule="exact"/>
        <w:rPr>
          <w:sz w:val="20"/>
          <w:szCs w:val="20"/>
          <w:color w:val="auto"/>
        </w:rPr>
      </w:pPr>
    </w:p>
    <w:p>
      <w:pPr>
        <w:jc w:val="both"/>
        <w:ind w:firstLine="303"/>
        <w:spacing w:after="0" w:line="260" w:lineRule="auto"/>
        <w:rPr>
          <w:sz w:val="20"/>
          <w:szCs w:val="20"/>
          <w:color w:val="auto"/>
        </w:rPr>
      </w:pPr>
      <w:r>
        <w:rPr>
          <w:rFonts w:ascii="Arial" w:cs="Arial" w:eastAsia="Arial" w:hAnsi="Arial"/>
          <w:sz w:val="16"/>
          <w:szCs w:val="16"/>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98"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4"/>
          <w:szCs w:val="14"/>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Item 1A. “Risk Factors - Risks Related to Intellectual Property and Market Exclusivity – </w:t>
      </w:r>
      <w:r>
        <w:rPr>
          <w:rFonts w:ascii="Arial" w:cs="Arial" w:eastAsia="Arial" w:hAnsi="Arial"/>
          <w:sz w:val="14"/>
          <w:szCs w:val="14"/>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33" w:lineRule="exact"/>
        <w:rPr>
          <w:sz w:val="20"/>
          <w:szCs w:val="20"/>
          <w:color w:val="auto"/>
        </w:rPr>
      </w:pPr>
    </w:p>
    <w:p>
      <w:pPr>
        <w:jc w:val="both"/>
        <w:ind w:firstLine="400"/>
        <w:spacing w:after="0" w:line="198" w:lineRule="auto"/>
        <w:rPr>
          <w:sz w:val="20"/>
          <w:szCs w:val="20"/>
          <w:color w:val="auto"/>
        </w:rPr>
      </w:pPr>
      <w:r>
        <w:rPr>
          <w:rFonts w:ascii="Arial" w:cs="Arial" w:eastAsia="Arial" w:hAnsi="Arial"/>
          <w:sz w:val="14"/>
          <w:szCs w:val="14"/>
          <w:color w:val="auto"/>
        </w:rPr>
        <w:t>Regulation by government authorities in the United States and foreign countries is a significant factor in the research, development, manufacture, and marketing of ARCALYST</w:t>
      </w:r>
      <w:r>
        <w:rPr>
          <w:rFonts w:ascii="Arial" w:cs="Arial" w:eastAsia="Arial" w:hAnsi="Arial"/>
          <w:sz w:val="23"/>
          <w:szCs w:val="23"/>
          <w:color w:val="auto"/>
          <w:vertAlign w:val="superscript"/>
        </w:rPr>
        <w:t>®</w:t>
      </w:r>
      <w:r>
        <w:rPr>
          <w:rFonts w:ascii="Arial" w:cs="Arial" w:eastAsia="Arial" w:hAnsi="Arial"/>
          <w:sz w:val="14"/>
          <w:szCs w:val="14"/>
          <w:color w:val="auto"/>
        </w:rPr>
        <w:t>, EYLEA</w:t>
      </w:r>
      <w:r>
        <w:rPr>
          <w:rFonts w:ascii="Arial" w:cs="Arial" w:eastAsia="Arial" w:hAnsi="Arial"/>
          <w:sz w:val="23"/>
          <w:szCs w:val="23"/>
          <w:color w:val="auto"/>
          <w:vertAlign w:val="superscript"/>
        </w:rPr>
        <w:t>®</w:t>
      </w:r>
      <w:r>
        <w:rPr>
          <w:rFonts w:ascii="Arial" w:cs="Arial" w:eastAsia="Arial" w:hAnsi="Arial"/>
          <w:sz w:val="14"/>
          <w:szCs w:val="14"/>
          <w:color w:val="auto"/>
        </w:rPr>
        <w:t>, and our product candidates (see Item 1A. “Risk Factors – Risks Related to Commercialization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Wet AMD - </w:t>
      </w:r>
      <w:r>
        <w:rPr>
          <w:rFonts w:ascii="Arial" w:cs="Arial" w:eastAsia="Arial" w:hAnsi="Arial"/>
          <w:sz w:val="14"/>
          <w:szCs w:val="14"/>
          <w:i w:val="1"/>
          <w:iCs w:val="1"/>
          <w:color w:val="auto"/>
        </w:rPr>
        <w:t>Our regulatory approval for</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i w:val="1"/>
          <w:iCs w:val="1"/>
          <w:color w:val="auto"/>
        </w:rPr>
        <w:t>sales of EYLEA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is limited to the treatment of wet AMD and is limited to sales in the United States. If we don't receive approval for EYLEA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for other indications, or if approvals are not obtained for sales in other countries, our sales and profits will be limited </w:t>
      </w:r>
      <w:r>
        <w:rPr>
          <w:rFonts w:ascii="Arial" w:cs="Arial" w:eastAsia="Arial" w:hAnsi="Arial"/>
          <w:sz w:val="14"/>
          <w:szCs w:val="14"/>
          <w:color w:val="auto"/>
        </w:rPr>
        <w:t>and Risks Related to the Development and Approval of Our Product Candidates and New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Indications for Our Marketed Products – </w:t>
      </w:r>
      <w:r>
        <w:rPr>
          <w:rFonts w:ascii="Arial" w:cs="Arial" w:eastAsia="Arial" w:hAnsi="Arial"/>
          <w:sz w:val="14"/>
          <w:szCs w:val="14"/>
          <w:i w:val="1"/>
          <w:iCs w:val="1"/>
          <w:color w:val="auto"/>
        </w:rPr>
        <w:t>If we do not obtain regulatory approval for our product candidates or new indications for our marketed products, or maintain regulatory</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approval for EYLEA</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in the United States, we will not be able to market or sell them, which would materially and negatively impact our business, results of operations, and prospects.”)</w:t>
      </w:r>
      <w:r>
        <w:rPr>
          <w:rFonts w:ascii="Arial" w:cs="Arial" w:eastAsia="Arial" w:hAnsi="Arial"/>
          <w:sz w:val="16"/>
          <w:szCs w:val="16"/>
          <w:color w:val="auto"/>
        </w:rPr>
        <w:t>. All of our product candidates will require regulatory approval before they can be commercialized. In particular, human therapeutic products are subject to rigorous</w:t>
      </w:r>
      <w:r>
        <w:rPr>
          <w:rFonts w:ascii="Arial" w:cs="Arial" w:eastAsia="Arial" w:hAnsi="Arial"/>
          <w:sz w:val="16"/>
          <w:szCs w:val="16"/>
          <w:i w:val="1"/>
          <w:iCs w:val="1"/>
          <w:color w:val="auto"/>
        </w:rPr>
        <w:t xml:space="preserve"> </w:t>
      </w:r>
      <w:r>
        <w:rPr>
          <w:rFonts w:ascii="Arial" w:cs="Arial" w:eastAsia="Arial" w:hAnsi="Arial"/>
          <w:sz w:val="16"/>
          <w:szCs w:val="16"/>
          <w:color w:val="auto"/>
        </w:rPr>
        <w:t>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15" w:lineRule="exact"/>
        <w:rPr>
          <w:sz w:val="20"/>
          <w:szCs w:val="20"/>
          <w:color w:val="auto"/>
        </w:rPr>
      </w:pPr>
    </w:p>
    <w:p>
      <w:pPr>
        <w:jc w:val="both"/>
        <w:ind w:right="20" w:firstLine="267"/>
        <w:spacing w:after="0" w:line="256" w:lineRule="auto"/>
        <w:rPr>
          <w:sz w:val="20"/>
          <w:szCs w:val="20"/>
          <w:color w:val="auto"/>
        </w:rPr>
      </w:pPr>
      <w:r>
        <w:rPr>
          <w:rFonts w:ascii="Arial" w:cs="Arial" w:eastAsia="Arial" w:hAnsi="Arial"/>
          <w:sz w:val="16"/>
          <w:szCs w:val="16"/>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BLA for evaluation to determine whether the product candidate may be approved for commercial sale. In responding to a BLA, the FDA may grant marketing approval, request additional information, or deny the application.</w:t>
      </w:r>
    </w:p>
    <w:p>
      <w:pPr>
        <w:spacing w:after="0" w:line="200" w:lineRule="exact"/>
        <w:rPr>
          <w:sz w:val="20"/>
          <w:szCs w:val="20"/>
          <w:color w:val="auto"/>
        </w:rPr>
      </w:pPr>
    </w:p>
    <w:p>
      <w:pPr>
        <w:jc w:val="both"/>
        <w:ind w:right="20" w:firstLine="267"/>
        <w:spacing w:after="0" w:line="260"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7" w:name="page18"/>
    <w:bookmarkEnd w:id="17"/>
    <w:p>
      <w:pPr>
        <w:jc w:val="both"/>
        <w:ind w:firstLine="291"/>
        <w:spacing w:after="0" w:line="264" w:lineRule="auto"/>
        <w:rPr>
          <w:sz w:val="20"/>
          <w:szCs w:val="20"/>
          <w:color w:val="auto"/>
        </w:rPr>
      </w:pPr>
      <w:r>
        <w:rPr>
          <w:rFonts w:ascii="Arial" w:cs="Arial" w:eastAsia="Arial" w:hAnsi="Arial"/>
          <w:sz w:val="16"/>
          <w:szCs w:val="16"/>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194"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8" w:lineRule="exact"/>
        <w:rPr>
          <w:sz w:val="20"/>
          <w:szCs w:val="20"/>
          <w:color w:val="auto"/>
        </w:rPr>
      </w:pPr>
    </w:p>
    <w:p>
      <w:pPr>
        <w:jc w:val="both"/>
        <w:ind w:right="20" w:firstLine="243"/>
        <w:spacing w:after="0" w:line="289" w:lineRule="auto"/>
        <w:rPr>
          <w:sz w:val="20"/>
          <w:szCs w:val="20"/>
          <w:color w:val="auto"/>
        </w:rPr>
      </w:pPr>
      <w:r>
        <w:rPr>
          <w:rFonts w:ascii="Arial" w:cs="Arial" w:eastAsia="Arial" w:hAnsi="Arial"/>
          <w:sz w:val="15"/>
          <w:szCs w:val="15"/>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233"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4"/>
          <w:szCs w:val="14"/>
          <w:color w:val="auto"/>
        </w:rPr>
        <w:t>We manage our business as one segment which includes all activities related to the discovery of pharmaceutical products for the treatment of serious medical conditions and the development and commercialization of these discoveries. This segment also includes revenues and expenses related to (i) research and development activities conducted under our</w:t>
      </w:r>
    </w:p>
    <w:p>
      <w:pPr>
        <w:jc w:val="both"/>
        <w:ind w:right="20"/>
        <w:spacing w:after="0" w:line="275" w:lineRule="auto"/>
        <w:rPr>
          <w:sz w:val="20"/>
          <w:szCs w:val="20"/>
          <w:color w:val="auto"/>
        </w:rPr>
      </w:pPr>
      <w:r>
        <w:rPr>
          <w:rFonts w:ascii="Arial" w:cs="Arial" w:eastAsia="Arial" w:hAnsi="Arial"/>
          <w:sz w:val="14"/>
          <w:szCs w:val="14"/>
          <w:color w:val="auto"/>
        </w:rPr>
        <w:t>collaboration agreements with third parties and our grant from the NIH, (ii) product sales, including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CAPS, (iii) licensing agreements to utilize our </w:t>
      </w:r>
      <w:r>
        <w:rPr>
          <w:rFonts w:ascii="Arial" w:cs="Arial" w:eastAsia="Arial" w:hAnsi="Arial"/>
          <w:sz w:val="14"/>
          <w:szCs w:val="14"/>
          <w:i w:val="1"/>
          <w:iCs w:val="1"/>
          <w:color w:val="auto"/>
        </w:rPr>
        <w:t>VelocImmune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and (iv) the supply of specified, ordered research materials using our </w:t>
      </w:r>
      <w:r>
        <w:rPr>
          <w:rFonts w:ascii="Arial" w:cs="Arial" w:eastAsia="Arial" w:hAnsi="Arial"/>
          <w:sz w:val="14"/>
          <w:szCs w:val="14"/>
          <w:i w:val="1"/>
          <w:iCs w:val="1"/>
          <w:color w:val="auto"/>
        </w:rPr>
        <w:t>VelociGen</w:t>
      </w:r>
      <w:r>
        <w:rPr>
          <w:rFonts w:ascii="Arial" w:cs="Arial" w:eastAsia="Arial" w:hAnsi="Arial"/>
          <w:sz w:val="14"/>
          <w:szCs w:val="14"/>
          <w:color w:val="auto"/>
        </w:rPr>
        <w:t>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platform.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33"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6"/>
          <w:szCs w:val="16"/>
          <w:color w:val="auto"/>
        </w:rPr>
        <w:t>As of December 31, 2011, we had 1,704 full-time employees, of whom 330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33"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6"/>
          <w:szCs w:val="16"/>
          <w:color w:val="auto"/>
        </w:rPr>
        <w:t>We make available free of charge on or through our Internet website (http://www.regeneron.com)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We operate in an environment that involves a number of significant risks and uncertainties. We caution you to read the following risk factors, which have affected, and/or in the future could affect, our business, prospects, operating</w:t>
      </w:r>
    </w:p>
    <w:p>
      <w:pPr>
        <w:spacing w:after="0" w:line="31"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Results and Need for Additional Financing</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We have had a history of operating losses and we may never achieve profitability. If we continue to incur operating losses, we may be unable to continue our operations.</w:t>
      </w:r>
    </w:p>
    <w:p>
      <w:pPr>
        <w:spacing w:after="0" w:line="252" w:lineRule="exact"/>
        <w:rPr>
          <w:sz w:val="20"/>
          <w:szCs w:val="20"/>
          <w:color w:val="auto"/>
        </w:rPr>
      </w:pPr>
    </w:p>
    <w:p>
      <w:pPr>
        <w:jc w:val="both"/>
        <w:ind w:right="20" w:firstLine="243"/>
        <w:spacing w:after="0" w:line="269" w:lineRule="auto"/>
        <w:rPr>
          <w:sz w:val="20"/>
          <w:szCs w:val="20"/>
          <w:color w:val="auto"/>
        </w:rPr>
      </w:pPr>
      <w:r>
        <w:rPr>
          <w:rFonts w:ascii="Arial" w:cs="Arial" w:eastAsia="Arial" w:hAnsi="Arial"/>
          <w:sz w:val="14"/>
          <w:szCs w:val="14"/>
          <w:color w:val="auto"/>
        </w:rPr>
        <w:t>From inception on January 8, 1988 through December 31, 2011, we had a cumulative loss of $1.3 billion. If we continue to incur operating losses and fail to become a profitable company, we may be unable to continue our operations. In the absence of substantial revenue from the sale of products, including our current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from other sources, the amount, timing, nature or source of which cannot be predicted, our substantial losses will continue as we conduct our research and development activities, commercialize our approved products, and prepare for possible commercialization of our other product candidates and new indications of our marketed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8" w:name="page19"/>
    <w:bookmarkEnd w:id="18"/>
    <w:p>
      <w:pPr>
        <w:ind w:left="140" w:right="20"/>
        <w:spacing w:after="0" w:line="274" w:lineRule="auto"/>
        <w:rPr>
          <w:sz w:val="20"/>
          <w:szCs w:val="20"/>
          <w:color w:val="auto"/>
        </w:rPr>
      </w:pPr>
      <w:r>
        <w:rPr>
          <w:rFonts w:ascii="Arial" w:cs="Arial" w:eastAsia="Arial" w:hAnsi="Arial"/>
          <w:sz w:val="16"/>
          <w:szCs w:val="16"/>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3" w:lineRule="exact"/>
        <w:rPr>
          <w:sz w:val="20"/>
          <w:szCs w:val="20"/>
          <w:color w:val="auto"/>
        </w:rPr>
      </w:pPr>
    </w:p>
    <w:p>
      <w:pPr>
        <w:jc w:val="both"/>
        <w:ind w:right="20" w:firstLine="255"/>
        <w:spacing w:after="0" w:line="229" w:lineRule="auto"/>
        <w:rPr>
          <w:sz w:val="20"/>
          <w:szCs w:val="20"/>
          <w:color w:val="auto"/>
        </w:rPr>
      </w:pPr>
      <w:r>
        <w:rPr>
          <w:rFonts w:ascii="Arial" w:cs="Arial" w:eastAsia="Arial" w:hAnsi="Arial"/>
          <w:sz w:val="11"/>
          <w:szCs w:val="11"/>
          <w:color w:val="auto"/>
        </w:rPr>
        <w:t>We will need to expend substantial resources for research and development, including costs associated with clinical testing of our product candidates and new indications of our marketed products, continued commercialization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 the United States, to prepare for potential commercialization of our late-stage product candidates and new indications for our marketed products and, if one or more of those product candidates or additional indications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1"/>
          <w:szCs w:val="11"/>
          <w:color w:val="auto"/>
        </w:rPr>
        <w:t>receive(s) regulatory approval, to fund the launch of those product(s) or new indications. We believe our existing capital resources, together with funds generated by anticipated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net product sales and funding we are entitled to receive under our collaboration agreements, will enable us to meet our anticipated operating needs; however, one or more of our collaboration agreements may terminate, our revenues may fall short of our projections or be delayed, or our expenses may increase, which could result in our capital being consumed significantly faster than anticipated. Our expenses may increase for many reasons, including expenses in connection with the launch and marketing of</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1"/>
          <w:szCs w:val="11"/>
          <w:color w:val="auto"/>
        </w:rPr>
        <w:t>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and the potential commercial launches of our late-stage product candidates and new indications for our marketed products, manufacturing scale-up, expenses related to clinical trials testing ARCALYST</w:t>
      </w:r>
      <w:r>
        <w:rPr>
          <w:rFonts w:ascii="Arial" w:cs="Arial" w:eastAsia="Arial" w:hAnsi="Arial"/>
          <w:sz w:val="18"/>
          <w:szCs w:val="18"/>
          <w:color w:val="auto"/>
          <w:vertAlign w:val="superscript"/>
        </w:rPr>
        <w:t>®</w:t>
      </w:r>
      <w:r>
        <w:rPr>
          <w:rFonts w:ascii="Arial" w:cs="Arial" w:eastAsia="Arial" w:hAnsi="Arial"/>
          <w:sz w:val="11"/>
          <w:szCs w:val="11"/>
          <w:color w:val="auto"/>
        </w:rPr>
        <w:t>, EYLEA</w:t>
      </w:r>
      <w:r>
        <w:rPr>
          <w:rFonts w:ascii="Arial" w:cs="Arial" w:eastAsia="Arial" w:hAnsi="Arial"/>
          <w:sz w:val="18"/>
          <w:szCs w:val="18"/>
          <w:color w:val="auto"/>
          <w:vertAlign w:val="superscript"/>
        </w:rPr>
        <w:t>®</w:t>
      </w:r>
      <w:r>
        <w:rPr>
          <w:rFonts w:ascii="Arial" w:cs="Arial" w:eastAsia="Arial" w:hAnsi="Arial"/>
          <w:sz w:val="11"/>
          <w:szCs w:val="11"/>
          <w:color w:val="auto"/>
        </w:rPr>
        <w:t>, REGN475, REGN846, or REGN1154, and expenses related to the potential requirement for us to fund 20% of Phase 3 clinical trial costs for any of our antibody product candidates being developed in collaboration with Sanofi.</w:t>
      </w:r>
    </w:p>
    <w:p>
      <w:pPr>
        <w:spacing w:after="0" w:line="19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4"/>
          <w:szCs w:val="14"/>
          <w:color w:val="auto"/>
        </w:rPr>
        <w:t>We may require additional financing in the future and we may not be able to raise additional funds. If we are able to obtain additional financing through the sale of equity or convertible debt securities, such sales will likely be dilutive to our shareholders. Debt financing arrangements, if available given the current uncertainties in the global credit and financial markets,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(i) raise sufficient funds to complete the development of our product candidates, (ii) to successfully commercialize our late-stage product candidates or new indications for our marketed products if they obtain regulatory approval, and (iii) to</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continue our manufacturing and marketing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we may face delay, reduction, or elimination of our research and development or preclinical or clinical programs and our commercialization activities, which would significantly limit our potential to generate revenue. We cannot be certain how profitable, if at all, our</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current marketing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will be and, even if we obtain regulatory approval for our product candidates or new indications for our marketed products, they may never be successfully launched or become profitable, in which case our business, prospects, operating results, and financial condition may be materially harmed.</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The value of our investment portfolio is influenced by varying economic and market conditions and may experience losses.</w:t>
      </w:r>
    </w:p>
    <w:p>
      <w:pPr>
        <w:spacing w:after="0" w:line="229" w:lineRule="exact"/>
        <w:rPr>
          <w:sz w:val="20"/>
          <w:szCs w:val="20"/>
          <w:color w:val="auto"/>
        </w:rPr>
      </w:pPr>
    </w:p>
    <w:p>
      <w:pPr>
        <w:jc w:val="both"/>
        <w:ind w:right="20" w:firstLine="255"/>
        <w:spacing w:after="0" w:line="275" w:lineRule="auto"/>
        <w:rPr>
          <w:sz w:val="20"/>
          <w:szCs w:val="20"/>
          <w:color w:val="auto"/>
        </w:rPr>
      </w:pPr>
      <w:r>
        <w:rPr>
          <w:rFonts w:ascii="Arial" w:cs="Arial" w:eastAsia="Arial" w:hAnsi="Arial"/>
          <w:sz w:val="15"/>
          <w:szCs w:val="15"/>
          <w:color w:val="auto"/>
        </w:rPr>
        <w:t>As of December 31, 2011, our cash, cash equivalents, and marketable securities totaled $810.6 million (including $7.7 million of restricted cash and marketable securities).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Unrestricted and restricted marketable securities totaled $325.2 million at December 31, 2011,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Development and Approval of Our Product Candidates and New Indications for Our Marketed Products</w:t>
      </w:r>
    </w:p>
    <w:p>
      <w:pPr>
        <w:spacing w:after="0" w:line="212" w:lineRule="exact"/>
        <w:rPr>
          <w:sz w:val="20"/>
          <w:szCs w:val="20"/>
          <w:color w:val="auto"/>
        </w:rPr>
      </w:pPr>
    </w:p>
    <w:p>
      <w:pPr>
        <w:jc w:val="both"/>
        <w:ind w:left="140" w:right="20"/>
        <w:spacing w:after="0" w:line="202" w:lineRule="auto"/>
        <w:rPr>
          <w:sz w:val="20"/>
          <w:szCs w:val="20"/>
          <w:color w:val="auto"/>
        </w:rPr>
      </w:pPr>
      <w:r>
        <w:rPr>
          <w:rFonts w:ascii="Arial" w:cs="Arial" w:eastAsia="Arial" w:hAnsi="Arial"/>
          <w:sz w:val="16"/>
          <w:szCs w:val="16"/>
          <w:b w:val="1"/>
          <w:bCs w:val="1"/>
          <w:i w:val="1"/>
          <w:iCs w:val="1"/>
          <w:color w:val="auto"/>
        </w:rPr>
        <w:t>We believe that a significant portion of the value attributed to our company by investors is based on the commercial potential of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If approval for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is not obtained in countries outside the United States, or approval is not obtained for other indications, or if we fail to maintain regulatory compliance and lose the marketing approval we have in the United States, or if the product is withdrawn for any reason, our business, prospects, operating results, and financial condition will be materially harmed.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19" w:name="page20"/>
    <w:bookmarkEnd w:id="19"/>
    <w:p>
      <w:pPr>
        <w:jc w:val="both"/>
        <w:ind w:right="20" w:firstLine="279"/>
        <w:spacing w:after="0" w:line="212" w:lineRule="auto"/>
        <w:rPr>
          <w:sz w:val="20"/>
          <w:szCs w:val="20"/>
          <w:color w:val="auto"/>
        </w:rPr>
      </w:pPr>
      <w:r>
        <w:rPr>
          <w:rFonts w:ascii="Arial" w:cs="Arial" w:eastAsia="Arial" w:hAnsi="Arial"/>
          <w:sz w:val="16"/>
          <w:szCs w:val="16"/>
          <w:color w:val="auto"/>
        </w:rPr>
        <w:t>Whether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approved by regulatory authorities outside the United States or approved by the FDA for new indications, and the timing thereof, will depend on many factors, including the following:</w:t>
      </w:r>
    </w:p>
    <w:p>
      <w:pPr>
        <w:spacing w:after="0" w:line="192" w:lineRule="exact"/>
        <w:rPr>
          <w:sz w:val="20"/>
          <w:szCs w:val="20"/>
          <w:color w:val="auto"/>
        </w:rPr>
      </w:pPr>
    </w:p>
    <w:p>
      <w:pPr>
        <w:ind w:left="480" w:right="20"/>
        <w:spacing w:after="0" w:line="224" w:lineRule="auto"/>
        <w:rPr>
          <w:sz w:val="20"/>
          <w:szCs w:val="20"/>
          <w:color w:val="auto"/>
        </w:rPr>
      </w:pPr>
      <w:r>
        <w:rPr>
          <w:rFonts w:ascii="Arial" w:cs="Arial" w:eastAsia="Arial" w:hAnsi="Arial"/>
          <w:sz w:val="16"/>
          <w:szCs w:val="16"/>
          <w:color w:val="auto"/>
        </w:rPr>
        <w:t>whether or not the FDA determines that the evidence gathered in well-controlled clinical trials, other clinical trials and nonclinical studies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demonstrates that it is safe and effective as a treatment for the indication under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-233045</wp:posOffset>
            </wp:positionV>
            <wp:extent cx="64135" cy="64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ind w:left="480"/>
        <w:spacing w:after="0" w:line="223" w:lineRule="auto"/>
        <w:rPr>
          <w:sz w:val="20"/>
          <w:szCs w:val="20"/>
          <w:color w:val="auto"/>
        </w:rPr>
      </w:pPr>
      <w:r>
        <w:rPr>
          <w:rFonts w:ascii="Arial" w:cs="Arial" w:eastAsia="Arial" w:hAnsi="Arial"/>
          <w:sz w:val="16"/>
          <w:szCs w:val="16"/>
          <w:color w:val="auto"/>
        </w:rPr>
        <w:t>whether or not the FDA is satisfied that the manufacturing facilities, processes, and controls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adequate, that the labeling is satisfactory, and that plans for post-marketing studies, safety monitoring, and risk evaluation and management are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-233680</wp:posOffset>
            </wp:positionV>
            <wp:extent cx="64135" cy="64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71" w:lineRule="exact"/>
        <w:rPr>
          <w:sz w:val="20"/>
          <w:szCs w:val="20"/>
          <w:color w:val="auto"/>
        </w:rPr>
      </w:pPr>
    </w:p>
    <w:p>
      <w:pPr>
        <w:jc w:val="both"/>
        <w:ind w:right="20" w:firstLine="291"/>
        <w:spacing w:after="0" w:line="238" w:lineRule="auto"/>
        <w:rPr>
          <w:sz w:val="20"/>
          <w:szCs w:val="20"/>
          <w:color w:val="auto"/>
        </w:rPr>
      </w:pPr>
      <w:r>
        <w:rPr>
          <w:rFonts w:ascii="Arial" w:cs="Arial" w:eastAsia="Arial" w:hAnsi="Arial"/>
          <w:sz w:val="15"/>
          <w:szCs w:val="15"/>
          <w:color w:val="auto"/>
        </w:rPr>
        <w:t>In June 2011, Bayer HealthCare submitted regulatory applications for marketing approval of ELYEA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wet AMD in the European Union and Japan. Analogous regulatory authorities in these and other countries outside the United States have similar discretion to the FDA as to approval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those countries.</w:t>
      </w:r>
    </w:p>
    <w:p>
      <w:pPr>
        <w:spacing w:after="0" w:line="90" w:lineRule="exact"/>
        <w:rPr>
          <w:sz w:val="20"/>
          <w:szCs w:val="20"/>
          <w:color w:val="auto"/>
        </w:rPr>
      </w:pPr>
    </w:p>
    <w:p>
      <w:pPr>
        <w:jc w:val="both"/>
        <w:ind w:right="20" w:firstLine="197"/>
        <w:spacing w:after="0" w:line="222" w:lineRule="auto"/>
        <w:rPr>
          <w:sz w:val="20"/>
          <w:szCs w:val="20"/>
          <w:color w:val="auto"/>
        </w:rPr>
      </w:pPr>
      <w:r>
        <w:rPr>
          <w:rFonts w:ascii="Arial" w:cs="Arial" w:eastAsia="Arial" w:hAnsi="Arial"/>
          <w:sz w:val="12"/>
          <w:szCs w:val="12"/>
          <w:color w:val="auto"/>
        </w:rPr>
        <w:t>If Bayer HealthCare does not obtain approval to market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in the European Union, Japan, or other countries, or if there are material delays in obtaining such approvals, our business, prospects, operating results, and financial condition will be materially harmed.</w:t>
      </w:r>
    </w:p>
    <w:p>
      <w:pPr>
        <w:spacing w:after="0" w:line="177" w:lineRule="exact"/>
        <w:rPr>
          <w:sz w:val="20"/>
          <w:szCs w:val="20"/>
          <w:color w:val="auto"/>
        </w:rPr>
      </w:pPr>
    </w:p>
    <w:p>
      <w:pPr>
        <w:ind w:left="140" w:right="20"/>
        <w:spacing w:after="0" w:line="243" w:lineRule="auto"/>
        <w:rPr>
          <w:sz w:val="20"/>
          <w:szCs w:val="20"/>
          <w:color w:val="auto"/>
        </w:rPr>
      </w:pPr>
      <w:r>
        <w:rPr>
          <w:rFonts w:ascii="Arial" w:cs="Arial" w:eastAsia="Arial" w:hAnsi="Arial"/>
          <w:sz w:val="14"/>
          <w:szCs w:val="14"/>
          <w:b w:val="1"/>
          <w:bCs w:val="1"/>
          <w:i w:val="1"/>
          <w:iCs w:val="1"/>
          <w:color w:val="auto"/>
        </w:rPr>
        <w:t>If we do not obtain regulatory approval for our product candidates or new indications for our marketed products, or maintain regulatory approval for EYLEA</w:t>
      </w:r>
      <w:r>
        <w:rPr>
          <w:rFonts w:ascii="Arial" w:cs="Arial" w:eastAsia="Arial" w:hAnsi="Arial"/>
          <w:sz w:val="23"/>
          <w:szCs w:val="23"/>
          <w:color w:val="auto"/>
          <w:vertAlign w:val="superscript"/>
        </w:rPr>
        <w:t>®</w:t>
      </w:r>
      <w:r>
        <w:rPr>
          <w:rFonts w:ascii="Arial" w:cs="Arial" w:eastAsia="Arial" w:hAnsi="Arial"/>
          <w:sz w:val="14"/>
          <w:szCs w:val="14"/>
          <w:b w:val="1"/>
          <w:bCs w:val="1"/>
          <w:i w:val="1"/>
          <w:iCs w:val="1"/>
          <w:color w:val="auto"/>
        </w:rPr>
        <w:t xml:space="preserve"> in the United States, we will not be able to market or sell them, which would materially and negatively impact our business, results of operations, and prospects.</w:t>
      </w:r>
    </w:p>
    <w:p>
      <w:pPr>
        <w:spacing w:after="0" w:line="188" w:lineRule="exact"/>
        <w:rPr>
          <w:sz w:val="20"/>
          <w:szCs w:val="20"/>
          <w:color w:val="auto"/>
        </w:rPr>
      </w:pPr>
    </w:p>
    <w:p>
      <w:pPr>
        <w:jc w:val="both"/>
        <w:ind w:right="20" w:firstLine="243"/>
        <w:spacing w:after="0" w:line="212" w:lineRule="auto"/>
        <w:rPr>
          <w:sz w:val="20"/>
          <w:szCs w:val="20"/>
          <w:color w:val="auto"/>
        </w:rPr>
      </w:pPr>
      <w:r>
        <w:rPr>
          <w:rFonts w:ascii="Arial" w:cs="Arial" w:eastAsia="Arial" w:hAnsi="Arial"/>
          <w:sz w:val="14"/>
          <w:szCs w:val="14"/>
          <w:color w:val="auto"/>
        </w:rPr>
        <w:t>We cannot sell or market products without regulatory approval. If we do not obtain and maintain regulatory approval for our product candidates, including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diseases other than CAPS,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ophthalmologic diseases other than wet AMD, and/or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one or more oncology indications, the value of our company, our results of operations, and our prospects will be materially harmed. Our product candidates, including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previously treated mCRC,</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CRVO and DME,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in patients initiating uric acid-lowering therapy, may not receive regulatory approval. If we are unable to obtain such approval(s), or if we are materially delayed in doing so, our business, prospects, results of operations, and financial condition will be materially harmed. In</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6"/>
          <w:szCs w:val="16"/>
          <w:color w:val="auto"/>
        </w:rPr>
        <w:t>addition, if we fail to maintain regulatory approval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we may lose marketing approval and the ability to generate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sales revenue, which would materially and negatively impact our business, prospects, results of operations, and financial condition.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Obtaining and maintaining regulatory approval for drug products is costly, time-consuming, and highly uncertain.</w:t>
      </w:r>
    </w:p>
    <w:p>
      <w:pPr>
        <w:spacing w:after="0" w:line="22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194"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6"/>
          <w:szCs w:val="16"/>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201" w:lineRule="exact"/>
        <w:rPr>
          <w:sz w:val="20"/>
          <w:szCs w:val="20"/>
          <w:color w:val="auto"/>
        </w:rPr>
      </w:pPr>
    </w:p>
    <w:p>
      <w:pPr>
        <w:jc w:val="both"/>
        <w:ind w:right="20" w:firstLine="291"/>
        <w:spacing w:after="0" w:line="276" w:lineRule="auto"/>
        <w:rPr>
          <w:sz w:val="20"/>
          <w:szCs w:val="20"/>
          <w:color w:val="auto"/>
        </w:rPr>
      </w:pPr>
      <w:r>
        <w:rPr>
          <w:rFonts w:ascii="Arial" w:cs="Arial" w:eastAsia="Arial" w:hAnsi="Arial"/>
          <w:sz w:val="15"/>
          <w:szCs w:val="15"/>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shipment and storage of the product.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0" w:name="page21"/>
    <w:bookmarkEnd w:id="20"/>
    <w:p>
      <w:pPr>
        <w:jc w:val="both"/>
        <w:ind w:firstLine="291"/>
        <w:spacing w:after="0" w:line="257"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177" w:lineRule="exact"/>
        <w:rPr>
          <w:sz w:val="20"/>
          <w:szCs w:val="20"/>
          <w:color w:val="auto"/>
        </w:rPr>
      </w:pPr>
    </w:p>
    <w:p>
      <w:pPr>
        <w:jc w:val="both"/>
        <w:ind w:left="140" w:right="20"/>
        <w:spacing w:after="0" w:line="264" w:lineRule="auto"/>
        <w:rPr>
          <w:sz w:val="20"/>
          <w:szCs w:val="20"/>
          <w:color w:val="auto"/>
        </w:rPr>
      </w:pPr>
      <w:r>
        <w:rPr>
          <w:rFonts w:ascii="Arial" w:cs="Arial" w:eastAsia="Arial" w:hAnsi="Arial"/>
          <w:sz w:val="16"/>
          <w:szCs w:val="16"/>
          <w:b w:val="1"/>
          <w:bCs w:val="1"/>
          <w:i w:val="1"/>
          <w:iCs w:val="1"/>
          <w:color w:val="auto"/>
        </w:rPr>
        <w:t>Clinical trials required for our product candidates and new indications of our marketed products are expensive and time-consuming, and their outcome is highly uncertain. If any of our drug trials are delayed or yield unfavorable results, regulatory approval for our product candidates or new indications of our marketed products may be delayed or become unobtainable.</w:t>
      </w:r>
    </w:p>
    <w:p>
      <w:pPr>
        <w:spacing w:after="0" w:line="194" w:lineRule="exact"/>
        <w:rPr>
          <w:sz w:val="20"/>
          <w:szCs w:val="20"/>
          <w:color w:val="auto"/>
        </w:rPr>
      </w:pPr>
    </w:p>
    <w:p>
      <w:pPr>
        <w:jc w:val="both"/>
        <w:ind w:right="20" w:firstLine="291"/>
        <w:spacing w:after="0" w:line="275" w:lineRule="auto"/>
        <w:rPr>
          <w:sz w:val="20"/>
          <w:szCs w:val="20"/>
          <w:color w:val="auto"/>
        </w:rPr>
      </w:pPr>
      <w:r>
        <w:rPr>
          <w:rFonts w:ascii="Arial" w:cs="Arial" w:eastAsia="Arial" w:hAnsi="Arial"/>
          <w:sz w:val="15"/>
          <w:szCs w:val="15"/>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91" w:lineRule="exact"/>
        <w:rPr>
          <w:sz w:val="20"/>
          <w:szCs w:val="20"/>
          <w:color w:val="auto"/>
        </w:rPr>
      </w:pPr>
    </w:p>
    <w:p>
      <w:pPr>
        <w:jc w:val="both"/>
        <w:ind w:right="20" w:firstLine="328"/>
        <w:spacing w:after="0" w:line="319" w:lineRule="auto"/>
        <w:rPr>
          <w:sz w:val="20"/>
          <w:szCs w:val="20"/>
          <w:color w:val="auto"/>
        </w:rPr>
      </w:pPr>
      <w:r>
        <w:rPr>
          <w:rFonts w:ascii="Arial" w:cs="Arial" w:eastAsia="Arial" w:hAnsi="Arial"/>
          <w:sz w:val="14"/>
          <w:szCs w:val="14"/>
          <w:color w:val="auto"/>
        </w:rPr>
        <w:t>We will need to reevaluate any drug candidate that does not test favorably and either conduct new trials, which are expensive and time consuming, or abandon that drug development program.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Successful development of our current and future product candidates is uncertain.</w:t>
      </w:r>
    </w:p>
    <w:p>
      <w:pPr>
        <w:spacing w:after="0" w:line="208" w:lineRule="exact"/>
        <w:rPr>
          <w:sz w:val="20"/>
          <w:szCs w:val="20"/>
          <w:color w:val="auto"/>
        </w:rPr>
      </w:pPr>
    </w:p>
    <w:p>
      <w:pPr>
        <w:jc w:val="both"/>
        <w:ind w:firstLine="267"/>
        <w:spacing w:after="0" w:line="235" w:lineRule="auto"/>
        <w:rPr>
          <w:sz w:val="20"/>
          <w:szCs w:val="20"/>
          <w:color w:val="auto"/>
        </w:rPr>
      </w:pPr>
      <w:r>
        <w:rPr>
          <w:rFonts w:ascii="Arial" w:cs="Arial" w:eastAsia="Arial" w:hAnsi="Arial"/>
          <w:sz w:val="15"/>
          <w:szCs w:val="15"/>
          <w:color w:val="auto"/>
        </w:rPr>
        <w:t>Only a small minority of all research and development programs ultimately result in commercially successful drugs. We are testing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a number of late-stage clinical trials in various indications and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prevention of gout flares in patients initiating uric acid-lowering drug therapy.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198" w:lineRule="exact"/>
        <w:rPr>
          <w:sz w:val="20"/>
          <w:szCs w:val="20"/>
          <w:color w:val="auto"/>
        </w:rPr>
      </w:pPr>
    </w:p>
    <w:p>
      <w:pPr>
        <w:jc w:val="both"/>
        <w:ind w:firstLine="209"/>
        <w:spacing w:after="0" w:line="201" w:lineRule="auto"/>
        <w:rPr>
          <w:sz w:val="20"/>
          <w:szCs w:val="20"/>
          <w:color w:val="auto"/>
        </w:rPr>
      </w:pPr>
      <w:r>
        <w:rPr>
          <w:rFonts w:ascii="Arial" w:cs="Arial" w:eastAsia="Arial" w:hAnsi="Arial"/>
          <w:sz w:val="11"/>
          <w:szCs w:val="11"/>
          <w:color w:val="auto"/>
        </w:rPr>
        <w:t>In April 2011 we announced that our Phase 3 VELOUR trial of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met its primary endpoint of improving overall survival in the treatment of patients with previously treated mCRC. Based upon these positive results, we and Sanofi submitted regulatory applications for marketing approval to the FDA and EMA. In January 2012, Roche announced that a Phase 3 trial of Avastin</w:t>
      </w:r>
      <w:r>
        <w:rPr>
          <w:rFonts w:ascii="Arial" w:cs="Arial" w:eastAsia="Arial" w:hAnsi="Arial"/>
          <w:sz w:val="18"/>
          <w:szCs w:val="18"/>
          <w:color w:val="auto"/>
          <w:vertAlign w:val="superscript"/>
        </w:rPr>
        <w:t>®</w:t>
      </w:r>
      <w:r>
        <w:rPr>
          <w:rFonts w:ascii="Arial" w:cs="Arial" w:eastAsia="Arial" w:hAnsi="Arial"/>
          <w:sz w:val="11"/>
          <w:szCs w:val="11"/>
          <w:color w:val="auto"/>
        </w:rPr>
        <w:t xml:space="preserve"> (bevacizumab) had met the primary endpoint of overall survival in mCRC</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1"/>
          <w:szCs w:val="11"/>
          <w:color w:val="auto"/>
        </w:rPr>
        <w:t>in patients who had previously received Avastin</w:t>
      </w:r>
      <w:r>
        <w:rPr>
          <w:rFonts w:ascii="Arial" w:cs="Arial" w:eastAsia="Arial" w:hAnsi="Arial"/>
          <w:sz w:val="18"/>
          <w:szCs w:val="18"/>
          <w:color w:val="auto"/>
          <w:vertAlign w:val="superscript"/>
        </w:rPr>
        <w:t>®</w:t>
      </w:r>
      <w:r>
        <w:rPr>
          <w:rFonts w:ascii="Arial" w:cs="Arial" w:eastAsia="Arial" w:hAnsi="Arial"/>
          <w:sz w:val="11"/>
          <w:szCs w:val="11"/>
          <w:color w:val="auto"/>
        </w:rPr>
        <w:t xml:space="preserve"> with standard chemotherapy. The positive results of this trial in a similar patient population could impact the potential commercial opportunity for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 mCRC.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is also in a Phase 3 clinical trial in combination with a standard chemotherapy regimen for the treatment of first-line androgen independent prostate cancer. We do not have proof of concept data from early-stage, double-blind,</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2"/>
          <w:szCs w:val="12"/>
          <w:color w:val="auto"/>
        </w:rPr>
        <w:t>controlled clinical trials that ZALTRAP</w:t>
      </w:r>
      <w:r>
        <w:rPr>
          <w:rFonts w:ascii="Arial" w:cs="Arial" w:eastAsia="Arial" w:hAnsi="Arial"/>
          <w:sz w:val="20"/>
          <w:szCs w:val="20"/>
          <w:color w:val="auto"/>
          <w:vertAlign w:val="superscript"/>
        </w:rPr>
        <w:t>®</w:t>
      </w:r>
      <w:r>
        <w:rPr>
          <w:rFonts w:ascii="Arial" w:cs="Arial" w:eastAsia="Arial" w:hAnsi="Arial"/>
          <w:sz w:val="12"/>
          <w:szCs w:val="12"/>
          <w:color w:val="auto"/>
        </w:rPr>
        <w:t xml:space="preserve"> will be safe or effective in this cancer setting. In March 2010, Genentech announced that a Phase 3 trial of Avastin</w:t>
      </w:r>
      <w:r>
        <w:rPr>
          <w:rFonts w:ascii="Arial" w:cs="Arial" w:eastAsia="Arial" w:hAnsi="Arial"/>
          <w:sz w:val="20"/>
          <w:szCs w:val="20"/>
          <w:color w:val="auto"/>
          <w:vertAlign w:val="superscript"/>
        </w:rPr>
        <w:t>®</w:t>
      </w:r>
      <w:r>
        <w:rPr>
          <w:rFonts w:ascii="Arial" w:cs="Arial" w:eastAsia="Arial" w:hAnsi="Arial"/>
          <w:sz w:val="12"/>
          <w:szCs w:val="12"/>
          <w:color w:val="auto"/>
        </w:rPr>
        <w:t>, in combination with chemotherapy in men with prostate cancer, did not meet its primary endpoint. This trial had a very similar design to our ongoing Phase 3 trial of ZALTRAP</w:t>
      </w:r>
      <w:r>
        <w:rPr>
          <w:rFonts w:ascii="Arial" w:cs="Arial" w:eastAsia="Arial" w:hAnsi="Arial"/>
          <w:sz w:val="20"/>
          <w:szCs w:val="20"/>
          <w:color w:val="auto"/>
          <w:vertAlign w:val="superscript"/>
        </w:rPr>
        <w:t>®</w:t>
      </w:r>
      <w:r>
        <w:rPr>
          <w:rFonts w:ascii="Arial" w:cs="Arial" w:eastAsia="Arial" w:hAnsi="Arial"/>
          <w:sz w:val="12"/>
          <w:szCs w:val="12"/>
          <w:color w:val="auto"/>
        </w:rPr>
        <w:t xml:space="preserve"> in prostate cancer.</w:t>
      </w:r>
    </w:p>
    <w:p>
      <w:pPr>
        <w:spacing w:after="0" w:line="97" w:lineRule="exact"/>
        <w:rPr>
          <w:sz w:val="20"/>
          <w:szCs w:val="20"/>
          <w:color w:val="auto"/>
        </w:rPr>
      </w:pPr>
    </w:p>
    <w:p>
      <w:pPr>
        <w:jc w:val="both"/>
        <w:ind w:right="20" w:firstLine="267"/>
        <w:spacing w:after="0" w:line="207" w:lineRule="auto"/>
        <w:rPr>
          <w:sz w:val="20"/>
          <w:szCs w:val="20"/>
          <w:color w:val="auto"/>
        </w:rPr>
      </w:pPr>
      <w:r>
        <w:rPr>
          <w:rFonts w:ascii="Arial" w:cs="Arial" w:eastAsia="Arial" w:hAnsi="Arial"/>
          <w:sz w:val="16"/>
          <w:szCs w:val="16"/>
          <w:color w:val="auto"/>
        </w:rPr>
        <w:t>We also reported positive Phase 3 trial results with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CRVO after six months of treatment and, based on these results, have submitted a supplemental BLA filing to the FDA for marketing approval in the United States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CRVO. Under PDUFA, we were granted a target date for an FDA decision on our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CRVO supplemental BLA of September 23, 2012. However, this expected timing for an FDA decision may not be met, and the FDA may not grant such approval or such approval may be substantially delayed. The FDA could also require us to provide additional clinical data in connection with this application. There can be no assurance that we will receive regulatory approval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CRVO.</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21" w:name="page22"/>
    <w:bookmarkEnd w:id="21"/>
    <w:p>
      <w:pPr>
        <w:jc w:val="both"/>
        <w:ind w:right="20" w:firstLine="279"/>
        <w:spacing w:after="0" w:line="234" w:lineRule="auto"/>
        <w:rPr>
          <w:sz w:val="20"/>
          <w:szCs w:val="20"/>
          <w:color w:val="auto"/>
        </w:rPr>
      </w:pPr>
      <w:r>
        <w:rPr>
          <w:rFonts w:ascii="Arial" w:cs="Arial" w:eastAsia="Arial" w:hAnsi="Arial"/>
          <w:sz w:val="16"/>
          <w:szCs w:val="16"/>
          <w:color w:val="auto"/>
        </w:rPr>
        <w:t>We also reported positive results of a Phase 2 trial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DME and that we have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DME.</w:t>
      </w:r>
    </w:p>
    <w:p>
      <w:pPr>
        <w:spacing w:after="0" w:line="87" w:lineRule="exact"/>
        <w:rPr>
          <w:sz w:val="20"/>
          <w:szCs w:val="20"/>
          <w:color w:val="auto"/>
        </w:rPr>
      </w:pPr>
    </w:p>
    <w:p>
      <w:pPr>
        <w:jc w:val="both"/>
        <w:ind w:firstLine="267"/>
        <w:spacing w:after="0"/>
        <w:rPr>
          <w:sz w:val="20"/>
          <w:szCs w:val="20"/>
          <w:color w:val="auto"/>
        </w:rPr>
      </w:pPr>
      <w:r>
        <w:rPr>
          <w:rFonts w:ascii="Arial" w:cs="Arial" w:eastAsia="Arial" w:hAnsi="Arial"/>
          <w:sz w:val="14"/>
          <w:szCs w:val="14"/>
          <w:color w:val="auto"/>
        </w:rPr>
        <w:t>Based on the results of three Phase 3 studies, we have submitted a supplemental BLA filing to the FDA seeking approval of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in patients initiating uric acid-lowering drug therapy and, under PDUFA, we were granted a target date for an FDA decision on our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supplemental BLA of July 30, 2012. However, this expected timing for an FDA decision may not be met, and the FDA may not grant such approval or such approval may be substantially delayed. The FDA could also require us to provide additional clinical data in connection with this application. For example, in June 2011, following two positive Phase 3 trials, the Arthritis Advisory Committee</w:t>
      </w:r>
    </w:p>
    <w:p>
      <w:pPr>
        <w:spacing w:after="0" w:line="2" w:lineRule="exact"/>
        <w:rPr>
          <w:sz w:val="20"/>
          <w:szCs w:val="20"/>
          <w:color w:val="auto"/>
        </w:rPr>
      </w:pPr>
    </w:p>
    <w:p>
      <w:pPr>
        <w:jc w:val="both"/>
        <w:ind w:right="20"/>
        <w:spacing w:after="0" w:line="213" w:lineRule="auto"/>
        <w:rPr>
          <w:sz w:val="20"/>
          <w:szCs w:val="20"/>
          <w:color w:val="auto"/>
        </w:rPr>
      </w:pPr>
      <w:r>
        <w:rPr>
          <w:rFonts w:ascii="Arial" w:cs="Arial" w:eastAsia="Arial" w:hAnsi="Arial"/>
          <w:sz w:val="16"/>
          <w:szCs w:val="16"/>
          <w:color w:val="auto"/>
        </w:rPr>
        <w:t>of the FDA, voted to recommend against approval in a gout indication for Ilaris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(canikinumab), Novartis’ IL-1 inhibitor which works through a similar mechanism as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in August 2011, Novartis received a Complete Response letter from the FDA requesting additional information, including clinical data to evaluate the benefit-risk profile of Ilaris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refractory patients.</w:t>
      </w:r>
    </w:p>
    <w:p>
      <w:pPr>
        <w:spacing w:after="0" w:line="108" w:lineRule="exact"/>
        <w:rPr>
          <w:sz w:val="20"/>
          <w:szCs w:val="20"/>
          <w:color w:val="auto"/>
        </w:rPr>
      </w:pPr>
    </w:p>
    <w:p>
      <w:pPr>
        <w:jc w:val="both"/>
        <w:ind w:right="20" w:firstLine="243"/>
        <w:spacing w:after="0" w:line="292" w:lineRule="auto"/>
        <w:rPr>
          <w:sz w:val="20"/>
          <w:szCs w:val="20"/>
          <w:color w:val="auto"/>
        </w:rPr>
      </w:pPr>
      <w:r>
        <w:rPr>
          <w:rFonts w:ascii="Arial" w:cs="Arial" w:eastAsia="Arial" w:hAnsi="Arial"/>
          <w:sz w:val="14"/>
          <w:szCs w:val="14"/>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results. For example, in September 2009, a Phase 3 trial that was evaluating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as a first-line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13" w:lineRule="exact"/>
        <w:rPr>
          <w:sz w:val="20"/>
          <w:szCs w:val="20"/>
          <w:color w:val="auto"/>
        </w:rPr>
      </w:pPr>
    </w:p>
    <w:p>
      <w:pPr>
        <w:jc w:val="both"/>
        <w:ind w:right="20" w:firstLine="267"/>
        <w:spacing w:after="0" w:line="260"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74" w:lineRule="exact"/>
        <w:rPr>
          <w:sz w:val="20"/>
          <w:szCs w:val="20"/>
          <w:color w:val="auto"/>
        </w:rPr>
      </w:pPr>
    </w:p>
    <w:p>
      <w:pPr>
        <w:jc w:val="both"/>
        <w:ind w:left="140" w:right="20"/>
        <w:spacing w:after="0" w:line="264" w:lineRule="auto"/>
        <w:rPr>
          <w:sz w:val="20"/>
          <w:szCs w:val="20"/>
          <w:color w:val="auto"/>
        </w:rPr>
      </w:pPr>
      <w:r>
        <w:rPr>
          <w:rFonts w:ascii="Arial" w:cs="Arial" w:eastAsia="Arial" w:hAnsi="Arial"/>
          <w:sz w:val="16"/>
          <w:szCs w:val="16"/>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194" w:lineRule="exact"/>
        <w:rPr>
          <w:sz w:val="20"/>
          <w:szCs w:val="20"/>
          <w:color w:val="auto"/>
        </w:rPr>
      </w:pPr>
    </w:p>
    <w:p>
      <w:pPr>
        <w:jc w:val="both"/>
        <w:ind w:firstLine="328"/>
        <w:spacing w:after="0" w:line="297" w:lineRule="auto"/>
        <w:rPr>
          <w:sz w:val="20"/>
          <w:szCs w:val="20"/>
          <w:color w:val="auto"/>
        </w:rPr>
      </w:pPr>
      <w:r>
        <w:rPr>
          <w:rFonts w:ascii="Arial" w:cs="Arial" w:eastAsia="Arial" w:hAnsi="Arial"/>
          <w:sz w:val="14"/>
          <w:szCs w:val="14"/>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157" w:lineRule="exact"/>
        <w:rPr>
          <w:sz w:val="20"/>
          <w:szCs w:val="20"/>
          <w:color w:val="auto"/>
        </w:rPr>
      </w:pPr>
    </w:p>
    <w:p>
      <w:pPr>
        <w:jc w:val="both"/>
        <w:ind w:right="20" w:firstLine="255"/>
        <w:spacing w:after="0"/>
        <w:rPr>
          <w:sz w:val="20"/>
          <w:szCs w:val="20"/>
          <w:color w:val="auto"/>
        </w:rPr>
      </w:pPr>
      <w:r>
        <w:rPr>
          <w:rFonts w:ascii="Arial" w:cs="Arial" w:eastAsia="Arial" w:hAnsi="Arial"/>
          <w:sz w:val="14"/>
          <w:szCs w:val="14"/>
          <w:color w:val="auto"/>
        </w:rPr>
        <w:t>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being studied for the potential treatment of certain types of cancer and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being studied in diseases of the eye in addition to wet AMD. There are many potential safety concerns associated with significant blockade of VEGF that may limit our ability to successfully develop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each of the indications for which we are studying these product candidates.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drugs like EYLEA</w:t>
      </w:r>
      <w:r>
        <w:rPr>
          <w:rFonts w:ascii="Arial" w:cs="Arial" w:eastAsia="Arial" w:hAnsi="Arial"/>
          <w:sz w:val="25"/>
          <w:szCs w:val="25"/>
          <w:color w:val="auto"/>
          <w:vertAlign w:val="superscript"/>
        </w:rPr>
        <w:t>®</w:t>
      </w:r>
      <w:r>
        <w:rPr>
          <w:rFonts w:ascii="Arial" w:cs="Arial" w:eastAsia="Arial" w:hAnsi="Arial"/>
          <w:sz w:val="15"/>
          <w:szCs w:val="15"/>
          <w:color w:val="auto"/>
        </w:rPr>
        <w:t>, which can cause injury to the eye and other complications. For example, in our Phase 3 trials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wet AMD, the most frequent ocular adverse events were conjunctival hemorrhage, macular degeneration, eye pain, retinal hemorrhage, and vitreous floaters. These and other complications or side effects could harm the development and/or commercialization of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cancer or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diseases of the eye.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2" w:name="page23"/>
    <w:bookmarkEnd w:id="22"/>
    <w:p>
      <w:pPr>
        <w:jc w:val="both"/>
        <w:ind w:firstLine="255"/>
        <w:spacing w:after="0" w:line="204" w:lineRule="auto"/>
        <w:rPr>
          <w:sz w:val="20"/>
          <w:szCs w:val="20"/>
          <w:color w:val="auto"/>
        </w:rPr>
      </w:pPr>
      <w:r>
        <w:rPr>
          <w:rFonts w:ascii="Arial" w:cs="Arial" w:eastAsia="Arial" w:hAnsi="Arial"/>
          <w:sz w:val="15"/>
          <w:szCs w:val="15"/>
          <w:color w:val="auto"/>
        </w:rPr>
        <w:t>As more patients begin to use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if it receives regulatory approval for the prevention of gout flares in patients initiating uric acid-lowering therapy, and to the extent it is tested in new disease settings, new risks and side effects associated with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may be discovered, and risks previously viewed as inconsequential could be determined to be significant. Like cytokine antagonists such as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(canakinumab), a registered trademark of Novartis, Kineret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(anakinra) and Enbrel</w:t>
      </w:r>
      <w:r>
        <w:rPr>
          <w:rFonts w:ascii="Arial" w:cs="Arial" w:eastAsia="Arial" w:hAnsi="Arial"/>
          <w:sz w:val="25"/>
          <w:szCs w:val="25"/>
          <w:color w:val="auto"/>
          <w:vertAlign w:val="superscript"/>
        </w:rPr>
        <w:t>®</w:t>
      </w:r>
      <w:r>
        <w:rPr>
          <w:rFonts w:ascii="Arial" w:cs="Arial" w:eastAsia="Arial" w:hAnsi="Arial"/>
          <w:sz w:val="15"/>
          <w:szCs w:val="15"/>
          <w:color w:val="auto"/>
        </w:rPr>
        <w:t xml:space="preserve"> (etanercept), registered trademarks of Amgen, and Remicade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(infliximab) a registered trademark of Centocor Ortho Biotech,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affects the immune defense system of the body by blocking some of its functions. Therefore,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may interfere with the body’s ability to fight infections. As noted above, in June 2011, following two positive Phase 3 trials, the Arthritis Advisory Committee of the FDA voted to recommend against approval in a gout indication for Ilaris</w:t>
      </w:r>
      <w:r>
        <w:rPr>
          <w:rFonts w:ascii="Arial" w:cs="Arial" w:eastAsia="Arial" w:hAnsi="Arial"/>
          <w:sz w:val="25"/>
          <w:szCs w:val="25"/>
          <w:color w:val="auto"/>
          <w:vertAlign w:val="superscript"/>
        </w:rPr>
        <w:t>®</w:t>
      </w:r>
      <w:r>
        <w:rPr>
          <w:rFonts w:ascii="Arial" w:cs="Arial" w:eastAsia="Arial" w:hAnsi="Arial"/>
          <w:sz w:val="15"/>
          <w:szCs w:val="15"/>
          <w:color w:val="auto"/>
        </w:rPr>
        <w:t>, Novartis’ IL-1 inhibitor which works through a similar mechanism as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in August 2011, Novartis received a Complete Response letter from the FDA requesting additional information, including clinical data to evaluate the benefit-risk profile of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refractory patients.</w:t>
      </w:r>
    </w:p>
    <w:p>
      <w:pPr>
        <w:spacing w:after="0" w:line="84" w:lineRule="exact"/>
        <w:rPr>
          <w:sz w:val="20"/>
          <w:szCs w:val="20"/>
          <w:color w:val="auto"/>
        </w:rPr>
      </w:pPr>
    </w:p>
    <w:p>
      <w:pPr>
        <w:jc w:val="both"/>
        <w:ind w:right="20" w:firstLine="279"/>
        <w:spacing w:after="0" w:line="229" w:lineRule="auto"/>
        <w:rPr>
          <w:sz w:val="20"/>
          <w:szCs w:val="20"/>
          <w:color w:val="auto"/>
        </w:rPr>
      </w:pPr>
      <w:r>
        <w:rPr>
          <w:rFonts w:ascii="Arial" w:cs="Arial" w:eastAsia="Arial" w:hAnsi="Arial"/>
          <w:sz w:val="14"/>
          <w:szCs w:val="14"/>
          <w:color w:val="auto"/>
        </w:rPr>
        <w:t>Treatment with Kineret</w:t>
      </w:r>
      <w:r>
        <w:rPr>
          <w:rFonts w:ascii="Arial" w:cs="Arial" w:eastAsia="Arial" w:hAnsi="Arial"/>
          <w:sz w:val="23"/>
          <w:szCs w:val="23"/>
          <w:color w:val="auto"/>
          <w:vertAlign w:val="superscript"/>
        </w:rPr>
        <w:t>®</w:t>
      </w:r>
      <w:r>
        <w:rPr>
          <w:rFonts w:ascii="Arial" w:cs="Arial" w:eastAsia="Arial" w:hAnsi="Arial"/>
          <w:sz w:val="14"/>
          <w:szCs w:val="14"/>
          <w:color w:val="auto"/>
        </w:rPr>
        <w:t>,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23"/>
          <w:szCs w:val="23"/>
          <w:color w:val="auto"/>
          <w:vertAlign w:val="superscript"/>
        </w:rPr>
        <w:t>®</w:t>
      </w:r>
      <w:r>
        <w:rPr>
          <w:rFonts w:ascii="Arial" w:cs="Arial" w:eastAsia="Arial" w:hAnsi="Arial"/>
          <w:sz w:val="14"/>
          <w:szCs w:val="14"/>
          <w:color w:val="auto"/>
        </w:rPr>
        <w:t>. These or other complications or side effects could cause regulatory authorities to revoke approvals of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CAPS or deny the approval of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in patients initiating uric acid-lowering treatment or other disease settings. Alternatively, we may be required to conduct additional clinical trials, make changes in the labeling of our product, or limit or abandon our efforts to develop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new disease settings. Any such side effects may also result in a reduction, or even the elimination, of sales of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current or future approved indications.</w:t>
      </w:r>
    </w:p>
    <w:p>
      <w:pPr>
        <w:spacing w:after="0" w:line="107" w:lineRule="exact"/>
        <w:rPr>
          <w:sz w:val="20"/>
          <w:szCs w:val="20"/>
          <w:color w:val="auto"/>
        </w:rPr>
      </w:pPr>
    </w:p>
    <w:p>
      <w:pPr>
        <w:jc w:val="both"/>
        <w:ind w:right="20" w:firstLine="315"/>
        <w:spacing w:after="0" w:line="280" w:lineRule="auto"/>
        <w:rPr>
          <w:sz w:val="20"/>
          <w:szCs w:val="20"/>
          <w:color w:val="auto"/>
        </w:rPr>
      </w:pPr>
      <w:r>
        <w:rPr>
          <w:rFonts w:ascii="Arial" w:cs="Arial" w:eastAsia="Arial" w:hAnsi="Arial"/>
          <w:sz w:val="15"/>
          <w:szCs w:val="15"/>
          <w:color w:val="auto"/>
        </w:rPr>
        <w:t>We are studying REGN475, a fully human monoclonal antibody to NGF, in a variety of pain indications, including osteoarthritis of the knee. In December 2010, we were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placed REGN475 on clinical hold. The FDA Arthritis Advisory Committee is scheduled for March 12, 2012 to discuss possible safety issues related to anti-NGF compounds. There are currently no ongoing trials with REGN475 that are either enrolling or treating patients.</w:t>
      </w:r>
    </w:p>
    <w:p>
      <w:pPr>
        <w:spacing w:after="0" w:line="159"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87" w:lineRule="exact"/>
        <w:rPr>
          <w:sz w:val="20"/>
          <w:szCs w:val="20"/>
          <w:color w:val="auto"/>
        </w:rPr>
      </w:pPr>
    </w:p>
    <w:p>
      <w:pPr>
        <w:jc w:val="both"/>
        <w:ind w:right="20" w:firstLine="328"/>
        <w:spacing w:after="0" w:line="280" w:lineRule="auto"/>
        <w:rPr>
          <w:sz w:val="20"/>
          <w:szCs w:val="20"/>
          <w:color w:val="auto"/>
        </w:rPr>
      </w:pPr>
      <w:r>
        <w:rPr>
          <w:rFonts w:ascii="Arial" w:cs="Arial" w:eastAsia="Arial" w:hAnsi="Arial"/>
          <w:sz w:val="15"/>
          <w:szCs w:val="15"/>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59" w:lineRule="exact"/>
        <w:rPr>
          <w:sz w:val="20"/>
          <w:szCs w:val="20"/>
          <w:color w:val="auto"/>
        </w:rPr>
      </w:pPr>
    </w:p>
    <w:p>
      <w:pPr>
        <w:ind w:left="140" w:right="20"/>
        <w:spacing w:after="0" w:line="309" w:lineRule="auto"/>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63" w:lineRule="exact"/>
        <w:rPr>
          <w:sz w:val="20"/>
          <w:szCs w:val="20"/>
          <w:color w:val="auto"/>
        </w:rPr>
      </w:pPr>
    </w:p>
    <w:p>
      <w:pPr>
        <w:jc w:val="both"/>
        <w:ind w:firstLine="255"/>
        <w:spacing w:after="0" w:line="283" w:lineRule="auto"/>
        <w:rPr>
          <w:sz w:val="20"/>
          <w:szCs w:val="20"/>
          <w:color w:val="auto"/>
        </w:rPr>
      </w:pPr>
      <w:r>
        <w:rPr>
          <w:rFonts w:ascii="Arial" w:cs="Arial" w:eastAsia="Arial" w:hAnsi="Arial"/>
          <w:sz w:val="15"/>
          <w:szCs w:val="15"/>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Commercialization of EYLEA</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for the Treatment of Wet AMD</w:t>
      </w:r>
    </w:p>
    <w:p>
      <w:pPr>
        <w:spacing w:after="0" w:line="126" w:lineRule="exact"/>
        <w:rPr>
          <w:sz w:val="20"/>
          <w:szCs w:val="20"/>
          <w:color w:val="auto"/>
        </w:rPr>
      </w:pPr>
    </w:p>
    <w:p>
      <w:pPr>
        <w:ind w:left="140" w:right="20"/>
        <w:spacing w:after="0" w:line="287" w:lineRule="auto"/>
        <w:rPr>
          <w:sz w:val="20"/>
          <w:szCs w:val="20"/>
          <w:color w:val="auto"/>
        </w:rPr>
      </w:pPr>
      <w:r>
        <w:rPr>
          <w:rFonts w:ascii="Arial" w:cs="Arial" w:eastAsia="Arial" w:hAnsi="Arial"/>
          <w:sz w:val="14"/>
          <w:szCs w:val="14"/>
          <w:b w:val="1"/>
          <w:bCs w:val="1"/>
          <w:i w:val="1"/>
          <w:iCs w:val="1"/>
          <w:color w:val="auto"/>
        </w:rPr>
        <w:t>We are subject to significant ongoing regulatory obligations and oversight with respect to EYLEA</w:t>
      </w:r>
      <w:r>
        <w:rPr>
          <w:rFonts w:ascii="Arial" w:cs="Arial" w:eastAsia="Arial" w:hAnsi="Arial"/>
          <w:sz w:val="23"/>
          <w:szCs w:val="23"/>
          <w:color w:val="auto"/>
          <w:vertAlign w:val="superscript"/>
        </w:rPr>
        <w:t>®</w:t>
      </w:r>
      <w:r>
        <w:rPr>
          <w:rFonts w:ascii="Arial" w:cs="Arial" w:eastAsia="Arial" w:hAnsi="Arial"/>
          <w:sz w:val="14"/>
          <w:szCs w:val="14"/>
          <w:b w:val="1"/>
          <w:bCs w:val="1"/>
          <w:i w:val="1"/>
          <w:iCs w:val="1"/>
          <w:color w:val="auto"/>
        </w:rPr>
        <w:t xml:space="preserve"> for the treatment of wet AMD. If we fail to maintain regulatory compliance for EYLEA</w:t>
      </w:r>
      <w:r>
        <w:rPr>
          <w:rFonts w:ascii="Arial" w:cs="Arial" w:eastAsia="Arial" w:hAnsi="Arial"/>
          <w:sz w:val="27"/>
          <w:szCs w:val="27"/>
          <w:color w:val="auto"/>
          <w:vertAlign w:val="superscript"/>
        </w:rPr>
        <w:t>®</w:t>
      </w:r>
      <w:r>
        <w:rPr>
          <w:rFonts w:ascii="Arial" w:cs="Arial" w:eastAsia="Arial" w:hAnsi="Arial"/>
          <w:sz w:val="14"/>
          <w:szCs w:val="14"/>
          <w:b w:val="1"/>
          <w:bCs w:val="1"/>
          <w:i w:val="1"/>
          <w:iCs w:val="1"/>
          <w:color w:val="auto"/>
        </w:rPr>
        <w:t>, we may lose marketing approval, which would materially harm our business, prospects, operating results, and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3" w:name="page24"/>
    <w:bookmarkEnd w:id="23"/>
    <w:p>
      <w:pPr>
        <w:jc w:val="both"/>
        <w:ind w:right="20" w:firstLine="315"/>
        <w:spacing w:after="0" w:line="195" w:lineRule="auto"/>
        <w:rPr>
          <w:sz w:val="20"/>
          <w:szCs w:val="20"/>
          <w:color w:val="auto"/>
        </w:rPr>
      </w:pPr>
      <w:r>
        <w:rPr>
          <w:rFonts w:ascii="Arial" w:cs="Arial" w:eastAsia="Arial" w:hAnsi="Arial"/>
          <w:sz w:val="15"/>
          <w:szCs w:val="15"/>
          <w:color w:val="auto"/>
        </w:rPr>
        <w:t>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currently approved for treatment of wet AMD in the United States and Bayer HealthCare is seeking approval in other countries. We are subject to significant ongoing regulatory obligations with respect to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in the United States, and, if approved outside the United States, commercialization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will be subject to significant ongoing regulatory obligations and oversight in those countries where approval is obtained as well. If we fail to maintain regulatory</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compliance for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Arial" w:cs="Arial" w:eastAsia="Arial" w:hAnsi="Arial"/>
          <w:sz w:val="15"/>
          <w:szCs w:val="15"/>
          <w:i w:val="1"/>
          <w:iCs w:val="1"/>
          <w:color w:val="auto"/>
        </w:rPr>
        <w:t>If we fail to meet the</w:t>
      </w:r>
      <w:r>
        <w:rPr>
          <w:rFonts w:ascii="Arial" w:cs="Arial" w:eastAsia="Arial" w:hAnsi="Arial"/>
          <w:sz w:val="15"/>
          <w:szCs w:val="15"/>
          <w:color w:val="auto"/>
        </w:rPr>
        <w:t xml:space="preserve"> </w:t>
      </w:r>
      <w:r>
        <w:rPr>
          <w:rFonts w:ascii="Arial" w:cs="Arial" w:eastAsia="Arial" w:hAnsi="Arial"/>
          <w:sz w:val="15"/>
          <w:szCs w:val="15"/>
          <w:i w:val="1"/>
          <w:iCs w:val="1"/>
          <w:color w:val="auto"/>
        </w:rPr>
        <w:t>stringent requirements of governmental regulation in the manufacture of drug products or product candidates, we could incur substantial remedial costs, delays in the development or approval of our product candidates and/or in their commercial launch if they obtain regulatory approval, and a reduction in sales.”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Serious complications or side effects in connection with the use of EYLEA</w:t>
      </w:r>
      <w:r>
        <w:rPr>
          <w:rFonts w:ascii="Arial" w:cs="Arial" w:eastAsia="Arial" w:hAnsi="Arial"/>
          <w:sz w:val="23"/>
          <w:szCs w:val="23"/>
          <w:b w:val="1"/>
          <w:bCs w:val="1"/>
          <w:i w:val="1"/>
          <w:iCs w:val="1"/>
          <w:color w:val="auto"/>
          <w:vertAlign w:val="superscript"/>
        </w:rPr>
        <w:t>®</w:t>
      </w:r>
      <w:r>
        <w:rPr>
          <w:rFonts w:ascii="Arial" w:cs="Arial" w:eastAsia="Arial" w:hAnsi="Arial"/>
          <w:sz w:val="14"/>
          <w:szCs w:val="14"/>
          <w:b w:val="1"/>
          <w:bCs w:val="1"/>
          <w:i w:val="1"/>
          <w:iCs w:val="1"/>
          <w:color w:val="auto"/>
        </w:rPr>
        <w:t xml:space="preserve"> could materially harm our business, prospects, operating results, and financial condition.</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There are risks inherent in intravitreal injections, including with EYLEA</w:t>
      </w:r>
      <w:r>
        <w:rPr>
          <w:rFonts w:ascii="Arial" w:cs="Arial" w:eastAsia="Arial" w:hAnsi="Arial"/>
          <w:sz w:val="18"/>
          <w:szCs w:val="18"/>
          <w:color w:val="auto"/>
          <w:vertAlign w:val="superscript"/>
        </w:rPr>
        <w:t>®</w:t>
      </w:r>
      <w:r>
        <w:rPr>
          <w:rFonts w:ascii="Arial" w:cs="Arial" w:eastAsia="Arial" w:hAnsi="Arial"/>
          <w:sz w:val="11"/>
          <w:szCs w:val="11"/>
          <w:color w:val="auto"/>
        </w:rPr>
        <w:t>, such as intraocular inflammation, sterile and culture positive endophthalmitis, corneal decomposition, retinal detachment, retinal tear, and other side</w:t>
      </w:r>
    </w:p>
    <w:p>
      <w:pPr>
        <w:jc w:val="both"/>
        <w:ind w:right="20"/>
        <w:spacing w:after="0" w:line="200" w:lineRule="auto"/>
        <w:rPr>
          <w:sz w:val="20"/>
          <w:szCs w:val="20"/>
          <w:color w:val="auto"/>
        </w:rPr>
      </w:pPr>
      <w:r>
        <w:rPr>
          <w:rFonts w:ascii="Arial" w:cs="Arial" w:eastAsia="Arial" w:hAnsi="Arial"/>
          <w:sz w:val="12"/>
          <w:szCs w:val="12"/>
          <w:color w:val="auto"/>
        </w:rPr>
        <w:t>effects, all of which are reported from time to time to the FDA. Serious complications or serious, unexpected side effects in connection with the use of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could materially harm our business, prospects, operating results, and financial condition.</w:t>
      </w:r>
    </w:p>
    <w:p>
      <w:pPr>
        <w:spacing w:after="0" w:line="175" w:lineRule="exact"/>
        <w:rPr>
          <w:sz w:val="20"/>
          <w:szCs w:val="20"/>
          <w:color w:val="auto"/>
        </w:rPr>
      </w:pPr>
    </w:p>
    <w:p>
      <w:pPr>
        <w:ind w:left="140" w:right="20"/>
        <w:spacing w:after="0" w:line="184" w:lineRule="auto"/>
        <w:rPr>
          <w:sz w:val="20"/>
          <w:szCs w:val="20"/>
          <w:color w:val="auto"/>
        </w:rPr>
      </w:pPr>
      <w:r>
        <w:rPr>
          <w:rFonts w:ascii="Arial" w:cs="Arial" w:eastAsia="Arial" w:hAnsi="Arial"/>
          <w:sz w:val="15"/>
          <w:szCs w:val="15"/>
          <w:b w:val="1"/>
          <w:bCs w:val="1"/>
          <w:i w:val="1"/>
          <w:iCs w:val="1"/>
          <w:color w:val="auto"/>
        </w:rPr>
        <w:t>Our regulatory approval for sales of EYLEA</w:t>
      </w:r>
      <w:r>
        <w:rPr>
          <w:rFonts w:ascii="Arial" w:cs="Arial" w:eastAsia="Arial" w:hAnsi="Arial"/>
          <w:sz w:val="24"/>
          <w:szCs w:val="24"/>
          <w:color w:val="auto"/>
          <w:vertAlign w:val="superscript"/>
        </w:rPr>
        <w:t>®</w:t>
      </w:r>
      <w:r>
        <w:rPr>
          <w:rFonts w:ascii="Arial" w:cs="Arial" w:eastAsia="Arial" w:hAnsi="Arial"/>
          <w:sz w:val="15"/>
          <w:szCs w:val="15"/>
          <w:b w:val="1"/>
          <w:bCs w:val="1"/>
          <w:i w:val="1"/>
          <w:iCs w:val="1"/>
          <w:color w:val="auto"/>
        </w:rPr>
        <w:t xml:space="preserve"> is limited to the treatment of wet AMD and is limited to sales in the United States. If we don't receive approval for EYLEA</w:t>
      </w:r>
      <w:r>
        <w:rPr>
          <w:rFonts w:ascii="Arial" w:cs="Arial" w:eastAsia="Arial" w:hAnsi="Arial"/>
          <w:sz w:val="29"/>
          <w:szCs w:val="29"/>
          <w:color w:val="auto"/>
          <w:vertAlign w:val="superscript"/>
        </w:rPr>
        <w:t>®</w:t>
      </w:r>
      <w:r>
        <w:rPr>
          <w:rFonts w:ascii="Arial" w:cs="Arial" w:eastAsia="Arial" w:hAnsi="Arial"/>
          <w:sz w:val="15"/>
          <w:szCs w:val="15"/>
          <w:b w:val="1"/>
          <w:bCs w:val="1"/>
          <w:i w:val="1"/>
          <w:iCs w:val="1"/>
          <w:color w:val="auto"/>
        </w:rPr>
        <w:t xml:space="preserve"> for other indications, or if approvals are not obtained for sales in other countries, sales and profits will be limited.</w:t>
      </w:r>
    </w:p>
    <w:p>
      <w:pPr>
        <w:spacing w:after="0" w:line="191" w:lineRule="exact"/>
        <w:rPr>
          <w:sz w:val="20"/>
          <w:szCs w:val="20"/>
          <w:color w:val="auto"/>
        </w:rPr>
      </w:pPr>
    </w:p>
    <w:p>
      <w:pPr>
        <w:jc w:val="both"/>
        <w:ind w:right="20" w:firstLine="243"/>
        <w:spacing w:after="0" w:line="223" w:lineRule="auto"/>
        <w:rPr>
          <w:sz w:val="20"/>
          <w:szCs w:val="20"/>
          <w:color w:val="auto"/>
        </w:rPr>
      </w:pPr>
      <w:r>
        <w:rPr>
          <w:rFonts w:ascii="Arial" w:cs="Arial" w:eastAsia="Arial" w:hAnsi="Arial"/>
          <w:sz w:val="16"/>
          <w:szCs w:val="16"/>
          <w:color w:val="auto"/>
        </w:rPr>
        <w:t>We have received regulatory approval for sale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only in the United States. If we do not receive approval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other uses, or if approvals for sales in other countries are not obtained, sales will be limited and our potential for profits will be limited. As a result, our business, prospects, results of operations, and financial condition would be materially impacted.</w:t>
      </w:r>
    </w:p>
    <w:p>
      <w:pPr>
        <w:spacing w:after="0" w:line="194" w:lineRule="exact"/>
        <w:rPr>
          <w:sz w:val="20"/>
          <w:szCs w:val="20"/>
          <w:color w:val="auto"/>
        </w:rPr>
      </w:pPr>
    </w:p>
    <w:p>
      <w:pPr>
        <w:ind w:left="140" w:right="20"/>
        <w:spacing w:after="0" w:line="223" w:lineRule="auto"/>
        <w:rPr>
          <w:sz w:val="20"/>
          <w:szCs w:val="20"/>
          <w:color w:val="auto"/>
        </w:rPr>
      </w:pPr>
      <w:r>
        <w:rPr>
          <w:rFonts w:ascii="Arial" w:cs="Arial" w:eastAsia="Arial" w:hAnsi="Arial"/>
          <w:sz w:val="15"/>
          <w:szCs w:val="15"/>
          <w:b w:val="1"/>
          <w:bCs w:val="1"/>
          <w:i w:val="1"/>
          <w:iCs w:val="1"/>
          <w:color w:val="auto"/>
        </w:rPr>
        <w:t>Our sales of EYLEA</w:t>
      </w:r>
      <w:r>
        <w:rPr>
          <w:rFonts w:ascii="Arial" w:cs="Arial" w:eastAsia="Arial" w:hAnsi="Arial"/>
          <w:sz w:val="25"/>
          <w:szCs w:val="25"/>
          <w:color w:val="auto"/>
          <w:vertAlign w:val="superscript"/>
        </w:rPr>
        <w:t>®</w:t>
      </w:r>
      <w:r>
        <w:rPr>
          <w:rFonts w:ascii="Arial" w:cs="Arial" w:eastAsia="Arial" w:hAnsi="Arial"/>
          <w:sz w:val="15"/>
          <w:szCs w:val="15"/>
          <w:b w:val="1"/>
          <w:bCs w:val="1"/>
          <w:i w:val="1"/>
          <w:iCs w:val="1"/>
          <w:color w:val="auto"/>
        </w:rPr>
        <w:t xml:space="preserve"> for the treatment of wet AMD are dependent on the availability and extent of reimbursement from third party payers, and changes to such reimbursement may materially harm our sales and potential revenue and harm our business, prospects, operating results, and financial condition.</w:t>
      </w:r>
    </w:p>
    <w:p>
      <w:pPr>
        <w:spacing w:after="0" w:line="192"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4"/>
          <w:szCs w:val="14"/>
          <w:color w:val="auto"/>
        </w:rPr>
        <w:t>Our current sales in the United States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are dependent, in part, on the availability and extent of reimbursement from third-party payers, including government programs such as Medicare and Medicaid and private payer healthcare and insurance programs. If approved for sale in other countries, such sales will be dependent, in part, on similar programs in these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w:t>
      </w:r>
    </w:p>
    <w:p>
      <w:pPr>
        <w:spacing w:after="0" w:line="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material adverse effect on the sales of EYLEA</w:t>
      </w:r>
      <w:r>
        <w:rPr>
          <w:rFonts w:ascii="Arial" w:cs="Arial" w:eastAsia="Arial" w:hAnsi="Arial"/>
          <w:sz w:val="23"/>
          <w:szCs w:val="23"/>
          <w:color w:val="auto"/>
          <w:vertAlign w:val="superscript"/>
        </w:rPr>
        <w:t>®</w:t>
      </w:r>
      <w:r>
        <w:rPr>
          <w:rFonts w:ascii="Arial" w:cs="Arial" w:eastAsia="Arial" w:hAnsi="Arial"/>
          <w:sz w:val="14"/>
          <w:szCs w:val="14"/>
          <w:color w:val="auto"/>
        </w:rPr>
        <w:t>. Since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is too expensive for most patients to afford without health insurance coverage, if adequate coverage and reimbursement by third-party payers, including Medicare and Medicaid in the United States, is not available, our ability to successfully commercialize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be materially adversely impacted. Our sales and potential profits and our business, prospects, operating results, and financial condition would be materially harmed.</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color w:val="auto"/>
        </w:rPr>
        <w:t>See also "</w:t>
      </w:r>
      <w:r>
        <w:rPr>
          <w:rFonts w:ascii="Arial" w:cs="Arial" w:eastAsia="Arial" w:hAnsi="Arial"/>
          <w:sz w:val="16"/>
          <w:szCs w:val="16"/>
          <w:i w:val="1"/>
          <w:iCs w:val="1"/>
          <w:color w:val="auto"/>
        </w:rPr>
        <w:t>The successful commercialization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for the treatment of wet AMD as well as our late-stage product candidates or new indications for our marketed products, if</w:t>
      </w:r>
      <w:r>
        <w:rPr>
          <w:rFonts w:ascii="Arial" w:cs="Arial" w:eastAsia="Arial" w:hAnsi="Arial"/>
          <w:sz w:val="16"/>
          <w:szCs w:val="16"/>
          <w:color w:val="auto"/>
        </w:rPr>
        <w:t xml:space="preserve"> </w:t>
      </w:r>
      <w:r>
        <w:rPr>
          <w:rFonts w:ascii="Arial" w:cs="Arial" w:eastAsia="Arial" w:hAnsi="Arial"/>
          <w:sz w:val="16"/>
          <w:szCs w:val="16"/>
          <w:i w:val="1"/>
          <w:iCs w:val="1"/>
          <w:color w:val="auto"/>
        </w:rPr>
        <w:t>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w:t>
      </w:r>
    </w:p>
    <w:p>
      <w:pPr>
        <w:spacing w:after="0" w:line="193" w:lineRule="exact"/>
        <w:rPr>
          <w:sz w:val="20"/>
          <w:szCs w:val="20"/>
          <w:color w:val="auto"/>
        </w:rPr>
      </w:pPr>
    </w:p>
    <w:p>
      <w:pPr>
        <w:jc w:val="both"/>
        <w:ind w:right="20" w:firstLine="267"/>
        <w:spacing w:after="0" w:line="231" w:lineRule="auto"/>
        <w:rPr>
          <w:sz w:val="20"/>
          <w:szCs w:val="20"/>
          <w:color w:val="auto"/>
        </w:rPr>
      </w:pPr>
      <w:r>
        <w:rPr>
          <w:rFonts w:ascii="Arial" w:cs="Arial" w:eastAsia="Arial" w:hAnsi="Arial"/>
          <w:sz w:val="14"/>
          <w:szCs w:val="14"/>
          <w:color w:val="auto"/>
        </w:rPr>
        <w:t>The status of a J-code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could also affect reimbursement. J-codes are permanent reimbursement codes maintained by Centers for Medicare and Medicaid Services (CMS) that are a component of the Healthcare Common Procedure Coding System (HCPCS), and are typically used to report injectable drugs that ordinarily cannot be self-administered. We do not currently have a J-Code for EYLEA</w:t>
      </w:r>
      <w:r>
        <w:rPr>
          <w:rFonts w:ascii="Arial" w:cs="Arial" w:eastAsia="Arial" w:hAnsi="Arial"/>
          <w:sz w:val="23"/>
          <w:szCs w:val="23"/>
          <w:color w:val="auto"/>
          <w:vertAlign w:val="superscript"/>
        </w:rPr>
        <w:t>®</w:t>
      </w:r>
      <w:r>
        <w:rPr>
          <w:rFonts w:ascii="Arial" w:cs="Arial" w:eastAsia="Arial" w:hAnsi="Arial"/>
          <w:sz w:val="14"/>
          <w:szCs w:val="14"/>
          <w:color w:val="auto"/>
        </w:rPr>
        <w:t>, although we anticipate assignment of a J-Code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January 2013. Without a unique J-code identifier,</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must be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4" w:name="page25"/>
    <w:bookmarkEnd w:id="24"/>
    <w:p>
      <w:pPr>
        <w:ind w:left="140"/>
        <w:spacing w:after="0"/>
        <w:rPr>
          <w:sz w:val="20"/>
          <w:szCs w:val="20"/>
          <w:color w:val="auto"/>
        </w:rPr>
      </w:pPr>
      <w:r>
        <w:rPr>
          <w:rFonts w:ascii="Arial" w:cs="Arial" w:eastAsia="Arial" w:hAnsi="Arial"/>
          <w:sz w:val="16"/>
          <w:szCs w:val="16"/>
          <w:b w:val="1"/>
          <w:bCs w:val="1"/>
          <w:i w:val="1"/>
          <w:iCs w:val="1"/>
          <w:color w:val="auto"/>
        </w:rPr>
        <w:t>The commercial success of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currently being marketed for the treatment of wet AMD is subject to strong competition.</w:t>
      </w:r>
    </w:p>
    <w:p>
      <w:pPr>
        <w:spacing w:after="0" w:line="147" w:lineRule="exact"/>
        <w:rPr>
          <w:sz w:val="20"/>
          <w:szCs w:val="20"/>
          <w:color w:val="auto"/>
        </w:rPr>
      </w:pPr>
    </w:p>
    <w:p>
      <w:pPr>
        <w:jc w:val="both"/>
        <w:ind w:right="20" w:firstLine="303"/>
        <w:spacing w:after="0" w:line="247" w:lineRule="auto"/>
        <w:rPr>
          <w:sz w:val="20"/>
          <w:szCs w:val="20"/>
          <w:color w:val="auto"/>
        </w:rPr>
      </w:pPr>
      <w:r>
        <w:rPr>
          <w:rFonts w:ascii="Arial" w:cs="Arial" w:eastAsia="Arial" w:hAnsi="Arial"/>
          <w:sz w:val="14"/>
          <w:szCs w:val="14"/>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CRVO, DME, and other eye indications.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approved by the FDA in June 2006 for the treatment of wet AMD and</w:t>
      </w:r>
    </w:p>
    <w:p>
      <w:pPr>
        <w:jc w:val="both"/>
        <w:ind w:right="20"/>
        <w:spacing w:after="0" w:line="248" w:lineRule="auto"/>
        <w:rPr>
          <w:sz w:val="20"/>
          <w:szCs w:val="20"/>
          <w:color w:val="auto"/>
        </w:rPr>
      </w:pPr>
      <w:r>
        <w:rPr>
          <w:rFonts w:ascii="Arial" w:cs="Arial" w:eastAsia="Arial" w:hAnsi="Arial"/>
          <w:sz w:val="14"/>
          <w:szCs w:val="14"/>
          <w:color w:val="auto"/>
        </w:rPr>
        <w:t>in June 2010 for the treatment of macular edema following retinal vein occlusion (RVO), CRVO, and branch retinal vein occlusion (BRVO).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In addition, ophthalmologists are using off-label, with success for the treatment of wet AMD, DME, and RVO, third-party repackaged versions of Genentech’s approved VEGF antagonist, Avastin</w:t>
      </w:r>
      <w:r>
        <w:rPr>
          <w:rFonts w:ascii="Arial" w:cs="Arial" w:eastAsia="Arial" w:hAnsi="Arial"/>
          <w:sz w:val="23"/>
          <w:szCs w:val="23"/>
          <w:color w:val="auto"/>
          <w:vertAlign w:val="superscript"/>
        </w:rPr>
        <w:t>®</w:t>
      </w:r>
      <w:r>
        <w:rPr>
          <w:rFonts w:ascii="Arial" w:cs="Arial" w:eastAsia="Arial" w:hAnsi="Arial"/>
          <w:sz w:val="14"/>
          <w:szCs w:val="14"/>
          <w:color w:val="auto"/>
        </w:rPr>
        <w:t>. The relatively low cost of therapy with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patients with wet AMD presents a significant competitive challenge in this indication.</w:t>
      </w:r>
    </w:p>
    <w:p>
      <w:pPr>
        <w:spacing w:after="0" w:line="75" w:lineRule="exact"/>
        <w:rPr>
          <w:sz w:val="20"/>
          <w:szCs w:val="20"/>
          <w:color w:val="auto"/>
        </w:rPr>
      </w:pPr>
    </w:p>
    <w:p>
      <w:pPr>
        <w:jc w:val="both"/>
        <w:ind w:right="20" w:firstLine="267"/>
        <w:spacing w:after="0" w:line="212" w:lineRule="auto"/>
        <w:rPr>
          <w:sz w:val="20"/>
          <w:szCs w:val="20"/>
          <w:color w:val="auto"/>
        </w:rPr>
      </w:pPr>
      <w:r>
        <w:rPr>
          <w:rFonts w:ascii="Arial" w:cs="Arial" w:eastAsia="Arial" w:hAnsi="Arial"/>
          <w:sz w:val="14"/>
          <w:szCs w:val="14"/>
          <w:color w:val="auto"/>
        </w:rPr>
        <w:t>The National Eye Institute (NEI) and others are conducting long-term, controlled clinical trials comparing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treatment of wet AMD. One-year data from the CATT were reported in April 2011 and indicated that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was non-inferior to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in the primary efficacy endpoint of mean visual acuity gain at 52 weeks.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also being evaluated in eye diseases in trials that have been initiated in the United Kingdom, Canada, Brazil, Mexico, Germany, Israel,</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and other countries. It may be difficult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this or other eye indications for which it may be approved to compete against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off-label use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because doctors and patients have had significant experience using these medicines. Moreover, the recently reported results of the CATT study, combined with the relatively low</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4"/>
          <w:szCs w:val="14"/>
          <w:color w:val="auto"/>
        </w:rPr>
        <w:t>cost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treating patients with wet AMD, may well exacerbate the competitive challenge which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face in this or other eye indications for which it may be approved. In addition, while we believe that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would not be well tolerated if administered directly to the eye, if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approved for the treatment of certain cancers, there is a risk that third parties will attempt to repackage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off-label use and sale for the treatment of wet AMD and other diseases of the eye, which would</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color w:val="auto"/>
        </w:rPr>
        <w:t>present a potential low-cost competitive threat to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wet AMD or other eye indications. See also “</w:t>
      </w:r>
      <w:r>
        <w:rPr>
          <w:rFonts w:ascii="Arial" w:cs="Arial" w:eastAsia="Arial" w:hAnsi="Arial"/>
          <w:sz w:val="16"/>
          <w:szCs w:val="16"/>
          <w:i w:val="1"/>
          <w:iCs w:val="1"/>
          <w:color w:val="auto"/>
        </w:rPr>
        <w:t>The commercial success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currently being marketed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wet AMD, and for our other product candidates or new 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 and Market Exclusivity</w:t>
      </w:r>
    </w:p>
    <w:p>
      <w:pPr>
        <w:spacing w:after="0" w:line="208"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87" w:lineRule="exact"/>
        <w:rPr>
          <w:sz w:val="20"/>
          <w:szCs w:val="20"/>
          <w:color w:val="auto"/>
        </w:rPr>
      </w:pPr>
    </w:p>
    <w:p>
      <w:pPr>
        <w:jc w:val="both"/>
        <w:ind w:firstLine="279"/>
        <w:spacing w:after="0" w:line="273" w:lineRule="auto"/>
        <w:rPr>
          <w:sz w:val="20"/>
          <w:szCs w:val="20"/>
          <w:color w:val="auto"/>
        </w:rPr>
      </w:pPr>
      <w:r>
        <w:rPr>
          <w:rFonts w:ascii="Arial" w:cs="Arial" w:eastAsia="Arial" w:hAnsi="Arial"/>
          <w:sz w:val="15"/>
          <w:szCs w:val="15"/>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Patent applications filed in the United States may also be challenged by third parties who file a request for post-grant review under the America Invents Act of 2011, beginning on September 16, 2012.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0" w:lineRule="exact"/>
        <w:rPr>
          <w:sz w:val="20"/>
          <w:szCs w:val="20"/>
          <w:color w:val="auto"/>
        </w:rPr>
      </w:pPr>
    </w:p>
    <w:p>
      <w:pPr>
        <w:ind w:left="140" w:right="20"/>
        <w:spacing w:after="0" w:line="348" w:lineRule="auto"/>
        <w:rPr>
          <w:sz w:val="20"/>
          <w:szCs w:val="20"/>
          <w:color w:val="auto"/>
        </w:rPr>
      </w:pPr>
      <w:r>
        <w:rPr>
          <w:rFonts w:ascii="Arial" w:cs="Arial" w:eastAsia="Arial" w:hAnsi="Arial"/>
          <w:sz w:val="14"/>
          <w:szCs w:val="14"/>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5" w:name="page26"/>
    <w:bookmarkEnd w:id="25"/>
    <w:p>
      <w:pPr>
        <w:jc w:val="both"/>
        <w:ind w:firstLine="267"/>
        <w:spacing w:after="0" w:line="292"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 xml:space="preserve">patents to antibody products made using our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191" w:lineRule="exact"/>
        <w:rPr>
          <w:sz w:val="20"/>
          <w:szCs w:val="20"/>
          <w:color w:val="auto"/>
        </w:rPr>
      </w:pPr>
    </w:p>
    <w:p>
      <w:pPr>
        <w:jc w:val="both"/>
        <w:ind w:firstLine="328"/>
        <w:spacing w:after="0" w:line="235" w:lineRule="auto"/>
        <w:rPr>
          <w:sz w:val="20"/>
          <w:szCs w:val="20"/>
          <w:color w:val="auto"/>
        </w:rPr>
      </w:pPr>
      <w:r>
        <w:rPr>
          <w:rFonts w:ascii="Arial" w:cs="Arial" w:eastAsia="Arial" w:hAnsi="Arial"/>
          <w:sz w:val="15"/>
          <w:szCs w:val="15"/>
          <w:color w:val="auto"/>
        </w:rPr>
        <w:t>We are aware of issued patents and pending patent applications owned by Genentech that claim certain chimeric VEGF receptors. We do not believe that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On December 31, 2011, we entered into a non-exclusive license and partial settlement agreement (the “Agreement”) with Genentech that covers making, using, and selling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 the United States for the prevention and</w:t>
      </w:r>
    </w:p>
    <w:p>
      <w:pPr>
        <w:jc w:val="both"/>
        <w:ind w:right="20"/>
        <w:spacing w:after="0" w:line="247" w:lineRule="auto"/>
        <w:rPr>
          <w:sz w:val="20"/>
          <w:szCs w:val="20"/>
          <w:color w:val="auto"/>
        </w:rPr>
      </w:pPr>
      <w:r>
        <w:rPr>
          <w:rFonts w:ascii="Arial" w:cs="Arial" w:eastAsia="Arial" w:hAnsi="Arial"/>
          <w:sz w:val="11"/>
          <w:szCs w:val="11"/>
          <w:color w:val="auto"/>
        </w:rPr>
        <w:t>treatment of human eye diseases and disorders in the United States. Under the Agreement, we received a non-exclusive license to the Davis-Smyth patents, and certain other technology patents owned or co-owned by Genentech. The Agreement does not cover any non-U.S. patent rights or non-U.S. patent disputes, and does not cover any use of aflibercept other than for prevention and treatment of human eye diseases and disorders in the United States. The First</w:t>
      </w:r>
    </w:p>
    <w:p>
      <w:pPr>
        <w:jc w:val="both"/>
        <w:ind w:right="20"/>
        <w:spacing w:after="0" w:line="182" w:lineRule="auto"/>
        <w:rPr>
          <w:sz w:val="20"/>
          <w:szCs w:val="20"/>
          <w:color w:val="auto"/>
        </w:rPr>
      </w:pPr>
      <w:r>
        <w:rPr>
          <w:rFonts w:ascii="Arial" w:cs="Arial" w:eastAsia="Arial" w:hAnsi="Arial"/>
          <w:sz w:val="11"/>
          <w:szCs w:val="11"/>
          <w:color w:val="auto"/>
        </w:rPr>
        <w:t>Davis-Smyth Case is continuing with respect to matters not covered by the Agreement. The Agreement provides for us to make payments to Genentech based on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through May 7, 2016, the date the Davis-Smyth patents expire. We will make a lump-sum payment of $60 million once cumulative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reach $400 million. We will also pay royalties of 4.75% on cumulative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between $400 million and $3</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1"/>
          <w:szCs w:val="11"/>
          <w:color w:val="auto"/>
        </w:rPr>
        <w:t>billion and 5.5% on any cumulative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over $3 billion. As a result of the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w:t>
      </w:r>
    </w:p>
    <w:p>
      <w:pPr>
        <w:spacing w:after="0" w:line="1" w:lineRule="exact"/>
        <w:rPr>
          <w:sz w:val="20"/>
          <w:szCs w:val="20"/>
          <w:color w:val="auto"/>
        </w:rPr>
      </w:pPr>
    </w:p>
    <w:p>
      <w:pPr>
        <w:jc w:val="both"/>
        <w:ind w:right="20"/>
        <w:spacing w:after="0" w:line="200" w:lineRule="auto"/>
        <w:rPr>
          <w:sz w:val="20"/>
          <w:szCs w:val="20"/>
          <w:color w:val="auto"/>
        </w:rPr>
      </w:pPr>
      <w:r>
        <w:rPr>
          <w:rFonts w:ascii="Arial" w:cs="Arial" w:eastAsia="Arial" w:hAnsi="Arial"/>
          <w:sz w:val="12"/>
          <w:szCs w:val="12"/>
          <w:color w:val="auto"/>
        </w:rPr>
        <w:t>Davis-Smyth Patents by activities relating to VEGF Trap (but excluding EYLEA</w:t>
      </w:r>
      <w:r>
        <w:rPr>
          <w:rFonts w:ascii="Arial" w:cs="Arial" w:eastAsia="Arial" w:hAnsi="Arial"/>
          <w:sz w:val="20"/>
          <w:szCs w:val="20"/>
          <w:color w:val="auto"/>
          <w:vertAlign w:val="superscript"/>
        </w:rPr>
        <w:t>®</w:t>
      </w:r>
      <w:r>
        <w:rPr>
          <w:rFonts w:ascii="Arial" w:cs="Arial" w:eastAsia="Arial" w:hAnsi="Arial"/>
          <w:sz w:val="12"/>
          <w:szCs w:val="12"/>
          <w:color w:val="auto"/>
        </w:rPr>
        <w:t>) (the Second Davis-Smyth Case). As in the First Davis-Smyth Case, in the new complaint Genentech requests a judgment against us for damages, including for willful infringement, and other relief as the Court deems appropriate.</w:t>
      </w:r>
    </w:p>
    <w:p>
      <w:pPr>
        <w:spacing w:after="0" w:line="199" w:lineRule="exact"/>
        <w:rPr>
          <w:sz w:val="20"/>
          <w:szCs w:val="20"/>
          <w:color w:val="auto"/>
        </w:rPr>
      </w:pPr>
    </w:p>
    <w:p>
      <w:pPr>
        <w:jc w:val="both"/>
        <w:ind w:right="20" w:firstLine="267"/>
        <w:spacing w:after="0" w:line="292" w:lineRule="auto"/>
        <w:rPr>
          <w:sz w:val="20"/>
          <w:szCs w:val="20"/>
          <w:color w:val="auto"/>
        </w:rPr>
      </w:pPr>
      <w:r>
        <w:rPr>
          <w:rFonts w:ascii="Arial" w:cs="Arial" w:eastAsia="Arial" w:hAnsi="Arial"/>
          <w:sz w:val="14"/>
          <w:szCs w:val="14"/>
          <w:color w:val="auto"/>
        </w:rPr>
        <w:t>We believe Genentech's claims in the First Davis Smyth Case and the Second Davis Smyth Case are without merit and intend to continue to defend against all of Genentech’s remaining claims vigorously. However, it is possible that there could be an adverse determination or judgment in either or both cases that would materially harm our business by requiring us to seek a license for matters not covered by the Agreement, which may not be available at all or on reasonable terms, or precluding the manufacture, further</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development, or sale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outside the United States or ZALTRAP</w:t>
      </w:r>
      <w:r>
        <w:rPr>
          <w:rFonts w:ascii="Arial" w:cs="Arial" w:eastAsia="Arial" w:hAnsi="Arial"/>
          <w:sz w:val="26"/>
          <w:szCs w:val="26"/>
          <w:color w:val="auto"/>
          <w:vertAlign w:val="superscript"/>
        </w:rPr>
        <w:t>®</w:t>
      </w:r>
      <w:r>
        <w:rPr>
          <w:rFonts w:ascii="Arial" w:cs="Arial" w:eastAsia="Arial" w:hAnsi="Arial"/>
          <w:sz w:val="16"/>
          <w:szCs w:val="16"/>
          <w:color w:val="auto"/>
        </w:rPr>
        <w:t>, or resulting in a damage award. In addition, irrespective of the outcome of the Davis-Smyth cases, we have incurred and will likely continue to incur significant costs and expenses associated with them, which have negatively affected, and will likely continue to negatively affect, our results of operations. An adverse determination in any of the proceedings described herein may have a material adverse effect on our business, prospects, results of operations, and financial condition.</w:t>
      </w:r>
    </w:p>
    <w:p>
      <w:pPr>
        <w:spacing w:after="0" w:line="213"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We have initiated patent-related actions against Genentech in Germany, the United Kingdom, and Italy, and may initiate other actions in other countries outside the United States, which could have similar or other adverse outcomes that would materially harm our business and which, irrespective of the outcomes, may also entail significant costs and expenses.</w:t>
      </w:r>
    </w:p>
    <w:p>
      <w:pPr>
        <w:spacing w:after="0" w:line="194" w:lineRule="exact"/>
        <w:rPr>
          <w:sz w:val="20"/>
          <w:szCs w:val="20"/>
          <w:color w:val="auto"/>
        </w:rPr>
      </w:pPr>
    </w:p>
    <w:p>
      <w:pPr>
        <w:jc w:val="both"/>
        <w:ind w:right="20" w:firstLine="291"/>
        <w:spacing w:after="0" w:line="264" w:lineRule="auto"/>
        <w:rPr>
          <w:sz w:val="20"/>
          <w:szCs w:val="20"/>
          <w:color w:val="auto"/>
        </w:rPr>
      </w:pPr>
      <w:r>
        <w:rPr>
          <w:rFonts w:ascii="Arial" w:cs="Arial" w:eastAsia="Arial" w:hAnsi="Arial"/>
          <w:sz w:val="16"/>
          <w:szCs w:val="16"/>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194" w:lineRule="exact"/>
        <w:rPr>
          <w:sz w:val="20"/>
          <w:szCs w:val="20"/>
          <w:color w:val="auto"/>
        </w:rPr>
      </w:pPr>
    </w:p>
    <w:p>
      <w:pPr>
        <w:jc w:val="both"/>
        <w:ind w:firstLine="315"/>
        <w:spacing w:after="0" w:line="247" w:lineRule="auto"/>
        <w:rPr>
          <w:sz w:val="20"/>
          <w:szCs w:val="20"/>
          <w:color w:val="auto"/>
        </w:rPr>
      </w:pPr>
      <w:r>
        <w:rPr>
          <w:rFonts w:ascii="Arial" w:cs="Arial" w:eastAsia="Arial" w:hAnsi="Arial"/>
          <w:sz w:val="14"/>
          <w:szCs w:val="14"/>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23"/>
          <w:szCs w:val="23"/>
          <w:color w:val="auto"/>
          <w:vertAlign w:val="superscript"/>
        </w:rPr>
        <w:t>®</w:t>
      </w:r>
      <w:r>
        <w:rPr>
          <w:rFonts w:ascii="Arial" w:cs="Arial" w:eastAsia="Arial" w:hAnsi="Arial"/>
          <w:sz w:val="14"/>
          <w:szCs w:val="14"/>
          <w:color w:val="auto"/>
        </w:rPr>
        <w:t>,</w:t>
      </w:r>
    </w:p>
    <w:p>
      <w:pPr>
        <w:jc w:val="both"/>
        <w:spacing w:after="0"/>
        <w:rPr>
          <w:sz w:val="20"/>
          <w:szCs w:val="20"/>
          <w:color w:val="auto"/>
        </w:rPr>
      </w:pPr>
      <w:r>
        <w:rPr>
          <w:rFonts w:ascii="Arial" w:cs="Arial" w:eastAsia="Arial" w:hAnsi="Arial"/>
          <w:sz w:val="15"/>
          <w:szCs w:val="15"/>
          <w:color w:val="auto"/>
        </w:rPr>
        <w:t>ZALTRAP</w:t>
      </w:r>
      <w:r>
        <w:rPr>
          <w:rFonts w:ascii="Arial" w:cs="Arial" w:eastAsia="Arial" w:hAnsi="Arial"/>
          <w:sz w:val="25"/>
          <w:szCs w:val="25"/>
          <w:color w:val="auto"/>
          <w:vertAlign w:val="superscript"/>
        </w:rPr>
        <w:t>®</w:t>
      </w:r>
      <w:r>
        <w:rPr>
          <w:rFonts w:ascii="Arial" w:cs="Arial" w:eastAsia="Arial" w:hAnsi="Arial"/>
          <w:sz w:val="15"/>
          <w:szCs w:val="15"/>
          <w:color w:val="auto"/>
        </w:rPr>
        <w:t>, nor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26" w:name="page27"/>
    <w:bookmarkEnd w:id="26"/>
    <w:p>
      <w:pPr>
        <w:jc w:val="both"/>
        <w:ind w:firstLine="267"/>
        <w:spacing w:after="0" w:line="274" w:lineRule="auto"/>
        <w:rPr>
          <w:sz w:val="20"/>
          <w:szCs w:val="20"/>
          <w:color w:val="auto"/>
        </w:rPr>
      </w:pPr>
      <w:r>
        <w:rPr>
          <w:rFonts w:ascii="Arial" w:cs="Arial" w:eastAsia="Arial" w:hAnsi="Arial"/>
          <w:sz w:val="16"/>
          <w:szCs w:val="16"/>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187" w:lineRule="exact"/>
        <w:rPr>
          <w:sz w:val="20"/>
          <w:szCs w:val="20"/>
          <w:color w:val="auto"/>
        </w:rPr>
      </w:pPr>
    </w:p>
    <w:p>
      <w:pPr>
        <w:jc w:val="both"/>
        <w:ind w:right="20" w:firstLine="255"/>
        <w:spacing w:after="0" w:line="250" w:lineRule="auto"/>
        <w:rPr>
          <w:sz w:val="20"/>
          <w:szCs w:val="20"/>
          <w:color w:val="auto"/>
        </w:rPr>
      </w:pPr>
      <w:r>
        <w:rPr>
          <w:rFonts w:ascii="Arial" w:cs="Arial" w:eastAsia="Arial" w:hAnsi="Arial"/>
          <w:sz w:val="15"/>
          <w:szCs w:val="15"/>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pacing w:after="0" w:line="208" w:lineRule="exact"/>
        <w:rPr>
          <w:sz w:val="20"/>
          <w:szCs w:val="20"/>
          <w:color w:val="auto"/>
        </w:rPr>
      </w:pPr>
    </w:p>
    <w:p>
      <w:pPr>
        <w:jc w:val="both"/>
        <w:ind w:right="20" w:firstLine="267"/>
        <w:spacing w:after="0" w:line="264" w:lineRule="auto"/>
        <w:rPr>
          <w:sz w:val="20"/>
          <w:szCs w:val="20"/>
          <w:color w:val="auto"/>
        </w:rPr>
      </w:pPr>
      <w:r>
        <w:rPr>
          <w:rFonts w:ascii="Arial" w:cs="Arial" w:eastAsia="Arial" w:hAnsi="Arial"/>
          <w:sz w:val="16"/>
          <w:szCs w:val="16"/>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Loss or limitation of patent rights, and new regulatory pathways for biosimilar competition, could reduce the duration of market exclusivity for our products.</w:t>
      </w:r>
    </w:p>
    <w:p>
      <w:pPr>
        <w:spacing w:after="0" w:line="240" w:lineRule="exact"/>
        <w:rPr>
          <w:sz w:val="20"/>
          <w:szCs w:val="20"/>
          <w:color w:val="auto"/>
        </w:rPr>
      </w:pPr>
    </w:p>
    <w:p>
      <w:pPr>
        <w:jc w:val="both"/>
        <w:ind w:right="20" w:firstLine="328"/>
        <w:spacing w:after="0" w:line="264"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94"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5"/>
          <w:szCs w:val="15"/>
          <w:color w:val="auto"/>
        </w:rPr>
        <w:t>If our late-stage product candidates or other clinical candidates are approved for marketing in the U.S or elsewhere, market exclusivity for those products will generally be based upon patent rights and/or certain regulatory forms of exclusivity. As described above under "</w:t>
      </w:r>
      <w:r>
        <w:rPr>
          <w:rFonts w:ascii="Arial" w:cs="Arial" w:eastAsia="Arial" w:hAnsi="Arial"/>
          <w:sz w:val="15"/>
          <w:szCs w:val="15"/>
          <w:i w:val="1"/>
          <w:iCs w:val="1"/>
          <w:color w:val="auto"/>
        </w:rPr>
        <w:t>If we cannot protect the confidentiality of our trade secrets or our patents are</w:t>
      </w:r>
      <w:r>
        <w:rPr>
          <w:rFonts w:ascii="Arial" w:cs="Arial" w:eastAsia="Arial" w:hAnsi="Arial"/>
          <w:sz w:val="15"/>
          <w:szCs w:val="15"/>
          <w:color w:val="auto"/>
        </w:rPr>
        <w:t xml:space="preserve"> </w:t>
      </w:r>
      <w:r>
        <w:rPr>
          <w:rFonts w:ascii="Arial" w:cs="Arial" w:eastAsia="Arial" w:hAnsi="Arial"/>
          <w:sz w:val="15"/>
          <w:szCs w:val="15"/>
          <w:i w:val="1"/>
          <w:iCs w:val="1"/>
          <w:color w:val="auto"/>
        </w:rPr>
        <w:t>insufficient to protect our proprietary rights, our business and competitive position will be harmed</w:t>
      </w:r>
      <w:r>
        <w:rPr>
          <w:rFonts w:ascii="Arial" w:cs="Arial" w:eastAsia="Arial" w:hAnsi="Arial"/>
          <w:sz w:val="15"/>
          <w:szCs w:val="15"/>
          <w:color w:val="auto"/>
        </w:rPr>
        <w:t>", the scope and enforceability of our patent rights may vary from country to</w:t>
      </w:r>
      <w:r>
        <w:rPr>
          <w:rFonts w:ascii="Arial" w:cs="Arial" w:eastAsia="Arial" w:hAnsi="Arial"/>
          <w:sz w:val="15"/>
          <w:szCs w:val="15"/>
          <w:i w:val="1"/>
          <w:iCs w:val="1"/>
          <w:color w:val="auto"/>
        </w:rPr>
        <w:t xml:space="preserve"> </w:t>
      </w:r>
      <w:r>
        <w:rPr>
          <w:rFonts w:ascii="Arial" w:cs="Arial" w:eastAsia="Arial" w:hAnsi="Arial"/>
          <w:sz w:val="15"/>
          <w:szCs w:val="15"/>
          <w:color w:val="auto"/>
        </w:rPr>
        <w:t>country. The failure to 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185" w:lineRule="exact"/>
        <w:rPr>
          <w:sz w:val="20"/>
          <w:szCs w:val="20"/>
          <w:color w:val="auto"/>
        </w:rPr>
      </w:pPr>
    </w:p>
    <w:p>
      <w:pPr>
        <w:jc w:val="both"/>
        <w:ind w:right="20" w:firstLine="267"/>
        <w:spacing w:after="0" w:line="257" w:lineRule="auto"/>
        <w:rPr>
          <w:sz w:val="20"/>
          <w:szCs w:val="20"/>
          <w:color w:val="auto"/>
        </w:rPr>
      </w:pPr>
      <w:r>
        <w:rPr>
          <w:rFonts w:ascii="Arial" w:cs="Arial" w:eastAsia="Arial" w:hAnsi="Arial"/>
          <w:sz w:val="16"/>
          <w:szCs w:val="16"/>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02"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6"/>
          <w:szCs w:val="16"/>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Manufacturing and Supply</w:t>
      </w:r>
    </w:p>
    <w:p>
      <w:pPr>
        <w:spacing w:after="0" w:line="208" w:lineRule="exact"/>
        <w:rPr>
          <w:sz w:val="20"/>
          <w:szCs w:val="20"/>
          <w:color w:val="auto"/>
        </w:rPr>
      </w:pPr>
    </w:p>
    <w:p>
      <w:pPr>
        <w:jc w:val="both"/>
        <w:ind w:left="140" w:right="20"/>
        <w:spacing w:after="0" w:line="225" w:lineRule="auto"/>
        <w:rPr>
          <w:sz w:val="20"/>
          <w:szCs w:val="20"/>
          <w:color w:val="auto"/>
        </w:rPr>
      </w:pPr>
      <w:r>
        <w:rPr>
          <w:rFonts w:ascii="Arial" w:cs="Arial" w:eastAsia="Arial" w:hAnsi="Arial"/>
          <w:sz w:val="16"/>
          <w:szCs w:val="16"/>
          <w:b w:val="1"/>
          <w:bCs w:val="1"/>
          <w:i w:val="1"/>
          <w:iCs w:val="1"/>
          <w:color w:val="auto"/>
        </w:rPr>
        <w:t>We rely on limited internal and contracted manufacturing and supply chain capacity, which could result in our being unable to continue to successfully commercialize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and to commercialize our other product candidates or other indications for our marketed products if they receive regulatory approval and are unable to continue to develop our clinical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7" w:name="page28"/>
    <w:bookmarkEnd w:id="27"/>
    <w:p>
      <w:pPr>
        <w:jc w:val="both"/>
        <w:ind w:firstLine="291"/>
        <w:spacing w:after="0" w:line="281" w:lineRule="auto"/>
        <w:rPr>
          <w:sz w:val="20"/>
          <w:szCs w:val="20"/>
          <w:color w:val="auto"/>
        </w:rPr>
      </w:pPr>
      <w:r>
        <w:rPr>
          <w:rFonts w:ascii="Arial" w:cs="Arial" w:eastAsia="Arial" w:hAnsi="Arial"/>
          <w:sz w:val="14"/>
          <w:szCs w:val="14"/>
          <w:color w:val="auto"/>
        </w:rPr>
        <w:t>Our manufacturing facility would be inadequate to produce the active pharmaceutical ingredients of (a) EYLEA</w:t>
      </w:r>
      <w:r>
        <w:rPr>
          <w:rFonts w:ascii="Arial" w:cs="Arial" w:eastAsia="Arial" w:hAnsi="Arial"/>
          <w:sz w:val="23"/>
          <w:szCs w:val="23"/>
          <w:color w:val="auto"/>
          <w:vertAlign w:val="superscript"/>
        </w:rPr>
        <w:t>®</w:t>
      </w:r>
      <w:r>
        <w:rPr>
          <w:rFonts w:ascii="Arial" w:cs="Arial" w:eastAsia="Arial" w:hAnsi="Arial"/>
          <w:sz w:val="14"/>
          <w:szCs w:val="14"/>
          <w:color w:val="auto"/>
        </w:rPr>
        <w:t>, ZALTRAP</w:t>
      </w:r>
      <w:r>
        <w:rPr>
          <w:rFonts w:ascii="Arial" w:cs="Arial" w:eastAsia="Arial" w:hAnsi="Arial"/>
          <w:sz w:val="23"/>
          <w:szCs w:val="23"/>
          <w:color w:val="auto"/>
          <w:vertAlign w:val="superscript"/>
        </w:rPr>
        <w:t>®</w:t>
      </w:r>
      <w:r>
        <w:rPr>
          <w:rFonts w:ascii="Arial" w:cs="Arial" w:eastAsia="Arial" w:hAnsi="Arial"/>
          <w:sz w:val="14"/>
          <w:szCs w:val="14"/>
          <w:color w:val="auto"/>
        </w:rPr>
        <w:t>,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gout flares in sufficient commercial quantities if these late-stage product candidates were all to receive regulatory approval, and (b) our earlier stage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163" w:lineRule="exact"/>
        <w:rPr>
          <w:sz w:val="20"/>
          <w:szCs w:val="20"/>
          <w:color w:val="auto"/>
        </w:rPr>
      </w:pPr>
    </w:p>
    <w:p>
      <w:pPr>
        <w:jc w:val="both"/>
        <w:ind w:left="140" w:right="20"/>
        <w:spacing w:after="0" w:line="264" w:lineRule="auto"/>
        <w:rPr>
          <w:sz w:val="20"/>
          <w:szCs w:val="20"/>
          <w:color w:val="auto"/>
        </w:rPr>
      </w:pPr>
      <w:r>
        <w:rPr>
          <w:rFonts w:ascii="Arial" w:cs="Arial" w:eastAsia="Arial" w:hAnsi="Arial"/>
          <w:sz w:val="16"/>
          <w:szCs w:val="16"/>
          <w:b w:val="1"/>
          <w:bCs w:val="1"/>
          <w:i w:val="1"/>
          <w:iCs w:val="1"/>
          <w:color w:val="auto"/>
        </w:rPr>
        <w:t>Expanding our manufacturing capacity will be costly and we may be unsuccessful in doing so in a timely manner, which could delay or prevent the launch and successful commercialization of our late-stage product candidates or other indications for our marketed products if they are approved for marketing and could jeopardize our current and future clinical development programs.</w:t>
      </w:r>
    </w:p>
    <w:p>
      <w:pPr>
        <w:spacing w:after="0" w:line="194" w:lineRule="exact"/>
        <w:rPr>
          <w:sz w:val="20"/>
          <w:szCs w:val="20"/>
          <w:color w:val="auto"/>
        </w:rPr>
      </w:pPr>
    </w:p>
    <w:p>
      <w:pPr>
        <w:jc w:val="both"/>
        <w:ind w:firstLine="279"/>
        <w:spacing w:after="0" w:line="290" w:lineRule="auto"/>
        <w:rPr>
          <w:sz w:val="20"/>
          <w:szCs w:val="20"/>
          <w:color w:val="auto"/>
        </w:rPr>
      </w:pPr>
      <w:r>
        <w:rPr>
          <w:rFonts w:ascii="Arial" w:cs="Arial" w:eastAsia="Arial" w:hAnsi="Arial"/>
          <w:sz w:val="14"/>
          <w:szCs w:val="14"/>
          <w:color w:val="auto"/>
        </w:rPr>
        <w:t>Expanding our manufacturing capacity to supply commercial quantities of the active pharmaceutical ingredients for our late-stage product candidates if they are approved for marketing, and to supply clinical drug material to support the continued growth of our clinical programs, will require substantial additional expenditures, and we will need to hire and train significant numbers of employees and managerial personnel to staff our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with our efforts to successfully commercialize EYLEA</w:t>
      </w:r>
      <w:r>
        <w:rPr>
          <w:rFonts w:ascii="Arial" w:cs="Arial" w:eastAsia="Arial" w:hAnsi="Arial"/>
          <w:sz w:val="26"/>
          <w:szCs w:val="26"/>
          <w:color w:val="auto"/>
          <w:vertAlign w:val="superscript"/>
        </w:rPr>
        <w:t>®</w:t>
      </w:r>
      <w:r>
        <w:rPr>
          <w:rFonts w:ascii="Arial" w:cs="Arial" w:eastAsia="Arial" w:hAnsi="Arial"/>
          <w:sz w:val="16"/>
          <w:szCs w:val="16"/>
          <w:color w:val="auto"/>
        </w:rPr>
        <w:t>, ZALTRAP</w:t>
      </w:r>
      <w:r>
        <w:rPr>
          <w:rFonts w:ascii="Arial" w:cs="Arial" w:eastAsia="Arial" w:hAnsi="Arial"/>
          <w:sz w:val="26"/>
          <w:szCs w:val="26"/>
          <w:color w:val="auto"/>
          <w:vertAlign w:val="superscript"/>
        </w:rPr>
        <w:t>®</w:t>
      </w:r>
      <w:r>
        <w:rPr>
          <w:rFonts w:ascii="Arial" w:cs="Arial" w:eastAsia="Arial" w:hAnsi="Arial"/>
          <w:sz w:val="16"/>
          <w:szCs w:val="16"/>
          <w:color w:val="auto"/>
        </w:rPr>
        <w:t>,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in patients initiating uric acid-lowering treatment if they receive regulatory approval, and could also delay or require us to discontinue one or more of our clinical development programs. As a result, our business, prospects, operating results, and financial condition could be materially harmed.</w:t>
      </w:r>
    </w:p>
    <w:p>
      <w:pPr>
        <w:spacing w:after="0" w:line="190"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166" w:lineRule="exact"/>
        <w:rPr>
          <w:sz w:val="20"/>
          <w:szCs w:val="20"/>
          <w:color w:val="auto"/>
        </w:rPr>
      </w:pPr>
    </w:p>
    <w:p>
      <w:pPr>
        <w:jc w:val="both"/>
        <w:ind w:right="20" w:firstLine="279"/>
        <w:spacing w:after="0" w:line="249" w:lineRule="auto"/>
        <w:rPr>
          <w:sz w:val="20"/>
          <w:szCs w:val="20"/>
          <w:color w:val="auto"/>
        </w:rPr>
      </w:pPr>
      <w:r>
        <w:rPr>
          <w:rFonts w:ascii="Arial" w:cs="Arial" w:eastAsia="Arial" w:hAnsi="Arial"/>
          <w:sz w:val="15"/>
          <w:szCs w:val="15"/>
          <w:color w:val="auto"/>
        </w:rPr>
        <w:t>Our ability to continue to manufacture ARCALYST</w:t>
      </w:r>
      <w:r>
        <w:rPr>
          <w:rFonts w:ascii="Arial" w:cs="Arial" w:eastAsia="Arial" w:hAnsi="Arial"/>
          <w:sz w:val="25"/>
          <w:szCs w:val="25"/>
          <w:color w:val="auto"/>
          <w:vertAlign w:val="superscript"/>
        </w:rPr>
        <w:t>®</w:t>
      </w:r>
      <w:r>
        <w:rPr>
          <w:rFonts w:ascii="Arial" w:cs="Arial" w:eastAsia="Arial" w:hAnsi="Arial"/>
          <w:sz w:val="15"/>
          <w:szCs w:val="15"/>
          <w:color w:val="auto"/>
        </w:rPr>
        <w:t>, EYLEA</w:t>
      </w:r>
      <w:r>
        <w:rPr>
          <w:rFonts w:ascii="Arial" w:cs="Arial" w:eastAsia="Arial" w:hAnsi="Arial"/>
          <w:sz w:val="25"/>
          <w:szCs w:val="25"/>
          <w:color w:val="auto"/>
          <w:vertAlign w:val="superscript"/>
        </w:rPr>
        <w:t>®</w:t>
      </w:r>
      <w:r>
        <w:rPr>
          <w:rFonts w:ascii="Arial" w:cs="Arial" w:eastAsia="Arial" w:hAnsi="Arial"/>
          <w:sz w:val="15"/>
          <w:szCs w:val="15"/>
          <w:color w:val="auto"/>
        </w:rPr>
        <w:t>, and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our Rensselaer, New York facilities, or to utilize third parties to produce our products or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results of operations, and prospects.</w:t>
      </w:r>
    </w:p>
    <w:p>
      <w:pPr>
        <w:spacing w:after="0" w:line="188" w:lineRule="exact"/>
        <w:rPr>
          <w:sz w:val="20"/>
          <w:szCs w:val="20"/>
          <w:color w:val="auto"/>
        </w:rPr>
      </w:pPr>
    </w:p>
    <w:p>
      <w:pPr>
        <w:jc w:val="both"/>
        <w:ind w:left="140" w:right="20"/>
        <w:spacing w:after="0" w:line="223" w:lineRule="auto"/>
        <w:rPr>
          <w:sz w:val="20"/>
          <w:szCs w:val="20"/>
          <w:color w:val="auto"/>
        </w:rPr>
      </w:pPr>
      <w:r>
        <w:rPr>
          <w:rFonts w:ascii="Arial" w:cs="Arial" w:eastAsia="Arial" w:hAnsi="Arial"/>
          <w:sz w:val="16"/>
          <w:szCs w:val="16"/>
          <w:b w:val="1"/>
          <w:bCs w:val="1"/>
          <w:i w:val="1"/>
          <w:iCs w:val="1"/>
          <w:color w:val="auto"/>
        </w:rPr>
        <w:t>If sales of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for the treatment of wet AMD do not meet the levels currently expected, or if the launch of our late-stage product candidates or new indications of our marketed products, or any of our clinical programs, are delayed or discontinued, we may face costs related to unused capacity at our manufacturing facilities and at the facilities of third parties.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8" w:name="page29"/>
    <w:bookmarkEnd w:id="28"/>
    <w:p>
      <w:pPr>
        <w:jc w:val="both"/>
        <w:ind w:firstLine="243"/>
        <w:spacing w:after="0" w:line="235" w:lineRule="auto"/>
        <w:rPr>
          <w:sz w:val="20"/>
          <w:szCs w:val="20"/>
          <w:color w:val="auto"/>
        </w:rPr>
      </w:pPr>
      <w:r>
        <w:rPr>
          <w:rFonts w:ascii="Arial" w:cs="Arial" w:eastAsia="Arial" w:hAnsi="Arial"/>
          <w:sz w:val="15"/>
          <w:szCs w:val="15"/>
          <w:color w:val="auto"/>
        </w:rPr>
        <w:t>We have large-scale manufacturing operations in Rensselaer, New York. We use our facilities to produce bulk product of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CAPS, bulk product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and clinical and preclinical candidates for ourselves and our collaborations, and plan to use such facilities to produce bulk product for commercial supply of our late-stage product candidates or new indications of our marketed products if they are approved for marketing. If our clinical candidates are discontinued or their clinical development is delayed, if the launch of any of our late-stage product candidates or new indications or our marketed products is delayed or does not occur, or if such products are launched and subsequently recalled or marketing approval is rescinded, we may have to absorb one hundred percent of related overhead costs and inefficiencies, as well as similar costs of third-party contract manufacturers performing services for us.</w:t>
      </w:r>
    </w:p>
    <w:p>
      <w:pPr>
        <w:spacing w:after="0" w:line="191"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87" w:lineRule="exact"/>
        <w:rPr>
          <w:sz w:val="20"/>
          <w:szCs w:val="20"/>
          <w:color w:val="auto"/>
        </w:rPr>
      </w:pPr>
    </w:p>
    <w:p>
      <w:pPr>
        <w:jc w:val="both"/>
        <w:ind w:firstLine="279"/>
        <w:spacing w:after="0" w:line="264" w:lineRule="auto"/>
        <w:rPr>
          <w:sz w:val="20"/>
          <w:szCs w:val="20"/>
          <w:color w:val="auto"/>
        </w:rPr>
      </w:pPr>
      <w:r>
        <w:rPr>
          <w:rFonts w:ascii="Arial" w:cs="Arial" w:eastAsia="Arial" w:hAnsi="Arial"/>
          <w:sz w:val="16"/>
          <w:szCs w:val="16"/>
          <w:color w:val="auto"/>
        </w:rPr>
        <w:t>We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173" w:lineRule="exact"/>
        <w:rPr>
          <w:sz w:val="20"/>
          <w:szCs w:val="20"/>
          <w:color w:val="auto"/>
        </w:rPr>
      </w:pPr>
    </w:p>
    <w:p>
      <w:pPr>
        <w:jc w:val="both"/>
        <w:ind w:right="20" w:firstLine="267"/>
        <w:spacing w:after="0" w:line="241" w:lineRule="auto"/>
        <w:rPr>
          <w:sz w:val="20"/>
          <w:szCs w:val="20"/>
          <w:color w:val="auto"/>
        </w:rPr>
      </w:pPr>
      <w:r>
        <w:rPr>
          <w:rFonts w:ascii="Arial" w:cs="Arial" w:eastAsia="Arial" w:hAnsi="Arial"/>
          <w:sz w:val="14"/>
          <w:szCs w:val="14"/>
          <w:color w:val="auto"/>
        </w:rPr>
        <w:t>Also, certain raw materials necessary for the manufacture and formulation of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of our product candidates, including ZALTRAP</w:t>
      </w:r>
      <w:r>
        <w:rPr>
          <w:rFonts w:ascii="Arial" w:cs="Arial" w:eastAsia="Arial" w:hAnsi="Arial"/>
          <w:sz w:val="23"/>
          <w:szCs w:val="23"/>
          <w:color w:val="auto"/>
          <w:vertAlign w:val="superscript"/>
        </w:rPr>
        <w:t>®</w:t>
      </w:r>
      <w:r>
        <w:rPr>
          <w:rFonts w:ascii="Arial" w:cs="Arial" w:eastAsia="Arial" w:hAnsi="Arial"/>
          <w:sz w:val="14"/>
          <w:szCs w:val="14"/>
          <w:color w:val="auto"/>
        </w:rPr>
        <w:t>, are provided by single-source unaffiliated third-party suppliers. In addition, we rely on certain third parties to perform filling, finishing, distribution, laboratory testing, and other services related</w:t>
      </w:r>
    </w:p>
    <w:p>
      <w:pPr>
        <w:spacing w:after="0" w:line="1"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to the manufacture of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cGMPs, business interruptions, or labor shortages or disputes. This, in turn, could materially and adversely affect our ability to manufacture or supply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CAPS and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and to manufacture</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and supply commercial quantities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other ophthalmologic diseases, ZALTRAP</w:t>
      </w:r>
      <w:r>
        <w:rPr>
          <w:rFonts w:ascii="Arial" w:cs="Arial" w:eastAsia="Arial" w:hAnsi="Arial"/>
          <w:sz w:val="26"/>
          <w:szCs w:val="26"/>
          <w:color w:val="auto"/>
          <w:vertAlign w:val="superscript"/>
        </w:rPr>
        <w:t>®</w:t>
      </w:r>
      <w:r>
        <w:rPr>
          <w:rFonts w:ascii="Arial" w:cs="Arial" w:eastAsia="Arial" w:hAnsi="Arial"/>
          <w:sz w:val="16"/>
          <w:szCs w:val="16"/>
          <w:color w:val="auto"/>
        </w:rPr>
        <w:t>,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if they receive regulatory approval, which could materially and adversely affect our business and future prospects.</w:t>
      </w:r>
    </w:p>
    <w:p>
      <w:pPr>
        <w:spacing w:after="0" w:line="214" w:lineRule="exact"/>
        <w:rPr>
          <w:sz w:val="20"/>
          <w:szCs w:val="20"/>
          <w:color w:val="auto"/>
        </w:rPr>
      </w:pPr>
    </w:p>
    <w:p>
      <w:pPr>
        <w:jc w:val="both"/>
        <w:ind w:right="20" w:firstLine="267"/>
        <w:spacing w:after="0" w:line="289" w:lineRule="auto"/>
        <w:rPr>
          <w:sz w:val="20"/>
          <w:szCs w:val="20"/>
          <w:color w:val="auto"/>
        </w:rPr>
      </w:pPr>
      <w:r>
        <w:rPr>
          <w:rFonts w:ascii="Arial" w:cs="Arial" w:eastAsia="Arial" w:hAnsi="Arial"/>
          <w:sz w:val="15"/>
          <w:szCs w:val="15"/>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54" w:lineRule="exact"/>
        <w:rPr>
          <w:sz w:val="20"/>
          <w:szCs w:val="20"/>
          <w:color w:val="auto"/>
        </w:rPr>
      </w:pPr>
    </w:p>
    <w:p>
      <w:pPr>
        <w:jc w:val="both"/>
        <w:ind w:left="140" w:right="20"/>
        <w:spacing w:after="0" w:line="264" w:lineRule="auto"/>
        <w:rPr>
          <w:sz w:val="20"/>
          <w:szCs w:val="20"/>
          <w:color w:val="auto"/>
        </w:rPr>
      </w:pPr>
      <w:r>
        <w:rPr>
          <w:rFonts w:ascii="Arial" w:cs="Arial" w:eastAsia="Arial" w:hAnsi="Arial"/>
          <w:sz w:val="16"/>
          <w:szCs w:val="16"/>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194" w:lineRule="exact"/>
        <w:rPr>
          <w:sz w:val="20"/>
          <w:szCs w:val="20"/>
          <w:color w:val="auto"/>
        </w:rPr>
      </w:pPr>
    </w:p>
    <w:p>
      <w:pPr>
        <w:jc w:val="both"/>
        <w:ind w:firstLine="279"/>
        <w:spacing w:after="0" w:line="292" w:lineRule="auto"/>
        <w:rPr>
          <w:sz w:val="20"/>
          <w:szCs w:val="20"/>
          <w:color w:val="auto"/>
        </w:rPr>
      </w:pPr>
      <w:r>
        <w:rPr>
          <w:rFonts w:ascii="Arial" w:cs="Arial" w:eastAsia="Arial" w:hAnsi="Arial"/>
          <w:sz w:val="14"/>
          <w:szCs w:val="14"/>
          <w:color w:val="auto"/>
        </w:rPr>
        <w:t>We and our third-party providers are required to maintain compliance with cGMP,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 candidates at our</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facility in Rensselaer, New York, including ARCALYST</w:t>
      </w:r>
      <w:r>
        <w:rPr>
          <w:rFonts w:ascii="Arial" w:cs="Arial" w:eastAsia="Arial" w:hAnsi="Arial"/>
          <w:sz w:val="25"/>
          <w:szCs w:val="25"/>
          <w:color w:val="auto"/>
          <w:vertAlign w:val="superscript"/>
        </w:rPr>
        <w:t>®</w:t>
      </w:r>
      <w:r>
        <w:rPr>
          <w:rFonts w:ascii="Arial" w:cs="Arial" w:eastAsia="Arial" w:hAnsi="Arial"/>
          <w:sz w:val="15"/>
          <w:szCs w:val="15"/>
          <w:color w:val="auto"/>
        </w:rPr>
        <w:t>, EYLEA</w:t>
      </w:r>
      <w:r>
        <w:rPr>
          <w:rFonts w:ascii="Arial" w:cs="Arial" w:eastAsia="Arial" w:hAnsi="Arial"/>
          <w:sz w:val="25"/>
          <w:szCs w:val="25"/>
          <w:color w:val="auto"/>
          <w:vertAlign w:val="superscript"/>
        </w:rPr>
        <w:t>®</w:t>
      </w:r>
      <w:r>
        <w:rPr>
          <w:rFonts w:ascii="Arial" w:cs="Arial" w:eastAsia="Arial" w:hAnsi="Arial"/>
          <w:sz w:val="15"/>
          <w:szCs w:val="15"/>
          <w:color w:val="auto"/>
        </w:rPr>
        <w:t>, and ZALTRAP</w:t>
      </w:r>
      <w:r>
        <w:rPr>
          <w:rFonts w:ascii="Arial" w:cs="Arial" w:eastAsia="Arial" w:hAnsi="Arial"/>
          <w:sz w:val="25"/>
          <w:szCs w:val="25"/>
          <w:color w:val="auto"/>
          <w:vertAlign w:val="superscript"/>
        </w:rPr>
        <w:t>®</w:t>
      </w:r>
      <w:r>
        <w:rPr>
          <w:rFonts w:ascii="Arial" w:cs="Arial" w:eastAsia="Arial" w:hAnsi="Arial"/>
          <w:sz w:val="15"/>
          <w:szCs w:val="15"/>
          <w:color w:val="auto"/>
        </w:rPr>
        <w: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and financial condition.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Risks Related to Commercialization of Products</w:t>
      </w:r>
    </w:p>
    <w:p>
      <w:pPr>
        <w:spacing w:after="0" w:line="212" w:lineRule="exact"/>
        <w:rPr>
          <w:sz w:val="20"/>
          <w:szCs w:val="20"/>
          <w:color w:val="auto"/>
        </w:rPr>
      </w:pPr>
    </w:p>
    <w:p>
      <w:pPr>
        <w:ind w:left="140" w:right="20"/>
        <w:spacing w:after="0" w:line="212" w:lineRule="auto"/>
        <w:rPr>
          <w:sz w:val="20"/>
          <w:szCs w:val="20"/>
          <w:color w:val="auto"/>
        </w:rPr>
      </w:pPr>
      <w:r>
        <w:rPr>
          <w:rFonts w:ascii="Arial" w:cs="Arial" w:eastAsia="Arial" w:hAnsi="Arial"/>
          <w:sz w:val="16"/>
          <w:szCs w:val="16"/>
          <w:b w:val="1"/>
          <w:bCs w:val="1"/>
          <w:i w:val="1"/>
          <w:iCs w:val="1"/>
          <w:color w:val="auto"/>
        </w:rPr>
        <w:t>We may be unsuccessful in continuing our commercialization of EYLEA</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for the treatment of wet AMD or commercializing our late stage product candidates or new indications for our marketed products, if approved, which would materially delay or prevent our achieving profitability.</w:t>
      </w:r>
    </w:p>
    <w:p>
      <w:pPr>
        <w:spacing w:after="0" w:line="213" w:lineRule="exact"/>
        <w:rPr>
          <w:sz w:val="20"/>
          <w:szCs w:val="20"/>
          <w:color w:val="auto"/>
        </w:rPr>
      </w:pPr>
    </w:p>
    <w:p>
      <w:pPr>
        <w:jc w:val="both"/>
        <w:ind w:firstLine="279"/>
        <w:spacing w:after="0" w:line="280" w:lineRule="auto"/>
        <w:rPr>
          <w:sz w:val="20"/>
          <w:szCs w:val="20"/>
          <w:color w:val="auto"/>
        </w:rPr>
      </w:pPr>
      <w:r>
        <w:rPr>
          <w:rFonts w:ascii="Arial" w:cs="Arial" w:eastAsia="Arial" w:hAnsi="Arial"/>
          <w:sz w:val="15"/>
          <w:szCs w:val="15"/>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and commercialize those products or new indications.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62" w:lineRule="exact"/>
        <w:rPr>
          <w:sz w:val="20"/>
          <w:szCs w:val="20"/>
          <w:color w:val="auto"/>
        </w:rPr>
      </w:pPr>
    </w:p>
    <w:p>
      <w:pPr>
        <w:jc w:val="both"/>
        <w:ind w:right="20" w:firstLine="364"/>
        <w:spacing w:after="0" w:line="241" w:lineRule="auto"/>
        <w:rPr>
          <w:sz w:val="20"/>
          <w:szCs w:val="20"/>
          <w:color w:val="auto"/>
        </w:rPr>
      </w:pPr>
      <w:r>
        <w:rPr>
          <w:rFonts w:ascii="Arial" w:cs="Arial" w:eastAsia="Arial" w:hAnsi="Arial"/>
          <w:sz w:val="14"/>
          <w:szCs w:val="14"/>
          <w:color w:val="auto"/>
        </w:rPr>
        <w:t>In particular, we are in the early stages of commercialization and cannot be sure that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will be commercially successful in the pharmaceutical market. In addition to the challenges we face related to a company launching its first major commercial drug, as described in detail in the risk factor immediately</w:t>
      </w:r>
    </w:p>
    <w:p>
      <w:pPr>
        <w:spacing w:after="0" w:line="1"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below, we and Bayer HealthCare will face intense competition from Lucentis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from off-label use of Avastin</w:t>
      </w:r>
      <w:r>
        <w:rPr>
          <w:rFonts w:ascii="Arial" w:cs="Arial" w:eastAsia="Arial" w:hAnsi="Arial"/>
          <w:sz w:val="26"/>
          <w:szCs w:val="26"/>
          <w:color w:val="auto"/>
          <w:vertAlign w:val="superscript"/>
        </w:rPr>
        <w:t>®</w:t>
      </w:r>
      <w:r>
        <w:rPr>
          <w:rFonts w:ascii="Arial" w:cs="Arial" w:eastAsia="Arial" w:hAnsi="Arial"/>
          <w:sz w:val="16"/>
          <w:szCs w:val="16"/>
          <w:color w:val="auto"/>
        </w:rPr>
        <w:t>, both of which have been on the market for a number of years. We expect that the initial commercial success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will depend on many factors, including the following:</w:t>
      </w:r>
    </w:p>
    <w:p>
      <w:pPr>
        <w:spacing w:after="0" w:line="84" w:lineRule="exact"/>
        <w:rPr>
          <w:sz w:val="20"/>
          <w:szCs w:val="20"/>
          <w:color w:val="auto"/>
        </w:rPr>
      </w:pPr>
    </w:p>
    <w:p>
      <w:pPr>
        <w:ind w:left="480" w:right="20"/>
        <w:spacing w:after="0" w:line="212" w:lineRule="auto"/>
        <w:rPr>
          <w:sz w:val="20"/>
          <w:szCs w:val="20"/>
          <w:color w:val="auto"/>
        </w:rPr>
      </w:pPr>
      <w:r>
        <w:rPr>
          <w:rFonts w:ascii="Arial" w:cs="Arial" w:eastAsia="Arial" w:hAnsi="Arial"/>
          <w:sz w:val="16"/>
          <w:szCs w:val="16"/>
          <w:color w:val="auto"/>
        </w:rPr>
        <w:t>the effectiveness of our and Bayer HealthCare's commercial strategies for the launch and marketing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and outside the United States, respectively, including pricing strategy and the effectiveness of efforts to obtain, and the timing of obtaining, adequate third-party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01" w:lineRule="auto"/>
        <w:rPr>
          <w:sz w:val="20"/>
          <w:szCs w:val="20"/>
          <w:color w:val="auto"/>
        </w:rPr>
      </w:pPr>
      <w:r>
        <w:rPr>
          <w:rFonts w:ascii="Arial" w:cs="Arial" w:eastAsia="Arial" w:hAnsi="Arial"/>
          <w:sz w:val="16"/>
          <w:szCs w:val="16"/>
          <w:color w:val="auto"/>
        </w:rPr>
        <w:t>maintaining and successfully monitoring commercial manufacturing arrangements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with third parties who perform fill/finish or other steps in the manufacture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ensure that they meet our standards and those of regulatory authorities, including the FDA, which extensively regulate and monitor pharmaceutical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-356870</wp:posOffset>
            </wp:positionV>
            <wp:extent cx="56515" cy="56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line="191" w:lineRule="auto"/>
        <w:rPr>
          <w:sz w:val="20"/>
          <w:szCs w:val="20"/>
          <w:color w:val="auto"/>
        </w:rPr>
      </w:pPr>
      <w:r>
        <w:rPr>
          <w:rFonts w:ascii="Arial" w:cs="Arial" w:eastAsia="Arial" w:hAnsi="Arial"/>
          <w:sz w:val="16"/>
          <w:szCs w:val="16"/>
          <w:color w:val="auto"/>
        </w:rPr>
        <w:t>our ability to meet the demand for commercial supplies of EYLEA</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-92075</wp:posOffset>
            </wp:positionV>
            <wp:extent cx="56515" cy="56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spacing w:after="0" w:line="180" w:lineRule="auto"/>
        <w:rPr>
          <w:sz w:val="20"/>
          <w:szCs w:val="20"/>
          <w:color w:val="auto"/>
        </w:rPr>
      </w:pPr>
      <w:r>
        <w:rPr>
          <w:rFonts w:ascii="Arial" w:cs="Arial" w:eastAsia="Arial" w:hAnsi="Arial"/>
          <w:sz w:val="15"/>
          <w:szCs w:val="15"/>
          <w:color w:val="auto"/>
        </w:rPr>
        <w:t>our ability to effectively communicate to the marketplace the benefits of the dosing regimen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of every 2 months after three initial monthly doses as compared to the monthly dosing regimen of Lucentis</w:t>
      </w:r>
      <w:r>
        <w:rPr>
          <w:rFonts w:ascii="Arial" w:cs="Arial" w:eastAsia="Arial" w:hAnsi="Arial"/>
          <w:sz w:val="25"/>
          <w:szCs w:val="25"/>
          <w:color w:val="auto"/>
          <w:vertAlign w:val="superscript"/>
        </w:rPr>
        <w:t>®</w:t>
      </w:r>
      <w:r>
        <w:rPr>
          <w:rFonts w:ascii="Arial" w:cs="Arial" w:eastAsia="Arial" w:hAnsi="Arial"/>
          <w:sz w:val="15"/>
          <w:szCs w:val="15"/>
          <w:color w:val="auto"/>
        </w:rPr>
        <w:t>, and the willingness of retinal specialists and patients to switch from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or off-label use of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to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-356235</wp:posOffset>
            </wp:positionV>
            <wp:extent cx="56515" cy="56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0"/>
        <w:spacing w:after="0" w:line="259" w:lineRule="auto"/>
        <w:rPr>
          <w:sz w:val="20"/>
          <w:szCs w:val="20"/>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payors, including Medicare and Medicaid in the United States and other government and private payors in the United States and foreign jurisdictions; and the effect of new health care legislation currently being implemented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-342265</wp:posOffset>
            </wp:positionV>
            <wp:extent cx="56515" cy="56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-95885</wp:posOffset>
            </wp:positionV>
            <wp:extent cx="56515" cy="56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58" w:lineRule="exact"/>
        <w:rPr>
          <w:sz w:val="20"/>
          <w:szCs w:val="20"/>
          <w:color w:val="auto"/>
        </w:rPr>
      </w:pPr>
    </w:p>
    <w:p>
      <w:pPr>
        <w:ind w:right="20" w:firstLine="340"/>
        <w:spacing w:after="0" w:line="196" w:lineRule="auto"/>
        <w:rPr>
          <w:sz w:val="20"/>
          <w:szCs w:val="20"/>
          <w:color w:val="auto"/>
        </w:rPr>
      </w:pPr>
      <w:r>
        <w:rPr>
          <w:rFonts w:ascii="Arial" w:cs="Arial" w:eastAsia="Arial" w:hAnsi="Arial"/>
          <w:sz w:val="15"/>
          <w:szCs w:val="15"/>
          <w:color w:val="auto"/>
        </w:rPr>
        <w:t>While we believe that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has a commercially competitive profile, we cannot predict whether ophthalmologists, particularly retinal specialists, and patients, will accept or utilize EYLEA</w:t>
      </w:r>
      <w:r>
        <w:rPr>
          <w:rFonts w:ascii="Arial" w:cs="Arial" w:eastAsia="Arial" w:hAnsi="Arial"/>
          <w:sz w:val="25"/>
          <w:szCs w:val="25"/>
          <w:color w:val="auto"/>
          <w:vertAlign w:val="superscript"/>
        </w:rPr>
        <w:t>®</w:t>
      </w:r>
      <w:r>
        <w:rPr>
          <w:rFonts w:ascii="Arial" w:cs="Arial" w:eastAsia="Arial" w:hAnsi="Arial"/>
          <w:sz w:val="15"/>
          <w:szCs w:val="15"/>
          <w:color w:val="auto"/>
        </w:rPr>
        <w:t>. Our and Bayer HealthCare's efforts to educate the relevant medical community and third-party payors regarding the</w:t>
      </w:r>
    </w:p>
    <w:p>
      <w:pPr>
        <w:spacing w:after="0" w:line="2" w:lineRule="exact"/>
        <w:rPr>
          <w:sz w:val="20"/>
          <w:szCs w:val="20"/>
          <w:color w:val="auto"/>
        </w:rPr>
      </w:pPr>
    </w:p>
    <w:p>
      <w:pPr>
        <w:ind w:right="20"/>
        <w:spacing w:after="0" w:line="218" w:lineRule="auto"/>
        <w:rPr>
          <w:sz w:val="20"/>
          <w:szCs w:val="20"/>
          <w:color w:val="auto"/>
        </w:rPr>
      </w:pPr>
      <w:r>
        <w:rPr>
          <w:rFonts w:ascii="Arial" w:cs="Arial" w:eastAsia="Arial" w:hAnsi="Arial"/>
          <w:sz w:val="15"/>
          <w:szCs w:val="15"/>
          <w:color w:val="auto"/>
        </w:rPr>
        <w:t>benefits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will require significant resources and may not be successful in achieving our objectives. If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approved for marketing but does not achieve significant market acceptance for the treatment of wet AMD, our ability to achieve profitability would be materially impaired or delayed.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0"/>
          <w:szCs w:val="10"/>
          <w:b w:val="1"/>
          <w:bCs w:val="1"/>
          <w:i w:val="1"/>
          <w:iCs w:val="1"/>
          <w:color w:val="auto"/>
        </w:rPr>
        <w:t>If we are unable to establish, and effectively deploy and manage, sales, marketing, and distribution capabilities in the applicable markets or to enter into agreements with third parties to do so, we will not generate our expected</w:t>
      </w:r>
    </w:p>
    <w:p>
      <w:pPr>
        <w:spacing w:after="0" w:line="22" w:lineRule="exact"/>
        <w:rPr>
          <w:sz w:val="20"/>
          <w:szCs w:val="20"/>
          <w:color w:val="auto"/>
        </w:rPr>
      </w:pPr>
    </w:p>
    <w:p>
      <w:pPr>
        <w:ind w:left="140" w:right="20"/>
        <w:spacing w:after="0" w:line="200" w:lineRule="auto"/>
        <w:rPr>
          <w:sz w:val="20"/>
          <w:szCs w:val="20"/>
          <w:color w:val="auto"/>
        </w:rPr>
      </w:pPr>
      <w:r>
        <w:rPr>
          <w:rFonts w:ascii="Arial" w:cs="Arial" w:eastAsia="Arial" w:hAnsi="Arial"/>
          <w:sz w:val="12"/>
          <w:szCs w:val="12"/>
          <w:b w:val="1"/>
          <w:bCs w:val="1"/>
          <w:i w:val="1"/>
          <w:iCs w:val="1"/>
          <w:color w:val="auto"/>
        </w:rPr>
        <w:t>sales of EYLEA</w:t>
      </w:r>
      <w:r>
        <w:rPr>
          <w:rFonts w:ascii="Arial" w:cs="Arial" w:eastAsia="Arial" w:hAnsi="Arial"/>
          <w:sz w:val="20"/>
          <w:szCs w:val="20"/>
          <w:color w:val="auto"/>
          <w:vertAlign w:val="superscript"/>
        </w:rPr>
        <w:t>®</w:t>
      </w:r>
      <w:r>
        <w:rPr>
          <w:rFonts w:ascii="Arial" w:cs="Arial" w:eastAsia="Arial" w:hAnsi="Arial"/>
          <w:sz w:val="12"/>
          <w:szCs w:val="12"/>
          <w:b w:val="1"/>
          <w:bCs w:val="1"/>
          <w:i w:val="1"/>
          <w:iCs w:val="1"/>
          <w:color w:val="auto"/>
        </w:rPr>
        <w:t xml:space="preserve"> for treatment of wet AMD or successfully launch and commercialize our late-stage product candidates or new indications for our marketed products if they receive regulatory approval, which would materially harm our business, prospects, operating results, and financial condition.</w:t>
      </w:r>
    </w:p>
    <w:p>
      <w:pPr>
        <w:spacing w:after="0" w:line="178" w:lineRule="exact"/>
        <w:rPr>
          <w:sz w:val="20"/>
          <w:szCs w:val="20"/>
          <w:color w:val="auto"/>
        </w:rPr>
      </w:pPr>
    </w:p>
    <w:p>
      <w:pPr>
        <w:jc w:val="both"/>
        <w:ind w:right="20" w:firstLine="255"/>
        <w:spacing w:after="0" w:line="241" w:lineRule="auto"/>
        <w:rPr>
          <w:sz w:val="20"/>
          <w:szCs w:val="20"/>
          <w:color w:val="auto"/>
        </w:rPr>
      </w:pPr>
      <w:r>
        <w:rPr>
          <w:rFonts w:ascii="Arial" w:cs="Arial" w:eastAsia="Arial" w:hAnsi="Arial"/>
          <w:sz w:val="14"/>
          <w:szCs w:val="14"/>
          <w:color w:val="auto"/>
        </w:rPr>
        <w:t>We currently sell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United States to three distributors and several specialty pharmacies. We currently sell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CAPS in the United States to two specialty pharmacies. Under these distribution models, we enter into written contracts with our distributors and specialty pharmacies (collectively, our “customers”),</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color w:val="auto"/>
        </w:rPr>
        <w:t>and our customers generally take physical delivery of product. For EYLEA</w:t>
      </w:r>
      <w:r>
        <w:rPr>
          <w:rFonts w:ascii="Arial" w:cs="Arial" w:eastAsia="Arial" w:hAnsi="Arial"/>
          <w:sz w:val="26"/>
          <w:szCs w:val="26"/>
          <w:color w:val="auto"/>
          <w:vertAlign w:val="superscript"/>
        </w:rPr>
        <w:t>®</w:t>
      </w:r>
      <w:r>
        <w:rPr>
          <w:rFonts w:ascii="Arial" w:cs="Arial" w:eastAsia="Arial" w:hAnsi="Arial"/>
          <w:sz w:val="16"/>
          <w:szCs w:val="16"/>
          <w:color w:val="auto"/>
        </w:rPr>
        <w:t>, the distributors and specialty pharmacies generally sell the product directly to healthcare providers, whereas for ARCALYST</w:t>
      </w:r>
      <w:r>
        <w:rPr>
          <w:rFonts w:ascii="Arial" w:cs="Arial" w:eastAsia="Arial" w:hAnsi="Arial"/>
          <w:sz w:val="26"/>
          <w:szCs w:val="26"/>
          <w:color w:val="auto"/>
          <w:vertAlign w:val="superscript"/>
        </w:rPr>
        <w:t>®</w:t>
      </w:r>
      <w:r>
        <w:rPr>
          <w:rFonts w:ascii="Arial" w:cs="Arial" w:eastAsia="Arial" w:hAnsi="Arial"/>
          <w:sz w:val="16"/>
          <w:szCs w:val="16"/>
          <w:color w:val="auto"/>
        </w:rPr>
        <w:t>, the specialty pharmacies sell the product directly to patients.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30" w:name="page31"/>
    <w:bookmarkEnd w:id="30"/>
    <w:p>
      <w:pPr>
        <w:jc w:val="both"/>
        <w:ind w:right="20" w:firstLine="267"/>
        <w:spacing w:after="0" w:line="214" w:lineRule="auto"/>
        <w:rPr>
          <w:sz w:val="20"/>
          <w:szCs w:val="20"/>
          <w:color w:val="auto"/>
        </w:rPr>
      </w:pPr>
      <w:r>
        <w:rPr>
          <w:rFonts w:ascii="Arial" w:cs="Arial" w:eastAsia="Arial" w:hAnsi="Arial"/>
          <w:sz w:val="16"/>
          <w:szCs w:val="16"/>
          <w:color w:val="auto"/>
        </w:rPr>
        <w:t>We have established our own sales and marketing organization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United States for the treatment of wet AMD, and in anticipation of filing for and receiving regulatory approval to market and sell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United States for the treatment of CRVO. However, we may be unsuccessful in achieving a successful commercialization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United States, which would materially harm our business, prospects, operating results, and financial condition.</w:t>
      </w:r>
    </w:p>
    <w:p>
      <w:pPr>
        <w:spacing w:after="0" w:line="86" w:lineRule="exact"/>
        <w:rPr>
          <w:sz w:val="20"/>
          <w:szCs w:val="20"/>
          <w:color w:val="auto"/>
        </w:rPr>
      </w:pPr>
    </w:p>
    <w:p>
      <w:pPr>
        <w:jc w:val="both"/>
        <w:ind w:right="20" w:firstLine="279"/>
        <w:spacing w:after="0" w:line="223" w:lineRule="auto"/>
        <w:rPr>
          <w:sz w:val="20"/>
          <w:szCs w:val="20"/>
          <w:color w:val="auto"/>
        </w:rPr>
      </w:pPr>
      <w:r>
        <w:rPr>
          <w:rFonts w:ascii="Arial" w:cs="Arial" w:eastAsia="Arial" w:hAnsi="Arial"/>
          <w:sz w:val="15"/>
          <w:szCs w:val="15"/>
          <w:color w:val="auto"/>
        </w:rPr>
        <w:t>We will have to rely on a third party or devote significant resources to develop our own sales and marketing capabilities, and our distribution network, for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patients with gout initiating uric acid-lowering drug therapy if it receives regulatory approval. If we are unable to obtain these capabilities, either by developing our own</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5"/>
          <w:szCs w:val="15"/>
          <w:color w:val="auto"/>
        </w:rPr>
        <w:t>organizations or entering into agreements with others to provide these functions, even if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prevention of gout flares receives marketing approval, we will not be able to successfully launch and commercialize this product, which would also materially harm our business, prospects, operating results, and financial condition.</w:t>
      </w:r>
    </w:p>
    <w:p>
      <w:pPr>
        <w:spacing w:after="0" w:line="213"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4"/>
          <w:szCs w:val="14"/>
          <w:color w:val="auto"/>
        </w:rPr>
        <w:t>We have limited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To the</w:t>
      </w:r>
    </w:p>
    <w:p>
      <w:pPr>
        <w:jc w:val="both"/>
        <w:ind w:right="20"/>
        <w:spacing w:after="0" w:line="261" w:lineRule="auto"/>
        <w:rPr>
          <w:sz w:val="20"/>
          <w:szCs w:val="20"/>
          <w:color w:val="auto"/>
        </w:rPr>
      </w:pPr>
      <w:r>
        <w:rPr>
          <w:rFonts w:ascii="Arial" w:cs="Arial" w:eastAsia="Arial" w:hAnsi="Arial"/>
          <w:sz w:val="14"/>
          <w:szCs w:val="14"/>
          <w:color w:val="auto"/>
        </w:rPr>
        <w:t>extent we determine to utilize third parties to provide sales, marketing, or distribution capabilities for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or any of our other product candidates or new indications for marketed products if they receive regulatory approval, we may encounter difficulties in retaining such parties on acceptable terms. Even if we hire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w:t>
      </w:r>
    </w:p>
    <w:p>
      <w:pPr>
        <w:jc w:val="both"/>
        <w:ind w:right="20"/>
        <w:spacing w:after="0" w:line="261" w:lineRule="auto"/>
        <w:rPr>
          <w:sz w:val="20"/>
          <w:szCs w:val="20"/>
          <w:color w:val="auto"/>
        </w:rPr>
      </w:pPr>
      <w:r>
        <w:rPr>
          <w:rFonts w:ascii="Arial" w:cs="Arial" w:eastAsia="Arial" w:hAnsi="Arial"/>
          <w:sz w:val="14"/>
          <w:szCs w:val="14"/>
          <w:color w:val="auto"/>
        </w:rPr>
        <w:t>force and the scale of distribution capabilities necessary to successfully market and sell in the United States EYLEA</w:t>
      </w:r>
      <w:r>
        <w:rPr>
          <w:rFonts w:ascii="Arial" w:cs="Arial" w:eastAsia="Arial" w:hAnsi="Arial"/>
          <w:sz w:val="23"/>
          <w:szCs w:val="23"/>
          <w:color w:val="auto"/>
          <w:vertAlign w:val="superscript"/>
        </w:rPr>
        <w:t>®</w:t>
      </w:r>
      <w:r>
        <w:rPr>
          <w:rFonts w:ascii="Arial" w:cs="Arial" w:eastAsia="Arial" w:hAnsi="Arial"/>
          <w:sz w:val="14"/>
          <w:szCs w:val="14"/>
          <w:color w:val="auto"/>
        </w:rPr>
        <w:t>,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or any of our other product candidates or new indications if they receive regulatory approval in the United States and as to which we retain sales and marketing responsibility in that market. Establishing and maintaining sales, marketing, and distribution capabilities are expensive and time-consuming. Our expenses associated with building up and maintaining a sales force and distribution capabilities may be disproportional, particularly in the near term, compared to the revenues we may be able to generate on sales in the United States of</w:t>
      </w:r>
    </w:p>
    <w:p>
      <w:pPr>
        <w:jc w:val="both"/>
        <w:ind w:right="20"/>
        <w:spacing w:after="0" w:line="228" w:lineRule="auto"/>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Ultimately neither we nor our collaborators may be successful in commercializing EYLEA</w:t>
      </w:r>
      <w:r>
        <w:rPr>
          <w:rFonts w:ascii="Arial" w:cs="Arial" w:eastAsia="Arial" w:hAnsi="Arial"/>
          <w:sz w:val="26"/>
          <w:szCs w:val="26"/>
          <w:color w:val="auto"/>
          <w:vertAlign w:val="superscript"/>
        </w:rPr>
        <w:t>®</w:t>
      </w:r>
      <w:r>
        <w:rPr>
          <w:rFonts w:ascii="Arial" w:cs="Arial" w:eastAsia="Arial" w:hAnsi="Arial"/>
          <w:sz w:val="16"/>
          <w:szCs w:val="16"/>
          <w:color w:val="auto"/>
        </w:rPr>
        <w:t>, ZALTRAP</w:t>
      </w:r>
      <w:r>
        <w:rPr>
          <w:rFonts w:ascii="Arial" w:cs="Arial" w:eastAsia="Arial" w:hAnsi="Arial"/>
          <w:sz w:val="26"/>
          <w:szCs w:val="26"/>
          <w:color w:val="auto"/>
          <w:vertAlign w:val="superscript"/>
        </w:rPr>
        <w:t>®</w:t>
      </w:r>
      <w:r>
        <w:rPr>
          <w:rFonts w:ascii="Arial" w:cs="Arial" w:eastAsia="Arial" w:hAnsi="Arial"/>
          <w:sz w:val="16"/>
          <w:szCs w:val="16"/>
          <w:color w:val="auto"/>
        </w:rPr>
        <w:t>,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or any of our other product candidates.</w:t>
      </w:r>
    </w:p>
    <w:p>
      <w:pPr>
        <w:spacing w:after="0" w:line="84" w:lineRule="exact"/>
        <w:rPr>
          <w:sz w:val="20"/>
          <w:szCs w:val="20"/>
          <w:color w:val="auto"/>
        </w:rPr>
      </w:pPr>
    </w:p>
    <w:p>
      <w:pPr>
        <w:jc w:val="both"/>
        <w:ind w:right="20" w:firstLine="328"/>
        <w:spacing w:after="0" w:line="212" w:lineRule="auto"/>
        <w:rPr>
          <w:sz w:val="20"/>
          <w:szCs w:val="20"/>
          <w:color w:val="auto"/>
        </w:rPr>
      </w:pPr>
      <w:r>
        <w:rPr>
          <w:rFonts w:ascii="Arial" w:cs="Arial" w:eastAsia="Arial" w:hAnsi="Arial"/>
          <w:sz w:val="16"/>
          <w:szCs w:val="16"/>
          <w:color w:val="auto"/>
        </w:rPr>
        <w:t>Under the terms of our collaboration agreement, Sanofi has primary responsibility for sales, marketing, and distribution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cancer indications, should it be approved in the future by regulatory authorities for marketing.</w:t>
      </w:r>
    </w:p>
    <w:p>
      <w:pPr>
        <w:spacing w:after="0" w:line="226" w:lineRule="exact"/>
        <w:rPr>
          <w:sz w:val="20"/>
          <w:szCs w:val="20"/>
          <w:color w:val="auto"/>
        </w:rPr>
      </w:pPr>
    </w:p>
    <w:p>
      <w:pPr>
        <w:jc w:val="both"/>
        <w:ind w:right="20" w:firstLine="221"/>
        <w:spacing w:after="0" w:line="290" w:lineRule="auto"/>
        <w:rPr>
          <w:sz w:val="20"/>
          <w:szCs w:val="20"/>
          <w:color w:val="auto"/>
        </w:rPr>
      </w:pPr>
      <w:r>
        <w:rPr>
          <w:rFonts w:ascii="Arial" w:cs="Arial" w:eastAsia="Arial" w:hAnsi="Arial"/>
          <w:sz w:val="12"/>
          <w:szCs w:val="12"/>
          <w:color w:val="auto"/>
        </w:rPr>
        <w:t>We currently have no sales, marketing, commercial, or distribution capabilities outside the United States. Under the terms of our license and collaboration agreement with Bayer HealthCare, we will rely on Bayer HealthCare for sales, marketing, and distribution of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in countries outside the United States should it be approved for marketing in such countries.</w:t>
      </w:r>
    </w:p>
    <w:p>
      <w:pPr>
        <w:spacing w:after="0" w:line="68" w:lineRule="exact"/>
        <w:rPr>
          <w:sz w:val="20"/>
          <w:szCs w:val="20"/>
          <w:color w:val="auto"/>
        </w:rPr>
      </w:pPr>
    </w:p>
    <w:p>
      <w:pPr>
        <w:jc w:val="both"/>
        <w:ind w:left="140"/>
        <w:spacing w:after="0" w:line="236" w:lineRule="auto"/>
        <w:rPr>
          <w:sz w:val="20"/>
          <w:szCs w:val="20"/>
          <w:color w:val="auto"/>
        </w:rPr>
      </w:pPr>
      <w:r>
        <w:rPr>
          <w:rFonts w:ascii="Arial" w:cs="Arial" w:eastAsia="Arial" w:hAnsi="Arial"/>
          <w:sz w:val="15"/>
          <w:szCs w:val="15"/>
          <w:b w:val="1"/>
          <w:bCs w:val="1"/>
          <w:i w:val="1"/>
          <w:iCs w:val="1"/>
          <w:color w:val="auto"/>
        </w:rPr>
        <w:t>The commercial success of EYLEA</w:t>
      </w:r>
      <w:r>
        <w:rPr>
          <w:rFonts w:ascii="Arial" w:cs="Arial" w:eastAsia="Arial" w:hAnsi="Arial"/>
          <w:sz w:val="25"/>
          <w:szCs w:val="25"/>
          <w:color w:val="auto"/>
          <w:vertAlign w:val="superscript"/>
        </w:rPr>
        <w:t>®</w:t>
      </w:r>
      <w:r>
        <w:rPr>
          <w:rFonts w:ascii="Arial" w:cs="Arial" w:eastAsia="Arial" w:hAnsi="Arial"/>
          <w:sz w:val="15"/>
          <w:szCs w:val="15"/>
          <w:b w:val="1"/>
          <w:bCs w:val="1"/>
          <w:i w:val="1"/>
          <w:iCs w:val="1"/>
          <w:color w:val="auto"/>
        </w:rPr>
        <w:t xml:space="preserve"> currently being marketed for the treatment of wet AMD, and for our other product candidates or new 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p>
    <w:p>
      <w:pPr>
        <w:spacing w:after="0" w:line="212" w:lineRule="exact"/>
        <w:rPr>
          <w:sz w:val="20"/>
          <w:szCs w:val="20"/>
          <w:color w:val="auto"/>
        </w:rPr>
      </w:pPr>
    </w:p>
    <w:p>
      <w:pPr>
        <w:jc w:val="both"/>
        <w:ind w:right="20" w:firstLine="243"/>
        <w:spacing w:after="0" w:line="274"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87" w:lineRule="exact"/>
        <w:rPr>
          <w:sz w:val="20"/>
          <w:szCs w:val="20"/>
          <w:color w:val="auto"/>
        </w:rPr>
      </w:pPr>
    </w:p>
    <w:p>
      <w:pPr>
        <w:jc w:val="both"/>
        <w:ind w:right="20" w:firstLine="303"/>
        <w:spacing w:after="0" w:line="258"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179" w:lineRule="exact"/>
        <w:rPr>
          <w:sz w:val="20"/>
          <w:szCs w:val="20"/>
          <w:color w:val="auto"/>
        </w:rPr>
      </w:pPr>
    </w:p>
    <w:p>
      <w:pPr>
        <w:jc w:val="both"/>
        <w:ind w:right="20" w:firstLine="267"/>
        <w:spacing w:after="0" w:line="241" w:lineRule="auto"/>
        <w:rPr>
          <w:sz w:val="20"/>
          <w:szCs w:val="20"/>
          <w:color w:val="auto"/>
        </w:rPr>
      </w:pPr>
      <w:r>
        <w:rPr>
          <w:rFonts w:ascii="Arial" w:cs="Arial" w:eastAsia="Arial" w:hAnsi="Arial"/>
          <w:sz w:val="14"/>
          <w:szCs w:val="14"/>
          <w:color w:val="auto"/>
        </w:rPr>
        <w:t>As previously noted, Genentech has an approved VEGF antagonist, Avastin</w:t>
      </w:r>
      <w:r>
        <w:rPr>
          <w:rFonts w:ascii="Arial" w:cs="Arial" w:eastAsia="Arial" w:hAnsi="Arial"/>
          <w:sz w:val="23"/>
          <w:szCs w:val="23"/>
          <w:color w:val="auto"/>
          <w:vertAlign w:val="superscript"/>
        </w:rPr>
        <w:t>®</w:t>
      </w:r>
      <w:r>
        <w:rPr>
          <w:rFonts w:ascii="Arial" w:cs="Arial" w:eastAsia="Arial" w:hAnsi="Arial"/>
          <w:sz w:val="14"/>
          <w:szCs w:val="14"/>
          <w:color w:val="auto"/>
        </w:rPr>
        <w:t>, on the market for treating certain cancers and many different pharmaceutical and biotechnology companies are working to develop competing VEGF antagonists, including Novartis, Amgen, Imclone LLC/Eli Lilly, Pfizer, AstraZeneca, and GlaxoSmithKline. Some of these</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molecules are further along in development than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may offer competitive advantages over our molecule. Each of Pfizer, Onyx (together with its partner Bayer HealthCare), and GlaxoSmithKline are marketing and selling oral medications that target tumor cell growth and new vasculature formation that fuels the growth of tumors. The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4"/>
          <w:szCs w:val="14"/>
          <w:color w:val="auto"/>
        </w:rPr>
        <w:t>marketing approvals for Genentech’s VEGF antagonist, Avastin</w:t>
      </w:r>
      <w:r>
        <w:rPr>
          <w:rFonts w:ascii="Arial" w:cs="Arial" w:eastAsia="Arial" w:hAnsi="Arial"/>
          <w:sz w:val="23"/>
          <w:szCs w:val="23"/>
          <w:color w:val="auto"/>
          <w:vertAlign w:val="superscript"/>
        </w:rPr>
        <w:t>®</w:t>
      </w:r>
      <w:r>
        <w:rPr>
          <w:rFonts w:ascii="Arial" w:cs="Arial" w:eastAsia="Arial" w:hAnsi="Arial"/>
          <w:sz w:val="14"/>
          <w:szCs w:val="14"/>
          <w:color w:val="auto"/>
        </w:rPr>
        <w:t>, and their extensive, ongoing clinical development plan for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other cancer indications, make it more difficult for us to enroll patients in clinical trials to support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those indications and to obtain regulatory approval of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those indications. This may delay or impair our ability to successfully develop and commercialize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various cancer indications. In addition, even if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approved for sale for the treatment of</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certain cancers, it will be difficult for our drug to compete against Avastin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31" w:name="page32"/>
    <w:bookmarkEnd w:id="31"/>
    <w:p>
      <w:pPr>
        <w:jc w:val="both"/>
        <w:ind w:right="20" w:firstLine="255"/>
        <w:spacing w:after="0" w:line="247" w:lineRule="auto"/>
        <w:rPr>
          <w:sz w:val="20"/>
          <w:szCs w:val="20"/>
          <w:color w:val="auto"/>
        </w:rPr>
      </w:pPr>
      <w:r>
        <w:rPr>
          <w:rFonts w:ascii="Arial" w:cs="Arial" w:eastAsia="Arial" w:hAnsi="Arial"/>
          <w:sz w:val="14"/>
          <w:szCs w:val="14"/>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CRVO, DME, and other eye indications.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approved by the FDA in June 2006 for the treatment of wet AMD and</w:t>
      </w:r>
    </w:p>
    <w:p>
      <w:pPr>
        <w:jc w:val="both"/>
        <w:ind w:right="20"/>
        <w:spacing w:after="0" w:line="238" w:lineRule="auto"/>
        <w:rPr>
          <w:sz w:val="20"/>
          <w:szCs w:val="20"/>
          <w:color w:val="auto"/>
        </w:rPr>
      </w:pPr>
      <w:r>
        <w:rPr>
          <w:rFonts w:ascii="Arial" w:cs="Arial" w:eastAsia="Arial" w:hAnsi="Arial"/>
          <w:sz w:val="16"/>
          <w:szCs w:val="16"/>
          <w:color w:val="auto"/>
        </w:rPr>
        <w:t>in June 2010 for the treatment of macular edema following retinal vein occlusion (RVO), CRVO, and branch retinal vein occlusion (BRVO). Lucentis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In addition, ophthalmologists are using off-label, with success for the treatment of wet AMD, DME, and RVO, third-party repackaged versions of Genentech’s approved VEGF antagonist, Avastin</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88" w:lineRule="exact"/>
        <w:rPr>
          <w:sz w:val="20"/>
          <w:szCs w:val="20"/>
          <w:color w:val="auto"/>
        </w:rPr>
      </w:pPr>
    </w:p>
    <w:p>
      <w:pPr>
        <w:jc w:val="both"/>
        <w:ind w:right="20" w:firstLine="267"/>
        <w:spacing w:after="0" w:line="221" w:lineRule="auto"/>
        <w:rPr>
          <w:sz w:val="20"/>
          <w:szCs w:val="20"/>
          <w:color w:val="auto"/>
        </w:rPr>
      </w:pPr>
      <w:r>
        <w:rPr>
          <w:rFonts w:ascii="Arial" w:cs="Arial" w:eastAsia="Arial" w:hAnsi="Arial"/>
          <w:sz w:val="14"/>
          <w:szCs w:val="14"/>
          <w:color w:val="auto"/>
        </w:rPr>
        <w:t>The National Eye Institute (NEI) and others are conducting long-term, controlled clinical trials comparing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was non-inferior to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dosed monthly in the primary efficacy endpoint of mean visual acuity gain at 52 weeks. It may be difficult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this or other eye indications for which it may be approved to compete against Lucentis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off-label use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because doctors and patients have had significant experience using these medicines. Moreover, the recently reported results of the CATT study, combined with the relatively low cost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treating patients with wet AMD, may well exacerbate the competitive challenge which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face in this or other eye indications for which it may be approved. In addition, while we believe that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would not be well tolerated if administered directly to the eye, if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approved for the treatment of certain cancers, there is a risk that third parties will attempt to repackage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off-label use and sale for the treatment of wet AMD and other diseases of the eye, which would present a potential low-cost competitive threat to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wet AMD or other eye indications.</w:t>
      </w:r>
    </w:p>
    <w:p>
      <w:pPr>
        <w:spacing w:after="0" w:line="91" w:lineRule="exact"/>
        <w:rPr>
          <w:sz w:val="20"/>
          <w:szCs w:val="20"/>
          <w:color w:val="auto"/>
        </w:rPr>
      </w:pPr>
    </w:p>
    <w:p>
      <w:pPr>
        <w:jc w:val="both"/>
        <w:ind w:right="20" w:firstLine="279"/>
        <w:spacing w:after="0" w:line="212" w:lineRule="auto"/>
        <w:rPr>
          <w:sz w:val="20"/>
          <w:szCs w:val="20"/>
          <w:color w:val="auto"/>
        </w:rPr>
      </w:pPr>
      <w:r>
        <w:rPr>
          <w:rFonts w:ascii="Arial" w:cs="Arial" w:eastAsia="Arial" w:hAnsi="Arial"/>
          <w:sz w:val="14"/>
          <w:szCs w:val="14"/>
          <w:color w:val="auto"/>
        </w:rPr>
        <w:t>The availability of highly effective FDA approved Tumor Necrosis Factors-antagonists (TNF-antagonists) such as Enbrel</w:t>
      </w:r>
      <w:r>
        <w:rPr>
          <w:rFonts w:ascii="Arial" w:cs="Arial" w:eastAsia="Arial" w:hAnsi="Arial"/>
          <w:sz w:val="23"/>
          <w:szCs w:val="23"/>
          <w:color w:val="auto"/>
          <w:vertAlign w:val="superscript"/>
        </w:rPr>
        <w:t>®</w:t>
      </w:r>
      <w:r>
        <w:rPr>
          <w:rFonts w:ascii="Arial" w:cs="Arial" w:eastAsia="Arial" w:hAnsi="Arial"/>
          <w:sz w:val="14"/>
          <w:szCs w:val="14"/>
          <w:color w:val="auto"/>
        </w:rPr>
        <w:t>, Remicade</w:t>
      </w:r>
      <w:r>
        <w:rPr>
          <w:rFonts w:ascii="Arial" w:cs="Arial" w:eastAsia="Arial" w:hAnsi="Arial"/>
          <w:sz w:val="23"/>
          <w:szCs w:val="23"/>
          <w:color w:val="auto"/>
          <w:vertAlign w:val="superscript"/>
        </w:rPr>
        <w:t>®</w:t>
      </w:r>
      <w:r>
        <w:rPr>
          <w:rFonts w:ascii="Arial" w:cs="Arial" w:eastAsia="Arial" w:hAnsi="Arial"/>
          <w:sz w:val="14"/>
          <w:szCs w:val="14"/>
          <w:color w:val="auto"/>
        </w:rPr>
        <w:t>, Humira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(adalimumab), a registered trademark of Abbott Laboratories, Simponi</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(golimumab), a registered trademark of Johnson &amp; Johnson, the IL-1 receptor antagonist Kineret</w:t>
      </w:r>
      <w:r>
        <w:rPr>
          <w:rFonts w:ascii="Arial" w:cs="Arial" w:eastAsia="Arial" w:hAnsi="Arial"/>
          <w:sz w:val="23"/>
          <w:szCs w:val="23"/>
          <w:color w:val="auto"/>
          <w:vertAlign w:val="superscript"/>
        </w:rPr>
        <w:t>®</w:t>
      </w:r>
      <w:r>
        <w:rPr>
          <w:rFonts w:ascii="Arial" w:cs="Arial" w:eastAsia="Arial" w:hAnsi="Arial"/>
          <w:sz w:val="14"/>
          <w:szCs w:val="14"/>
          <w:color w:val="auto"/>
        </w:rPr>
        <w:t>, Ilaris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(canakinumab), and other marketed therapies makes it more difficult to successfully develop and commercialize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indications other than CAPS, and this is one of the reasons we discontinued</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the development of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adult rheumatoid arthritis. In addition, even if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w:t>
      </w:r>
      <w:r>
        <w:rPr>
          <w:rFonts w:ascii="Arial" w:cs="Arial" w:eastAsia="Arial" w:hAnsi="Arial"/>
          <w:sz w:val="25"/>
          <w:szCs w:val="25"/>
          <w:color w:val="auto"/>
          <w:vertAlign w:val="superscript"/>
        </w:rPr>
        <w:t>®</w:t>
      </w:r>
      <w:r>
        <w:rPr>
          <w:rFonts w:ascii="Arial" w:cs="Arial" w:eastAsia="Arial" w:hAnsi="Arial"/>
          <w:sz w:val="15"/>
          <w:szCs w:val="15"/>
          <w:color w:val="auto"/>
        </w:rPr>
        <w:t>, such as requiring fewer injections.</w:t>
      </w:r>
    </w:p>
    <w:p>
      <w:pPr>
        <w:spacing w:after="0" w:line="104" w:lineRule="exact"/>
        <w:rPr>
          <w:sz w:val="20"/>
          <w:szCs w:val="20"/>
          <w:color w:val="auto"/>
        </w:rPr>
      </w:pPr>
    </w:p>
    <w:p>
      <w:pPr>
        <w:jc w:val="both"/>
        <w:ind w:firstLine="255"/>
        <w:spacing w:after="0" w:line="294" w:lineRule="auto"/>
        <w:rPr>
          <w:sz w:val="20"/>
          <w:szCs w:val="20"/>
          <w:color w:val="auto"/>
        </w:rPr>
      </w:pPr>
      <w:r>
        <w:rPr>
          <w:rFonts w:ascii="Arial" w:cs="Arial" w:eastAsia="Arial" w:hAnsi="Arial"/>
          <w:sz w:val="14"/>
          <w:szCs w:val="14"/>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w:t>
      </w:r>
    </w:p>
    <w:p>
      <w:pPr>
        <w:jc w:val="both"/>
        <w:ind w:right="20"/>
        <w:spacing w:after="0" w:line="239" w:lineRule="auto"/>
        <w:rPr>
          <w:sz w:val="20"/>
          <w:szCs w:val="20"/>
          <w:color w:val="auto"/>
        </w:rPr>
      </w:pPr>
      <w:r>
        <w:rPr>
          <w:rFonts w:ascii="Arial" w:cs="Arial" w:eastAsia="Arial" w:hAnsi="Arial"/>
          <w:sz w:val="14"/>
          <w:szCs w:val="14"/>
          <w:color w:val="auto"/>
        </w:rPr>
        <w:t>receptor. In 2009, Novartis received regulatory approval in the United States and Europe for Ilaris</w:t>
      </w:r>
      <w:r>
        <w:rPr>
          <w:rFonts w:ascii="Arial" w:cs="Arial" w:eastAsia="Arial" w:hAnsi="Arial"/>
          <w:sz w:val="23"/>
          <w:szCs w:val="23"/>
          <w:color w:val="auto"/>
          <w:vertAlign w:val="superscript"/>
        </w:rPr>
        <w:t>®</w:t>
      </w:r>
      <w:r>
        <w:rPr>
          <w:rFonts w:ascii="Arial" w:cs="Arial" w:eastAsia="Arial" w:hAnsi="Arial"/>
          <w:sz w:val="14"/>
          <w:szCs w:val="14"/>
          <w:color w:val="auto"/>
        </w:rPr>
        <w:t>, a fully human anti-interleukin-IL1ß antibody, for the treatment of CAPS. Ilaris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also in development for atherosclerosis and a number of other inflammatory diseases. Novartis’ IL-1 antibody and these other drug candidates could offer competitive advantages</w:t>
      </w:r>
    </w:p>
    <w:p>
      <w:pPr>
        <w:spacing w:after="0" w:line="1" w:lineRule="exact"/>
        <w:rPr>
          <w:sz w:val="20"/>
          <w:szCs w:val="20"/>
          <w:color w:val="auto"/>
        </w:rPr>
      </w:pPr>
    </w:p>
    <w:p>
      <w:pPr>
        <w:jc w:val="both"/>
        <w:ind w:right="20"/>
        <w:spacing w:after="0" w:line="213" w:lineRule="auto"/>
        <w:rPr>
          <w:sz w:val="20"/>
          <w:szCs w:val="20"/>
          <w:color w:val="auto"/>
        </w:rPr>
      </w:pPr>
      <w:r>
        <w:rPr>
          <w:rFonts w:ascii="Arial" w:cs="Arial" w:eastAsia="Arial" w:hAnsi="Arial"/>
          <w:sz w:val="16"/>
          <w:szCs w:val="16"/>
          <w:color w:val="auto"/>
        </w:rPr>
        <w:t>over ARCALYST</w:t>
      </w:r>
      <w:r>
        <w:rPr>
          <w:rFonts w:ascii="Arial" w:cs="Arial" w:eastAsia="Arial" w:hAnsi="Arial"/>
          <w:sz w:val="26"/>
          <w:szCs w:val="26"/>
          <w:color w:val="auto"/>
          <w:vertAlign w:val="superscript"/>
        </w:rPr>
        <w:t>®</w:t>
      </w:r>
      <w:r>
        <w:rPr>
          <w:rFonts w:ascii="Arial" w:cs="Arial" w:eastAsia="Arial" w:hAnsi="Arial"/>
          <w:sz w:val="16"/>
          <w:szCs w:val="16"/>
          <w:color w:val="auto"/>
        </w:rPr>
        <w:t>. For example, Ilaris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dosed once every eight weeks compared to the once-weekly dosing regimen for ARCALYST</w:t>
      </w:r>
      <w:r>
        <w:rPr>
          <w:rFonts w:ascii="Arial" w:cs="Arial" w:eastAsia="Arial" w:hAnsi="Arial"/>
          <w:sz w:val="26"/>
          <w:szCs w:val="26"/>
          <w:color w:val="auto"/>
          <w:vertAlign w:val="superscript"/>
        </w:rPr>
        <w:t>®</w:t>
      </w:r>
      <w:r>
        <w:rPr>
          <w:rFonts w:ascii="Arial" w:cs="Arial" w:eastAsia="Arial" w:hAnsi="Arial"/>
          <w:sz w:val="16"/>
          <w:szCs w:val="16"/>
          <w:color w:val="auto"/>
        </w:rPr>
        <w:t>. The successful development and/or commercialization of these competing molecules could adversely affect sales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CAPS and delay or impair our ability to commercialize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indications other than CAPS.</w:t>
      </w:r>
    </w:p>
    <w:p>
      <w:pPr>
        <w:spacing w:after="0" w:line="87" w:lineRule="exact"/>
        <w:rPr>
          <w:sz w:val="20"/>
          <w:szCs w:val="20"/>
          <w:color w:val="auto"/>
        </w:rPr>
      </w:pPr>
    </w:p>
    <w:p>
      <w:pPr>
        <w:jc w:val="both"/>
        <w:ind w:right="20" w:firstLine="315"/>
        <w:spacing w:after="0" w:line="222" w:lineRule="auto"/>
        <w:rPr>
          <w:sz w:val="20"/>
          <w:szCs w:val="20"/>
          <w:color w:val="auto"/>
        </w:rPr>
      </w:pPr>
      <w:r>
        <w:rPr>
          <w:rFonts w:ascii="Arial" w:cs="Arial" w:eastAsia="Arial" w:hAnsi="Arial"/>
          <w:sz w:val="15"/>
          <w:szCs w:val="15"/>
          <w:color w:val="auto"/>
        </w:rPr>
        <w:t>We are developing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prevention of gout flares in patients initiating uric acid-lowering therapy and have submitted a supplemental BLA filing for U.S. regulatory approval in this indication. In January 2011, Novartis announced that the results of two Phase 3 studies with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focused on reducing pain and preventing recurrent attacks or “flares” in patients with hard-to-treat gout were positive. Novartis has also reported that regulatory filings for the use of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gouty arthritis have been completed in the European Union in 2010 and in the United States in the first quarter of 2011, based on the results of these two Phase 3 studies.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dosed less frequently for the treatment of CAPS, and if it is approved for the treatment of gout, it may be perceived by some physicians as offering competitive advantages over ARCALYST</w:t>
      </w:r>
      <w:r>
        <w:rPr>
          <w:rFonts w:ascii="Arial" w:cs="Arial" w:eastAsia="Arial" w:hAnsi="Arial"/>
          <w:sz w:val="25"/>
          <w:szCs w:val="25"/>
          <w:color w:val="auto"/>
          <w:vertAlign w:val="superscript"/>
        </w:rPr>
        <w:t>®</w:t>
      </w:r>
      <w:r>
        <w:rPr>
          <w:rFonts w:ascii="Arial" w:cs="Arial" w:eastAsia="Arial" w:hAnsi="Arial"/>
          <w:sz w:val="15"/>
          <w:szCs w:val="15"/>
          <w:color w:val="auto"/>
        </w:rPr>
        <w:t>, which would make it difficult for us to successfully commercialize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that disease.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32" w:name="page33"/>
    <w:bookmarkEnd w:id="32"/>
    <w:p>
      <w:pPr>
        <w:jc w:val="both"/>
        <w:ind w:firstLine="352"/>
        <w:spacing w:after="0" w:line="284" w:lineRule="auto"/>
        <w:rPr>
          <w:sz w:val="20"/>
          <w:szCs w:val="20"/>
          <w:color w:val="auto"/>
        </w:rPr>
      </w:pPr>
      <w:r>
        <w:rPr>
          <w:rFonts w:ascii="Arial" w:cs="Arial" w:eastAsia="Arial" w:hAnsi="Arial"/>
          <w:sz w:val="16"/>
          <w:szCs w:val="16"/>
          <w:color w:val="auto"/>
        </w:rPr>
        <w:t>Currently, inexpensive, oral therapies such as analgesics and other NSAIDS, are used as the standard of care to treat the symptoms of gout diseases. These established, inexpensive, orally delivered drugs may make it difficult for us to successfully commercialize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these diseases.</w:t>
      </w:r>
    </w:p>
    <w:p>
      <w:pPr>
        <w:spacing w:after="0" w:line="51" w:lineRule="exact"/>
        <w:rPr>
          <w:sz w:val="20"/>
          <w:szCs w:val="20"/>
          <w:color w:val="auto"/>
        </w:rPr>
      </w:pPr>
    </w:p>
    <w:p>
      <w:pPr>
        <w:jc w:val="both"/>
        <w:ind w:firstLine="328"/>
        <w:spacing w:after="0" w:line="243" w:lineRule="auto"/>
        <w:rPr>
          <w:sz w:val="20"/>
          <w:szCs w:val="20"/>
          <w:color w:val="auto"/>
        </w:rPr>
      </w:pPr>
      <w:r>
        <w:rPr>
          <w:rFonts w:ascii="Arial" w:cs="Arial" w:eastAsia="Arial" w:hAnsi="Arial"/>
          <w:sz w:val="14"/>
          <w:szCs w:val="14"/>
          <w:color w:val="auto"/>
        </w:rPr>
        <w:t xml:space="preserve">Our earlier-stage clinical candidates in development are all fully human monoclonal antibodies, which were generated using our </w:t>
      </w:r>
      <w:r>
        <w:rPr>
          <w:rFonts w:ascii="Arial" w:cs="Arial" w:eastAsia="Arial" w:hAnsi="Arial"/>
          <w:sz w:val="14"/>
          <w:szCs w:val="14"/>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technology. Our antibody generation technologies and earlier-stage clinical candidates face competition from many pharmaceutical and biotechnology companies using various technologies.</w:t>
      </w:r>
    </w:p>
    <w:p>
      <w:pPr>
        <w:spacing w:after="0" w:line="209" w:lineRule="exact"/>
        <w:rPr>
          <w:sz w:val="20"/>
          <w:szCs w:val="20"/>
          <w:color w:val="auto"/>
        </w:rPr>
      </w:pPr>
    </w:p>
    <w:p>
      <w:pPr>
        <w:jc w:val="both"/>
        <w:ind w:firstLine="364"/>
        <w:spacing w:after="0" w:line="264" w:lineRule="auto"/>
        <w:rPr>
          <w:sz w:val="20"/>
          <w:szCs w:val="20"/>
          <w:color w:val="auto"/>
        </w:rPr>
      </w:pPr>
      <w:r>
        <w:rPr>
          <w:rFonts w:ascii="Arial" w:cs="Arial" w:eastAsia="Arial" w:hAnsi="Arial"/>
          <w:sz w:val="16"/>
          <w:szCs w:val="16"/>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194" w:lineRule="exact"/>
        <w:rPr>
          <w:sz w:val="20"/>
          <w:szCs w:val="20"/>
          <w:color w:val="auto"/>
        </w:rPr>
      </w:pPr>
    </w:p>
    <w:p>
      <w:pPr>
        <w:jc w:val="both"/>
        <w:ind w:firstLine="279"/>
        <w:spacing w:after="0" w:line="275" w:lineRule="auto"/>
        <w:rPr>
          <w:sz w:val="20"/>
          <w:szCs w:val="20"/>
          <w:color w:val="auto"/>
        </w:rPr>
      </w:pPr>
      <w:r>
        <w:rPr>
          <w:rFonts w:ascii="Arial" w:cs="Arial" w:eastAsia="Arial" w:hAnsi="Arial"/>
          <w:sz w:val="15"/>
          <w:szCs w:val="15"/>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We believe that several companies, including Amgen and Pfizer,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159" w:lineRule="exact"/>
        <w:rPr>
          <w:sz w:val="20"/>
          <w:szCs w:val="20"/>
          <w:color w:val="auto"/>
        </w:rPr>
      </w:pPr>
    </w:p>
    <w:p>
      <w:pPr>
        <w:jc w:val="both"/>
        <w:ind w:left="140"/>
        <w:spacing w:after="0" w:line="234" w:lineRule="auto"/>
        <w:rPr>
          <w:sz w:val="20"/>
          <w:szCs w:val="20"/>
          <w:color w:val="auto"/>
        </w:rPr>
      </w:pPr>
      <w:r>
        <w:rPr>
          <w:rFonts w:ascii="Arial" w:cs="Arial" w:eastAsia="Arial" w:hAnsi="Arial"/>
          <w:sz w:val="11"/>
          <w:szCs w:val="11"/>
          <w:b w:val="1"/>
          <w:bCs w:val="1"/>
          <w:i w:val="1"/>
          <w:iCs w:val="1"/>
          <w:color w:val="auto"/>
        </w:rPr>
        <w:t>The successful commercialization of EYLEA</w:t>
      </w:r>
      <w:r>
        <w:rPr>
          <w:rFonts w:ascii="Arial" w:cs="Arial" w:eastAsia="Arial" w:hAnsi="Arial"/>
          <w:sz w:val="18"/>
          <w:szCs w:val="18"/>
          <w:color w:val="auto"/>
          <w:vertAlign w:val="superscript"/>
        </w:rPr>
        <w:t>®</w:t>
      </w:r>
      <w:r>
        <w:rPr>
          <w:rFonts w:ascii="Arial" w:cs="Arial" w:eastAsia="Arial" w:hAnsi="Arial"/>
          <w:sz w:val="11"/>
          <w:szCs w:val="11"/>
          <w:b w:val="1"/>
          <w:bCs w:val="1"/>
          <w:i w:val="1"/>
          <w:iCs w:val="1"/>
          <w:color w:val="auto"/>
        </w:rPr>
        <w:t xml:space="preserve"> for the treatment of wet AMD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78" w:lineRule="exact"/>
        <w:rPr>
          <w:sz w:val="20"/>
          <w:szCs w:val="20"/>
          <w:color w:val="auto"/>
        </w:rPr>
      </w:pPr>
    </w:p>
    <w:p>
      <w:pPr>
        <w:jc w:val="both"/>
        <w:ind w:firstLine="340"/>
        <w:spacing w:after="0" w:line="259" w:lineRule="auto"/>
        <w:rPr>
          <w:sz w:val="20"/>
          <w:szCs w:val="20"/>
          <w:color w:val="auto"/>
        </w:rPr>
      </w:pPr>
      <w:r>
        <w:rPr>
          <w:rFonts w:ascii="Arial" w:cs="Arial" w:eastAsia="Arial" w:hAnsi="Arial"/>
          <w:sz w:val="15"/>
          <w:szCs w:val="15"/>
          <w:color w:val="auto"/>
        </w:rPr>
        <w:t>Our product candidates, if commercialized, may be significantly more expensive than traditional drug treatments. For example, we are developing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 affected in a material manner if United States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0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4"/>
          <w:szCs w:val="14"/>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possible savings to the Medicare program by using off-label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rather than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33" w:name="page34"/>
    <w:bookmarkEnd w:id="33"/>
    <w:p>
      <w:pPr>
        <w:jc w:val="both"/>
        <w:ind w:right="20" w:firstLine="267"/>
        <w:spacing w:after="0" w:line="249" w:lineRule="auto"/>
        <w:rPr>
          <w:sz w:val="20"/>
          <w:szCs w:val="20"/>
          <w:color w:val="auto"/>
        </w:rPr>
      </w:pPr>
      <w:r>
        <w:rPr>
          <w:rFonts w:ascii="Arial" w:cs="Arial" w:eastAsia="Arial" w:hAnsi="Arial"/>
          <w:sz w:val="14"/>
          <w:szCs w:val="14"/>
          <w:color w:val="auto"/>
        </w:rPr>
        <w:t>Since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and other eye diseases,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oncology indications,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The status of a J-code for our marketed products could also affect reimbursement. J-codes are permanent reimbursement codes maintained by CMS that are a component of HCPCS, and are typically used to report injectable drugs that ordinarily cannot be self-administered. Although we have a J-Code for ARCALYST</w:t>
      </w:r>
      <w:r>
        <w:rPr>
          <w:rFonts w:ascii="Arial" w:cs="Arial" w:eastAsia="Arial" w:hAnsi="Arial"/>
          <w:sz w:val="23"/>
          <w:szCs w:val="23"/>
          <w:color w:val="auto"/>
          <w:vertAlign w:val="superscript"/>
        </w:rPr>
        <w:t>®</w:t>
      </w:r>
      <w:r>
        <w:rPr>
          <w:rFonts w:ascii="Arial" w:cs="Arial" w:eastAsia="Arial" w:hAnsi="Arial"/>
          <w:sz w:val="14"/>
          <w:szCs w:val="14"/>
          <w:color w:val="auto"/>
        </w:rPr>
        <w:t>, we do not currently have a J-Code for EYLEA</w:t>
      </w:r>
      <w:r>
        <w:rPr>
          <w:rFonts w:ascii="Arial" w:cs="Arial" w:eastAsia="Arial" w:hAnsi="Arial"/>
          <w:sz w:val="23"/>
          <w:szCs w:val="23"/>
          <w:color w:val="auto"/>
          <w:vertAlign w:val="superscript"/>
        </w:rPr>
        <w:t>®</w:t>
      </w:r>
      <w:r>
        <w:rPr>
          <w:rFonts w:ascii="Arial" w:cs="Arial" w:eastAsia="Arial" w:hAnsi="Arial"/>
          <w:sz w:val="14"/>
          <w:szCs w:val="14"/>
          <w:color w:val="auto"/>
        </w:rPr>
        <w:t>, although we</w:t>
      </w:r>
    </w:p>
    <w:p>
      <w:pPr>
        <w:spacing w:after="0" w:line="4" w:lineRule="exact"/>
        <w:rPr>
          <w:sz w:val="20"/>
          <w:szCs w:val="20"/>
          <w:color w:val="auto"/>
        </w:rPr>
      </w:pPr>
    </w:p>
    <w:p>
      <w:pPr>
        <w:jc w:val="both"/>
        <w:ind w:right="20"/>
        <w:spacing w:after="0" w:line="282" w:lineRule="auto"/>
        <w:rPr>
          <w:sz w:val="20"/>
          <w:szCs w:val="20"/>
          <w:color w:val="auto"/>
        </w:rPr>
      </w:pPr>
      <w:r>
        <w:rPr>
          <w:rFonts w:ascii="Arial" w:cs="Arial" w:eastAsia="Arial" w:hAnsi="Arial"/>
          <w:sz w:val="14"/>
          <w:szCs w:val="14"/>
          <w:color w:val="auto"/>
        </w:rPr>
        <w:t>anticipate assignment of a J-Code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January 2013. Without a unique J-code identifier,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must be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achieve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and Litigation Risks</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w:t>
      </w:r>
    </w:p>
    <w:p>
      <w:pPr>
        <w:spacing w:after="0" w:line="229"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14"/>
          <w:szCs w:val="14"/>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w:t>
      </w:r>
    </w:p>
    <w:p>
      <w:pPr>
        <w:jc w:val="both"/>
        <w:spacing w:after="0" w:line="232" w:lineRule="auto"/>
        <w:rPr>
          <w:sz w:val="20"/>
          <w:szCs w:val="20"/>
          <w:color w:val="auto"/>
        </w:rPr>
      </w:pPr>
      <w:r>
        <w:rPr>
          <w:rFonts w:ascii="Arial" w:cs="Arial" w:eastAsia="Arial" w:hAnsi="Arial"/>
          <w:sz w:val="16"/>
          <w:szCs w:val="16"/>
          <w:color w:val="auto"/>
        </w:rPr>
        <w:t>treatment of CAPS, 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other indications, ZALTRAP</w:t>
      </w:r>
      <w:r>
        <w:rPr>
          <w:rFonts w:ascii="Arial" w:cs="Arial" w:eastAsia="Arial" w:hAnsi="Arial"/>
          <w:sz w:val="26"/>
          <w:szCs w:val="26"/>
          <w:color w:val="auto"/>
          <w:vertAlign w:val="superscript"/>
        </w:rPr>
        <w:t>®</w:t>
      </w:r>
      <w:r>
        <w:rPr>
          <w:rFonts w:ascii="Arial" w:cs="Arial" w:eastAsia="Arial" w:hAnsi="Arial"/>
          <w:sz w:val="16"/>
          <w:szCs w:val="16"/>
          <w:color w:val="auto"/>
        </w:rPr>
        <w:t>, 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229" w:lineRule="exact"/>
        <w:rPr>
          <w:sz w:val="20"/>
          <w:szCs w:val="20"/>
          <w:color w:val="auto"/>
        </w:rPr>
      </w:pPr>
    </w:p>
    <w:p>
      <w:pPr>
        <w:jc w:val="both"/>
        <w:ind w:right="20" w:firstLine="255"/>
        <w:spacing w:after="0" w:line="309" w:lineRule="auto"/>
        <w:rPr>
          <w:sz w:val="20"/>
          <w:szCs w:val="20"/>
          <w:color w:val="auto"/>
        </w:rPr>
      </w:pPr>
      <w:r>
        <w:rPr>
          <w:rFonts w:ascii="Arial" w:cs="Arial" w:eastAsia="Arial" w:hAnsi="Arial"/>
          <w:sz w:val="14"/>
          <w:szCs w:val="14"/>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166" w:lineRule="exact"/>
        <w:rPr>
          <w:sz w:val="20"/>
          <w:szCs w:val="20"/>
          <w:color w:val="auto"/>
        </w:rPr>
      </w:pPr>
    </w:p>
    <w:p>
      <w:pPr>
        <w:jc w:val="both"/>
        <w:ind w:right="20" w:firstLine="243"/>
        <w:spacing w:after="0" w:line="25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34" w:name="page35"/>
    <w:bookmarkEnd w:id="34"/>
    <w:p>
      <w:pPr>
        <w:jc w:val="both"/>
        <w:ind w:right="20" w:firstLine="315"/>
        <w:spacing w:after="0" w:line="264"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94"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94"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4"/>
          <w:szCs w:val="14"/>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from the improper conduct of employees, agents or contractors or collaborators could adversely affect our business or reputation.</w:t>
      </w:r>
    </w:p>
    <w:p>
      <w:pPr>
        <w:spacing w:after="0" w:line="229"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monetary and injunctive penalties and could adversely impact our ability to conduct business, results of operations, and reputation.</w:t>
      </w:r>
    </w:p>
    <w:p>
      <w:pPr>
        <w:spacing w:after="0" w:line="174"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87" w:lineRule="exact"/>
        <w:rPr>
          <w:sz w:val="20"/>
          <w:szCs w:val="20"/>
          <w:color w:val="auto"/>
        </w:rPr>
      </w:pPr>
    </w:p>
    <w:p>
      <w:pPr>
        <w:jc w:val="both"/>
        <w:ind w:right="20" w:firstLine="255"/>
        <w:spacing w:after="0" w:line="309" w:lineRule="auto"/>
        <w:rPr>
          <w:sz w:val="20"/>
          <w:szCs w:val="20"/>
          <w:color w:val="auto"/>
        </w:rPr>
      </w:pPr>
      <w:r>
        <w:rPr>
          <w:rFonts w:ascii="Arial" w:cs="Arial" w:eastAsia="Arial" w:hAnsi="Arial"/>
          <w:sz w:val="14"/>
          <w:szCs w:val="14"/>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42"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187" w:lineRule="exact"/>
        <w:rPr>
          <w:sz w:val="20"/>
          <w:szCs w:val="20"/>
          <w:color w:val="auto"/>
        </w:rPr>
      </w:pPr>
    </w:p>
    <w:p>
      <w:pPr>
        <w:jc w:val="both"/>
        <w:ind w:right="20" w:firstLine="303"/>
        <w:spacing w:after="0" w:line="275" w:lineRule="auto"/>
        <w:rPr>
          <w:sz w:val="20"/>
          <w:szCs w:val="20"/>
          <w:color w:val="auto"/>
        </w:rPr>
      </w:pPr>
      <w:r>
        <w:rPr>
          <w:rFonts w:ascii="Arial" w:cs="Arial" w:eastAsia="Arial" w:hAnsi="Arial"/>
          <w:sz w:val="15"/>
          <w:szCs w:val="15"/>
          <w:color w:val="auto"/>
        </w:rPr>
        <w:t>We are subject to changing rules and regulations of various federal and state governmental authorities as well as the stock exchange on which our Common Stock is listed. These entities, including the Public Company Accounting Oversight Board (PCAOB),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such as shareholder approval of executive compensation (so-called “say on pay”) and proxy access. On January 25, 2011, the SEC adopted final rules concerning “say on pay”. Our efforts to comply with these requirements and regulations have resulted in, and are likely to continue to result in, an increase in expenses and a diversion of management’s time from other business activities.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35" w:name="page36"/>
    <w:bookmarkEnd w:id="35"/>
    <w:p>
      <w:pPr>
        <w:ind w:left="140"/>
        <w:spacing w:after="0"/>
        <w:rPr>
          <w:sz w:val="20"/>
          <w:szCs w:val="20"/>
          <w:color w:val="auto"/>
        </w:rPr>
      </w:pPr>
      <w:r>
        <w:rPr>
          <w:rFonts w:ascii="Arial" w:cs="Arial" w:eastAsia="Arial" w:hAnsi="Arial"/>
          <w:sz w:val="16"/>
          <w:szCs w:val="16"/>
          <w:b w:val="1"/>
          <w:bCs w:val="1"/>
          <w:i w:val="1"/>
          <w:iCs w:val="1"/>
          <w:color w:val="auto"/>
        </w:rPr>
        <w:t>Changes in laws and regulations affecting the healthcare industry could adversely affect our business.</w:t>
      </w:r>
    </w:p>
    <w:p>
      <w:pPr>
        <w:spacing w:after="0" w:line="229" w:lineRule="exact"/>
        <w:rPr>
          <w:sz w:val="20"/>
          <w:szCs w:val="20"/>
          <w:color w:val="auto"/>
        </w:rPr>
      </w:pPr>
    </w:p>
    <w:p>
      <w:pPr>
        <w:jc w:val="both"/>
        <w:ind w:right="20" w:firstLine="291"/>
        <w:spacing w:after="0" w:line="348" w:lineRule="auto"/>
        <w:rPr>
          <w:sz w:val="20"/>
          <w:szCs w:val="20"/>
          <w:color w:val="auto"/>
        </w:rPr>
      </w:pPr>
      <w:r>
        <w:rPr>
          <w:rFonts w:ascii="Arial" w:cs="Arial" w:eastAsia="Arial" w:hAnsi="Arial"/>
          <w:sz w:val="14"/>
          <w:szCs w:val="14"/>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-69850</wp:posOffset>
            </wp:positionV>
            <wp:extent cx="56515" cy="56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8" w:lineRule="exact"/>
        <w:rPr>
          <w:sz w:val="20"/>
          <w:szCs w:val="20"/>
          <w:color w:val="auto"/>
        </w:rPr>
      </w:pPr>
    </w:p>
    <w:p>
      <w:pPr>
        <w:ind w:left="480" w:right="20"/>
        <w:spacing w:after="0" w:line="253"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0"/>
        <w:spacing w:after="0" w:line="253" w:lineRule="auto"/>
        <w:rPr>
          <w:sz w:val="20"/>
          <w:szCs w:val="20"/>
          <w:color w:val="auto"/>
        </w:rPr>
      </w:pPr>
      <w:r>
        <w:rPr>
          <w:rFonts w:ascii="Arial" w:cs="Arial" w:eastAsia="Arial" w:hAnsi="Arial"/>
          <w:sz w:val="16"/>
          <w:szCs w:val="16"/>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line="266" w:lineRule="auto"/>
        <w:rPr>
          <w:sz w:val="20"/>
          <w:szCs w:val="20"/>
          <w:color w:val="auto"/>
        </w:rPr>
      </w:pPr>
      <w:r>
        <w:rPr>
          <w:rFonts w:ascii="Arial" w:cs="Arial" w:eastAsia="Arial" w:hAnsi="Arial"/>
          <w:sz w:val="16"/>
          <w:szCs w:val="16"/>
          <w:color w:val="auto"/>
        </w:rPr>
        <w:t>changes in FDA and foreign cGMPs that may make it more difficult and costly for us to maintain regulatory compliance and/or manufacture our marketed product and product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-222885</wp:posOffset>
            </wp:positionV>
            <wp:extent cx="56515" cy="56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73" w:lineRule="exact"/>
        <w:rPr>
          <w:sz w:val="20"/>
          <w:szCs w:val="20"/>
          <w:color w:val="auto"/>
        </w:rPr>
      </w:pPr>
    </w:p>
    <w:p>
      <w:pPr>
        <w:jc w:val="both"/>
        <w:ind w:right="20" w:firstLine="376"/>
        <w:spacing w:after="0" w:line="264"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08"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operations and financial condition, and our ability to discover, develop, manufacture, and commercialize our pipeline of product candidates in the time expected, or at all, would be materially harmed.</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We rely heavily on funding from Sanofi to support our target discovery and antibody research and development programs. Sanofi has committed to pay up to $160 million per year, or a total of $1.28 billion, between 2010 and 2017</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REGN727, REGN668, REGN421, REGN910, REGN728, and REGN1033,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during 2011 and 2012 to date, Sanofi elected not to continue co-development of REGN846 and REGN475, and decided not to opt-in to the REGN1154 program.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170" w:lineRule="exact"/>
        <w:rPr>
          <w:sz w:val="20"/>
          <w:szCs w:val="20"/>
          <w:color w:val="auto"/>
        </w:rPr>
      </w:pPr>
    </w:p>
    <w:p>
      <w:pPr>
        <w:ind w:left="140" w:right="20"/>
        <w:spacing w:after="0" w:line="244" w:lineRule="auto"/>
        <w:rPr>
          <w:sz w:val="20"/>
          <w:szCs w:val="20"/>
          <w:color w:val="auto"/>
        </w:rPr>
      </w:pPr>
      <w:r>
        <w:rPr>
          <w:rFonts w:ascii="Arial" w:cs="Arial" w:eastAsia="Arial" w:hAnsi="Arial"/>
          <w:sz w:val="15"/>
          <w:szCs w:val="15"/>
          <w:b w:val="1"/>
          <w:bCs w:val="1"/>
          <w:i w:val="1"/>
          <w:iCs w:val="1"/>
          <w:color w:val="auto"/>
        </w:rPr>
        <w:t>If our collaboration with Sanofi for ZALTRAP</w:t>
      </w:r>
      <w:r>
        <w:rPr>
          <w:rFonts w:ascii="Arial" w:cs="Arial" w:eastAsia="Arial" w:hAnsi="Arial"/>
          <w:sz w:val="25"/>
          <w:szCs w:val="25"/>
          <w:b w:val="1"/>
          <w:bCs w:val="1"/>
          <w:i w:val="1"/>
          <w:iCs w:val="1"/>
          <w:color w:val="auto"/>
          <w:vertAlign w:val="superscript"/>
        </w:rPr>
        <w:t>®</w:t>
      </w:r>
      <w:r>
        <w:rPr>
          <w:rFonts w:ascii="Arial" w:cs="Arial" w:eastAsia="Arial" w:hAnsi="Arial"/>
          <w:sz w:val="15"/>
          <w:szCs w:val="15"/>
          <w:b w:val="1"/>
          <w:bCs w:val="1"/>
          <w:i w:val="1"/>
          <w:iCs w:val="1"/>
          <w:color w:val="auto"/>
        </w:rPr>
        <w:t xml:space="preserve"> is terminated, or Sanofi materially breaches its obligations thereunder, our business operations, prospects, and financial condition, and our ability to develop, manufacture, and commercialize ZALTRAP</w:t>
      </w:r>
      <w:r>
        <w:rPr>
          <w:rFonts w:ascii="Arial" w:cs="Arial" w:eastAsia="Arial" w:hAnsi="Arial"/>
          <w:sz w:val="30"/>
          <w:szCs w:val="30"/>
          <w:b w:val="1"/>
          <w:bCs w:val="1"/>
          <w:i w:val="1"/>
          <w:iCs w:val="1"/>
          <w:color w:val="auto"/>
          <w:vertAlign w:val="superscript"/>
        </w:rPr>
        <w:t>®</w:t>
      </w:r>
      <w:r>
        <w:rPr>
          <w:rFonts w:ascii="Arial" w:cs="Arial" w:eastAsia="Arial" w:hAnsi="Arial"/>
          <w:sz w:val="15"/>
          <w:szCs w:val="15"/>
          <w:b w:val="1"/>
          <w:bCs w:val="1"/>
          <w:i w:val="1"/>
          <w:iCs w:val="1"/>
          <w:color w:val="auto"/>
        </w:rPr>
        <w:t xml:space="preserve"> in the time expected, or at all, would be materially harmed.</w:t>
      </w:r>
    </w:p>
    <w:p>
      <w:pPr>
        <w:spacing w:after="0" w:line="49" w:lineRule="exact"/>
        <w:rPr>
          <w:sz w:val="20"/>
          <w:szCs w:val="20"/>
          <w:color w:val="auto"/>
        </w:rPr>
      </w:pPr>
    </w:p>
    <w:p>
      <w:pPr>
        <w:jc w:val="both"/>
        <w:ind w:right="20" w:firstLine="279"/>
        <w:spacing w:after="0" w:line="213" w:lineRule="auto"/>
        <w:rPr>
          <w:sz w:val="20"/>
          <w:szCs w:val="20"/>
          <w:color w:val="auto"/>
        </w:rPr>
      </w:pPr>
      <w:r>
        <w:rPr>
          <w:rFonts w:ascii="Arial" w:cs="Arial" w:eastAsia="Arial" w:hAnsi="Arial"/>
          <w:sz w:val="14"/>
          <w:szCs w:val="14"/>
          <w:color w:val="auto"/>
        </w:rPr>
        <w:t>We rely heavily on Sanofi to lead much of the development of ZALTRAP</w:t>
      </w:r>
      <w:r>
        <w:rPr>
          <w:rFonts w:ascii="Arial" w:cs="Arial" w:eastAsia="Arial" w:hAnsi="Arial"/>
          <w:sz w:val="23"/>
          <w:szCs w:val="23"/>
          <w:color w:val="auto"/>
          <w:vertAlign w:val="superscript"/>
        </w:rPr>
        <w:t>®</w:t>
      </w:r>
      <w:r>
        <w:rPr>
          <w:rFonts w:ascii="Arial" w:cs="Arial" w:eastAsia="Arial" w:hAnsi="Arial"/>
          <w:sz w:val="14"/>
          <w:szCs w:val="14"/>
          <w:color w:val="auto"/>
        </w:rPr>
        <w:t>. Sanofi initially funds all of the development expenses incurred by both companies in connection with the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program. If the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program continues, we will rely on Sanofi to assist with funding the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program, provide commercial manufacturing</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capacity, enroll and monitor clinical trials, obtain regulatory approval, particularly outside the United States, and lead the commercialization of ZALTRAP</w:t>
      </w:r>
      <w:r>
        <w:rPr>
          <w:rFonts w:ascii="Arial" w:cs="Arial" w:eastAsia="Arial" w:hAnsi="Arial"/>
          <w:sz w:val="23"/>
          <w:szCs w:val="23"/>
          <w:color w:val="auto"/>
          <w:vertAlign w:val="superscript"/>
        </w:rPr>
        <w:t>®</w:t>
      </w:r>
      <w:r>
        <w:rPr>
          <w:rFonts w:ascii="Arial" w:cs="Arial" w:eastAsia="Arial" w:hAnsi="Arial"/>
          <w:sz w:val="14"/>
          <w:szCs w:val="14"/>
          <w:color w:val="auto"/>
        </w:rPr>
        <w:t>. While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may not ever be successfully developed and commercialized, if Sanofi fails to perform its obligations in a timely manner, or at all, our ability to develop, manufacture, and</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commercialize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cancer indications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w:t>
      </w:r>
    </w:p>
    <w:p>
      <w:pPr>
        <w:spacing w:after="0" w:line="1"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result in substantial additional costs to us. We have limited commercial capabilities and would have to develop or outsource these capabilities. Termination of the Sanofi collaboration agreement for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would create substantial new and additional risks to the successful development and commercialization of ZALTRAP</w:t>
      </w:r>
      <w:r>
        <w:rPr>
          <w:rFonts w:ascii="Arial" w:cs="Arial" w:eastAsia="Arial" w:hAnsi="Arial"/>
          <w:sz w:val="23"/>
          <w:szCs w:val="23"/>
          <w:color w:val="auto"/>
          <w:vertAlign w:val="superscript"/>
        </w:rPr>
        <w:t>®</w:t>
      </w:r>
      <w:r>
        <w:rPr>
          <w:rFonts w:ascii="Arial" w:cs="Arial" w:eastAsia="Arial" w:hAnsi="Arial"/>
          <w:sz w:val="14"/>
          <w:szCs w:val="14"/>
          <w:color w:val="auto"/>
        </w:rPr>
        <w: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36" w:name="page37"/>
    <w:bookmarkEnd w:id="36"/>
    <w:p>
      <w:pPr>
        <w:jc w:val="both"/>
        <w:ind w:left="140" w:right="20"/>
        <w:spacing w:after="0" w:line="202" w:lineRule="auto"/>
        <w:rPr>
          <w:sz w:val="20"/>
          <w:szCs w:val="20"/>
          <w:color w:val="auto"/>
        </w:rPr>
      </w:pPr>
      <w:r>
        <w:rPr>
          <w:rFonts w:ascii="Arial" w:cs="Arial" w:eastAsia="Arial" w:hAnsi="Arial"/>
          <w:sz w:val="16"/>
          <w:szCs w:val="16"/>
          <w:b w:val="1"/>
          <w:bCs w:val="1"/>
          <w:i w:val="1"/>
          <w:iCs w:val="1"/>
          <w:color w:val="auto"/>
        </w:rPr>
        <w:t>If our collaboration with Bayer HealthCare for EYLEA</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is terminated, or Bayer HealthCare materially breaches its obligations thereunder, our business operations, prospects, and financial condition, and our ability to continue to develop EYLEA</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and commercialize EYLEA</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outside the United States in the time expected, or at all, would be materially harmed.</w:t>
      </w:r>
    </w:p>
    <w:p>
      <w:pPr>
        <w:spacing w:after="0" w:line="191" w:lineRule="exact"/>
        <w:rPr>
          <w:sz w:val="20"/>
          <w:szCs w:val="20"/>
          <w:color w:val="auto"/>
        </w:rPr>
      </w:pPr>
    </w:p>
    <w:p>
      <w:pPr>
        <w:jc w:val="both"/>
        <w:ind w:firstLine="255"/>
        <w:spacing w:after="0" w:line="234" w:lineRule="auto"/>
        <w:rPr>
          <w:sz w:val="20"/>
          <w:szCs w:val="20"/>
          <w:color w:val="auto"/>
        </w:rPr>
      </w:pPr>
      <w:r>
        <w:rPr>
          <w:rFonts w:ascii="Arial" w:cs="Arial" w:eastAsia="Arial" w:hAnsi="Arial"/>
          <w:sz w:val="14"/>
          <w:szCs w:val="14"/>
          <w:color w:val="auto"/>
        </w:rPr>
        <w:t>We rely heavily on Bayer HealthCare to assist with the development, and the commercialization outside the United States, of EYLEA</w:t>
      </w:r>
      <w:r>
        <w:rPr>
          <w:rFonts w:ascii="Arial" w:cs="Arial" w:eastAsia="Arial" w:hAnsi="Arial"/>
          <w:sz w:val="23"/>
          <w:szCs w:val="23"/>
          <w:color w:val="auto"/>
          <w:vertAlign w:val="superscript"/>
        </w:rPr>
        <w:t>®</w:t>
      </w:r>
      <w:r>
        <w:rPr>
          <w:rFonts w:ascii="Arial" w:cs="Arial" w:eastAsia="Arial" w:hAnsi="Arial"/>
          <w:sz w:val="14"/>
          <w:szCs w:val="14"/>
          <w:color w:val="auto"/>
        </w:rPr>
        <w:t>. Under our agreement with them, Bayer HealthCare is required to fund approximately half of the development expenses incurred by both companies in connection with the global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program. As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program continues, we will continue to rely on Bayer HealthCare to assist with funding the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program, continue to lead the development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the United States, obtain regulatory approval outside the United States, and provide all sales, marketing, and commercial support for the product outside the</w:t>
      </w:r>
    </w:p>
    <w:p>
      <w:pPr>
        <w:spacing w:after="0" w:line="2"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United States. In particular, Bayer HealthCare has responsibility for selling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the United States using its sales force. While we cannot assure you that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receive regulatory approval in or outside the United States or be successfully commercialized, if Bayer HealthCare does not perform its obligations in a timely manner, or at all, our</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ability to develop, manufacture, and commercialize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collaboration that might not be available on favorable terms or at all, and could cause significant delays in the development and/or commercialization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outside the United States and result in substantial additional costs to us. We currently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EYLEA</w:t>
      </w:r>
      <w:r>
        <w:rPr>
          <w:rFonts w:ascii="Arial" w:cs="Arial" w:eastAsia="Arial" w:hAnsi="Arial"/>
          <w:sz w:val="26"/>
          <w:szCs w:val="26"/>
          <w:color w:val="auto"/>
          <w:vertAlign w:val="superscript"/>
        </w:rPr>
        <w:t>®</w:t>
      </w:r>
      <w:r>
        <w:rPr>
          <w:rFonts w:ascii="Arial" w:cs="Arial" w:eastAsia="Arial" w:hAnsi="Arial"/>
          <w:sz w:val="16"/>
          <w:szCs w:val="16"/>
          <w:color w:val="auto"/>
        </w:rPr>
        <w:t>, particularly outside the United States.</w:t>
      </w:r>
    </w:p>
    <w:p>
      <w:pPr>
        <w:spacing w:after="0" w:line="84"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87" w:lineRule="exact"/>
        <w:rPr>
          <w:sz w:val="20"/>
          <w:szCs w:val="20"/>
          <w:color w:val="auto"/>
        </w:rPr>
      </w:pPr>
    </w:p>
    <w:p>
      <w:pPr>
        <w:jc w:val="both"/>
        <w:ind w:right="20" w:firstLine="267"/>
        <w:spacing w:after="0" w:line="294" w:lineRule="auto"/>
        <w:rPr>
          <w:sz w:val="20"/>
          <w:szCs w:val="20"/>
          <w:color w:val="auto"/>
        </w:rPr>
      </w:pPr>
      <w:r>
        <w:rPr>
          <w:rFonts w:ascii="Arial" w:cs="Arial" w:eastAsia="Arial" w:hAnsi="Arial"/>
          <w:sz w:val="14"/>
          <w:szCs w:val="14"/>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w:t>
      </w:r>
    </w:p>
    <w:p>
      <w:pPr>
        <w:jc w:val="both"/>
        <w:ind w:right="20"/>
        <w:spacing w:after="0" w:line="248" w:lineRule="auto"/>
        <w:rPr>
          <w:sz w:val="20"/>
          <w:szCs w:val="20"/>
          <w:color w:val="auto"/>
        </w:rPr>
      </w:pPr>
      <w:r>
        <w:rPr>
          <w:rFonts w:ascii="Arial" w:cs="Arial" w:eastAsia="Arial" w:hAnsi="Arial"/>
          <w:sz w:val="15"/>
          <w:szCs w:val="15"/>
          <w:color w:val="auto"/>
        </w:rPr>
        <w:t>depend, or will depend, on some of these third parties in connection with the commercialization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and successfully commercializing, our product candidates.</w:t>
      </w:r>
    </w:p>
    <w:p>
      <w:pPr>
        <w:spacing w:after="0" w:line="188" w:lineRule="exact"/>
        <w:rPr>
          <w:sz w:val="20"/>
          <w:szCs w:val="20"/>
          <w:color w:val="auto"/>
        </w:rPr>
      </w:pPr>
    </w:p>
    <w:p>
      <w:pPr>
        <w:jc w:val="both"/>
        <w:ind w:right="20" w:firstLine="449"/>
        <w:spacing w:after="0" w:line="234" w:lineRule="auto"/>
        <w:rPr>
          <w:sz w:val="20"/>
          <w:szCs w:val="20"/>
          <w:color w:val="auto"/>
        </w:rPr>
      </w:pPr>
      <w:r>
        <w:rPr>
          <w:rFonts w:ascii="Arial" w:cs="Arial" w:eastAsia="Arial" w:hAnsi="Arial"/>
          <w:sz w:val="16"/>
          <w:szCs w:val="16"/>
          <w:color w:val="auto"/>
        </w:rPr>
        <w:t>We rely on third-party service providers to support the distribution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for many other related activities in connection with the commercialization of these marketed products. Despite our arrangements with them, these third parties may not perform adequately. If these service providers do not perform their services adequately, our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CAPS will suffer.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Related to Employees</w:t>
      </w:r>
    </w:p>
    <w:p>
      <w:pPr>
        <w:spacing w:after="0" w:line="208"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87" w:lineRule="exact"/>
        <w:rPr>
          <w:sz w:val="20"/>
          <w:szCs w:val="20"/>
          <w:color w:val="auto"/>
        </w:rPr>
      </w:pPr>
    </w:p>
    <w:p>
      <w:pPr>
        <w:jc w:val="both"/>
        <w:ind w:right="20" w:firstLine="279"/>
        <w:spacing w:after="0" w:line="265" w:lineRule="auto"/>
        <w:rPr>
          <w:sz w:val="20"/>
          <w:szCs w:val="20"/>
          <w:color w:val="auto"/>
        </w:rPr>
      </w:pPr>
      <w:r>
        <w:rPr>
          <w:rFonts w:ascii="Arial" w:cs="Arial" w:eastAsia="Arial" w:hAnsi="Arial"/>
          <w:sz w:val="14"/>
          <w:szCs w:val="14"/>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Executive Vice President, Chief Scientific Officer and President, Regeneron Research Laboratories, and Neil Stahl, Ph.D., our Senior Vice President, Research and Development Sciences. As we commercialize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United States for the treatment of wet</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AMD and prepare for commercialization in the United States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CRVO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gout flares in patients initiating uric acid-lowering therapy,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Information Technology Risks</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Significant disruptions of information technology systems or breaches of data security could adversely affect our business.</w:t>
      </w:r>
    </w:p>
    <w:p>
      <w:pPr>
        <w:spacing w:after="0" w:line="229" w:lineRule="exact"/>
        <w:rPr>
          <w:sz w:val="20"/>
          <w:szCs w:val="20"/>
          <w:color w:val="auto"/>
        </w:rPr>
      </w:pPr>
    </w:p>
    <w:p>
      <w:pPr>
        <w:jc w:val="both"/>
        <w:ind w:firstLine="376"/>
        <w:spacing w:after="0" w:line="264"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194"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Such disruptions and breaches of security could have a material adverse effect on our business, prospects, operating results,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stock price is extremely volatile.</w:t>
      </w:r>
    </w:p>
    <w:p>
      <w:pPr>
        <w:spacing w:after="0" w:line="229" w:lineRule="exact"/>
        <w:rPr>
          <w:sz w:val="20"/>
          <w:szCs w:val="20"/>
          <w:color w:val="auto"/>
        </w:rPr>
      </w:pPr>
    </w:p>
    <w:p>
      <w:pPr>
        <w:jc w:val="both"/>
        <w:ind w:right="20" w:firstLine="340"/>
        <w:spacing w:after="0" w:line="274" w:lineRule="auto"/>
        <w:rPr>
          <w:sz w:val="20"/>
          <w:szCs w:val="20"/>
          <w:color w:val="auto"/>
        </w:rPr>
      </w:pPr>
      <w:r>
        <w:rPr>
          <w:rFonts w:ascii="Arial" w:cs="Arial" w:eastAsia="Arial" w:hAnsi="Arial"/>
          <w:sz w:val="16"/>
          <w:szCs w:val="16"/>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63" w:lineRule="exact"/>
        <w:rPr>
          <w:sz w:val="20"/>
          <w:szCs w:val="20"/>
          <w:color w:val="auto"/>
        </w:rPr>
      </w:pPr>
    </w:p>
    <w:p>
      <w:pPr>
        <w:ind w:left="480" w:right="20"/>
        <w:spacing w:after="0" w:line="257" w:lineRule="auto"/>
        <w:rPr>
          <w:sz w:val="20"/>
          <w:szCs w:val="20"/>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currently pending or future application(s) for regulatory approval of our product candidate(s) or new indications for our marketed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960"/>
        <w:spacing w:after="0" w:line="253" w:lineRule="auto"/>
        <w:rPr>
          <w:sz w:val="20"/>
          <w:szCs w:val="20"/>
          <w:color w:val="auto"/>
        </w:rPr>
      </w:pPr>
      <w:r>
        <w:rPr>
          <w:rFonts w:ascii="Arial" w:cs="Arial" w:eastAsia="Arial" w:hAnsi="Arial"/>
          <w:sz w:val="16"/>
          <w:szCs w:val="16"/>
          <w:color w:val="auto"/>
        </w:rPr>
        <w:t>announcement of submission of an application for regulatory approval of one or more of our product candidates or new indications for our marketed products; 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-86995</wp:posOffset>
            </wp:positionV>
            <wp:extent cx="56515" cy="56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0"/>
        <w:spacing w:after="0" w:line="211" w:lineRule="auto"/>
        <w:rPr>
          <w:sz w:val="20"/>
          <w:szCs w:val="20"/>
          <w:color w:val="auto"/>
        </w:rPr>
      </w:pPr>
      <w:r>
        <w:rPr>
          <w:rFonts w:ascii="Arial" w:cs="Arial" w:eastAsia="Arial" w:hAnsi="Arial"/>
          <w:sz w:val="16"/>
          <w:szCs w:val="16"/>
          <w:color w:val="auto"/>
        </w:rPr>
        <w:t>fluctuations in our operating results; in particular, net product sales of, and profits from,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if any of our product candidates or our new indications for our marketed products receive regulatory approval, net product sales of, and profits from, these product candidates and new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0"/>
        <w:spacing w:after="0" w:line="248" w:lineRule="auto"/>
        <w:rPr>
          <w:sz w:val="20"/>
          <w:szCs w:val="20"/>
          <w:color w:val="auto"/>
        </w:rPr>
      </w:pPr>
      <w:r>
        <w:rPr>
          <w:rFonts w:ascii="Arial" w:cs="Arial" w:eastAsia="Arial" w:hAnsi="Arial"/>
          <w:sz w:val="12"/>
          <w:szCs w:val="12"/>
          <w:color w:val="auto"/>
        </w:rPr>
        <w:t>market acceptance of, and fluctuations in market share for, our marketed products, especially EYLEA</w:t>
      </w:r>
      <w:r>
        <w:rPr>
          <w:rFonts w:ascii="Arial" w:cs="Arial" w:eastAsia="Arial" w:hAnsi="Arial"/>
          <w:sz w:val="20"/>
          <w:szCs w:val="20"/>
          <w:color w:val="auto"/>
          <w:vertAlign w:val="superscript"/>
        </w:rPr>
        <w:t>®</w:t>
      </w:r>
      <w:r>
        <w:rPr>
          <w:rFonts w:ascii="Arial" w:cs="Arial" w:eastAsia="Arial" w:hAnsi="Arial"/>
          <w:sz w:val="12"/>
          <w:szCs w:val="12"/>
          <w:color w:val="auto"/>
        </w:rPr>
        <w:t>, and whether these factors, including our net products sales, underperform, meet, or exceed the expectations of investors or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-206375</wp:posOffset>
            </wp:positionV>
            <wp:extent cx="56515" cy="56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3880"/>
        <w:spacing w:after="0" w:line="257" w:lineRule="auto"/>
        <w:rPr>
          <w:sz w:val="20"/>
          <w:szCs w:val="20"/>
          <w:color w:val="auto"/>
        </w:rPr>
      </w:pPr>
      <w:r>
        <w:rPr>
          <w:rFonts w:ascii="Arial" w:cs="Arial" w:eastAsia="Arial" w:hAnsi="Arial"/>
          <w:sz w:val="16"/>
          <w:szCs w:val="16"/>
          <w:color w:val="auto"/>
        </w:rPr>
        <w:t>third-party claims that our products or technologies infringe their patents; third-party challenges to our patents in the European Patent Office and in the U.S.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-86995</wp:posOffset>
            </wp:positionV>
            <wp:extent cx="56515" cy="56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0"/>
        <w:spacing w:after="0" w:line="232" w:lineRule="auto"/>
        <w:rPr>
          <w:sz w:val="20"/>
          <w:szCs w:val="20"/>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 including EYLEA</w:t>
      </w:r>
      <w:r>
        <w:rPr>
          <w:rFonts w:ascii="Arial" w:cs="Arial" w:eastAsia="Arial" w:hAnsi="Arial"/>
          <w:sz w:val="26"/>
          <w:szCs w:val="26"/>
          <w:color w:val="auto"/>
          <w:vertAlign w:val="superscript"/>
        </w:rPr>
        <w:t>®</w:t>
      </w:r>
      <w:r>
        <w:rPr>
          <w:rFonts w:ascii="Arial" w:cs="Arial" w:eastAsia="Arial" w:hAnsi="Arial"/>
          <w:sz w:val="16"/>
          <w:szCs w:val="16"/>
          <w:color w:val="auto"/>
        </w:rPr>
        <w:t>, ZALTRAP</w:t>
      </w:r>
      <w:r>
        <w:rPr>
          <w:rFonts w:ascii="Arial" w:cs="Arial" w:eastAsia="Arial" w:hAnsi="Arial"/>
          <w:sz w:val="26"/>
          <w:szCs w:val="26"/>
          <w:color w:val="auto"/>
          <w:vertAlign w:val="superscript"/>
        </w:rPr>
        <w:t>®</w:t>
      </w:r>
      <w:r>
        <w:rPr>
          <w:rFonts w:ascii="Arial" w:cs="Arial" w:eastAsia="Arial" w:hAnsi="Arial"/>
          <w:sz w:val="16"/>
          <w:szCs w:val="16"/>
          <w:color w:val="auto"/>
        </w:rPr>
        <w:t>, 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in patients initiating uric acid-lowering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-237490</wp:posOffset>
            </wp:positionV>
            <wp:extent cx="56515" cy="56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0"/>
        <w:spacing w:after="0" w:line="248" w:lineRule="auto"/>
        <w:rPr>
          <w:sz w:val="20"/>
          <w:szCs w:val="20"/>
          <w:color w:val="auto"/>
        </w:rPr>
      </w:pPr>
      <w:r>
        <w:rPr>
          <w:rFonts w:ascii="Arial" w:cs="Arial" w:eastAsia="Arial" w:hAnsi="Arial"/>
          <w:sz w:val="16"/>
          <w:szCs w:val="16"/>
          <w:color w:val="auto"/>
        </w:rPr>
        <w:t>pricing or reimbursement actions or decisions by government authorities or insurers affecting the coverage or reimbursement of any of our marketed products or competitors’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our ability to raise additional capital as needed on favorable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38" w:name="page39"/>
    <w:bookmarkEnd w:id="38"/>
    <w:p>
      <w:pPr>
        <w:jc w:val="both"/>
        <w:ind w:firstLine="267"/>
        <w:spacing w:after="0" w:line="309" w:lineRule="auto"/>
        <w:rPr>
          <w:sz w:val="20"/>
          <w:szCs w:val="20"/>
          <w:color w:val="auto"/>
        </w:rPr>
      </w:pPr>
      <w:r>
        <w:rPr>
          <w:rFonts w:ascii="Arial" w:cs="Arial" w:eastAsia="Arial" w:hAnsi="Arial"/>
          <w:sz w:val="15"/>
          <w:szCs w:val="15"/>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52" w:lineRule="exact"/>
        <w:rPr>
          <w:sz w:val="20"/>
          <w:szCs w:val="20"/>
          <w:color w:val="auto"/>
        </w:rPr>
      </w:pPr>
    </w:p>
    <w:p>
      <w:pPr>
        <w:jc w:val="both"/>
        <w:ind w:firstLine="315"/>
        <w:spacing w:after="0" w:line="274" w:lineRule="auto"/>
        <w:rPr>
          <w:sz w:val="20"/>
          <w:szCs w:val="20"/>
          <w:color w:val="auto"/>
        </w:rPr>
      </w:pPr>
      <w:r>
        <w:rPr>
          <w:rFonts w:ascii="Arial" w:cs="Arial" w:eastAsia="Arial" w:hAnsi="Arial"/>
          <w:sz w:val="15"/>
          <w:szCs w:val="15"/>
          <w:color w:val="auto"/>
        </w:rPr>
        <w:t>A small number of our shareholders beneficially own a substantial amount of our Common Stock. As of December 31, 2011, our six largest shareholders plus Leonard S. Schleifer, M.D, Ph.D., our Chief Executive Officer, beneficially owned 61.9% of our outstanding shares of Common Stock, assuming, in the case of our Chief Executive Officer, the conversion of his Class A Stock into Common Stock and the exercise of all options held by him which are exercisable within 60 days of December 31, 2011.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December 31, 2011, Sanofi beneficially owned 15,816,953 shares of our Common Stock, representing approximately 17.4% of the shares of Common Stock then outstanding. If Sanofi,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w:t>
      </w:r>
    </w:p>
    <w:p>
      <w:pPr>
        <w:spacing w:after="0" w:line="229" w:lineRule="exact"/>
        <w:rPr>
          <w:sz w:val="20"/>
          <w:szCs w:val="20"/>
          <w:color w:val="auto"/>
        </w:rPr>
      </w:pPr>
    </w:p>
    <w:p>
      <w:pPr>
        <w:jc w:val="both"/>
        <w:ind w:right="20" w:firstLine="303"/>
        <w:spacing w:after="0" w:line="304" w:lineRule="auto"/>
        <w:rPr>
          <w:sz w:val="20"/>
          <w:szCs w:val="20"/>
          <w:color w:val="auto"/>
        </w:rPr>
      </w:pPr>
      <w:r>
        <w:rPr>
          <w:rFonts w:ascii="Arial" w:cs="Arial" w:eastAsia="Arial" w:hAnsi="Arial"/>
          <w:sz w:val="14"/>
          <w:szCs w:val="14"/>
          <w:color w:val="auto"/>
        </w:rPr>
        <w:t>Holders of Class A Stock, who are generally the shareholders who purchased their stock from us before our initial public offering, are entitled to ten votes per share, while holders of Common Stock are entitled to one vote per share. As of December 31, 2011, holders of Class A Stock held 18.9%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2011:</w:t>
      </w:r>
    </w:p>
    <w:p>
      <w:pPr>
        <w:spacing w:after="0" w:line="146" w:lineRule="exact"/>
        <w:rPr>
          <w:sz w:val="20"/>
          <w:szCs w:val="20"/>
          <w:color w:val="auto"/>
        </w:rPr>
      </w:pPr>
    </w:p>
    <w:p>
      <w:pPr>
        <w:jc w:val="both"/>
        <w:ind w:left="480" w:right="20"/>
        <w:spacing w:after="0" w:line="255" w:lineRule="auto"/>
        <w:rPr>
          <w:sz w:val="20"/>
          <w:szCs w:val="20"/>
          <w:color w:val="auto"/>
        </w:rPr>
      </w:pPr>
      <w:r>
        <w:rPr>
          <w:rFonts w:ascii="Arial" w:cs="Arial" w:eastAsia="Arial" w:hAnsi="Arial"/>
          <w:sz w:val="16"/>
          <w:szCs w:val="16"/>
          <w:color w:val="auto"/>
        </w:rPr>
        <w:t>our current executive officers and directors beneficially owned 12.0% of our outstanding shares of Common Stock, assuming conversion of their Class A Stock into Common Stock and the exercise of all options held by such persons which are exercisable within 60 days of December 31, 2011, and 25.0% of the combined voting power of our outstanding shares of Common Stock and Class A Stock, assuming the exercise of all options held by such persons which are exercisable within 60 days of December 31, 2011;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-456565</wp:posOffset>
            </wp:positionV>
            <wp:extent cx="56515" cy="56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spacing w:after="0" w:line="306" w:lineRule="auto"/>
        <w:rPr>
          <w:sz w:val="20"/>
          <w:szCs w:val="20"/>
          <w:color w:val="auto"/>
        </w:rPr>
      </w:pPr>
      <w:r>
        <w:rPr>
          <w:rFonts w:ascii="Arial" w:cs="Arial" w:eastAsia="Arial" w:hAnsi="Arial"/>
          <w:sz w:val="14"/>
          <w:szCs w:val="14"/>
          <w:color w:val="auto"/>
        </w:rPr>
        <w:t>our six largest shareholders plus Leonard S. Schleifer, M.D., Ph.D. our Chief Executive Officer, beneficially owned 61.9% of our outstanding shares of Common Stock, assuming, in the case of our Chief Executive Officer, the conversion of his Class A Stock into Common Stock and the exercise of all options held by him which are exercisable within 60 days of December 31, 2011. In addition, these seven shareholders held 65.1% of the combined voting power of our outstanding shares of Common Stock and Class A Stock, assuming the exercise of all options held by our Chief Executive Officer which are exercisable within 60 days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-485775</wp:posOffset>
            </wp:positionV>
            <wp:extent cx="56515" cy="56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48" w:lineRule="exact"/>
        <w:rPr>
          <w:sz w:val="20"/>
          <w:szCs w:val="20"/>
          <w:color w:val="auto"/>
        </w:rPr>
      </w:pPr>
    </w:p>
    <w:p>
      <w:pPr>
        <w:jc w:val="both"/>
        <w:ind w:right="20" w:firstLine="243"/>
        <w:spacing w:after="0" w:line="260" w:lineRule="auto"/>
        <w:rPr>
          <w:sz w:val="20"/>
          <w:szCs w:val="20"/>
          <w:color w:val="auto"/>
        </w:rPr>
      </w:pPr>
      <w:r>
        <w:rPr>
          <w:rFonts w:ascii="Arial" w:cs="Arial" w:eastAsia="Arial" w:hAnsi="Arial"/>
          <w:sz w:val="16"/>
          <w:szCs w:val="16"/>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39" w:name="page40"/>
    <w:bookmarkEnd w:id="39"/>
    <w:p>
      <w:pPr>
        <w:ind w:left="140" w:right="20"/>
        <w:spacing w:after="0" w:line="348" w:lineRule="auto"/>
        <w:rPr>
          <w:sz w:val="20"/>
          <w:szCs w:val="20"/>
          <w:color w:val="auto"/>
        </w:rPr>
      </w:pPr>
      <w:r>
        <w:rPr>
          <w:rFonts w:ascii="Arial" w:cs="Arial" w:eastAsia="Arial" w:hAnsi="Arial"/>
          <w:sz w:val="14"/>
          <w:szCs w:val="14"/>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140" w:lineRule="exact"/>
        <w:rPr>
          <w:sz w:val="20"/>
          <w:szCs w:val="20"/>
          <w:color w:val="auto"/>
        </w:rPr>
      </w:pPr>
    </w:p>
    <w:p>
      <w:pPr>
        <w:jc w:val="both"/>
        <w:ind w:right="20" w:firstLine="352"/>
        <w:spacing w:after="0" w:line="260" w:lineRule="auto"/>
        <w:rPr>
          <w:sz w:val="20"/>
          <w:szCs w:val="20"/>
          <w:color w:val="auto"/>
        </w:rPr>
      </w:pPr>
      <w:r>
        <w:rPr>
          <w:rFonts w:ascii="Arial" w:cs="Arial" w:eastAsia="Arial" w:hAnsi="Arial"/>
          <w:sz w:val="16"/>
          <w:szCs w:val="16"/>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74" w:lineRule="exact"/>
        <w:rPr>
          <w:sz w:val="20"/>
          <w:szCs w:val="20"/>
          <w:color w:val="auto"/>
        </w:rPr>
      </w:pPr>
    </w:p>
    <w:p>
      <w:pPr>
        <w:jc w:val="both"/>
        <w:ind w:left="480" w:right="20"/>
        <w:spacing w:after="0" w:line="257" w:lineRule="auto"/>
        <w:rPr>
          <w:sz w:val="20"/>
          <w:szCs w:val="20"/>
          <w:color w:val="auto"/>
        </w:rPr>
      </w:pPr>
      <w:r>
        <w:rPr>
          <w:rFonts w:ascii="Arial" w:cs="Arial" w:eastAsia="Arial" w:hAnsi="Arial"/>
          <w:sz w:val="16"/>
          <w:szCs w:val="16"/>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70" w:lineRule="auto"/>
        <w:rPr>
          <w:sz w:val="20"/>
          <w:szCs w:val="20"/>
          <w:color w:val="auto"/>
        </w:rPr>
      </w:pPr>
      <w:r>
        <w:rPr>
          <w:rFonts w:ascii="Arial" w:cs="Arial" w:eastAsia="Arial" w:hAnsi="Arial"/>
          <w:sz w:val="15"/>
          <w:szCs w:val="15"/>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53" w:lineRule="auto"/>
        <w:rPr>
          <w:sz w:val="20"/>
          <w:szCs w:val="20"/>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53" w:lineRule="auto"/>
        <w:rPr>
          <w:sz w:val="20"/>
          <w:szCs w:val="20"/>
          <w:color w:val="auto"/>
        </w:rPr>
      </w:pPr>
      <w:r>
        <w:rPr>
          <w:rFonts w:ascii="Arial" w:cs="Arial" w:eastAsia="Arial" w:hAnsi="Arial"/>
          <w:sz w:val="16"/>
          <w:szCs w:val="16"/>
          <w:color w:val="auto"/>
        </w:rPr>
        <w:t>a requirement that 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314" w:lineRule="auto"/>
        <w:rPr>
          <w:sz w:val="20"/>
          <w:szCs w:val="20"/>
          <w:color w:val="auto"/>
        </w:rPr>
      </w:pPr>
      <w:r>
        <w:rPr>
          <w:rFonts w:ascii="Arial" w:cs="Arial" w:eastAsia="Arial" w:hAnsi="Arial"/>
          <w:sz w:val="14"/>
          <w:szCs w:val="14"/>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4"/>
          <w:szCs w:val="14"/>
          <w:i w:val="1"/>
          <w:iCs w:val="1"/>
          <w:color w:val="auto"/>
        </w:rPr>
        <w:t>“Our existing shareholders may be able to exert significant influence over 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-365760</wp:posOffset>
            </wp:positionV>
            <wp:extent cx="56515" cy="56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22" w:lineRule="exact"/>
        <w:rPr>
          <w:sz w:val="20"/>
          <w:szCs w:val="20"/>
          <w:color w:val="auto"/>
        </w:rPr>
      </w:pPr>
    </w:p>
    <w:p>
      <w:pPr>
        <w:jc w:val="both"/>
        <w:ind w:right="20" w:firstLine="303"/>
        <w:spacing w:after="0" w:line="223" w:lineRule="auto"/>
        <w:rPr>
          <w:sz w:val="20"/>
          <w:szCs w:val="20"/>
          <w:color w:val="auto"/>
        </w:rPr>
      </w:pPr>
      <w:r>
        <w:rPr>
          <w:rFonts w:ascii="Arial" w:cs="Arial" w:eastAsia="Arial" w:hAnsi="Arial"/>
          <w:sz w:val="16"/>
          <w:szCs w:val="16"/>
          <w:color w:val="auto"/>
        </w:rPr>
        <w:t>Until the later of the fifth anniversaries of the expiration or earlier termination of our antibody collaboration agreements with Sanofi or our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15" w:lineRule="exact"/>
        <w:rPr>
          <w:sz w:val="20"/>
          <w:szCs w:val="20"/>
          <w:color w:val="auto"/>
        </w:rPr>
      </w:pPr>
    </w:p>
    <w:p>
      <w:pPr>
        <w:jc w:val="both"/>
        <w:ind w:right="20" w:firstLine="315"/>
        <w:spacing w:after="0" w:line="260"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Convertible Senior Notes and Related Hedge Transactions</w:t>
      </w:r>
    </w:p>
    <w:p>
      <w:pPr>
        <w:spacing w:after="0" w:line="208"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187"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4"/>
          <w:szCs w:val="14"/>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170"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6"/>
          <w:szCs w:val="16"/>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40" w:name="page41"/>
    <w:bookmarkEnd w:id="40"/>
    <w:p>
      <w:pPr>
        <w:jc w:val="both"/>
        <w:ind w:right="20" w:firstLine="255"/>
        <w:spacing w:after="0" w:line="275" w:lineRule="auto"/>
        <w:rPr>
          <w:sz w:val="20"/>
          <w:szCs w:val="20"/>
          <w:color w:val="auto"/>
        </w:rPr>
      </w:pPr>
      <w:r>
        <w:rPr>
          <w:rFonts w:ascii="Arial" w:cs="Arial" w:eastAsia="Arial" w:hAnsi="Arial"/>
          <w:sz w:val="15"/>
          <w:szCs w:val="15"/>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167" w:lineRule="exact"/>
        <w:rPr>
          <w:sz w:val="20"/>
          <w:szCs w:val="20"/>
          <w:color w:val="auto"/>
        </w:rPr>
      </w:pPr>
    </w:p>
    <w:p>
      <w:pPr>
        <w:ind w:left="140" w:right="20"/>
        <w:spacing w:after="0" w:line="274" w:lineRule="auto"/>
        <w:rPr>
          <w:sz w:val="20"/>
          <w:szCs w:val="20"/>
          <w:color w:val="auto"/>
        </w:rPr>
      </w:pPr>
      <w:r>
        <w:rPr>
          <w:rFonts w:ascii="Arial" w:cs="Arial" w:eastAsia="Arial" w:hAnsi="Arial"/>
          <w:sz w:val="16"/>
          <w:szCs w:val="16"/>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18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6"/>
          <w:szCs w:val="16"/>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33" w:lineRule="exact"/>
        <w:rPr>
          <w:sz w:val="20"/>
          <w:szCs w:val="20"/>
          <w:color w:val="auto"/>
        </w:rPr>
      </w:pPr>
    </w:p>
    <w:p>
      <w:pPr>
        <w:jc w:val="both"/>
        <w:ind w:right="20" w:firstLine="279"/>
        <w:spacing w:after="0" w:line="278" w:lineRule="auto"/>
        <w:rPr>
          <w:sz w:val="20"/>
          <w:szCs w:val="20"/>
          <w:color w:val="auto"/>
        </w:rPr>
      </w:pPr>
      <w:r>
        <w:rPr>
          <w:rFonts w:ascii="Arial" w:cs="Arial" w:eastAsia="Arial" w:hAnsi="Arial"/>
          <w:sz w:val="15"/>
          <w:szCs w:val="15"/>
          <w:color w:val="auto"/>
        </w:rPr>
        <w:t>We conduct our research, development, manufacturing, and administrative activities at our owned and leased facilities. Under our lease in Tarrytown, New York, as amended, we lease approximately 553,000 square feet of laboratory and office facilities. In addition, in September 2011 we entered into a lease amendment under our Tarrytown lease for approximately 40,000 additional square feet of space, which will commence contingent upon certain building improvements being completed by our landlord. We currently expect our landlord to complete these improvements during the first half of 2012. The term of the Tarrytown, New York lease will expire in June 2024. The lease contains three renewal options to extend the term of the lease by five years each and early termination options on approximately 323,000 square feet of space. The lease provides for monthly payments over its term and additional charges for utilities, taxes, and operating expenses.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July 2011, we leased approximately 19,600 square feet of office space in Liberty Corner, New Jersey. The term of the lease expires in January 2017.</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information regarding our current real property leases: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3"/>
          </w:tcPr>
          <w:p>
            <w:pPr>
              <w:ind w:left="240"/>
              <w:spacing w:after="0"/>
              <w:rPr>
                <w:sz w:val="20"/>
                <w:szCs w:val="20"/>
                <w:color w:val="auto"/>
              </w:rPr>
            </w:pPr>
            <w:r>
              <w:rPr>
                <w:rFonts w:ascii="Arial" w:cs="Arial" w:eastAsia="Arial" w:hAnsi="Arial"/>
                <w:sz w:val="16"/>
                <w:szCs w:val="16"/>
                <w:b w:val="1"/>
                <w:bCs w:val="1"/>
                <w:color w:val="auto"/>
                <w:w w:val="92"/>
              </w:rPr>
              <w:t>Current Monthly</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88"/>
              </w:rPr>
              <w:t>Square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w w:val="91"/>
              </w:rPr>
              <w:t>Base Rental</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Renewal Option</w:t>
            </w:r>
          </w:p>
        </w:tc>
      </w:tr>
      <w:tr>
        <w:trPr>
          <w:trHeight w:val="294"/>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Location</w:t>
            </w: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Footage</w:t>
            </w:r>
          </w:p>
        </w:tc>
        <w:tc>
          <w:tcPr>
            <w:tcW w:w="2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b w:val="1"/>
                <w:bCs w:val="1"/>
                <w:color w:val="auto"/>
                <w:w w:val="99"/>
              </w:rPr>
              <w:t>Expiration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141"/>
              <w:spacing w:after="0" w:line="293" w:lineRule="exact"/>
              <w:rPr>
                <w:sz w:val="20"/>
                <w:szCs w:val="20"/>
                <w:color w:val="auto"/>
              </w:rPr>
            </w:pPr>
            <w:r>
              <w:rPr>
                <w:rFonts w:ascii="Arial" w:cs="Arial" w:eastAsia="Arial" w:hAnsi="Arial"/>
                <w:sz w:val="16"/>
                <w:szCs w:val="16"/>
                <w:b w:val="1"/>
                <w:bCs w:val="1"/>
                <w:color w:val="auto"/>
                <w:w w:val="93"/>
              </w:rPr>
              <w:t>Charges</w:t>
            </w:r>
            <w:r>
              <w:rPr>
                <w:rFonts w:ascii="Arial" w:cs="Arial" w:eastAsia="Arial" w:hAnsi="Arial"/>
                <w:sz w:val="26"/>
                <w:szCs w:val="26"/>
                <w:b w:val="1"/>
                <w:bCs w:val="1"/>
                <w:color w:val="auto"/>
                <w:w w:val="93"/>
                <w:vertAlign w:val="superscript"/>
              </w:rPr>
              <w:t>(1)</w:t>
            </w:r>
          </w:p>
        </w:tc>
        <w:tc>
          <w:tcPr>
            <w:tcW w:w="2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Available</w:t>
            </w: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shd w:val="clear" w:color="auto" w:fill="C0C0C0"/>
          </w:tcPr>
          <w:p>
            <w:pPr>
              <w:spacing w:after="0"/>
              <w:rPr>
                <w:sz w:val="20"/>
                <w:szCs w:val="20"/>
                <w:color w:val="auto"/>
              </w:rPr>
            </w:pPr>
            <w:r>
              <w:rPr>
                <w:rFonts w:ascii="Arial" w:cs="Arial" w:eastAsia="Arial" w:hAnsi="Arial"/>
                <w:sz w:val="12"/>
                <w:szCs w:val="12"/>
                <w:color w:val="auto"/>
              </w:rPr>
              <w:t>Tarrytown, New York</w:t>
            </w:r>
          </w:p>
        </w:tc>
        <w:tc>
          <w:tcPr>
            <w:tcW w:w="24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9"/>
              </w:rPr>
              <w:t>553,000</w:t>
            </w:r>
          </w:p>
        </w:tc>
        <w:tc>
          <w:tcPr>
            <w:tcW w:w="24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20"/>
                <w:szCs w:val="20"/>
                <w:color w:val="auto"/>
              </w:rPr>
            </w:pPr>
            <w:r>
              <w:rPr>
                <w:rFonts w:ascii="Arial" w:cs="Arial" w:eastAsia="Arial" w:hAnsi="Arial"/>
                <w:sz w:val="16"/>
                <w:szCs w:val="16"/>
                <w:color w:val="auto"/>
              </w:rPr>
              <w:t>June 2024</w:t>
            </w:r>
          </w:p>
        </w:tc>
        <w:tc>
          <w:tcPr>
            <w:tcW w:w="36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1,843,000</w:t>
            </w:r>
          </w:p>
        </w:tc>
        <w:tc>
          <w:tcPr>
            <w:tcW w:w="1440" w:type="dxa"/>
            <w:vAlign w:val="bottom"/>
            <w:gridSpan w:val="2"/>
            <w:shd w:val="clear" w:color="auto" w:fill="C0C0C0"/>
          </w:tcPr>
          <w:p>
            <w:pPr>
              <w:jc w:val="center"/>
              <w:ind w:left="161"/>
              <w:spacing w:after="0"/>
              <w:rPr>
                <w:sz w:val="20"/>
                <w:szCs w:val="20"/>
                <w:color w:val="auto"/>
              </w:rPr>
            </w:pPr>
            <w:r>
              <w:rPr>
                <w:rFonts w:ascii="Arial" w:cs="Arial" w:eastAsia="Arial" w:hAnsi="Arial"/>
                <w:sz w:val="16"/>
                <w:szCs w:val="16"/>
                <w:color w:val="auto"/>
                <w:w w:val="88"/>
              </w:rPr>
              <w:t>Three 5-year terms</w:t>
            </w:r>
          </w:p>
        </w:tc>
      </w:tr>
      <w:tr>
        <w:trPr>
          <w:trHeight w:val="215"/>
        </w:trPr>
        <w:tc>
          <w:tcPr>
            <w:tcW w:w="4420" w:type="dxa"/>
            <w:vAlign w:val="bottom"/>
            <w:gridSpan w:val="2"/>
          </w:tcPr>
          <w:p>
            <w:pPr>
              <w:spacing w:after="0"/>
              <w:rPr>
                <w:sz w:val="20"/>
                <w:szCs w:val="20"/>
                <w:color w:val="auto"/>
              </w:rPr>
            </w:pPr>
            <w:r>
              <w:rPr>
                <w:rFonts w:ascii="Arial" w:cs="Arial" w:eastAsia="Arial" w:hAnsi="Arial"/>
                <w:sz w:val="12"/>
                <w:szCs w:val="12"/>
                <w:color w:val="auto"/>
              </w:rPr>
              <w:t>Liberty Corner, New Jersey</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19,600</w:t>
            </w:r>
          </w:p>
        </w:tc>
        <w:tc>
          <w:tcPr>
            <w:tcW w:w="1100" w:type="dxa"/>
            <w:vAlign w:val="bottom"/>
            <w:gridSpan w:val="2"/>
          </w:tcPr>
          <w:p>
            <w:pPr>
              <w:ind w:left="240"/>
              <w:spacing w:after="0"/>
              <w:rPr>
                <w:sz w:val="20"/>
                <w:szCs w:val="20"/>
                <w:color w:val="auto"/>
              </w:rPr>
            </w:pPr>
            <w:r>
              <w:rPr>
                <w:rFonts w:ascii="Arial" w:cs="Arial" w:eastAsia="Arial" w:hAnsi="Arial"/>
                <w:sz w:val="16"/>
                <w:szCs w:val="16"/>
                <w:color w:val="auto"/>
                <w:w w:val="86"/>
              </w:rPr>
              <w:t>January 2017</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37,200</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Two 5-year terms</w:t>
            </w:r>
          </w:p>
        </w:tc>
      </w:tr>
    </w:tbl>
    <w:p>
      <w:pPr>
        <w:spacing w:after="0"/>
        <w:rPr>
          <w:sz w:val="20"/>
          <w:szCs w:val="20"/>
          <w:color w:val="auto"/>
        </w:rPr>
      </w:pPr>
      <w:r>
        <w:rPr>
          <w:rFonts w:ascii="Arial" w:cs="Arial" w:eastAsia="Arial" w:hAnsi="Arial"/>
          <w:sz w:val="19"/>
          <w:szCs w:val="19"/>
          <w:color w:val="auto"/>
        </w:rPr>
        <w:t>____________________</w:t>
      </w:r>
    </w:p>
    <w:p>
      <w:pPr>
        <w:spacing w:after="0" w:line="213" w:lineRule="exact"/>
        <w:rPr>
          <w:sz w:val="20"/>
          <w:szCs w:val="20"/>
          <w:color w:val="auto"/>
        </w:rPr>
      </w:pPr>
    </w:p>
    <w:p>
      <w:pPr>
        <w:ind w:left="5640" w:right="4860" w:hanging="5400"/>
        <w:spacing w:after="0" w:line="613" w:lineRule="auto"/>
        <w:tabs>
          <w:tab w:leader="none" w:pos="682"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Excludes additional charges for utilities, real estate taxes, and operating expenses, as defined.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728091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41" w:name="page42"/>
    <w:bookmarkEnd w:id="41"/>
    <w:p>
      <w:pPr>
        <w:ind w:left="240"/>
        <w:spacing w:after="0"/>
        <w:rPr>
          <w:sz w:val="20"/>
          <w:szCs w:val="20"/>
          <w:color w:val="auto"/>
        </w:rPr>
      </w:pPr>
      <w:r>
        <w:rPr>
          <w:rFonts w:ascii="Arial" w:cs="Arial" w:eastAsia="Arial" w:hAnsi="Arial"/>
          <w:sz w:val="14"/>
          <w:szCs w:val="14"/>
          <w:color w:val="auto"/>
        </w:rPr>
        <w:t>We own facilities in Rensselaer, New York, consisting of three buildings totaling approximately 395,000 square feet of research, manufacturing, office, and warehouse space.</w:t>
      </w:r>
    </w:p>
    <w:p>
      <w:pPr>
        <w:spacing w:after="0" w:line="252" w:lineRule="exact"/>
        <w:rPr>
          <w:sz w:val="20"/>
          <w:szCs w:val="20"/>
          <w:color w:val="auto"/>
        </w:rPr>
      </w:pPr>
    </w:p>
    <w:p>
      <w:pPr>
        <w:jc w:val="both"/>
        <w:ind w:right="20" w:firstLine="291"/>
        <w:spacing w:after="0" w:line="348" w:lineRule="auto"/>
        <w:rPr>
          <w:sz w:val="20"/>
          <w:szCs w:val="20"/>
          <w:color w:val="auto"/>
        </w:rPr>
      </w:pPr>
      <w:r>
        <w:rPr>
          <w:rFonts w:ascii="Arial" w:cs="Arial" w:eastAsia="Arial" w:hAnsi="Arial"/>
          <w:sz w:val="14"/>
          <w:szCs w:val="14"/>
          <w:color w:val="auto"/>
        </w:rPr>
        <w:t>We believe that our existing owned and leased facilities are adequate for ongoing research, development, manufacturing, and administrative activities. In the future, we may lease, operate, or purchase additional facilities in which to conduct expanded research and development and manufacturing activities and support commercial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33"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6"/>
          <w:szCs w:val="16"/>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Genentech Patent Litigation</w:t>
      </w:r>
    </w:p>
    <w:p>
      <w:pPr>
        <w:spacing w:after="0" w:line="208" w:lineRule="exact"/>
        <w:rPr>
          <w:sz w:val="20"/>
          <w:szCs w:val="20"/>
          <w:color w:val="auto"/>
        </w:rPr>
      </w:pPr>
    </w:p>
    <w:p>
      <w:pPr>
        <w:jc w:val="both"/>
        <w:ind w:firstLine="328"/>
        <w:spacing w:after="0" w:line="235" w:lineRule="auto"/>
        <w:rPr>
          <w:sz w:val="20"/>
          <w:szCs w:val="20"/>
          <w:color w:val="auto"/>
        </w:rPr>
      </w:pPr>
      <w:r>
        <w:rPr>
          <w:rFonts w:ascii="Arial" w:cs="Arial" w:eastAsia="Arial" w:hAnsi="Arial"/>
          <w:sz w:val="15"/>
          <w:szCs w:val="15"/>
          <w:color w:val="auto"/>
        </w:rPr>
        <w:t>We are aware of issued patents and pending patent applications owned by Genentech that claim certain chimeric VEGF receptors. We do not believe that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On December 31, 2011, we entered into a non-exclusive license and partial settlement agreement (the Agreement) with Genentech that covers making, using, and selling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 the United States for the prevention and</w:t>
      </w:r>
    </w:p>
    <w:p>
      <w:pPr>
        <w:jc w:val="both"/>
        <w:ind w:right="20"/>
        <w:spacing w:after="0" w:line="247" w:lineRule="auto"/>
        <w:rPr>
          <w:sz w:val="20"/>
          <w:szCs w:val="20"/>
          <w:color w:val="auto"/>
        </w:rPr>
      </w:pPr>
      <w:r>
        <w:rPr>
          <w:rFonts w:ascii="Arial" w:cs="Arial" w:eastAsia="Arial" w:hAnsi="Arial"/>
          <w:sz w:val="11"/>
          <w:szCs w:val="11"/>
          <w:color w:val="auto"/>
        </w:rPr>
        <w:t>treatment of human eye diseases and disorders in the United States. Under the Agreement, we received a non-exclusive license to the Davis-Smyth patents, and certain other technology patents owned or co-owned by Genentech. The Agreement does not cover any non-U.S. patent rights or non-U.S. patent disputes, and does not cover any use of aflibercept other than for prevention and treatment of human eye diseases and disorders in the United States. The First</w:t>
      </w:r>
    </w:p>
    <w:p>
      <w:pPr>
        <w:jc w:val="both"/>
        <w:ind w:right="20"/>
        <w:spacing w:after="0" w:line="182" w:lineRule="auto"/>
        <w:rPr>
          <w:sz w:val="20"/>
          <w:szCs w:val="20"/>
          <w:color w:val="auto"/>
        </w:rPr>
      </w:pPr>
      <w:r>
        <w:rPr>
          <w:rFonts w:ascii="Arial" w:cs="Arial" w:eastAsia="Arial" w:hAnsi="Arial"/>
          <w:sz w:val="11"/>
          <w:szCs w:val="11"/>
          <w:color w:val="auto"/>
        </w:rPr>
        <w:t>Davis-Smyth Case is continuing with respect to matters not covered by the Agreement. The Agreement provides for us to make payments to Genentech based on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through May 7, 2016, the date the Davis-Smyth patents expire. We will make a lump-sum payment of $60 million once cumulative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reach $400 million. We will also pay royalties of 4.75% on cumulative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between $400 million and $3</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1"/>
          <w:szCs w:val="11"/>
          <w:color w:val="auto"/>
        </w:rPr>
        <w:t>billion and 5.5% on any cumulative U.S. sales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over $3 billion. As a result of the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w:t>
      </w:r>
    </w:p>
    <w:p>
      <w:pPr>
        <w:spacing w:after="0" w:line="1" w:lineRule="exact"/>
        <w:rPr>
          <w:sz w:val="20"/>
          <w:szCs w:val="20"/>
          <w:color w:val="auto"/>
        </w:rPr>
      </w:pPr>
    </w:p>
    <w:p>
      <w:pPr>
        <w:jc w:val="both"/>
        <w:ind w:right="20"/>
        <w:spacing w:after="0" w:line="200" w:lineRule="auto"/>
        <w:rPr>
          <w:sz w:val="20"/>
          <w:szCs w:val="20"/>
          <w:color w:val="auto"/>
        </w:rPr>
      </w:pPr>
      <w:r>
        <w:rPr>
          <w:rFonts w:ascii="Arial" w:cs="Arial" w:eastAsia="Arial" w:hAnsi="Arial"/>
          <w:sz w:val="12"/>
          <w:szCs w:val="12"/>
          <w:color w:val="auto"/>
        </w:rPr>
        <w:t>Davis-Smyth Patents by activities relating to VEGF Trap (but excluding EYLEA</w:t>
      </w:r>
      <w:r>
        <w:rPr>
          <w:rFonts w:ascii="Arial" w:cs="Arial" w:eastAsia="Arial" w:hAnsi="Arial"/>
          <w:sz w:val="20"/>
          <w:szCs w:val="20"/>
          <w:color w:val="auto"/>
          <w:vertAlign w:val="superscript"/>
        </w:rPr>
        <w:t>®</w:t>
      </w:r>
      <w:r>
        <w:rPr>
          <w:rFonts w:ascii="Arial" w:cs="Arial" w:eastAsia="Arial" w:hAnsi="Arial"/>
          <w:sz w:val="12"/>
          <w:szCs w:val="12"/>
          <w:color w:val="auto"/>
        </w:rPr>
        <w:t>) (the Second Davis-Smyth Case). As in the First Davis-Smyth Case, in the new complaint Genentech requests a judgment against us for damages, including for willful infringement, and other relief as the Court deems appropriate.</w:t>
      </w:r>
    </w:p>
    <w:p>
      <w:pPr>
        <w:spacing w:after="0" w:line="199" w:lineRule="exact"/>
        <w:rPr>
          <w:sz w:val="20"/>
          <w:szCs w:val="20"/>
          <w:color w:val="auto"/>
        </w:rPr>
      </w:pPr>
    </w:p>
    <w:p>
      <w:pPr>
        <w:jc w:val="both"/>
        <w:ind w:right="20" w:firstLine="267"/>
        <w:spacing w:after="0" w:line="274" w:lineRule="auto"/>
        <w:rPr>
          <w:sz w:val="20"/>
          <w:szCs w:val="20"/>
          <w:color w:val="auto"/>
        </w:rPr>
      </w:pPr>
      <w:r>
        <w:rPr>
          <w:rFonts w:ascii="Arial" w:cs="Arial" w:eastAsia="Arial" w:hAnsi="Arial"/>
          <w:sz w:val="16"/>
          <w:szCs w:val="16"/>
          <w:color w:val="auto"/>
        </w:rPr>
        <w:t>We believe Genentech's claims in the First Davis Smyth Case and the Second Davis Smyth Case are without merit and intend to continue to defend against all of Genentech’s remaining claims vigorously.</w:t>
      </w:r>
    </w:p>
    <w:p>
      <w:pPr>
        <w:spacing w:after="0" w:line="18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6"/>
          <w:szCs w:val="16"/>
          <w:color w:val="auto"/>
        </w:rPr>
        <w:t>We have initiated patent-related actions against Genentech in Germany, the United Kingdom, and Italy, and may initiate other actions in other countries outside the United States, which could have similar or other adverse outcomes that would materially harm our business and which, irrespective of the outcomes, may also entail significant costs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t>PART II</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for Registrant’s Common Equity</w:t>
      </w:r>
    </w:p>
    <w:p>
      <w:pPr>
        <w:spacing w:after="0" w:line="229" w:lineRule="exact"/>
        <w:rPr>
          <w:sz w:val="20"/>
          <w:szCs w:val="20"/>
          <w:color w:val="auto"/>
        </w:rPr>
      </w:pPr>
    </w:p>
    <w:p>
      <w:pPr>
        <w:ind w:right="20" w:firstLine="303"/>
        <w:spacing w:after="0" w:line="274" w:lineRule="auto"/>
        <w:rPr>
          <w:sz w:val="20"/>
          <w:szCs w:val="20"/>
          <w:color w:val="auto"/>
        </w:rPr>
      </w:pPr>
      <w:r>
        <w:rPr>
          <w:rFonts w:ascii="Arial" w:cs="Arial" w:eastAsia="Arial" w:hAnsi="Arial"/>
          <w:sz w:val="16"/>
          <w:szCs w:val="16"/>
          <w:color w:val="auto"/>
        </w:rPr>
        <w:t>Our Common Stock is quoted on The NASDAQ Global Select Market under the symbol “REGN.” Our Class A Stock, par value $.001 per share, is not publicly quoted or traded.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table sets forth, for the periods indicated, the range of high and low sales prices for our Common Stock as reported by The NASDAQ Global Select Market:</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620" w:type="dxa"/>
            <w:vAlign w:val="bottom"/>
            <w:tcBorders>
              <w:bottom w:val="single" w:sz="8" w:color="C0C0C0"/>
            </w:tcBorders>
          </w:tcPr>
          <w:p>
            <w:pPr>
              <w:spacing w:after="0"/>
              <w:rPr>
                <w:sz w:val="18"/>
                <w:szCs w:val="18"/>
                <w:color w:val="auto"/>
              </w:rPr>
            </w:pPr>
          </w:p>
        </w:tc>
        <w:tc>
          <w:tcPr>
            <w:tcW w:w="3360" w:type="dxa"/>
            <w:vAlign w:val="bottom"/>
            <w:tcBorders>
              <w:bottom w:val="single" w:sz="8" w:color="C0C0C0"/>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240" w:type="dxa"/>
            <w:vAlign w:val="bottom"/>
            <w:tcBorders>
              <w:bottom w:val="single" w:sz="8" w:color="C0C0C0"/>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Low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2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2010</w:t>
            </w:r>
          </w:p>
        </w:tc>
        <w:tc>
          <w:tcPr>
            <w:tcW w:w="3360" w:type="dxa"/>
            <w:vAlign w:val="bottom"/>
            <w:shd w:val="clear" w:color="auto" w:fill="C0C0C0"/>
          </w:tcPr>
          <w:p>
            <w:pPr>
              <w:spacing w:after="0"/>
              <w:rPr>
                <w:sz w:val="17"/>
                <w:szCs w:val="17"/>
                <w:color w:val="auto"/>
              </w:rPr>
            </w:pPr>
          </w:p>
        </w:tc>
        <w:tc>
          <w:tcPr>
            <w:tcW w:w="4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First Quarter</w:t>
            </w:r>
          </w:p>
        </w:tc>
        <w:tc>
          <w:tcPr>
            <w:tcW w:w="3820" w:type="dxa"/>
            <w:vAlign w:val="bottom"/>
            <w:gridSpan w:val="2"/>
          </w:tcPr>
          <w:p>
            <w:pPr>
              <w:jc w:val="right"/>
              <w:spacing w:after="0"/>
              <w:rPr>
                <w:sz w:val="20"/>
                <w:szCs w:val="20"/>
                <w:color w:val="auto"/>
              </w:rPr>
            </w:pPr>
            <w:r>
              <w:rPr>
                <w:rFonts w:ascii="Arial" w:cs="Arial" w:eastAsia="Arial" w:hAnsi="Arial"/>
                <w:sz w:val="16"/>
                <w:szCs w:val="16"/>
                <w:color w:val="auto"/>
              </w:rPr>
              <w:t>$30.51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Second Quarter</w:t>
            </w:r>
          </w:p>
        </w:tc>
        <w:tc>
          <w:tcPr>
            <w:tcW w:w="38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30.58</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Third Quarter</w:t>
            </w:r>
          </w:p>
        </w:tc>
        <w:tc>
          <w:tcPr>
            <w:tcW w:w="3820" w:type="dxa"/>
            <w:vAlign w:val="bottom"/>
            <w:gridSpan w:val="2"/>
          </w:tcPr>
          <w:p>
            <w:pPr>
              <w:jc w:val="right"/>
              <w:spacing w:after="0"/>
              <w:rPr>
                <w:sz w:val="20"/>
                <w:szCs w:val="20"/>
                <w:color w:val="auto"/>
              </w:rPr>
            </w:pPr>
            <w:r>
              <w:rPr>
                <w:rFonts w:ascii="Arial" w:cs="Arial" w:eastAsia="Arial" w:hAnsi="Arial"/>
                <w:sz w:val="16"/>
                <w:szCs w:val="16"/>
                <w:color w:val="auto"/>
              </w:rPr>
              <w:t>27.53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Fourth Quarter</w:t>
            </w:r>
          </w:p>
        </w:tc>
        <w:tc>
          <w:tcPr>
            <w:tcW w:w="38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33.94</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462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2011</w:t>
            </w:r>
          </w:p>
        </w:tc>
        <w:tc>
          <w:tcPr>
            <w:tcW w:w="336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First Quarter</w:t>
            </w:r>
          </w:p>
        </w:tc>
        <w:tc>
          <w:tcPr>
            <w:tcW w:w="3820" w:type="dxa"/>
            <w:vAlign w:val="bottom"/>
            <w:gridSpan w:val="2"/>
          </w:tcPr>
          <w:p>
            <w:pPr>
              <w:jc w:val="right"/>
              <w:spacing w:after="0"/>
              <w:rPr>
                <w:sz w:val="20"/>
                <w:szCs w:val="20"/>
                <w:color w:val="auto"/>
              </w:rPr>
            </w:pPr>
            <w:r>
              <w:rPr>
                <w:rFonts w:ascii="Arial" w:cs="Arial" w:eastAsia="Arial" w:hAnsi="Arial"/>
                <w:sz w:val="16"/>
                <w:szCs w:val="16"/>
                <w:color w:val="auto"/>
              </w:rPr>
              <w:t>$ 45.11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Second Quarter</w:t>
            </w:r>
          </w:p>
        </w:tc>
        <w:tc>
          <w:tcPr>
            <w:tcW w:w="38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71.74</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41.83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Third Quarter</w:t>
            </w:r>
          </w:p>
        </w:tc>
        <w:tc>
          <w:tcPr>
            <w:tcW w:w="3820" w:type="dxa"/>
            <w:vAlign w:val="bottom"/>
            <w:gridSpan w:val="2"/>
          </w:tcPr>
          <w:p>
            <w:pPr>
              <w:jc w:val="right"/>
              <w:spacing w:after="0"/>
              <w:rPr>
                <w:sz w:val="20"/>
                <w:szCs w:val="20"/>
                <w:color w:val="auto"/>
              </w:rPr>
            </w:pPr>
            <w:r>
              <w:rPr>
                <w:rFonts w:ascii="Arial" w:cs="Arial" w:eastAsia="Arial" w:hAnsi="Arial"/>
                <w:sz w:val="16"/>
                <w:szCs w:val="16"/>
                <w:color w:val="auto"/>
              </w:rPr>
              <w:t>79.90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Fourth Quarter</w:t>
            </w:r>
          </w:p>
        </w:tc>
        <w:tc>
          <w:tcPr>
            <w:tcW w:w="38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66.47</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49.58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February 10, 2012, there were 392 shareholders of record of our Common Stock and 45 shareholders of record of our Class A Stock.</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never paid cash dividends and do not anticipate paying any in the foreseeable future.</w:t>
      </w:r>
    </w:p>
    <w:p>
      <w:pPr>
        <w:spacing w:after="0" w:line="229" w:lineRule="exact"/>
        <w:rPr>
          <w:sz w:val="20"/>
          <w:szCs w:val="20"/>
          <w:color w:val="auto"/>
        </w:rPr>
      </w:pPr>
    </w:p>
    <w:p>
      <w:pPr>
        <w:ind w:right="20" w:firstLine="267"/>
        <w:spacing w:after="0" w:line="274" w:lineRule="auto"/>
        <w:rPr>
          <w:sz w:val="20"/>
          <w:szCs w:val="20"/>
          <w:color w:val="auto"/>
        </w:rPr>
      </w:pPr>
      <w:r>
        <w:rPr>
          <w:rFonts w:ascii="Arial" w:cs="Arial" w:eastAsia="Arial" w:hAnsi="Arial"/>
          <w:sz w:val="16"/>
          <w:szCs w:val="16"/>
          <w:color w:val="auto"/>
        </w:rPr>
        <w:t>The information under the heading “Equity Compensation Plan Information” in our definitive proxy statement with respect to our 2012 Annual Meeting of Shareholders to be filed with the SEC is incorporated herein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229" w:lineRule="exact"/>
        <w:rPr>
          <w:sz w:val="20"/>
          <w:szCs w:val="20"/>
          <w:color w:val="auto"/>
        </w:rPr>
      </w:pPr>
    </w:p>
    <w:p>
      <w:pPr>
        <w:ind w:right="20" w:firstLine="303"/>
        <w:spacing w:after="0" w:line="274" w:lineRule="auto"/>
        <w:rPr>
          <w:sz w:val="20"/>
          <w:szCs w:val="20"/>
          <w:color w:val="auto"/>
        </w:rPr>
      </w:pPr>
      <w:r>
        <w:rPr>
          <w:rFonts w:ascii="Arial" w:cs="Arial" w:eastAsia="Arial" w:hAnsi="Arial"/>
          <w:sz w:val="16"/>
          <w:szCs w:val="16"/>
          <w:color w:val="auto"/>
        </w:rPr>
        <w:t>The following table reflects shares of Common Stock withheld by us for employees to satisfy their tax withholding obligations arising upon the vesting of restricted equity awards granted under our Amended and Restated Long-Term Incentive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Maximum Number (or</w:t>
            </w:r>
          </w:p>
        </w:tc>
      </w:tr>
      <w:tr>
        <w:trPr>
          <w:trHeight w:val="218"/>
        </w:trPr>
        <w:tc>
          <w:tcPr>
            <w:tcW w:w="1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Total Number of</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Approximate Dollar</w:t>
            </w:r>
          </w:p>
        </w:tc>
      </w:tr>
      <w:tr>
        <w:trPr>
          <w:trHeight w:val="218"/>
        </w:trPr>
        <w:tc>
          <w:tcPr>
            <w:tcW w:w="1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Shares (or Units)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Value) of Shares (or</w:t>
            </w:r>
          </w:p>
        </w:tc>
      </w:tr>
      <w:tr>
        <w:trPr>
          <w:trHeight w:val="218"/>
        </w:trPr>
        <w:tc>
          <w:tcPr>
            <w:tcW w:w="1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Total Number of</w:t>
            </w: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 Price</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Purchased as Part of</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Units) that May Yet Be</w:t>
            </w:r>
          </w:p>
        </w:tc>
      </w:tr>
      <w:tr>
        <w:trPr>
          <w:trHeight w:val="218"/>
        </w:trPr>
        <w:tc>
          <w:tcPr>
            <w:tcW w:w="1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Shares (or Units)</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Paid per Share</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Publically Announced</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Under the</w:t>
            </w:r>
          </w:p>
        </w:tc>
      </w:tr>
      <w:tr>
        <w:trPr>
          <w:trHeight w:val="226"/>
        </w:trPr>
        <w:tc>
          <w:tcPr>
            <w:tcW w:w="5500" w:type="dxa"/>
            <w:vAlign w:val="bottom"/>
            <w:gridSpan w:val="2"/>
          </w:tcPr>
          <w:p>
            <w:pPr>
              <w:jc w:val="center"/>
              <w:ind w:right="4100"/>
              <w:spacing w:after="0"/>
              <w:rPr>
                <w:sz w:val="20"/>
                <w:szCs w:val="20"/>
                <w:color w:val="auto"/>
              </w:rPr>
            </w:pPr>
            <w:r>
              <w:rPr>
                <w:rFonts w:ascii="Arial" w:cs="Arial" w:eastAsia="Arial" w:hAnsi="Arial"/>
                <w:sz w:val="16"/>
                <w:szCs w:val="16"/>
                <w:b w:val="1"/>
                <w:bCs w:val="1"/>
                <w:color w:val="auto"/>
                <w:w w:val="88"/>
              </w:rPr>
              <w:t>Period</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Purchased</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(or Unit)</w:t>
            </w: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Plans or Programs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Plans or Programs</w:t>
            </w:r>
          </w:p>
        </w:tc>
      </w:tr>
      <w:tr>
        <w:trPr>
          <w:trHeight w:val="218"/>
        </w:trPr>
        <w:tc>
          <w:tcPr>
            <w:tcW w:w="14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88"/>
              </w:rPr>
              <w:t>12/1/2011-12/31/2011</w:t>
            </w:r>
          </w:p>
        </w:tc>
        <w:tc>
          <w:tcPr>
            <w:tcW w:w="4100" w:type="dxa"/>
            <w:vAlign w:val="bottom"/>
            <w:tcBorders>
              <w:top w:val="single" w:sz="8" w:color="C0C0C0"/>
            </w:tcBorders>
            <w:shd w:val="clear" w:color="auto" w:fill="C0C0C0"/>
          </w:tcPr>
          <w:p>
            <w:pPr>
              <w:spacing w:after="0"/>
              <w:rPr>
                <w:sz w:val="18"/>
                <w:szCs w:val="18"/>
                <w:color w:val="auto"/>
              </w:rPr>
            </w:pPr>
          </w:p>
        </w:tc>
        <w:tc>
          <w:tcPr>
            <w:tcW w:w="1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51,549</w:t>
            </w:r>
          </w:p>
        </w:tc>
        <w:tc>
          <w:tcPr>
            <w:tcW w:w="260" w:type="dxa"/>
            <w:vAlign w:val="bottom"/>
            <w:tcBorders>
              <w:top w:val="single" w:sz="8" w:color="C0C0C0"/>
            </w:tcBorders>
            <w:shd w:val="clear" w:color="auto" w:fill="C0C0C0"/>
          </w:tcPr>
          <w:p>
            <w:pPr>
              <w:spacing w:after="0"/>
              <w:rPr>
                <w:sz w:val="18"/>
                <w:szCs w:val="18"/>
                <w:color w:val="auto"/>
              </w:rPr>
            </w:pPr>
          </w:p>
        </w:tc>
        <w:tc>
          <w:tcPr>
            <w:tcW w:w="10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51.18</w:t>
            </w:r>
          </w:p>
        </w:tc>
        <w:tc>
          <w:tcPr>
            <w:tcW w:w="240" w:type="dxa"/>
            <w:vAlign w:val="bottom"/>
            <w:tcBorders>
              <w:top w:val="single" w:sz="8" w:color="C0C0C0"/>
            </w:tcBorders>
            <w:shd w:val="clear" w:color="auto" w:fill="C0C0C0"/>
          </w:tcPr>
          <w:p>
            <w:pPr>
              <w:spacing w:after="0"/>
              <w:rPr>
                <w:sz w:val="18"/>
                <w:szCs w:val="18"/>
                <w:color w:val="auto"/>
              </w:rPr>
            </w:pPr>
          </w:p>
        </w:tc>
        <w:tc>
          <w:tcPr>
            <w:tcW w:w="150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6"/>
                <w:szCs w:val="16"/>
                <w:color w:val="auto"/>
                <w:w w:val="93"/>
              </w:rPr>
              <w:t>--</w:t>
            </w:r>
          </w:p>
        </w:tc>
        <w:tc>
          <w:tcPr>
            <w:tcW w:w="240" w:type="dxa"/>
            <w:vAlign w:val="bottom"/>
            <w:tcBorders>
              <w:top w:val="single" w:sz="8" w:color="C0C0C0"/>
            </w:tcBorders>
            <w:shd w:val="clear" w:color="auto" w:fill="C0C0C0"/>
          </w:tcPr>
          <w:p>
            <w:pPr>
              <w:spacing w:after="0"/>
              <w:rPr>
                <w:sz w:val="18"/>
                <w:szCs w:val="18"/>
                <w:color w:val="auto"/>
              </w:rPr>
            </w:pPr>
          </w:p>
        </w:tc>
        <w:tc>
          <w:tcPr>
            <w:tcW w:w="15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6"/>
                <w:szCs w:val="16"/>
                <w:color w:val="auto"/>
                <w:w w:val="93"/>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were no unregistered sales of equity securities in 2011 that have not been previously reported in a Quarterly Report on Form 10-Q.</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6"/>
          <w:szCs w:val="16"/>
          <w:b w:val="1"/>
          <w:bCs w:val="1"/>
          <w:color w:val="auto"/>
        </w:rPr>
        <w:t>STOCK PERFORMANCE GRAPH</w:t>
      </w:r>
    </w:p>
    <w:p>
      <w:pPr>
        <w:spacing w:after="0" w:line="233" w:lineRule="exact"/>
        <w:rPr>
          <w:sz w:val="20"/>
          <w:szCs w:val="20"/>
          <w:color w:val="auto"/>
        </w:rPr>
      </w:pPr>
    </w:p>
    <w:p>
      <w:pPr>
        <w:jc w:val="both"/>
        <w:ind w:right="20" w:firstLine="352"/>
        <w:spacing w:after="0" w:line="258" w:lineRule="auto"/>
        <w:rPr>
          <w:sz w:val="20"/>
          <w:szCs w:val="20"/>
          <w:color w:val="auto"/>
        </w:rPr>
      </w:pPr>
      <w:r>
        <w:rPr>
          <w:rFonts w:ascii="Arial" w:cs="Arial" w:eastAsia="Arial" w:hAnsi="Arial"/>
          <w:sz w:val="16"/>
          <w:szCs w:val="16"/>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2006 through December 31, 2011. The comparison assumes that $100 was invested on December 31, 2006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117475</wp:posOffset>
            </wp:positionV>
            <wp:extent cx="4539615" cy="19653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39615" cy="196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bottom w:val="single" w:sz="8" w:color="C0C0C0"/>
            </w:tcBorders>
          </w:tcPr>
          <w:p>
            <w:pPr>
              <w:spacing w:after="0"/>
              <w:rPr>
                <w:sz w:val="18"/>
                <w:szCs w:val="18"/>
                <w:color w:val="auto"/>
              </w:rPr>
            </w:pPr>
          </w:p>
        </w:tc>
        <w:tc>
          <w:tcPr>
            <w:tcW w:w="2120" w:type="dxa"/>
            <w:vAlign w:val="bottom"/>
            <w:tcBorders>
              <w:bottom w:val="single" w:sz="8" w:color="C0C0C0"/>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12/31/2006</w:t>
            </w:r>
          </w:p>
        </w:tc>
        <w:tc>
          <w:tcPr>
            <w:tcW w:w="240" w:type="dxa"/>
            <w:vAlign w:val="bottom"/>
            <w:tcBorders>
              <w:bottom w:val="single" w:sz="8" w:color="C0C0C0"/>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12/31/2007</w:t>
            </w:r>
          </w:p>
        </w:tc>
        <w:tc>
          <w:tcPr>
            <w:tcW w:w="260" w:type="dxa"/>
            <w:vAlign w:val="bottom"/>
            <w:tcBorders>
              <w:bottom w:val="single" w:sz="8" w:color="C0C0C0"/>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12/31/2008</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12/31/2009</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12/31/2010</w:t>
            </w:r>
          </w:p>
        </w:tc>
        <w:tc>
          <w:tcPr>
            <w:tcW w:w="240" w:type="dxa"/>
            <w:vAlign w:val="bottom"/>
            <w:tcBorders>
              <w:bottom w:val="single" w:sz="8" w:color="C0C0C0"/>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12/31/2011</w:t>
            </w:r>
          </w:p>
        </w:tc>
        <w:tc>
          <w:tcPr>
            <w:tcW w:w="20" w:type="dxa"/>
            <w:vAlign w:val="bottom"/>
          </w:tcPr>
          <w:p>
            <w:pPr>
              <w:spacing w:after="0"/>
              <w:rPr>
                <w:sz w:val="18"/>
                <w:szCs w:val="18"/>
                <w:color w:val="auto"/>
              </w:rPr>
            </w:pPr>
          </w:p>
        </w:tc>
      </w:tr>
      <w:tr>
        <w:trPr>
          <w:trHeight w:val="218"/>
        </w:trPr>
        <w:tc>
          <w:tcPr>
            <w:tcW w:w="330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Regeneron</w:t>
            </w:r>
          </w:p>
        </w:tc>
        <w:tc>
          <w:tcPr>
            <w:tcW w:w="22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0C0C0"/>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120.33</w:t>
            </w:r>
          </w:p>
        </w:tc>
        <w:tc>
          <w:tcPr>
            <w:tcW w:w="260" w:type="dxa"/>
            <w:vAlign w:val="bottom"/>
            <w:shd w:val="clear" w:color="auto" w:fill="C0C0C0"/>
          </w:tcPr>
          <w:p>
            <w:pPr>
              <w:spacing w:after="0"/>
              <w:rPr>
                <w:sz w:val="18"/>
                <w:szCs w:val="18"/>
                <w:color w:val="auto"/>
              </w:rPr>
            </w:pPr>
          </w:p>
        </w:tc>
        <w:tc>
          <w:tcPr>
            <w:tcW w:w="220" w:type="dxa"/>
            <w:vAlign w:val="bottom"/>
            <w:shd w:val="clear" w:color="auto" w:fill="C0C0C0"/>
          </w:tcPr>
          <w:p>
            <w:pPr>
              <w:jc w:val="right"/>
              <w:ind w:right="95"/>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91.48</w:t>
            </w:r>
          </w:p>
        </w:tc>
        <w:tc>
          <w:tcPr>
            <w:tcW w:w="120" w:type="dxa"/>
            <w:vAlign w:val="bottom"/>
            <w:shd w:val="clear" w:color="auto" w:fill="C0C0C0"/>
          </w:tcPr>
          <w:p>
            <w:pPr>
              <w:spacing w:after="0"/>
              <w:rPr>
                <w:sz w:val="18"/>
                <w:szCs w:val="18"/>
                <w:color w:val="auto"/>
              </w:rPr>
            </w:pPr>
          </w:p>
        </w:tc>
        <w:tc>
          <w:tcPr>
            <w:tcW w:w="340" w:type="dxa"/>
            <w:vAlign w:val="bottom"/>
            <w:gridSpan w:val="2"/>
            <w:shd w:val="clear" w:color="auto" w:fill="C0C0C0"/>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120.48</w:t>
            </w:r>
          </w:p>
        </w:tc>
        <w:tc>
          <w:tcPr>
            <w:tcW w:w="340" w:type="dxa"/>
            <w:vAlign w:val="bottom"/>
            <w:gridSpan w:val="2"/>
            <w:shd w:val="clear" w:color="auto" w:fill="C0C0C0"/>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163.58</w:t>
            </w:r>
          </w:p>
        </w:tc>
        <w:tc>
          <w:tcPr>
            <w:tcW w:w="220" w:type="dxa"/>
            <w:vAlign w:val="bottom"/>
            <w:shd w:val="clear" w:color="auto" w:fill="C0C0C0"/>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276.18</w:t>
            </w:r>
          </w:p>
        </w:tc>
        <w:tc>
          <w:tcPr>
            <w:tcW w:w="20" w:type="dxa"/>
            <w:vAlign w:val="bottom"/>
          </w:tcPr>
          <w:p>
            <w:pPr>
              <w:spacing w:after="0"/>
              <w:rPr>
                <w:sz w:val="18"/>
                <w:szCs w:val="18"/>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6"/>
                <w:szCs w:val="16"/>
                <w:b w:val="1"/>
                <w:bCs w:val="1"/>
                <w:color w:val="auto"/>
              </w:rPr>
              <w:t>NASDAQ Pharm</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109.95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119.19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127.71</w:t>
            </w:r>
          </w:p>
        </w:tc>
        <w:tc>
          <w:tcPr>
            <w:tcW w:w="20" w:type="dxa"/>
            <w:vAlign w:val="bottom"/>
          </w:tcPr>
          <w:p>
            <w:pPr>
              <w:spacing w:after="0"/>
              <w:rPr>
                <w:sz w:val="18"/>
                <w:szCs w:val="18"/>
                <w:color w:val="auto"/>
              </w:rPr>
            </w:pPr>
          </w:p>
        </w:tc>
      </w:tr>
      <w:tr>
        <w:trPr>
          <w:trHeight w:val="225"/>
        </w:trPr>
        <w:tc>
          <w:tcPr>
            <w:tcW w:w="330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NASDAQ US</w:t>
            </w:r>
          </w:p>
        </w:tc>
        <w:tc>
          <w:tcPr>
            <w:tcW w:w="2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108.47</w:t>
            </w: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135.11</w:t>
            </w:r>
          </w:p>
        </w:tc>
        <w:tc>
          <w:tcPr>
            <w:tcW w:w="12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95.38</w:t>
            </w:r>
          </w:p>
        </w:tc>
        <w:tc>
          <w:tcPr>
            <w:tcW w:w="12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2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113.19</w:t>
            </w:r>
          </w:p>
        </w:tc>
        <w:tc>
          <w:tcPr>
            <w:tcW w:w="22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113.81</w:t>
            </w:r>
          </w:p>
        </w:tc>
        <w:tc>
          <w:tcPr>
            <w:tcW w:w="20" w:type="dxa"/>
            <w:vAlign w:val="bottom"/>
          </w:tcPr>
          <w:p>
            <w:pPr>
              <w:spacing w:after="0"/>
              <w:rPr>
                <w:sz w:val="19"/>
                <w:szCs w:val="19"/>
                <w:color w:val="auto"/>
              </w:rPr>
            </w:pPr>
          </w:p>
        </w:tc>
      </w:tr>
      <w:tr>
        <w:trPr>
          <w:trHeight w:val="604"/>
        </w:trPr>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341"/>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300" w:type="dxa"/>
            <w:vAlign w:val="bottom"/>
            <w:tcBorders>
              <w:bottom w:val="single" w:sz="8" w:color="808080"/>
            </w:tcBorders>
          </w:tcPr>
          <w:p>
            <w:pPr>
              <w:spacing w:after="0"/>
              <w:rPr>
                <w:sz w:val="17"/>
                <w:szCs w:val="17"/>
                <w:color w:val="auto"/>
              </w:rPr>
            </w:pPr>
          </w:p>
        </w:tc>
        <w:tc>
          <w:tcPr>
            <w:tcW w:w="21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33" w:lineRule="exact"/>
        <w:rPr>
          <w:sz w:val="20"/>
          <w:szCs w:val="20"/>
          <w:color w:val="auto"/>
        </w:rPr>
      </w:pPr>
    </w:p>
    <w:p>
      <w:pPr>
        <w:jc w:val="both"/>
        <w:ind w:right="20" w:firstLine="255"/>
        <w:spacing w:after="0" w:line="289" w:lineRule="auto"/>
        <w:rPr>
          <w:sz w:val="20"/>
          <w:szCs w:val="20"/>
          <w:color w:val="auto"/>
        </w:rPr>
      </w:pPr>
      <w:r>
        <w:rPr>
          <w:rFonts w:ascii="Arial" w:cs="Arial" w:eastAsia="Arial" w:hAnsi="Arial"/>
          <w:sz w:val="15"/>
          <w:szCs w:val="15"/>
          <w:color w:val="auto"/>
        </w:rPr>
        <w:t>The selected financial data set forth below for the years ended December 31, 2011, 2010, and 2009 and at December 31, 2011 and 2010 are derived from and should be read in conjunction with our audited financial statements, including the notes thereto, included elsewhere in this report. The selected financial data for the years ended December 31, 2008 and 2007 and at December 31, 2009, 2008, and 2007 are derived from our audited financial statements not included in this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jc w:val="right"/>
              <w:ind w:right="421"/>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11"/>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2011</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2009</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2008</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2007</w:t>
            </w:r>
          </w:p>
        </w:tc>
      </w:tr>
      <w:tr>
        <w:trPr>
          <w:trHeight w:val="181"/>
        </w:trPr>
        <w:tc>
          <w:tcPr>
            <w:tcW w:w="4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7"/>
          </w:tcPr>
          <w:p>
            <w:pPr>
              <w:jc w:val="right"/>
              <w:ind w:right="321"/>
              <w:spacing w:after="0"/>
              <w:rPr>
                <w:sz w:val="20"/>
                <w:szCs w:val="20"/>
                <w:color w:val="auto"/>
              </w:rPr>
            </w:pPr>
            <w:r>
              <w:rPr>
                <w:rFonts w:ascii="Arial" w:cs="Arial" w:eastAsia="Arial" w:hAnsi="Arial"/>
                <w:sz w:val="12"/>
                <w:szCs w:val="12"/>
                <w:b w:val="1"/>
                <w:bCs w:val="1"/>
                <w:color w:val="auto"/>
              </w:rPr>
              <w:t>(In thousands, except per share data)</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
        </w:trPr>
        <w:tc>
          <w:tcPr>
            <w:tcW w:w="47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8"/>
        </w:trPr>
        <w:tc>
          <w:tcPr>
            <w:tcW w:w="474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Statement of Operations Data</w:t>
            </w:r>
          </w:p>
        </w:tc>
        <w:tc>
          <w:tcPr>
            <w:tcW w:w="19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11"/>
        </w:trPr>
        <w:tc>
          <w:tcPr>
            <w:tcW w:w="4740" w:type="dxa"/>
            <w:vAlign w:val="bottom"/>
          </w:tcPr>
          <w:p>
            <w:pPr>
              <w:spacing w:after="0"/>
              <w:rPr>
                <w:sz w:val="20"/>
                <w:szCs w:val="20"/>
                <w:color w:val="auto"/>
              </w:rPr>
            </w:pPr>
            <w:r>
              <w:rPr>
                <w:rFonts w:ascii="Arial" w:cs="Arial" w:eastAsia="Arial" w:hAnsi="Arial"/>
                <w:sz w:val="16"/>
                <w:szCs w:val="16"/>
                <w:color w:val="auto"/>
              </w:rPr>
              <w:t>Revenues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6"/>
        </w:trPr>
        <w:tc>
          <w:tcPr>
            <w:tcW w:w="4740" w:type="dxa"/>
            <w:vAlign w:val="bottom"/>
            <w:shd w:val="clear" w:color="auto" w:fill="C0C0C0"/>
          </w:tcPr>
          <w:p>
            <w:pPr>
              <w:ind w:left="280"/>
              <w:spacing w:after="0"/>
              <w:rPr>
                <w:sz w:val="20"/>
                <w:szCs w:val="20"/>
                <w:color w:val="auto"/>
              </w:rPr>
            </w:pPr>
            <w:r>
              <w:rPr>
                <w:rFonts w:ascii="Arial" w:cs="Arial" w:eastAsia="Arial" w:hAnsi="Arial"/>
                <w:sz w:val="16"/>
                <w:szCs w:val="16"/>
                <w:color w:val="auto"/>
              </w:rPr>
              <w:t>Collaboration revenue</w:t>
            </w:r>
          </w:p>
        </w:tc>
        <w:tc>
          <w:tcPr>
            <w:tcW w:w="20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369,681</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ind w:right="2"/>
              <w:spacing w:after="0"/>
              <w:rPr>
                <w:sz w:val="20"/>
                <w:szCs w:val="20"/>
                <w:color w:val="auto"/>
              </w:rPr>
            </w:pPr>
            <w:r>
              <w:rPr>
                <w:rFonts w:ascii="Arial" w:cs="Arial" w:eastAsia="Arial" w:hAnsi="Arial"/>
                <w:sz w:val="16"/>
                <w:szCs w:val="16"/>
                <w:color w:val="auto"/>
              </w:rPr>
              <w:t>386,725</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6"/>
              </w:rPr>
              <w:t>314,457</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9"/>
              </w:rPr>
              <w:t>185,138</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87,648</w:t>
            </w:r>
          </w:p>
        </w:tc>
      </w:tr>
      <w:tr>
        <w:trPr>
          <w:trHeight w:val="211"/>
        </w:trPr>
        <w:tc>
          <w:tcPr>
            <w:tcW w:w="4740" w:type="dxa"/>
            <w:vAlign w:val="bottom"/>
          </w:tcPr>
          <w:p>
            <w:pPr>
              <w:ind w:left="280"/>
              <w:spacing w:after="0"/>
              <w:rPr>
                <w:sz w:val="20"/>
                <w:szCs w:val="20"/>
                <w:color w:val="auto"/>
              </w:rPr>
            </w:pPr>
            <w:r>
              <w:rPr>
                <w:rFonts w:ascii="Arial" w:cs="Arial" w:eastAsia="Arial" w:hAnsi="Arial"/>
                <w:sz w:val="16"/>
                <w:szCs w:val="16"/>
                <w:color w:val="auto"/>
              </w:rPr>
              <w:t>Net product sales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44,686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25,254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18,364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6,249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6"/>
        </w:trPr>
        <w:tc>
          <w:tcPr>
            <w:tcW w:w="4740" w:type="dxa"/>
            <w:vAlign w:val="bottom"/>
            <w:shd w:val="clear" w:color="auto" w:fill="C0C0C0"/>
          </w:tcPr>
          <w:p>
            <w:pPr>
              <w:ind w:left="280"/>
              <w:spacing w:after="0"/>
              <w:rPr>
                <w:sz w:val="20"/>
                <w:szCs w:val="20"/>
                <w:color w:val="auto"/>
              </w:rPr>
            </w:pPr>
            <w:r>
              <w:rPr>
                <w:rFonts w:ascii="Arial" w:cs="Arial" w:eastAsia="Arial" w:hAnsi="Arial"/>
                <w:sz w:val="16"/>
                <w:szCs w:val="16"/>
                <w:color w:val="auto"/>
              </w:rPr>
              <w:t>Technology licensing</w:t>
            </w:r>
          </w:p>
        </w:tc>
        <w:tc>
          <w:tcPr>
            <w:tcW w:w="19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24,858</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
              <w:spacing w:after="0"/>
              <w:rPr>
                <w:sz w:val="20"/>
                <w:szCs w:val="20"/>
                <w:color w:val="auto"/>
              </w:rPr>
            </w:pPr>
            <w:r>
              <w:rPr>
                <w:rFonts w:ascii="Arial" w:cs="Arial" w:eastAsia="Arial" w:hAnsi="Arial"/>
                <w:sz w:val="16"/>
                <w:szCs w:val="16"/>
                <w:color w:val="auto"/>
              </w:rPr>
              <w:t>40,150</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40,013</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40,000</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28,421</w:t>
            </w:r>
          </w:p>
        </w:tc>
      </w:tr>
      <w:tr>
        <w:trPr>
          <w:trHeight w:val="211"/>
        </w:trPr>
        <w:tc>
          <w:tcPr>
            <w:tcW w:w="474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Contract research and other</w:t>
            </w:r>
          </w:p>
        </w:tc>
        <w:tc>
          <w:tcPr>
            <w:tcW w:w="19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6,599</w:t>
            </w:r>
          </w:p>
        </w:tc>
        <w:tc>
          <w:tcPr>
            <w:tcW w:w="26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6,945</w:t>
            </w:r>
          </w:p>
        </w:tc>
        <w:tc>
          <w:tcPr>
            <w:tcW w:w="2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6,434</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7,070</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8,955</w:t>
            </w:r>
          </w:p>
        </w:tc>
      </w:tr>
      <w:tr>
        <w:trPr>
          <w:trHeight w:val="211"/>
        </w:trPr>
        <w:tc>
          <w:tcPr>
            <w:tcW w:w="4740" w:type="dxa"/>
            <w:vAlign w:val="bottom"/>
            <w:shd w:val="clear" w:color="auto" w:fill="C0C0C0"/>
          </w:tcPr>
          <w:p>
            <w:pPr>
              <w:spacing w:after="0"/>
              <w:rPr>
                <w:sz w:val="18"/>
                <w:szCs w:val="18"/>
                <w:color w:val="auto"/>
              </w:rPr>
            </w:pPr>
          </w:p>
        </w:tc>
        <w:tc>
          <w:tcPr>
            <w:tcW w:w="19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rPr>
              <w:t>445,824</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
              <w:spacing w:after="0"/>
              <w:rPr>
                <w:sz w:val="20"/>
                <w:szCs w:val="20"/>
                <w:color w:val="auto"/>
              </w:rPr>
            </w:pPr>
            <w:r>
              <w:rPr>
                <w:rFonts w:ascii="Arial" w:cs="Arial" w:eastAsia="Arial" w:hAnsi="Arial"/>
                <w:sz w:val="16"/>
                <w:szCs w:val="16"/>
                <w:color w:val="auto"/>
              </w:rPr>
              <w:t>459,074</w:t>
            </w:r>
          </w:p>
        </w:tc>
        <w:tc>
          <w:tcPr>
            <w:tcW w:w="2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86"/>
              </w:rPr>
              <w:t>379,268</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4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89"/>
              </w:rPr>
              <w:t>238,457</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125,024</w:t>
            </w:r>
          </w:p>
        </w:tc>
      </w:tr>
      <w:tr>
        <w:trPr>
          <w:trHeight w:val="206"/>
        </w:trPr>
        <w:tc>
          <w:tcPr>
            <w:tcW w:w="4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8"/>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Expenses</w:t>
            </w:r>
          </w:p>
        </w:tc>
        <w:tc>
          <w:tcPr>
            <w:tcW w:w="19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11"/>
        </w:trPr>
        <w:tc>
          <w:tcPr>
            <w:tcW w:w="47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529,506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489,252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w w:val="86"/>
              </w:rPr>
              <w:t>398,762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w w:val="89"/>
              </w:rPr>
              <w:t>274,903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202,468</w:t>
            </w:r>
          </w:p>
        </w:tc>
      </w:tr>
      <w:tr>
        <w:trPr>
          <w:trHeight w:val="226"/>
        </w:trPr>
        <w:tc>
          <w:tcPr>
            <w:tcW w:w="4740" w:type="dxa"/>
            <w:vAlign w:val="bottom"/>
            <w:shd w:val="clear" w:color="auto" w:fill="C0C0C0"/>
          </w:tcPr>
          <w:p>
            <w:pPr>
              <w:ind w:left="280"/>
              <w:spacing w:after="0"/>
              <w:rPr>
                <w:sz w:val="20"/>
                <w:szCs w:val="20"/>
                <w:color w:val="auto"/>
              </w:rPr>
            </w:pPr>
            <w:r>
              <w:rPr>
                <w:rFonts w:ascii="Arial" w:cs="Arial" w:eastAsia="Arial" w:hAnsi="Arial"/>
                <w:sz w:val="16"/>
                <w:szCs w:val="16"/>
                <w:color w:val="auto"/>
              </w:rPr>
              <w:t>Selling, general, and administrative</w:t>
            </w:r>
          </w:p>
        </w:tc>
        <w:tc>
          <w:tcPr>
            <w:tcW w:w="19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117,261</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
              <w:spacing w:after="0"/>
              <w:rPr>
                <w:sz w:val="20"/>
                <w:szCs w:val="20"/>
                <w:color w:val="auto"/>
              </w:rPr>
            </w:pPr>
            <w:r>
              <w:rPr>
                <w:rFonts w:ascii="Arial" w:cs="Arial" w:eastAsia="Arial" w:hAnsi="Arial"/>
                <w:sz w:val="16"/>
                <w:szCs w:val="16"/>
                <w:color w:val="auto"/>
              </w:rPr>
              <w:t>65,201</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52,923</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48,880</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37,929</w:t>
            </w:r>
          </w:p>
        </w:tc>
      </w:tr>
      <w:tr>
        <w:trPr>
          <w:trHeight w:val="211"/>
        </w:trPr>
        <w:tc>
          <w:tcPr>
            <w:tcW w:w="474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Cost of goods sold</w:t>
            </w:r>
          </w:p>
        </w:tc>
        <w:tc>
          <w:tcPr>
            <w:tcW w:w="19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4,216</w:t>
            </w:r>
          </w:p>
        </w:tc>
        <w:tc>
          <w:tcPr>
            <w:tcW w:w="26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2,093</w:t>
            </w:r>
          </w:p>
        </w:tc>
        <w:tc>
          <w:tcPr>
            <w:tcW w:w="2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1,686</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923</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11"/>
        </w:trPr>
        <w:tc>
          <w:tcPr>
            <w:tcW w:w="4740" w:type="dxa"/>
            <w:vAlign w:val="bottom"/>
            <w:shd w:val="clear" w:color="auto" w:fill="C0C0C0"/>
          </w:tcPr>
          <w:p>
            <w:pPr>
              <w:spacing w:after="0"/>
              <w:rPr>
                <w:sz w:val="18"/>
                <w:szCs w:val="18"/>
                <w:color w:val="auto"/>
              </w:rPr>
            </w:pPr>
          </w:p>
        </w:tc>
        <w:tc>
          <w:tcPr>
            <w:tcW w:w="19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rPr>
              <w:t>650,983</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
              <w:spacing w:after="0"/>
              <w:rPr>
                <w:sz w:val="20"/>
                <w:szCs w:val="20"/>
                <w:color w:val="auto"/>
              </w:rPr>
            </w:pPr>
            <w:r>
              <w:rPr>
                <w:rFonts w:ascii="Arial" w:cs="Arial" w:eastAsia="Arial" w:hAnsi="Arial"/>
                <w:sz w:val="16"/>
                <w:szCs w:val="16"/>
                <w:color w:val="auto"/>
              </w:rPr>
              <w:t>556,546</w:t>
            </w:r>
          </w:p>
        </w:tc>
        <w:tc>
          <w:tcPr>
            <w:tcW w:w="2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86"/>
              </w:rPr>
              <w:t>453,371</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4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89"/>
              </w:rPr>
              <w:t>324,706</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240,397</w:t>
            </w:r>
          </w:p>
        </w:tc>
      </w:tr>
      <w:tr>
        <w:trPr>
          <w:trHeight w:val="206"/>
        </w:trPr>
        <w:tc>
          <w:tcPr>
            <w:tcW w:w="4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1"/>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Loss from operations</w:t>
            </w:r>
          </w:p>
        </w:tc>
        <w:tc>
          <w:tcPr>
            <w:tcW w:w="19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0"/>
              </w:rPr>
              <w:t>(205,159)</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(97,472)</w:t>
            </w:r>
          </w:p>
        </w:tc>
        <w:tc>
          <w:tcPr>
            <w:tcW w:w="2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3"/>
              </w:rPr>
              <w:t>(74,103)</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3"/>
              </w:rPr>
              <w:t>(86,249)</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87"/>
              </w:rPr>
              <w:t>(115,373)</w:t>
            </w:r>
          </w:p>
        </w:tc>
      </w:tr>
      <w:tr>
        <w:trPr>
          <w:trHeight w:val="206"/>
        </w:trPr>
        <w:tc>
          <w:tcPr>
            <w:tcW w:w="4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8"/>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Other income (expense)</w:t>
            </w:r>
          </w:p>
        </w:tc>
        <w:tc>
          <w:tcPr>
            <w:tcW w:w="19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11"/>
        </w:trPr>
        <w:tc>
          <w:tcPr>
            <w:tcW w:w="4740" w:type="dxa"/>
            <w:vAlign w:val="bottom"/>
          </w:tcPr>
          <w:p>
            <w:pPr>
              <w:ind w:left="280"/>
              <w:spacing w:after="0"/>
              <w:rPr>
                <w:sz w:val="20"/>
                <w:szCs w:val="20"/>
                <w:color w:val="auto"/>
              </w:rPr>
            </w:pPr>
            <w:r>
              <w:rPr>
                <w:rFonts w:ascii="Arial" w:cs="Arial" w:eastAsia="Arial" w:hAnsi="Arial"/>
                <w:sz w:val="16"/>
                <w:szCs w:val="16"/>
                <w:color w:val="auto"/>
              </w:rPr>
              <w:t>Investment income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3,549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2,122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4,488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18,161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20,897</w:t>
            </w:r>
          </w:p>
        </w:tc>
      </w:tr>
      <w:tr>
        <w:trPr>
          <w:trHeight w:val="226"/>
        </w:trPr>
        <w:tc>
          <w:tcPr>
            <w:tcW w:w="4740" w:type="dxa"/>
            <w:vAlign w:val="bottom"/>
            <w:shd w:val="clear" w:color="auto" w:fill="C0C0C0"/>
          </w:tcPr>
          <w:p>
            <w:pPr>
              <w:ind w:left="280"/>
              <w:spacing w:after="0"/>
              <w:rPr>
                <w:sz w:val="20"/>
                <w:szCs w:val="20"/>
                <w:color w:val="auto"/>
              </w:rPr>
            </w:pPr>
            <w:r>
              <w:rPr>
                <w:rFonts w:ascii="Arial" w:cs="Arial" w:eastAsia="Arial" w:hAnsi="Arial"/>
                <w:sz w:val="16"/>
                <w:szCs w:val="16"/>
                <w:color w:val="auto"/>
              </w:rPr>
              <w:t>Interest expense</w:t>
            </w:r>
          </w:p>
        </w:tc>
        <w:tc>
          <w:tcPr>
            <w:tcW w:w="19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(21,282)</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(9,118)</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(2,337)</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(7,752)</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(12,043)</w:t>
            </w:r>
          </w:p>
        </w:tc>
      </w:tr>
      <w:tr>
        <w:trPr>
          <w:trHeight w:val="211"/>
        </w:trPr>
        <w:tc>
          <w:tcPr>
            <w:tcW w:w="474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Loss on early extinguishment of debt</w:t>
            </w:r>
          </w:p>
        </w:tc>
        <w:tc>
          <w:tcPr>
            <w:tcW w:w="19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11"/>
        </w:trPr>
        <w:tc>
          <w:tcPr>
            <w:tcW w:w="4740" w:type="dxa"/>
            <w:vAlign w:val="bottom"/>
            <w:shd w:val="clear" w:color="auto" w:fill="C0C0C0"/>
          </w:tcPr>
          <w:p>
            <w:pPr>
              <w:spacing w:after="0"/>
              <w:rPr>
                <w:sz w:val="18"/>
                <w:szCs w:val="18"/>
                <w:color w:val="auto"/>
              </w:rPr>
            </w:pPr>
          </w:p>
        </w:tc>
        <w:tc>
          <w:tcPr>
            <w:tcW w:w="19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(17,733)</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(6,996)</w:t>
            </w:r>
          </w:p>
        </w:tc>
        <w:tc>
          <w:tcPr>
            <w:tcW w:w="2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2,151</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4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9,471</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8,854</w:t>
            </w:r>
          </w:p>
        </w:tc>
      </w:tr>
      <w:tr>
        <w:trPr>
          <w:trHeight w:val="206"/>
        </w:trPr>
        <w:tc>
          <w:tcPr>
            <w:tcW w:w="4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8"/>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Net loss before income tax (benefit) expense</w:t>
            </w:r>
          </w:p>
        </w:tc>
        <w:tc>
          <w:tcPr>
            <w:tcW w:w="19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(222,892)</w:t>
            </w: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(104,468)</w:t>
            </w: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(71,952)</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(76,778)</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7"/>
              </w:rPr>
              <w:t>(106,519)</w:t>
            </w:r>
          </w:p>
        </w:tc>
      </w:tr>
      <w:tr>
        <w:trPr>
          <w:trHeight w:val="218"/>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1"/>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Income tax (benefit) expense</w:t>
            </w:r>
          </w:p>
        </w:tc>
        <w:tc>
          <w:tcPr>
            <w:tcW w:w="19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(1,132)</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(4,122)</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4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2,351</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spacing w:after="0"/>
              <w:rPr>
                <w:sz w:val="18"/>
                <w:szCs w:val="18"/>
                <w:color w:val="auto"/>
              </w:rPr>
            </w:pPr>
          </w:p>
        </w:tc>
      </w:tr>
      <w:tr>
        <w:trPr>
          <w:trHeight w:val="206"/>
        </w:trPr>
        <w:tc>
          <w:tcPr>
            <w:tcW w:w="4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Net loss</w:t>
            </w:r>
          </w:p>
        </w:tc>
        <w:tc>
          <w:tcPr>
            <w:tcW w:w="20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(221,760)</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(104,468)</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(67,830)</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(79,129)</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7"/>
              </w:rPr>
              <w:t>(106,519)</w:t>
            </w:r>
          </w:p>
        </w:tc>
      </w:tr>
      <w:tr>
        <w:trPr>
          <w:trHeight w:val="206"/>
        </w:trPr>
        <w:tc>
          <w:tcPr>
            <w:tcW w:w="4740" w:type="dxa"/>
            <w:vAlign w:val="bottom"/>
            <w:tcBorders>
              <w:top w:val="single" w:sz="8" w:color="C0C0C0"/>
            </w:tcBorders>
          </w:tcPr>
          <w:p>
            <w:pPr>
              <w:spacing w:after="0"/>
              <w:rPr>
                <w:sz w:val="17"/>
                <w:szCs w:val="17"/>
                <w:color w:val="auto"/>
              </w:rPr>
            </w:pPr>
          </w:p>
        </w:tc>
        <w:tc>
          <w:tcPr>
            <w:tcW w:w="194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7"/>
        </w:trPr>
        <w:tc>
          <w:tcPr>
            <w:tcW w:w="4740" w:type="dxa"/>
            <w:vAlign w:val="bottom"/>
            <w:shd w:val="clear" w:color="auto" w:fill="C0C0C0"/>
          </w:tcPr>
          <w:p>
            <w:pPr>
              <w:spacing w:after="0"/>
              <w:rPr>
                <w:sz w:val="20"/>
                <w:szCs w:val="20"/>
                <w:color w:val="auto"/>
              </w:rPr>
            </w:pPr>
            <w:r>
              <w:rPr>
                <w:rFonts w:ascii="Arial" w:cs="Arial" w:eastAsia="Arial" w:hAnsi="Arial"/>
                <w:sz w:val="16"/>
                <w:szCs w:val="16"/>
                <w:color w:val="auto"/>
              </w:rPr>
              <w:t>Net loss per share, basic and diluted</w:t>
            </w:r>
          </w:p>
        </w:tc>
        <w:tc>
          <w:tcPr>
            <w:tcW w:w="20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(2.45)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(1.26)</w:t>
            </w: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(0.85)</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(1.00)</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(1.61)</w:t>
            </w:r>
          </w:p>
        </w:tc>
      </w:tr>
      <w:tr>
        <w:trPr>
          <w:trHeight w:val="26"/>
        </w:trPr>
        <w:tc>
          <w:tcPr>
            <w:tcW w:w="4740" w:type="dxa"/>
            <w:vAlign w:val="bottom"/>
            <w:shd w:val="clear" w:color="auto" w:fill="C0C0C0"/>
          </w:tcPr>
          <w:p>
            <w:pPr>
              <w:spacing w:after="0"/>
              <w:rPr>
                <w:sz w:val="2"/>
                <w:szCs w:val="2"/>
                <w:color w:val="auto"/>
              </w:rPr>
            </w:pPr>
          </w:p>
        </w:tc>
        <w:tc>
          <w:tcPr>
            <w:tcW w:w="19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At December 31,</w:t>
            </w:r>
          </w:p>
        </w:tc>
        <w:tc>
          <w:tcPr>
            <w:tcW w:w="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2011</w:t>
            </w: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2010</w:t>
            </w:r>
          </w:p>
        </w:tc>
        <w:tc>
          <w:tcPr>
            <w:tcW w:w="10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2009</w:t>
            </w: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2008</w:t>
            </w: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2007</w:t>
            </w:r>
          </w:p>
        </w:tc>
        <w:tc>
          <w:tcPr>
            <w:tcW w:w="20" w:type="dxa"/>
            <w:vAlign w:val="bottom"/>
          </w:tcPr>
          <w:p>
            <w:pPr>
              <w:spacing w:after="0"/>
              <w:rPr>
                <w:sz w:val="18"/>
                <w:szCs w:val="18"/>
                <w:color w:val="auto"/>
              </w:rPr>
            </w:pPr>
          </w:p>
        </w:tc>
      </w:tr>
      <w:tr>
        <w:trPr>
          <w:trHeight w:val="181"/>
        </w:trPr>
        <w:tc>
          <w:tcPr>
            <w:tcW w:w="4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Arial" w:cs="Arial" w:eastAsia="Arial" w:hAnsi="Arial"/>
                <w:sz w:val="12"/>
                <w:szCs w:val="12"/>
                <w:b w:val="1"/>
                <w:bCs w:val="1"/>
                <w:color w:val="auto"/>
                <w:w w:val="94"/>
              </w:rPr>
              <w:t>(In thousands)</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
        </w:trPr>
        <w:tc>
          <w:tcPr>
            <w:tcW w:w="45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8"/>
        </w:trPr>
        <w:tc>
          <w:tcPr>
            <w:tcW w:w="452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Balance Sheet Data</w:t>
            </w:r>
          </w:p>
        </w:tc>
        <w:tc>
          <w:tcPr>
            <w:tcW w:w="256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9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7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520" w:type="dxa"/>
            <w:vAlign w:val="bottom"/>
          </w:tcPr>
          <w:p>
            <w:pPr>
              <w:spacing w:after="0"/>
              <w:rPr>
                <w:sz w:val="20"/>
                <w:szCs w:val="20"/>
                <w:color w:val="auto"/>
              </w:rPr>
            </w:pPr>
            <w:r>
              <w:rPr>
                <w:rFonts w:ascii="Arial" w:cs="Arial" w:eastAsia="Arial" w:hAnsi="Arial"/>
                <w:sz w:val="16"/>
                <w:szCs w:val="16"/>
                <w:color w:val="auto"/>
              </w:rPr>
              <w:t>Unrestricted and restricted cash, cash equivalents, and</w:t>
            </w:r>
          </w:p>
        </w:tc>
        <w:tc>
          <w:tcPr>
            <w:tcW w:w="2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520" w:type="dxa"/>
            <w:vAlign w:val="bottom"/>
          </w:tcPr>
          <w:p>
            <w:pPr>
              <w:ind w:left="280"/>
              <w:spacing w:after="0"/>
              <w:rPr>
                <w:sz w:val="20"/>
                <w:szCs w:val="20"/>
                <w:color w:val="auto"/>
              </w:rPr>
            </w:pPr>
            <w:r>
              <w:rPr>
                <w:rFonts w:ascii="Arial" w:cs="Arial" w:eastAsia="Arial" w:hAnsi="Arial"/>
                <w:sz w:val="16"/>
                <w:szCs w:val="16"/>
                <w:color w:val="auto"/>
              </w:rPr>
              <w:t>marketable securities (current and non-current)</w:t>
            </w:r>
          </w:p>
        </w:tc>
        <w:tc>
          <w:tcPr>
            <w:tcW w:w="3420" w:type="dxa"/>
            <w:vAlign w:val="bottom"/>
            <w:gridSpan w:val="2"/>
          </w:tcPr>
          <w:p>
            <w:pPr>
              <w:jc w:val="right"/>
              <w:ind w:right="41"/>
              <w:spacing w:after="0"/>
              <w:rPr>
                <w:sz w:val="20"/>
                <w:szCs w:val="20"/>
                <w:color w:val="auto"/>
              </w:rPr>
            </w:pPr>
            <w:r>
              <w:rPr>
                <w:rFonts w:ascii="Arial" w:cs="Arial" w:eastAsia="Arial" w:hAnsi="Arial"/>
                <w:sz w:val="16"/>
                <w:szCs w:val="16"/>
                <w:color w:val="auto"/>
              </w:rPr>
              <w:t>$  810,550</w:t>
            </w:r>
          </w:p>
        </w:tc>
        <w:tc>
          <w:tcPr>
            <w:tcW w:w="900" w:type="dxa"/>
            <w:vAlign w:val="bottom"/>
          </w:tcPr>
          <w:p>
            <w:pPr>
              <w:jc w:val="right"/>
              <w:spacing w:after="0"/>
              <w:rPr>
                <w:sz w:val="20"/>
                <w:szCs w:val="20"/>
                <w:color w:val="auto"/>
              </w:rPr>
            </w:pPr>
            <w:r>
              <w:rPr>
                <w:rFonts w:ascii="Arial" w:cs="Arial" w:eastAsia="Arial" w:hAnsi="Arial"/>
                <w:sz w:val="16"/>
                <w:szCs w:val="16"/>
                <w:color w:val="auto"/>
              </w:rPr>
              <w:t>$  626,939</w:t>
            </w:r>
          </w:p>
        </w:tc>
        <w:tc>
          <w:tcPr>
            <w:tcW w:w="1040" w:type="dxa"/>
            <w:vAlign w:val="bottom"/>
          </w:tcPr>
          <w:p>
            <w:pPr>
              <w:jc w:val="right"/>
              <w:ind w:right="124"/>
              <w:spacing w:after="0"/>
              <w:rPr>
                <w:sz w:val="20"/>
                <w:szCs w:val="20"/>
                <w:color w:val="auto"/>
              </w:rPr>
            </w:pPr>
            <w:r>
              <w:rPr>
                <w:rFonts w:ascii="Arial" w:cs="Arial" w:eastAsia="Arial" w:hAnsi="Arial"/>
                <w:sz w:val="16"/>
                <w:szCs w:val="16"/>
                <w:color w:val="auto"/>
              </w:rPr>
              <w:t>$ 390,010</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w w:val="92"/>
              </w:rPr>
              <w:t>$ 527,461</w:t>
            </w:r>
          </w:p>
        </w:tc>
        <w:tc>
          <w:tcPr>
            <w:tcW w:w="760" w:type="dxa"/>
            <w:vAlign w:val="bottom"/>
          </w:tcPr>
          <w:p>
            <w:pPr>
              <w:jc w:val="right"/>
              <w:spacing w:after="0"/>
              <w:rPr>
                <w:sz w:val="20"/>
                <w:szCs w:val="20"/>
                <w:color w:val="auto"/>
              </w:rPr>
            </w:pPr>
            <w:r>
              <w:rPr>
                <w:rFonts w:ascii="Arial" w:cs="Arial" w:eastAsia="Arial" w:hAnsi="Arial"/>
                <w:sz w:val="16"/>
                <w:szCs w:val="16"/>
                <w:color w:val="auto"/>
              </w:rPr>
              <w:t>$ 846,279</w:t>
            </w:r>
          </w:p>
        </w:tc>
        <w:tc>
          <w:tcPr>
            <w:tcW w:w="20" w:type="dxa"/>
            <w:vAlign w:val="bottom"/>
          </w:tcPr>
          <w:p>
            <w:pPr>
              <w:spacing w:after="0"/>
              <w:rPr>
                <w:sz w:val="19"/>
                <w:szCs w:val="19"/>
                <w:color w:val="auto"/>
              </w:rPr>
            </w:pPr>
          </w:p>
        </w:tc>
      </w:tr>
      <w:tr>
        <w:trPr>
          <w:trHeight w:val="226"/>
        </w:trPr>
        <w:tc>
          <w:tcPr>
            <w:tcW w:w="4520" w:type="dxa"/>
            <w:vAlign w:val="bottom"/>
            <w:shd w:val="clear" w:color="auto" w:fill="C0C0C0"/>
          </w:tcPr>
          <w:p>
            <w:pPr>
              <w:spacing w:after="0"/>
              <w:rPr>
                <w:sz w:val="20"/>
                <w:szCs w:val="20"/>
                <w:color w:val="auto"/>
              </w:rPr>
            </w:pPr>
            <w:r>
              <w:rPr>
                <w:rFonts w:ascii="Arial" w:cs="Arial" w:eastAsia="Arial" w:hAnsi="Arial"/>
                <w:sz w:val="16"/>
                <w:szCs w:val="16"/>
                <w:color w:val="auto"/>
              </w:rPr>
              <w:t>Total assets</w:t>
            </w:r>
          </w:p>
        </w:tc>
        <w:tc>
          <w:tcPr>
            <w:tcW w:w="3420" w:type="dxa"/>
            <w:vAlign w:val="bottom"/>
            <w:gridSpan w:val="2"/>
            <w:shd w:val="clear" w:color="auto" w:fill="C0C0C0"/>
          </w:tcPr>
          <w:p>
            <w:pPr>
              <w:jc w:val="right"/>
              <w:ind w:right="41"/>
              <w:spacing w:after="0"/>
              <w:rPr>
                <w:sz w:val="20"/>
                <w:szCs w:val="20"/>
                <w:color w:val="auto"/>
              </w:rPr>
            </w:pPr>
            <w:r>
              <w:rPr>
                <w:rFonts w:ascii="Arial" w:cs="Arial" w:eastAsia="Arial" w:hAnsi="Arial"/>
                <w:sz w:val="16"/>
                <w:szCs w:val="16"/>
                <w:color w:val="auto"/>
              </w:rPr>
              <w:t>1,323,583</w:t>
            </w:r>
          </w:p>
        </w:tc>
        <w:tc>
          <w:tcPr>
            <w:tcW w:w="9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1,089,432</w:t>
            </w:r>
          </w:p>
        </w:tc>
        <w:tc>
          <w:tcPr>
            <w:tcW w:w="1040" w:type="dxa"/>
            <w:vAlign w:val="bottom"/>
            <w:shd w:val="clear" w:color="auto" w:fill="C0C0C0"/>
          </w:tcPr>
          <w:p>
            <w:pPr>
              <w:jc w:val="right"/>
              <w:ind w:right="124"/>
              <w:spacing w:after="0"/>
              <w:rPr>
                <w:sz w:val="20"/>
                <w:szCs w:val="20"/>
                <w:color w:val="auto"/>
              </w:rPr>
            </w:pPr>
            <w:r>
              <w:rPr>
                <w:rFonts w:ascii="Arial" w:cs="Arial" w:eastAsia="Arial" w:hAnsi="Arial"/>
                <w:sz w:val="16"/>
                <w:szCs w:val="16"/>
                <w:color w:val="auto"/>
              </w:rPr>
              <w:t>741,202</w:t>
            </w: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724,220</w:t>
            </w: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957,881</w:t>
            </w:r>
          </w:p>
        </w:tc>
        <w:tc>
          <w:tcPr>
            <w:tcW w:w="20" w:type="dxa"/>
            <w:vAlign w:val="bottom"/>
          </w:tcPr>
          <w:p>
            <w:pPr>
              <w:spacing w:after="0"/>
              <w:rPr>
                <w:sz w:val="19"/>
                <w:szCs w:val="19"/>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6"/>
                <w:szCs w:val="16"/>
                <w:color w:val="auto"/>
              </w:rPr>
              <w:t>Notes payable (current and non-current)</w:t>
            </w:r>
          </w:p>
        </w:tc>
        <w:tc>
          <w:tcPr>
            <w:tcW w:w="3420" w:type="dxa"/>
            <w:vAlign w:val="bottom"/>
            <w:gridSpan w:val="2"/>
          </w:tcPr>
          <w:p>
            <w:pPr>
              <w:jc w:val="right"/>
              <w:ind w:right="41"/>
              <w:spacing w:after="0"/>
              <w:rPr>
                <w:sz w:val="20"/>
                <w:szCs w:val="20"/>
                <w:color w:val="auto"/>
              </w:rPr>
            </w:pPr>
            <w:r>
              <w:rPr>
                <w:rFonts w:ascii="Arial" w:cs="Arial" w:eastAsia="Arial" w:hAnsi="Arial"/>
                <w:sz w:val="16"/>
                <w:szCs w:val="16"/>
                <w:color w:val="auto"/>
              </w:rPr>
              <w:t>275,019</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200,000</w:t>
            </w:r>
          </w:p>
        </w:tc>
        <w:tc>
          <w:tcPr>
            <w:tcW w:w="20" w:type="dxa"/>
            <w:vAlign w:val="bottom"/>
          </w:tcPr>
          <w:p>
            <w:pPr>
              <w:spacing w:after="0"/>
              <w:rPr>
                <w:sz w:val="18"/>
                <w:szCs w:val="18"/>
                <w:color w:val="auto"/>
              </w:rPr>
            </w:pPr>
          </w:p>
        </w:tc>
      </w:tr>
      <w:tr>
        <w:trPr>
          <w:trHeight w:val="226"/>
        </w:trPr>
        <w:tc>
          <w:tcPr>
            <w:tcW w:w="4520" w:type="dxa"/>
            <w:vAlign w:val="bottom"/>
            <w:shd w:val="clear" w:color="auto" w:fill="C0C0C0"/>
          </w:tcPr>
          <w:p>
            <w:pPr>
              <w:spacing w:after="0"/>
              <w:rPr>
                <w:sz w:val="20"/>
                <w:szCs w:val="20"/>
                <w:color w:val="auto"/>
              </w:rPr>
            </w:pPr>
            <w:r>
              <w:rPr>
                <w:rFonts w:ascii="Arial" w:cs="Arial" w:eastAsia="Arial" w:hAnsi="Arial"/>
                <w:sz w:val="16"/>
                <w:szCs w:val="16"/>
                <w:color w:val="auto"/>
              </w:rPr>
              <w:t>Facility lease obligations (current and non-current)</w:t>
            </w:r>
          </w:p>
        </w:tc>
        <w:tc>
          <w:tcPr>
            <w:tcW w:w="3420" w:type="dxa"/>
            <w:vAlign w:val="bottom"/>
            <w:gridSpan w:val="2"/>
            <w:shd w:val="clear" w:color="auto" w:fill="C0C0C0"/>
          </w:tcPr>
          <w:p>
            <w:pPr>
              <w:jc w:val="right"/>
              <w:ind w:right="41"/>
              <w:spacing w:after="0"/>
              <w:rPr>
                <w:sz w:val="20"/>
                <w:szCs w:val="20"/>
                <w:color w:val="auto"/>
              </w:rPr>
            </w:pPr>
            <w:r>
              <w:rPr>
                <w:rFonts w:ascii="Arial" w:cs="Arial" w:eastAsia="Arial" w:hAnsi="Arial"/>
                <w:sz w:val="16"/>
                <w:szCs w:val="16"/>
                <w:color w:val="auto"/>
              </w:rPr>
              <w:t>160,514</w:t>
            </w:r>
          </w:p>
        </w:tc>
        <w:tc>
          <w:tcPr>
            <w:tcW w:w="9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160,030</w:t>
            </w:r>
          </w:p>
        </w:tc>
        <w:tc>
          <w:tcPr>
            <w:tcW w:w="1040" w:type="dxa"/>
            <w:vAlign w:val="bottom"/>
            <w:shd w:val="clear" w:color="auto" w:fill="C0C0C0"/>
          </w:tcPr>
          <w:p>
            <w:pPr>
              <w:jc w:val="right"/>
              <w:ind w:right="124"/>
              <w:spacing w:after="0"/>
              <w:rPr>
                <w:sz w:val="20"/>
                <w:szCs w:val="20"/>
                <w:color w:val="auto"/>
              </w:rPr>
            </w:pPr>
            <w:r>
              <w:rPr>
                <w:rFonts w:ascii="Arial" w:cs="Arial" w:eastAsia="Arial" w:hAnsi="Arial"/>
                <w:sz w:val="16"/>
                <w:szCs w:val="16"/>
                <w:color w:val="auto"/>
              </w:rPr>
              <w:t>109,022</w:t>
            </w: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54,182</w:t>
            </w: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21,623</w:t>
            </w:r>
          </w:p>
        </w:tc>
        <w:tc>
          <w:tcPr>
            <w:tcW w:w="20" w:type="dxa"/>
            <w:vAlign w:val="bottom"/>
          </w:tcPr>
          <w:p>
            <w:pPr>
              <w:spacing w:after="0"/>
              <w:rPr>
                <w:sz w:val="19"/>
                <w:szCs w:val="19"/>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6"/>
                <w:szCs w:val="16"/>
                <w:color w:val="auto"/>
              </w:rPr>
              <w:t>Capital lease obligations (current and non-current)</w:t>
            </w:r>
          </w:p>
        </w:tc>
        <w:tc>
          <w:tcPr>
            <w:tcW w:w="3420" w:type="dxa"/>
            <w:vAlign w:val="bottom"/>
            <w:gridSpan w:val="2"/>
          </w:tcPr>
          <w:p>
            <w:pPr>
              <w:jc w:val="right"/>
              <w:ind w:right="41"/>
              <w:spacing w:after="0"/>
              <w:rPr>
                <w:sz w:val="20"/>
                <w:szCs w:val="20"/>
                <w:color w:val="auto"/>
              </w:rPr>
            </w:pPr>
            <w:r>
              <w:rPr>
                <w:rFonts w:ascii="Arial" w:cs="Arial" w:eastAsia="Arial" w:hAnsi="Arial"/>
                <w:sz w:val="16"/>
                <w:szCs w:val="16"/>
                <w:color w:val="auto"/>
              </w:rPr>
              <w:t>2,506</w:t>
            </w:r>
          </w:p>
        </w:tc>
        <w:tc>
          <w:tcPr>
            <w:tcW w:w="900" w:type="dxa"/>
            <w:vAlign w:val="bottom"/>
          </w:tcPr>
          <w:p>
            <w:pPr>
              <w:jc w:val="right"/>
              <w:spacing w:after="0"/>
              <w:rPr>
                <w:sz w:val="20"/>
                <w:szCs w:val="20"/>
                <w:color w:val="auto"/>
              </w:rPr>
            </w:pPr>
            <w:r>
              <w:rPr>
                <w:rFonts w:ascii="Arial" w:cs="Arial" w:eastAsia="Arial" w:hAnsi="Arial"/>
                <w:sz w:val="16"/>
                <w:szCs w:val="16"/>
                <w:color w:val="auto"/>
              </w:rPr>
              <w:t>2,829</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520" w:type="dxa"/>
            <w:vAlign w:val="bottom"/>
            <w:shd w:val="clear" w:color="auto" w:fill="C0C0C0"/>
          </w:tcPr>
          <w:p>
            <w:pPr>
              <w:spacing w:after="0"/>
              <w:rPr>
                <w:sz w:val="20"/>
                <w:szCs w:val="20"/>
                <w:color w:val="auto"/>
              </w:rPr>
            </w:pPr>
            <w:r>
              <w:rPr>
                <w:rFonts w:ascii="Arial" w:cs="Arial" w:eastAsia="Arial" w:hAnsi="Arial"/>
                <w:sz w:val="16"/>
                <w:szCs w:val="16"/>
                <w:color w:val="auto"/>
              </w:rPr>
              <w:t>Stockholders' equity</w:t>
            </w:r>
          </w:p>
        </w:tc>
        <w:tc>
          <w:tcPr>
            <w:tcW w:w="3420" w:type="dxa"/>
            <w:vAlign w:val="bottom"/>
            <w:gridSpan w:val="2"/>
            <w:shd w:val="clear" w:color="auto" w:fill="C0C0C0"/>
          </w:tcPr>
          <w:p>
            <w:pPr>
              <w:jc w:val="right"/>
              <w:ind w:right="41"/>
              <w:spacing w:after="0"/>
              <w:rPr>
                <w:sz w:val="20"/>
                <w:szCs w:val="20"/>
                <w:color w:val="auto"/>
              </w:rPr>
            </w:pPr>
            <w:r>
              <w:rPr>
                <w:rFonts w:ascii="Arial" w:cs="Arial" w:eastAsia="Arial" w:hAnsi="Arial"/>
                <w:sz w:val="16"/>
                <w:szCs w:val="16"/>
                <w:color w:val="auto"/>
              </w:rPr>
              <w:t>485,732</w:t>
            </w:r>
          </w:p>
        </w:tc>
        <w:tc>
          <w:tcPr>
            <w:tcW w:w="9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527,815</w:t>
            </w:r>
          </w:p>
        </w:tc>
        <w:tc>
          <w:tcPr>
            <w:tcW w:w="1040" w:type="dxa"/>
            <w:vAlign w:val="bottom"/>
            <w:shd w:val="clear" w:color="auto" w:fill="C0C0C0"/>
          </w:tcPr>
          <w:p>
            <w:pPr>
              <w:jc w:val="right"/>
              <w:ind w:right="124"/>
              <w:spacing w:after="0"/>
              <w:rPr>
                <w:sz w:val="20"/>
                <w:szCs w:val="20"/>
                <w:color w:val="auto"/>
              </w:rPr>
            </w:pPr>
            <w:r>
              <w:rPr>
                <w:rFonts w:ascii="Arial" w:cs="Arial" w:eastAsia="Arial" w:hAnsi="Arial"/>
                <w:sz w:val="16"/>
                <w:szCs w:val="16"/>
                <w:color w:val="auto"/>
              </w:rPr>
              <w:t>396,762</w:t>
            </w: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421,514</w:t>
            </w:r>
          </w:p>
        </w:tc>
        <w:tc>
          <w:tcPr>
            <w:tcW w:w="7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459,348</w:t>
            </w:r>
          </w:p>
        </w:tc>
        <w:tc>
          <w:tcPr>
            <w:tcW w:w="20" w:type="dxa"/>
            <w:vAlign w:val="bottom"/>
          </w:tcPr>
          <w:p>
            <w:pPr>
              <w:spacing w:after="0"/>
              <w:rPr>
                <w:sz w:val="19"/>
                <w:szCs w:val="19"/>
                <w:color w:val="auto"/>
              </w:rPr>
            </w:pPr>
          </w:p>
        </w:tc>
      </w:tr>
      <w:tr>
        <w:trPr>
          <w:trHeight w:val="604"/>
        </w:trPr>
        <w:tc>
          <w:tcPr>
            <w:tcW w:w="4520" w:type="dxa"/>
            <w:vAlign w:val="bottom"/>
          </w:tcPr>
          <w:p>
            <w:pPr>
              <w:spacing w:after="0"/>
              <w:rPr>
                <w:sz w:val="24"/>
                <w:szCs w:val="24"/>
                <w:color w:val="auto"/>
              </w:rPr>
            </w:pPr>
          </w:p>
        </w:tc>
        <w:tc>
          <w:tcPr>
            <w:tcW w:w="2560" w:type="dxa"/>
            <w:vAlign w:val="bottom"/>
          </w:tcPr>
          <w:p>
            <w:pPr>
              <w:jc w:val="right"/>
              <w:ind w:right="1201"/>
              <w:spacing w:after="0"/>
              <w:rPr>
                <w:sz w:val="20"/>
                <w:szCs w:val="20"/>
                <w:color w:val="auto"/>
              </w:rPr>
            </w:pPr>
            <w:r>
              <w:rPr>
                <w:rFonts w:ascii="Arial" w:cs="Arial" w:eastAsia="Arial" w:hAnsi="Arial"/>
                <w:sz w:val="16"/>
                <w:szCs w:val="16"/>
                <w:color w:val="auto"/>
              </w:rPr>
              <w:t>45</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520" w:type="dxa"/>
            <w:vAlign w:val="bottom"/>
            <w:tcBorders>
              <w:bottom w:val="single" w:sz="8" w:color="808080"/>
            </w:tcBorders>
          </w:tcPr>
          <w:p>
            <w:pPr>
              <w:spacing w:after="0"/>
              <w:rPr>
                <w:sz w:val="17"/>
                <w:szCs w:val="17"/>
                <w:color w:val="auto"/>
              </w:rPr>
            </w:pPr>
          </w:p>
        </w:tc>
        <w:tc>
          <w:tcPr>
            <w:tcW w:w="256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3" w:lineRule="exact"/>
        <w:rPr>
          <w:sz w:val="20"/>
          <w:szCs w:val="20"/>
          <w:color w:val="auto"/>
        </w:rPr>
      </w:pPr>
    </w:p>
    <w:p>
      <w:pPr>
        <w:jc w:val="both"/>
        <w:ind w:firstLine="340"/>
        <w:spacing w:after="0" w:line="284" w:lineRule="auto"/>
        <w:rPr>
          <w:sz w:val="20"/>
          <w:szCs w:val="20"/>
          <w:color w:val="auto"/>
        </w:rPr>
      </w:pPr>
      <w:r>
        <w:rPr>
          <w:rFonts w:ascii="Arial" w:cs="Arial" w:eastAsia="Arial" w:hAnsi="Arial"/>
          <w:sz w:val="14"/>
          <w:szCs w:val="14"/>
          <w:color w:val="auto"/>
        </w:rPr>
        <w:t>We are a fully integrated biopharmaceutical company that discovers, invents, develops, manufactures, and commercializes medicines for the treatment of serious medical conditions. We currently have two marketed products in the United States,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(aflibercept) Injection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(rilonacept), and a late-stage product candidate,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(aflibercept), which has been submitted for marketing approval in the United States and the European Union by our collaborator Sanofi, as described below.</w:t>
      </w:r>
    </w:p>
    <w:p>
      <w:pPr>
        <w:spacing w:after="0" w:line="36" w:lineRule="exact"/>
        <w:rPr>
          <w:sz w:val="20"/>
          <w:szCs w:val="20"/>
          <w:color w:val="auto"/>
        </w:rPr>
      </w:pPr>
    </w:p>
    <w:p>
      <w:pPr>
        <w:jc w:val="both"/>
        <w:ind w:right="20" w:firstLine="267"/>
        <w:spacing w:after="0" w:line="221" w:lineRule="auto"/>
        <w:rPr>
          <w:sz w:val="20"/>
          <w:szCs w:val="20"/>
          <w:color w:val="auto"/>
        </w:rPr>
      </w:pPr>
      <w:r>
        <w:rPr>
          <w:rFonts w:ascii="Arial" w:cs="Arial" w:eastAsia="Arial" w:hAnsi="Arial"/>
          <w:sz w:val="16"/>
          <w:szCs w:val="16"/>
          <w:color w:val="auto"/>
        </w:rPr>
        <w:t>In November 2011, we received U.S. marketing approval from the FDA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patients with wet AMD. Wet AMD is the leading cause of acquired blindness for people over the age of 65 in the United States and Europe. In the United States, the wet AMD market is approximately $1.5 billion. Our net product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fourth quarter of 2011 were $24.8 million. Our operating results over the next several years will be largely dependent upon our ability to successfully commercialize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 market penetration it achieves.</w:t>
      </w:r>
    </w:p>
    <w:p>
      <w:pPr>
        <w:spacing w:after="0" w:line="85" w:lineRule="exact"/>
        <w:rPr>
          <w:sz w:val="20"/>
          <w:szCs w:val="20"/>
          <w:color w:val="auto"/>
        </w:rPr>
      </w:pPr>
    </w:p>
    <w:p>
      <w:pPr>
        <w:jc w:val="both"/>
        <w:ind w:right="20" w:firstLine="267"/>
        <w:spacing w:after="0" w:line="213" w:lineRule="auto"/>
        <w:rPr>
          <w:sz w:val="20"/>
          <w:szCs w:val="20"/>
          <w:color w:val="auto"/>
        </w:rPr>
      </w:pPr>
      <w:r>
        <w:rPr>
          <w:rFonts w:ascii="Arial" w:cs="Arial" w:eastAsia="Arial" w:hAnsi="Arial"/>
          <w:sz w:val="14"/>
          <w:szCs w:val="14"/>
          <w:color w:val="auto"/>
        </w:rPr>
        <w:t>In 2011, Bayer HealthCare submitted regulatory applications for marketing approval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wet AMD in the European Union, Japan, and other countries. In addition, we submitted a supplemental BLA to the FDA for marketing approval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CRVO in the United States and, under PDUFA, were granted a target date for an FDA</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decision on our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supplemental BLA of September 23, 2012. Bayer HealthCare also plans to submit regulatory applications in this indication in Europe in late 2012 or early 2013.</w:t>
      </w:r>
    </w:p>
    <w:p>
      <w:pPr>
        <w:spacing w:after="0" w:line="192" w:lineRule="exact"/>
        <w:rPr>
          <w:sz w:val="20"/>
          <w:szCs w:val="20"/>
          <w:color w:val="auto"/>
        </w:rPr>
      </w:pPr>
    </w:p>
    <w:p>
      <w:pPr>
        <w:jc w:val="both"/>
        <w:ind w:right="20" w:firstLine="255"/>
        <w:spacing w:after="0" w:line="210" w:lineRule="auto"/>
        <w:rPr>
          <w:sz w:val="20"/>
          <w:szCs w:val="20"/>
          <w:color w:val="auto"/>
        </w:rPr>
      </w:pPr>
      <w:r>
        <w:rPr>
          <w:rFonts w:ascii="Arial" w:cs="Arial" w:eastAsia="Arial" w:hAnsi="Arial"/>
          <w:sz w:val="15"/>
          <w:szCs w:val="15"/>
          <w:color w:val="auto"/>
        </w:rPr>
        <w:t>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(rilonacept) Injection for Subcutaneous Use is available by prescription in the United States for the treatment of CAPS, including FCAS and MWS in adults and children 12 and older. CAPS are a group of rare, inherited, auto-inflammatory conditions that afflict a small patient population. Net product sales of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2011 were $19.9 million, and we do not expect future net product sales of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CAPS to be significant. In November 2011, the FDA accepted for review a supplemental BLA for marketing approval in the United States of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prevention of gout flares in patients initiating uric acid-lowering therapy. Under PDUFA, we were granted a target date for an FDA decision on our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supplemental BLA of July 30, 2012.</w:t>
      </w:r>
    </w:p>
    <w:p>
      <w:pPr>
        <w:spacing w:after="0" w:line="90" w:lineRule="exact"/>
        <w:rPr>
          <w:sz w:val="20"/>
          <w:szCs w:val="20"/>
          <w:color w:val="auto"/>
        </w:rPr>
      </w:pPr>
    </w:p>
    <w:p>
      <w:pPr>
        <w:jc w:val="both"/>
        <w:ind w:right="20" w:firstLine="303"/>
        <w:spacing w:after="0" w:line="212" w:lineRule="auto"/>
        <w:rPr>
          <w:sz w:val="20"/>
          <w:szCs w:val="20"/>
          <w:color w:val="auto"/>
        </w:rPr>
      </w:pPr>
      <w:r>
        <w:rPr>
          <w:rFonts w:ascii="Arial" w:cs="Arial" w:eastAsia="Arial" w:hAnsi="Arial"/>
          <w:sz w:val="16"/>
          <w:szCs w:val="16"/>
          <w:color w:val="auto"/>
        </w:rPr>
        <w:t>Sanofi submitted a regulatory application for marketing approval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previously-treated mCRC patients to the European Medicines Agency (EMA) in the fourth quarter of 2011, and the FDA in early February 2012.</w:t>
      </w:r>
    </w:p>
    <w:p>
      <w:pPr>
        <w:spacing w:after="0" w:line="192" w:lineRule="exact"/>
        <w:rPr>
          <w:sz w:val="20"/>
          <w:szCs w:val="20"/>
          <w:color w:val="auto"/>
        </w:rPr>
      </w:pPr>
    </w:p>
    <w:p>
      <w:pPr>
        <w:jc w:val="both"/>
        <w:ind w:firstLine="255"/>
        <w:spacing w:after="0" w:line="223" w:lineRule="auto"/>
        <w:rPr>
          <w:sz w:val="20"/>
          <w:szCs w:val="20"/>
          <w:color w:val="auto"/>
        </w:rPr>
      </w:pPr>
      <w:r>
        <w:rPr>
          <w:rFonts w:ascii="Arial" w:cs="Arial" w:eastAsia="Arial" w:hAnsi="Arial"/>
          <w:sz w:val="15"/>
          <w:szCs w:val="15"/>
          <w:color w:val="auto"/>
        </w:rPr>
        <w:t>We expect to incur substantial costs to prepare for potential commercialization of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gout flares in patients initiating uric acid-lowering therapy and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previously-treated mCRC patients and, if one or both receive regulatory approval, to fund the launch of the product(s). Since inception, we have not generated any significant sales or profits from the commercialization of EYLEA</w:t>
      </w:r>
      <w:r>
        <w:rPr>
          <w:rFonts w:ascii="Arial" w:cs="Arial" w:eastAsia="Arial" w:hAnsi="Arial"/>
          <w:sz w:val="25"/>
          <w:szCs w:val="25"/>
          <w:color w:val="auto"/>
          <w:vertAlign w:val="superscript"/>
        </w:rPr>
        <w:t>®</w:t>
      </w:r>
      <w:r>
        <w:rPr>
          <w:rFonts w:ascii="Arial" w:cs="Arial" w:eastAsia="Arial" w:hAnsi="Arial"/>
          <w:sz w:val="15"/>
          <w:szCs w:val="15"/>
          <w:color w:val="auto"/>
        </w:rPr>
        <w:t>, ARCALYST</w:t>
      </w:r>
      <w:r>
        <w:rPr>
          <w:rFonts w:ascii="Arial" w:cs="Arial" w:eastAsia="Arial" w:hAnsi="Arial"/>
          <w:sz w:val="25"/>
          <w:szCs w:val="25"/>
          <w:color w:val="auto"/>
          <w:vertAlign w:val="superscript"/>
        </w:rPr>
        <w:t>®</w:t>
      </w:r>
      <w:r>
        <w:rPr>
          <w:rFonts w:ascii="Arial" w:cs="Arial" w:eastAsia="Arial" w:hAnsi="Arial"/>
          <w:sz w:val="15"/>
          <w:szCs w:val="15"/>
          <w:color w:val="auto"/>
        </w:rPr>
        <w:t>, or any of our other product candidates.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13 product candidates in clinical development, all of which were discovered in our research laboratories. Our Trap-based, late-stage programs are:</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which is being developed for the treatment of additional serious eye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-92075</wp:posOffset>
            </wp:positionV>
            <wp:extent cx="56515" cy="56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line="185" w:lineRule="auto"/>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r>
        <w:rPr>
          <w:rFonts w:ascii="Arial" w:cs="Arial" w:eastAsia="Arial" w:hAnsi="Arial"/>
          <w:sz w:val="16"/>
          <w:szCs w:val="16"/>
          <w:color w:val="auto"/>
        </w:rPr>
        <w:t>, which is being developed in oncology in collaboration with Sanofi;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-91440</wp:posOffset>
            </wp:positionV>
            <wp:extent cx="56515" cy="56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ARCALYST</w:t>
      </w:r>
      <w:r>
        <w:rPr>
          <w:rFonts w:ascii="Arial" w:cs="Arial" w:eastAsia="Arial" w:hAnsi="Arial"/>
          <w:sz w:val="26"/>
          <w:szCs w:val="26"/>
          <w:color w:val="auto"/>
          <w:vertAlign w:val="superscript"/>
        </w:rPr>
        <w:t>®</w:t>
      </w:r>
      <w:r>
        <w:rPr>
          <w:rFonts w:ascii="Arial" w:cs="Arial" w:eastAsia="Arial" w:hAnsi="Arial"/>
          <w:sz w:val="16"/>
          <w:szCs w:val="16"/>
          <w:color w:val="auto"/>
        </w:rPr>
        <w:t>, which is being developed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-135255</wp:posOffset>
            </wp:positionV>
            <wp:extent cx="56515" cy="56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46" w:name="page47"/>
    <w:bookmarkEnd w:id="46"/>
    <w:p>
      <w:pPr>
        <w:ind w:left="240"/>
        <w:spacing w:after="0"/>
        <w:rPr>
          <w:sz w:val="20"/>
          <w:szCs w:val="20"/>
          <w:color w:val="auto"/>
        </w:rPr>
      </w:pPr>
      <w:r>
        <w:rPr>
          <w:rFonts w:ascii="Arial" w:cs="Arial" w:eastAsia="Arial" w:hAnsi="Arial"/>
          <w:sz w:val="16"/>
          <w:szCs w:val="16"/>
          <w:color w:val="auto"/>
        </w:rPr>
        <w:t>Our antibody-based clinical programs include the following fully human monoclonal antibodies: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Sarilumab (REGN88), an antibody to the interleukin-6 receptor (IL-6R), which is being developed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-76835</wp:posOffset>
            </wp:positionV>
            <wp:extent cx="56515" cy="56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REGN727, an antibody to Proprotein Convertase Substilisin/Kexin type 9 (PCSK9), which is being developed for low-density lipoprotein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-73660</wp:posOffset>
            </wp:positionV>
            <wp:extent cx="56515" cy="56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REGN668, an antibody to the interleukin-4 receptor (IL-4R), which is being developed in atopic dermatitis and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REGN421, an antibody to Delta-like ligand-4 (Dll4), a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REGN910, an antibody to Angiopoietin-2 (ANG2), another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REGN475, an antibody to Nerve Growth Factor (NGF), which is being developed for the treatment of pain (currently on clinical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REGN728,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REGN1033,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2840"/>
        <w:spacing w:after="0" w:line="266" w:lineRule="auto"/>
        <w:rPr>
          <w:sz w:val="20"/>
          <w:szCs w:val="20"/>
          <w:color w:val="auto"/>
        </w:rPr>
      </w:pPr>
      <w:r>
        <w:rPr>
          <w:rFonts w:ascii="Arial" w:cs="Arial" w:eastAsia="Arial" w:hAnsi="Arial"/>
          <w:sz w:val="16"/>
          <w:szCs w:val="16"/>
          <w:color w:val="auto"/>
        </w:rPr>
        <w:t>REGN846, an antibody in clinical development against an undisclosed target, which is being developed in atopic dermatitis; and REGN1154,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-222885</wp:posOffset>
            </wp:positionV>
            <wp:extent cx="56515" cy="56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-99695</wp:posOffset>
            </wp:positionV>
            <wp:extent cx="56515" cy="56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With the exception of REGN475, REGN846, and REGN1154, which we are developing independently, all of these antibodies are being developed in collaboration with Sanofi.</w:t>
      </w:r>
    </w:p>
    <w:p>
      <w:pPr>
        <w:spacing w:after="0" w:line="252" w:lineRule="exact"/>
        <w:rPr>
          <w:sz w:val="20"/>
          <w:szCs w:val="20"/>
          <w:color w:val="auto"/>
        </w:rPr>
      </w:pPr>
    </w:p>
    <w:p>
      <w:pPr>
        <w:jc w:val="both"/>
        <w:ind w:right="20" w:firstLine="243"/>
        <w:spacing w:after="0" w:line="283" w:lineRule="auto"/>
        <w:rPr>
          <w:sz w:val="20"/>
          <w:szCs w:val="20"/>
          <w:color w:val="auto"/>
        </w:rPr>
      </w:pPr>
      <w:r>
        <w:rPr>
          <w:rFonts w:ascii="Arial" w:cs="Arial" w:eastAsia="Arial" w:hAnsi="Arial"/>
          <w:sz w:val="15"/>
          <w:szCs w:val="15"/>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8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Historically, we have generally incurred net losses and negative cash flows from operations since our inception in 1988. Our potential to generate profits and positive cash flow from operations over the next several years depends significantly on our success in commercializing EYLEA</w:t>
      </w:r>
      <w:r>
        <w:rPr>
          <w:rFonts w:ascii="Arial" w:cs="Arial" w:eastAsia="Arial" w:hAnsi="Arial"/>
          <w:sz w:val="23"/>
          <w:szCs w:val="23"/>
          <w:color w:val="auto"/>
          <w:vertAlign w:val="superscript"/>
        </w:rPr>
        <w:t>®</w:t>
      </w:r>
      <w:r>
        <w:rPr>
          <w:rFonts w:ascii="Arial" w:cs="Arial" w:eastAsia="Arial" w:hAnsi="Arial"/>
          <w:sz w:val="14"/>
          <w:szCs w:val="14"/>
          <w:color w:val="auto"/>
        </w:rPr>
        <w:t>; otherwise, we expect to continue to incur operating losses.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may expand and require additional resources. Our operating results may fluctuate from quarter to quarter and will depend on, among other factors, the net sales of our marketed products, as well as the scope and progress of our research and</w:t>
      </w:r>
    </w:p>
    <w:p>
      <w:pPr>
        <w:spacing w:after="0" w:line="3"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development efforts, the timing of certain expenses, and the amount of reimbursement that we receive from collaborators. We cannot predict whether or when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new indications for our marketed products will receive regulatory approval or, if any such approval is received, whether we will be able to successfully commercialize such product(s) and whether or when they may become profitable.</w:t>
      </w:r>
    </w:p>
    <w:p>
      <w:pPr>
        <w:spacing w:after="0" w:line="214" w:lineRule="exact"/>
        <w:rPr>
          <w:sz w:val="20"/>
          <w:szCs w:val="20"/>
          <w:color w:val="auto"/>
        </w:rPr>
      </w:pPr>
    </w:p>
    <w:p>
      <w:pPr>
        <w:jc w:val="both"/>
        <w:ind w:right="20" w:firstLine="291"/>
        <w:spacing w:after="0" w:line="258" w:lineRule="auto"/>
        <w:rPr>
          <w:sz w:val="20"/>
          <w:szCs w:val="20"/>
          <w:color w:val="auto"/>
        </w:rPr>
      </w:pPr>
      <w:r>
        <w:rPr>
          <w:rFonts w:ascii="Arial" w:cs="Arial" w:eastAsia="Arial" w:hAnsi="Arial"/>
          <w:sz w:val="14"/>
          <w:szCs w:val="14"/>
          <w:color w:val="auto"/>
        </w:rPr>
        <w:t>A primary driver of our expenses is our number of full-time employees. Our annual average headcount in 2011 was 1,568 compared with 1,249 in 2010 and 980 in 2009. In 2011, our average headcount increased primarily to support our expanded research and development activities in connection with our antibody collaboration with Sanofi and in connection with commercializing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In 2012, we expect our average headcount to increase to approximately 1,800-1,850, primarily to support</w:t>
      </w:r>
    </w:p>
    <w:p>
      <w:pPr>
        <w:spacing w:after="0" w:line="2"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antibody manufacturing at our Rensselaer, New York manufacturing facilities, and activities in connection with preparing for the potential commercialization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prevention of gout flares in patients initiating uric acid-lowering treatment.</w:t>
      </w:r>
    </w:p>
    <w:p>
      <w:pPr>
        <w:spacing w:after="0" w:line="214" w:lineRule="exact"/>
        <w:rPr>
          <w:sz w:val="20"/>
          <w:szCs w:val="20"/>
          <w:color w:val="auto"/>
        </w:rPr>
      </w:pPr>
    </w:p>
    <w:p>
      <w:pPr>
        <w:ind w:right="20" w:firstLine="291"/>
        <w:spacing w:after="0" w:line="274" w:lineRule="auto"/>
        <w:rPr>
          <w:sz w:val="20"/>
          <w:szCs w:val="20"/>
          <w:color w:val="auto"/>
        </w:rPr>
      </w:pPr>
      <w:r>
        <w:rPr>
          <w:rFonts w:ascii="Arial" w:cs="Arial" w:eastAsia="Arial" w:hAnsi="Arial"/>
          <w:sz w:val="16"/>
          <w:szCs w:val="16"/>
          <w:color w:val="auto"/>
        </w:rPr>
        <w:t>The planning, execution, and results of our clinical programs are significant factors that can affect our operating and financial results. In our clinical programs, key events in 2011 and 2012 to date were, and plans for the remainder of 2012 are,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u w:val="single" w:color="auto"/>
          <w:color w:val="auto"/>
        </w:rPr>
        <w:t>Trap-based Clinical Programs:</w:t>
      </w:r>
    </w:p>
    <w:p>
      <w:pPr>
        <w:spacing w:after="0" w:line="213" w:lineRule="exact"/>
        <w:rPr>
          <w:sz w:val="20"/>
          <w:szCs w:val="20"/>
          <w:color w:val="auto"/>
        </w:rPr>
      </w:pPr>
    </w:p>
    <w:p>
      <w:pPr>
        <w:jc w:val="right"/>
        <w:ind w:right="1660"/>
        <w:spacing w:after="0"/>
        <w:tabs>
          <w:tab w:leader="none" w:pos="720" w:val="left"/>
        </w:tabs>
        <w:rPr>
          <w:sz w:val="20"/>
          <w:szCs w:val="20"/>
          <w:color w:val="auto"/>
        </w:rPr>
      </w:pPr>
      <w:r>
        <w:rPr>
          <w:rFonts w:ascii="Arial" w:cs="Arial" w:eastAsia="Arial" w:hAnsi="Arial"/>
          <w:sz w:val="16"/>
          <w:szCs w:val="16"/>
          <w:b w:val="1"/>
          <w:bCs w:val="1"/>
          <w:color w:val="auto"/>
        </w:rPr>
        <w:t>2011 and 2012 Events to Date</w:t>
      </w:r>
      <w:r>
        <w:rPr>
          <w:sz w:val="20"/>
          <w:szCs w:val="20"/>
          <w:color w:val="auto"/>
        </w:rPr>
        <w:tab/>
      </w:r>
      <w:r>
        <w:rPr>
          <w:rFonts w:ascii="Arial" w:cs="Arial" w:eastAsia="Arial" w:hAnsi="Arial"/>
          <w:sz w:val="14"/>
          <w:szCs w:val="14"/>
          <w:b w:val="1"/>
          <w:bCs w:val="1"/>
          <w:color w:val="auto"/>
        </w:rPr>
        <w:t>2012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726059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p>
      <w:pPr>
        <w:ind w:left="280"/>
        <w:spacing w:after="0" w:line="227" w:lineRule="auto"/>
        <w:rPr>
          <w:sz w:val="20"/>
          <w:szCs w:val="20"/>
          <w:color w:val="auto"/>
        </w:rPr>
      </w:pPr>
      <w:r>
        <w:rPr>
          <w:rFonts w:ascii="Arial" w:cs="Arial" w:eastAsia="Arial" w:hAnsi="Arial"/>
          <w:sz w:val="16"/>
          <w:szCs w:val="16"/>
          <w:b w:val="1"/>
          <w:bCs w:val="1"/>
          <w:i w:val="1"/>
          <w:iCs w:val="1"/>
          <w:color w:val="auto"/>
        </w:rPr>
        <w:t>EYLEA</w:t>
      </w:r>
      <w:r>
        <w:rPr>
          <w:rFonts w:ascii="Arial" w:cs="Arial" w:eastAsia="Arial" w:hAnsi="Arial"/>
          <w:sz w:val="26"/>
          <w:szCs w:val="26"/>
          <w:color w:val="auto"/>
          <w:vertAlign w:val="superscript"/>
        </w:rPr>
        <w:t>®</w:t>
      </w:r>
    </w:p>
    <w:p>
      <w:pPr>
        <w:ind w:left="480"/>
        <w:spacing w:after="0"/>
        <w:rPr>
          <w:sz w:val="20"/>
          <w:szCs w:val="20"/>
          <w:color w:val="auto"/>
        </w:rPr>
      </w:pPr>
      <w:r>
        <w:rPr>
          <w:rFonts w:ascii="Arial" w:cs="Arial" w:eastAsia="Arial" w:hAnsi="Arial"/>
          <w:sz w:val="16"/>
          <w:szCs w:val="16"/>
          <w:color w:val="auto"/>
        </w:rPr>
        <w:t>Submitted a BLA to the U.S. FDA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-85725</wp:posOffset>
            </wp:positionV>
            <wp:extent cx="56515" cy="56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FDA accepted BLA for wet AMD and granted our request for Priority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line="225" w:lineRule="auto"/>
        <w:rPr>
          <w:sz w:val="20"/>
          <w:szCs w:val="20"/>
          <w:color w:val="auto"/>
        </w:rPr>
      </w:pPr>
      <w:r>
        <w:rPr>
          <w:rFonts w:ascii="Arial" w:cs="Arial" w:eastAsia="Arial" w:hAnsi="Arial"/>
          <w:sz w:val="15"/>
          <w:szCs w:val="15"/>
          <w:color w:val="auto"/>
        </w:rPr>
        <w:t>FDA Advisory Committee unanimously recommended FDA approval of BLA for the treatment of wet AMD FDA approved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in the U.S. and product was launched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-238125</wp:posOffset>
            </wp:positionV>
            <wp:extent cx="56515" cy="56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-91440</wp:posOffset>
            </wp:positionV>
            <wp:extent cx="56515" cy="56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120"/>
        <w:spacing w:after="0" w:line="207" w:lineRule="auto"/>
        <w:rPr>
          <w:sz w:val="20"/>
          <w:szCs w:val="20"/>
          <w:color w:val="auto"/>
        </w:rPr>
      </w:pPr>
      <w:r>
        <w:rPr>
          <w:rFonts w:ascii="Arial" w:cs="Arial" w:eastAsia="Arial" w:hAnsi="Arial"/>
          <w:sz w:val="16"/>
          <w:szCs w:val="16"/>
          <w:color w:val="auto"/>
        </w:rPr>
        <w:t>Bayer HealthCare submitted regulatory applications for marketing approval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in the European Union, Japan,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-210185</wp:posOffset>
            </wp:positionV>
            <wp:extent cx="56515" cy="56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1380"/>
        <w:spacing w:after="0" w:line="270" w:lineRule="auto"/>
        <w:rPr>
          <w:sz w:val="20"/>
          <w:szCs w:val="20"/>
          <w:color w:val="auto"/>
        </w:rPr>
      </w:pPr>
      <w:r>
        <w:rPr>
          <w:rFonts w:ascii="Arial" w:cs="Arial" w:eastAsia="Arial" w:hAnsi="Arial"/>
          <w:sz w:val="15"/>
          <w:szCs w:val="15"/>
          <w:color w:val="auto"/>
        </w:rPr>
        <w:t>Reported positive two-year data from Phase 3 VIEW 1 and VIEW 2 trials in wet AMD Reported positive results in the Phase 3 COPERNICUS and GALILEO trials in CRVO Submitted a supplemental BLA to the FDA for the treatment of CRVO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-334010</wp:posOffset>
            </wp:positionV>
            <wp:extent cx="56515" cy="56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-86995</wp:posOffset>
            </wp:positionV>
            <wp:extent cx="56515" cy="56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Initiated Phase 3 trials in DME in the U.S. (VISTA) and outside the U.S. (VIVID)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right="360"/>
        <w:spacing w:after="0" w:line="266" w:lineRule="auto"/>
        <w:rPr>
          <w:sz w:val="20"/>
          <w:szCs w:val="20"/>
          <w:color w:val="auto"/>
        </w:rPr>
      </w:pPr>
      <w:r>
        <w:rPr>
          <w:rFonts w:ascii="Arial" w:cs="Arial" w:eastAsia="Arial" w:hAnsi="Arial"/>
          <w:sz w:val="16"/>
          <w:szCs w:val="16"/>
          <w:color w:val="auto"/>
        </w:rPr>
        <w:t>Bayer HealthCare initiated a Phase 3 trial in Asia in CNV of the retina as a result of pathologic myopia Bayer HealthCare initiated Phase 3 SIGHT trial in China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-222885</wp:posOffset>
            </wp:positionV>
            <wp:extent cx="56515" cy="56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-99695</wp:posOffset>
            </wp:positionV>
            <wp:extent cx="56515" cy="56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Initiate Phase 3 study in BRVO in the first quarter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-210185</wp:posOffset>
            </wp:positionV>
            <wp:extent cx="56515" cy="56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right="560"/>
        <w:spacing w:after="0" w:line="253" w:lineRule="auto"/>
        <w:rPr>
          <w:sz w:val="20"/>
          <w:szCs w:val="20"/>
          <w:color w:val="auto"/>
        </w:rPr>
      </w:pPr>
      <w:r>
        <w:rPr>
          <w:rFonts w:ascii="Arial" w:cs="Arial" w:eastAsia="Arial" w:hAnsi="Arial"/>
          <w:sz w:val="16"/>
          <w:szCs w:val="16"/>
          <w:color w:val="auto"/>
        </w:rPr>
        <w:t>EMA decision on regulatory application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-210820</wp:posOffset>
            </wp:positionV>
            <wp:extent cx="56515" cy="56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right="180"/>
        <w:spacing w:after="0" w:line="253" w:lineRule="auto"/>
        <w:rPr>
          <w:sz w:val="20"/>
          <w:szCs w:val="20"/>
          <w:color w:val="auto"/>
        </w:rPr>
      </w:pPr>
      <w:r>
        <w:rPr>
          <w:rFonts w:ascii="Arial" w:cs="Arial" w:eastAsia="Arial" w:hAnsi="Arial"/>
          <w:sz w:val="16"/>
          <w:szCs w:val="16"/>
          <w:color w:val="auto"/>
        </w:rPr>
        <w:t>Japan authority decision on regulatory application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-210820</wp:posOffset>
            </wp:positionV>
            <wp:extent cx="56515" cy="56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right="60"/>
        <w:spacing w:after="0" w:line="300" w:lineRule="auto"/>
        <w:rPr>
          <w:sz w:val="20"/>
          <w:szCs w:val="20"/>
          <w:color w:val="auto"/>
        </w:rPr>
      </w:pPr>
      <w:r>
        <w:rPr>
          <w:rFonts w:ascii="Arial" w:cs="Arial" w:eastAsia="Arial" w:hAnsi="Arial"/>
          <w:sz w:val="15"/>
          <w:szCs w:val="15"/>
          <w:color w:val="auto"/>
        </w:rPr>
        <w:t>Target date for FDA decision on supplemental BLA for the treatment of CRVO is September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-238125</wp:posOffset>
            </wp:positionV>
            <wp:extent cx="56515" cy="56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008" w:lineRule="exact"/>
        <w:rPr>
          <w:sz w:val="20"/>
          <w:szCs w:val="20"/>
          <w:color w:val="auto"/>
        </w:rPr>
      </w:pPr>
    </w:p>
    <w:p>
      <w:pPr>
        <w:sectPr>
          <w:pgSz w:w="11900" w:h="16838" w:orient="portrait"/>
          <w:cols w:equalWidth="0" w:num="2">
            <w:col w:w="7360" w:space="520"/>
            <w:col w:w="3560"/>
          </w:cols>
          <w:pgMar w:left="240" w:top="543" w:right="21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560" w:type="dxa"/>
            <w:vAlign w:val="bottom"/>
            <w:tcBorders>
              <w:top w:val="single" w:sz="8" w:color="auto"/>
            </w:tcBorders>
          </w:tcPr>
          <w:p>
            <w:pPr>
              <w:ind w:left="280"/>
              <w:spacing w:after="0" w:line="233" w:lineRule="exact"/>
              <w:rPr>
                <w:sz w:val="20"/>
                <w:szCs w:val="20"/>
                <w:color w:val="auto"/>
              </w:rPr>
            </w:pPr>
            <w:r>
              <w:rPr>
                <w:rFonts w:ascii="Arial" w:cs="Arial" w:eastAsia="Arial" w:hAnsi="Arial"/>
                <w:sz w:val="16"/>
                <w:szCs w:val="16"/>
                <w:b w:val="1"/>
                <w:bCs w:val="1"/>
                <w:i w:val="1"/>
                <w:iCs w:val="1"/>
                <w:color w:val="auto"/>
              </w:rPr>
              <w:t>ZALTRAP</w:t>
            </w:r>
            <w:r>
              <w:rPr>
                <w:rFonts w:ascii="Arial" w:cs="Arial" w:eastAsia="Arial" w:hAnsi="Arial"/>
                <w:sz w:val="26"/>
                <w:szCs w:val="26"/>
                <w:b w:val="1"/>
                <w:bCs w:val="1"/>
                <w:i w:val="1"/>
                <w:iCs w:val="1"/>
                <w:color w:val="auto"/>
                <w:vertAlign w:val="superscript"/>
              </w:rPr>
              <w:t>®</w:t>
            </w:r>
          </w:p>
        </w:tc>
        <w:tc>
          <w:tcPr>
            <w:tcW w:w="3880" w:type="dxa"/>
            <w:vAlign w:val="bottom"/>
            <w:tcBorders>
              <w:top w:val="single" w:sz="8" w:color="auto"/>
            </w:tcBorders>
          </w:tcPr>
          <w:p>
            <w:pPr>
              <w:spacing w:after="0"/>
              <w:rPr>
                <w:sz w:val="20"/>
                <w:szCs w:val="20"/>
                <w:color w:val="auto"/>
              </w:rPr>
            </w:pPr>
          </w:p>
        </w:tc>
      </w:tr>
      <w:tr>
        <w:trPr>
          <w:trHeight w:val="194"/>
        </w:trPr>
        <w:tc>
          <w:tcPr>
            <w:tcW w:w="7560" w:type="dxa"/>
            <w:vAlign w:val="bottom"/>
          </w:tcPr>
          <w:p>
            <w:pPr>
              <w:ind w:left="480"/>
              <w:spacing w:after="0"/>
              <w:rPr>
                <w:sz w:val="20"/>
                <w:szCs w:val="20"/>
                <w:color w:val="auto"/>
              </w:rPr>
            </w:pPr>
            <w:r>
              <w:rPr>
                <w:rFonts w:ascii="Arial" w:cs="Arial" w:eastAsia="Arial" w:hAnsi="Arial"/>
                <w:sz w:val="16"/>
                <w:szCs w:val="16"/>
                <w:color w:val="auto"/>
              </w:rPr>
              <w:t>Presented positive results from the Phase 3 VELOUR trial in previously treated mCRC patients</w:t>
            </w:r>
          </w:p>
        </w:tc>
        <w:tc>
          <w:tcPr>
            <w:tcW w:w="3880" w:type="dxa"/>
            <w:vAlign w:val="bottom"/>
          </w:tcPr>
          <w:p>
            <w:pPr>
              <w:ind w:left="320"/>
              <w:spacing w:after="0"/>
              <w:rPr>
                <w:sz w:val="20"/>
                <w:szCs w:val="20"/>
                <w:color w:val="auto"/>
              </w:rPr>
            </w:pPr>
            <w:r>
              <w:rPr>
                <w:rFonts w:ascii="Arial" w:cs="Arial" w:eastAsia="Arial" w:hAnsi="Arial"/>
                <w:sz w:val="16"/>
                <w:szCs w:val="16"/>
                <w:color w:val="auto"/>
              </w:rPr>
              <w:t>Report final results in the Phase 3 VENICE trial in</w:t>
            </w:r>
          </w:p>
        </w:tc>
      </w:tr>
      <w:tr>
        <w:trPr>
          <w:trHeight w:val="194"/>
        </w:trPr>
        <w:tc>
          <w:tcPr>
            <w:tcW w:w="7560" w:type="dxa"/>
            <w:vAlign w:val="bottom"/>
          </w:tcPr>
          <w:p>
            <w:pPr>
              <w:ind w:left="480"/>
              <w:spacing w:after="0"/>
              <w:rPr>
                <w:sz w:val="20"/>
                <w:szCs w:val="20"/>
                <w:color w:val="auto"/>
              </w:rPr>
            </w:pPr>
            <w:r>
              <w:rPr>
                <w:rFonts w:ascii="Arial" w:cs="Arial" w:eastAsia="Arial" w:hAnsi="Arial"/>
                <w:sz w:val="16"/>
                <w:szCs w:val="16"/>
                <w:color w:val="auto"/>
                <w:w w:val="96"/>
              </w:rPr>
              <w:t>IDMC reviewed interim results for the Phase 3 VENICE trial in prostate cancer and recommended study</w:t>
            </w:r>
          </w:p>
        </w:tc>
        <w:tc>
          <w:tcPr>
            <w:tcW w:w="3880" w:type="dxa"/>
            <w:vAlign w:val="bottom"/>
          </w:tcPr>
          <w:p>
            <w:pPr>
              <w:ind w:left="320"/>
              <w:spacing w:after="0"/>
              <w:rPr>
                <w:sz w:val="20"/>
                <w:szCs w:val="20"/>
                <w:color w:val="auto"/>
              </w:rPr>
            </w:pPr>
            <w:r>
              <w:rPr>
                <w:rFonts w:ascii="Arial" w:cs="Arial" w:eastAsia="Arial" w:hAnsi="Arial"/>
                <w:sz w:val="16"/>
                <w:szCs w:val="16"/>
                <w:color w:val="auto"/>
              </w:rPr>
              <w:t>prostate cancer in the second quarter of 2012</w:t>
            </w:r>
          </w:p>
        </w:tc>
      </w:tr>
      <w:tr>
        <w:trPr>
          <w:trHeight w:val="194"/>
        </w:trPr>
        <w:tc>
          <w:tcPr>
            <w:tcW w:w="7560" w:type="dxa"/>
            <w:vAlign w:val="bottom"/>
          </w:tcPr>
          <w:p>
            <w:pPr>
              <w:ind w:left="480"/>
              <w:spacing w:after="0"/>
              <w:rPr>
                <w:sz w:val="20"/>
                <w:szCs w:val="20"/>
                <w:color w:val="auto"/>
              </w:rPr>
            </w:pPr>
            <w:r>
              <w:rPr>
                <w:rFonts w:ascii="Arial" w:cs="Arial" w:eastAsia="Arial" w:hAnsi="Arial"/>
                <w:sz w:val="16"/>
                <w:szCs w:val="16"/>
                <w:color w:val="auto"/>
              </w:rPr>
              <w:t>continue to completion</w:t>
            </w:r>
          </w:p>
        </w:tc>
        <w:tc>
          <w:tcPr>
            <w:tcW w:w="3880" w:type="dxa"/>
            <w:vAlign w:val="bottom"/>
          </w:tcPr>
          <w:p>
            <w:pPr>
              <w:spacing w:after="0"/>
              <w:rPr>
                <w:sz w:val="16"/>
                <w:szCs w:val="16"/>
                <w:color w:val="auto"/>
              </w:rPr>
            </w:pPr>
          </w:p>
        </w:tc>
      </w:tr>
      <w:tr>
        <w:trPr>
          <w:trHeight w:val="194"/>
        </w:trPr>
        <w:tc>
          <w:tcPr>
            <w:tcW w:w="7560" w:type="dxa"/>
            <w:vAlign w:val="bottom"/>
          </w:tcPr>
          <w:p>
            <w:pPr>
              <w:ind w:left="480"/>
              <w:spacing w:after="0"/>
              <w:rPr>
                <w:sz w:val="20"/>
                <w:szCs w:val="20"/>
                <w:color w:val="auto"/>
              </w:rPr>
            </w:pPr>
            <w:r>
              <w:rPr>
                <w:rFonts w:ascii="Arial" w:cs="Arial" w:eastAsia="Arial" w:hAnsi="Arial"/>
                <w:sz w:val="16"/>
                <w:szCs w:val="16"/>
                <w:color w:val="auto"/>
              </w:rPr>
              <w:t>Reported that the VITAL trial in non-small cell lung cancer did not meet its primary endpoint</w:t>
            </w:r>
          </w:p>
        </w:tc>
        <w:tc>
          <w:tcPr>
            <w:tcW w:w="3880" w:type="dxa"/>
            <w:vAlign w:val="bottom"/>
          </w:tcPr>
          <w:p>
            <w:pPr>
              <w:spacing w:after="0"/>
              <w:rPr>
                <w:sz w:val="16"/>
                <w:szCs w:val="16"/>
                <w:color w:val="auto"/>
              </w:rPr>
            </w:pPr>
          </w:p>
        </w:tc>
      </w:tr>
      <w:tr>
        <w:trPr>
          <w:trHeight w:val="194"/>
        </w:trPr>
        <w:tc>
          <w:tcPr>
            <w:tcW w:w="7560" w:type="dxa"/>
            <w:vAlign w:val="bottom"/>
          </w:tcPr>
          <w:p>
            <w:pPr>
              <w:ind w:left="480"/>
              <w:spacing w:after="0"/>
              <w:rPr>
                <w:sz w:val="20"/>
                <w:szCs w:val="20"/>
                <w:color w:val="auto"/>
              </w:rPr>
            </w:pPr>
            <w:r>
              <w:rPr>
                <w:rFonts w:ascii="Arial" w:cs="Arial" w:eastAsia="Arial" w:hAnsi="Arial"/>
                <w:sz w:val="16"/>
                <w:szCs w:val="16"/>
                <w:color w:val="auto"/>
              </w:rPr>
              <w:t>Reported initial results in the Phase 2 AFFIRM trial in first-line mCRC</w:t>
            </w:r>
          </w:p>
        </w:tc>
        <w:tc>
          <w:tcPr>
            <w:tcW w:w="3880" w:type="dxa"/>
            <w:vAlign w:val="bottom"/>
          </w:tcPr>
          <w:p>
            <w:pPr>
              <w:spacing w:after="0"/>
              <w:rPr>
                <w:sz w:val="16"/>
                <w:szCs w:val="16"/>
                <w:color w:val="auto"/>
              </w:rPr>
            </w:pPr>
          </w:p>
        </w:tc>
      </w:tr>
      <w:tr>
        <w:trPr>
          <w:trHeight w:val="201"/>
        </w:trPr>
        <w:tc>
          <w:tcPr>
            <w:tcW w:w="7560" w:type="dxa"/>
            <w:vAlign w:val="bottom"/>
          </w:tcPr>
          <w:p>
            <w:pPr>
              <w:ind w:left="480"/>
              <w:spacing w:after="0"/>
              <w:rPr>
                <w:sz w:val="20"/>
                <w:szCs w:val="20"/>
                <w:color w:val="auto"/>
              </w:rPr>
            </w:pPr>
            <w:r>
              <w:rPr>
                <w:rFonts w:ascii="Arial" w:cs="Arial" w:eastAsia="Arial" w:hAnsi="Arial"/>
                <w:sz w:val="16"/>
                <w:szCs w:val="16"/>
                <w:color w:val="auto"/>
                <w:w w:val="94"/>
              </w:rPr>
              <w:t>Submitted regulatory applications for marketing approval to the EMA and FDA for the treatment of mCRC</w:t>
            </w:r>
          </w:p>
        </w:tc>
        <w:tc>
          <w:tcPr>
            <w:tcW w:w="3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726059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-704215</wp:posOffset>
            </wp:positionV>
            <wp:extent cx="56515" cy="56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-581025</wp:posOffset>
            </wp:positionV>
            <wp:extent cx="56515" cy="56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-334010</wp:posOffset>
            </wp:positionV>
            <wp:extent cx="56515" cy="56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-87630</wp:posOffset>
            </wp:positionV>
            <wp:extent cx="56515" cy="56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-704215</wp:posOffset>
            </wp:positionV>
            <wp:extent cx="56515" cy="56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ARCALYST</w:t>
      </w:r>
      <w:r>
        <w:rPr>
          <w:rFonts w:ascii="Arial" w:cs="Arial" w:eastAsia="Arial" w:hAnsi="Arial"/>
          <w:sz w:val="26"/>
          <w:szCs w:val="26"/>
          <w:color w:val="auto"/>
          <w:vertAlign w:val="superscript"/>
        </w:rPr>
        <w:t>®</w:t>
      </w:r>
    </w:p>
    <w:p>
      <w:pPr>
        <w:ind w:left="480"/>
        <w:spacing w:after="0"/>
        <w:rPr>
          <w:sz w:val="20"/>
          <w:szCs w:val="20"/>
          <w:color w:val="auto"/>
        </w:rPr>
      </w:pPr>
      <w:r>
        <w:rPr>
          <w:rFonts w:ascii="Arial" w:cs="Arial" w:eastAsia="Arial" w:hAnsi="Arial"/>
          <w:sz w:val="14"/>
          <w:szCs w:val="14"/>
          <w:color w:val="auto"/>
        </w:rPr>
        <w:t>Reported positive results from two Phase 3 studies for the prevention of gout flares (PRE-SURGE 2 and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-71120</wp:posOffset>
            </wp:positionV>
            <wp:extent cx="56515" cy="56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SURGE)</w:t>
      </w:r>
    </w:p>
    <w:p>
      <w:pPr>
        <w:spacing w:after="0" w:line="10" w:lineRule="exact"/>
        <w:rPr>
          <w:sz w:val="20"/>
          <w:szCs w:val="20"/>
          <w:color w:val="auto"/>
        </w:rPr>
      </w:pPr>
    </w:p>
    <w:p>
      <w:pPr>
        <w:ind w:left="480" w:right="1000"/>
        <w:spacing w:after="0" w:line="300" w:lineRule="auto"/>
        <w:rPr>
          <w:sz w:val="20"/>
          <w:szCs w:val="20"/>
          <w:color w:val="auto"/>
        </w:rPr>
      </w:pPr>
      <w:r>
        <w:rPr>
          <w:rFonts w:ascii="Arial" w:cs="Arial" w:eastAsia="Arial" w:hAnsi="Arial"/>
          <w:sz w:val="15"/>
          <w:szCs w:val="15"/>
          <w:color w:val="auto"/>
        </w:rPr>
        <w:t>Submitted a supplemental BLA for U.S. regulatory approval for the prevention of gout flares Initiated a long-term safety study for the prevention of gout flares (UPSURGE)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6059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-238125</wp:posOffset>
            </wp:positionV>
            <wp:extent cx="56515" cy="56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-114935</wp:posOffset>
            </wp:positionV>
            <wp:extent cx="56515" cy="56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right="560"/>
        <w:spacing w:after="0" w:line="243" w:lineRule="auto"/>
        <w:rPr>
          <w:sz w:val="20"/>
          <w:szCs w:val="20"/>
          <w:color w:val="auto"/>
        </w:rPr>
      </w:pPr>
      <w:r>
        <w:rPr>
          <w:rFonts w:ascii="Arial" w:cs="Arial" w:eastAsia="Arial" w:hAnsi="Arial"/>
          <w:sz w:val="14"/>
          <w:szCs w:val="14"/>
          <w:color w:val="auto"/>
        </w:rPr>
        <w:t>Target date for FDA decision on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supplemental BLA is July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-212725</wp:posOffset>
            </wp:positionV>
            <wp:extent cx="56515" cy="56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592" w:lineRule="exact"/>
        <w:rPr>
          <w:sz w:val="20"/>
          <w:szCs w:val="20"/>
          <w:color w:val="auto"/>
        </w:rPr>
      </w:pPr>
    </w:p>
    <w:p>
      <w:pPr>
        <w:sectPr>
          <w:pgSz w:w="11900" w:h="16838" w:orient="portrait"/>
          <w:cols w:equalWidth="0" w:num="2">
            <w:col w:w="7360" w:space="520"/>
            <w:col w:w="3560"/>
          </w:cols>
          <w:pgMar w:left="240" w:top="543" w:right="219" w:bottom="1440"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28091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Antibody-based Clinical Programs:</w:t>
            </w:r>
          </w:p>
        </w:tc>
        <w:tc>
          <w:tcPr>
            <w:tcW w:w="46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422"/>
        </w:trPr>
        <w:tc>
          <w:tcPr>
            <w:tcW w:w="2300" w:type="dxa"/>
            <w:vAlign w:val="bottom"/>
            <w:tcBorders>
              <w:top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2011 and 2012 Events to Date</w:t>
            </w:r>
          </w:p>
        </w:tc>
        <w:tc>
          <w:tcPr>
            <w:tcW w:w="360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rPr>
              <w:t>2012 Plans</w:t>
            </w:r>
          </w:p>
        </w:tc>
      </w:tr>
      <w:tr>
        <w:trPr>
          <w:trHeight w:val="185"/>
        </w:trPr>
        <w:tc>
          <w:tcPr>
            <w:tcW w:w="32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Sarilumab</w:t>
            </w:r>
          </w:p>
        </w:tc>
        <w:tc>
          <w:tcPr>
            <w:tcW w:w="4600" w:type="dxa"/>
            <w:vAlign w:val="bottom"/>
          </w:tcPr>
          <w:p>
            <w:pPr>
              <w:ind w:left="940"/>
              <w:spacing w:after="0"/>
              <w:rPr>
                <w:sz w:val="20"/>
                <w:szCs w:val="20"/>
                <w:color w:val="auto"/>
              </w:rPr>
            </w:pPr>
            <w:r>
              <w:rPr>
                <w:rFonts w:ascii="Arial" w:cs="Arial" w:eastAsia="Arial" w:hAnsi="Arial"/>
                <w:sz w:val="16"/>
                <w:szCs w:val="16"/>
                <w:color w:val="auto"/>
                <w:w w:val="97"/>
              </w:rPr>
              <w:t>Reported positive Phase 2b data from the MOBILITY</w:t>
            </w:r>
          </w:p>
        </w:tc>
        <w:tc>
          <w:tcPr>
            <w:tcW w:w="3600" w:type="dxa"/>
            <w:vAlign w:val="bottom"/>
          </w:tcPr>
          <w:p>
            <w:pPr>
              <w:ind w:left="260"/>
              <w:spacing w:after="0"/>
              <w:rPr>
                <w:sz w:val="20"/>
                <w:szCs w:val="20"/>
                <w:color w:val="auto"/>
              </w:rPr>
            </w:pPr>
            <w:r>
              <w:rPr>
                <w:rFonts w:ascii="Arial" w:cs="Arial" w:eastAsia="Arial" w:hAnsi="Arial"/>
                <w:sz w:val="16"/>
                <w:szCs w:val="16"/>
                <w:color w:val="auto"/>
              </w:rPr>
              <w:t>Initiate additional Phase 3 studies</w:t>
            </w:r>
          </w:p>
        </w:tc>
      </w:tr>
      <w:tr>
        <w:trPr>
          <w:trHeight w:val="194"/>
        </w:trPr>
        <w:tc>
          <w:tcPr>
            <w:tcW w:w="32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(IL-6R Antibody)</w:t>
            </w:r>
          </w:p>
        </w:tc>
        <w:tc>
          <w:tcPr>
            <w:tcW w:w="4600" w:type="dxa"/>
            <w:vAlign w:val="bottom"/>
          </w:tcPr>
          <w:p>
            <w:pPr>
              <w:ind w:left="940"/>
              <w:spacing w:after="0"/>
              <w:rPr>
                <w:sz w:val="20"/>
                <w:szCs w:val="20"/>
                <w:color w:val="auto"/>
              </w:rPr>
            </w:pPr>
            <w:r>
              <w:rPr>
                <w:rFonts w:ascii="Arial" w:cs="Arial" w:eastAsia="Arial" w:hAnsi="Arial"/>
                <w:sz w:val="16"/>
                <w:szCs w:val="16"/>
                <w:color w:val="auto"/>
              </w:rPr>
              <w:t>trial in rheumatoid arthritis</w:t>
            </w:r>
          </w:p>
        </w:tc>
        <w:tc>
          <w:tcPr>
            <w:tcW w:w="3600" w:type="dxa"/>
            <w:vAlign w:val="bottom"/>
          </w:tcPr>
          <w:p>
            <w:pPr>
              <w:spacing w:after="0"/>
              <w:rPr>
                <w:sz w:val="16"/>
                <w:szCs w:val="16"/>
                <w:color w:val="auto"/>
              </w:rPr>
            </w:pPr>
          </w:p>
        </w:tc>
      </w:tr>
      <w:tr>
        <w:trPr>
          <w:trHeight w:val="194"/>
        </w:trPr>
        <w:tc>
          <w:tcPr>
            <w:tcW w:w="2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0" w:type="dxa"/>
            <w:vAlign w:val="bottom"/>
          </w:tcPr>
          <w:p>
            <w:pPr>
              <w:ind w:left="940"/>
              <w:spacing w:after="0"/>
              <w:rPr>
                <w:sz w:val="20"/>
                <w:szCs w:val="20"/>
                <w:color w:val="auto"/>
              </w:rPr>
            </w:pPr>
            <w:r>
              <w:rPr>
                <w:rFonts w:ascii="Arial" w:cs="Arial" w:eastAsia="Arial" w:hAnsi="Arial"/>
                <w:sz w:val="16"/>
                <w:szCs w:val="16"/>
                <w:color w:val="auto"/>
              </w:rPr>
              <w:t>Reported that the Phase 2b trial in ankylosing</w:t>
            </w:r>
          </w:p>
        </w:tc>
        <w:tc>
          <w:tcPr>
            <w:tcW w:w="3600" w:type="dxa"/>
            <w:vAlign w:val="bottom"/>
          </w:tcPr>
          <w:p>
            <w:pPr>
              <w:spacing w:after="0"/>
              <w:rPr>
                <w:sz w:val="16"/>
                <w:szCs w:val="16"/>
                <w:color w:val="auto"/>
              </w:rPr>
            </w:pPr>
          </w:p>
        </w:tc>
      </w:tr>
      <w:tr>
        <w:trPr>
          <w:trHeight w:val="194"/>
        </w:trPr>
        <w:tc>
          <w:tcPr>
            <w:tcW w:w="2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0" w:type="dxa"/>
            <w:vAlign w:val="bottom"/>
          </w:tcPr>
          <w:p>
            <w:pPr>
              <w:ind w:left="940"/>
              <w:spacing w:after="0"/>
              <w:rPr>
                <w:sz w:val="20"/>
                <w:szCs w:val="20"/>
                <w:color w:val="auto"/>
              </w:rPr>
            </w:pPr>
            <w:r>
              <w:rPr>
                <w:rFonts w:ascii="Arial" w:cs="Arial" w:eastAsia="Arial" w:hAnsi="Arial"/>
                <w:sz w:val="16"/>
                <w:szCs w:val="16"/>
                <w:color w:val="auto"/>
              </w:rPr>
              <w:t>spondylitis did not meet its primary endpoint</w:t>
            </w:r>
          </w:p>
        </w:tc>
        <w:tc>
          <w:tcPr>
            <w:tcW w:w="3600" w:type="dxa"/>
            <w:vAlign w:val="bottom"/>
          </w:tcPr>
          <w:p>
            <w:pPr>
              <w:spacing w:after="0"/>
              <w:rPr>
                <w:sz w:val="16"/>
                <w:szCs w:val="16"/>
                <w:color w:val="auto"/>
              </w:rPr>
            </w:pPr>
          </w:p>
        </w:tc>
      </w:tr>
      <w:tr>
        <w:trPr>
          <w:trHeight w:val="194"/>
        </w:trPr>
        <w:tc>
          <w:tcPr>
            <w:tcW w:w="2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0" w:type="dxa"/>
            <w:vAlign w:val="bottom"/>
          </w:tcPr>
          <w:p>
            <w:pPr>
              <w:ind w:left="940"/>
              <w:spacing w:after="0"/>
              <w:rPr>
                <w:sz w:val="20"/>
                <w:szCs w:val="20"/>
                <w:color w:val="auto"/>
              </w:rPr>
            </w:pPr>
            <w:r>
              <w:rPr>
                <w:rFonts w:ascii="Arial" w:cs="Arial" w:eastAsia="Arial" w:hAnsi="Arial"/>
                <w:sz w:val="16"/>
                <w:szCs w:val="16"/>
                <w:color w:val="auto"/>
              </w:rPr>
              <w:t>Initiated the Phase 3 stage of the Phase 2/3</w:t>
            </w:r>
          </w:p>
        </w:tc>
        <w:tc>
          <w:tcPr>
            <w:tcW w:w="3600" w:type="dxa"/>
            <w:vAlign w:val="bottom"/>
          </w:tcPr>
          <w:p>
            <w:pPr>
              <w:spacing w:after="0"/>
              <w:rPr>
                <w:sz w:val="16"/>
                <w:szCs w:val="16"/>
                <w:color w:val="auto"/>
              </w:rPr>
            </w:pPr>
          </w:p>
        </w:tc>
      </w:tr>
      <w:tr>
        <w:trPr>
          <w:trHeight w:val="201"/>
        </w:trPr>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0" w:type="dxa"/>
            <w:vAlign w:val="bottom"/>
          </w:tcPr>
          <w:p>
            <w:pPr>
              <w:ind w:left="940"/>
              <w:spacing w:after="0"/>
              <w:rPr>
                <w:sz w:val="20"/>
                <w:szCs w:val="20"/>
                <w:color w:val="auto"/>
              </w:rPr>
            </w:pPr>
            <w:r>
              <w:rPr>
                <w:rFonts w:ascii="Arial" w:cs="Arial" w:eastAsia="Arial" w:hAnsi="Arial"/>
                <w:sz w:val="16"/>
                <w:szCs w:val="16"/>
                <w:color w:val="auto"/>
              </w:rPr>
              <w:t>MOBILITY trial</w:t>
            </w:r>
          </w:p>
        </w:tc>
        <w:tc>
          <w:tcPr>
            <w:tcW w:w="3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726059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-704215</wp:posOffset>
            </wp:positionV>
            <wp:extent cx="56515" cy="56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-457200</wp:posOffset>
            </wp:positionV>
            <wp:extent cx="56515" cy="56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-210820</wp:posOffset>
            </wp:positionV>
            <wp:extent cx="56515" cy="56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-704215</wp:posOffset>
            </wp:positionV>
            <wp:extent cx="56515" cy="56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ectPr>
          <w:pgSz w:w="11900" w:h="16838" w:orient="portrait"/>
          <w:cols w:equalWidth="0" w:num="1">
            <w:col w:w="11460"/>
          </w:cols>
          <w:pgMar w:left="240" w:top="526" w:right="199" w:bottom="1440" w:gutter="0" w:footer="0" w:header="0"/>
        </w:sectPr>
      </w:pPr>
    </w:p>
    <w:p>
      <w:pPr>
        <w:spacing w:after="0" w:line="224" w:lineRule="exact"/>
        <w:rPr>
          <w:sz w:val="20"/>
          <w:szCs w:val="20"/>
          <w:color w:val="auto"/>
        </w:rPr>
      </w:pPr>
    </w:p>
    <w:p>
      <w:pPr>
        <w:spacing w:after="0"/>
        <w:tabs>
          <w:tab w:leader="none" w:pos="3950" w:val="left"/>
        </w:tabs>
        <w:rPr>
          <w:sz w:val="20"/>
          <w:szCs w:val="20"/>
          <w:color w:val="auto"/>
        </w:rPr>
      </w:pPr>
      <w:r>
        <w:rPr>
          <w:rFonts w:ascii="Arial" w:cs="Arial" w:eastAsia="Arial" w:hAnsi="Arial"/>
          <w:sz w:val="15"/>
          <w:szCs w:val="15"/>
          <w:b w:val="1"/>
          <w:bCs w:val="1"/>
          <w:i w:val="1"/>
          <w:iCs w:val="1"/>
          <w:color w:val="auto"/>
        </w:rPr>
        <w:t>REGN727</w:t>
      </w:r>
      <w:r>
        <w:rPr>
          <w:sz w:val="20"/>
          <w:szCs w:val="20"/>
          <w:color w:val="auto"/>
        </w:rPr>
        <w:tab/>
      </w:r>
      <w:r>
        <w:rPr>
          <w:sz w:val="1"/>
          <w:szCs w:val="1"/>
          <w:color w:val="auto"/>
        </w:rPr>
        <w:drawing>
          <wp:inline distT="0" distB="0" distL="0" distR="0">
            <wp:extent cx="56515" cy="5651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15" cy="56515"/>
                    </a:xfrm>
                    <a:prstGeom prst="rect">
                      <a:avLst/>
                    </a:prstGeom>
                    <a:noFill/>
                    <a:ln>
                      <a:noFill/>
                    </a:ln>
                  </pic:spPr>
                </pic:pic>
              </a:graphicData>
            </a:graphic>
          </wp:inline>
        </w:drawing>
      </w:r>
      <w:r>
        <w:rPr>
          <w:rFonts w:ascii="Arial" w:cs="Arial" w:eastAsia="Arial" w:hAnsi="Arial"/>
          <w:sz w:val="15"/>
          <w:szCs w:val="15"/>
          <w:color w:val="auto"/>
        </w:rPr>
        <w:t xml:space="preserve">  Initiated three Phase 2 studies for LDL cholesterol</w:t>
      </w:r>
    </w:p>
    <w:p>
      <w:pPr>
        <w:spacing w:after="0" w:line="28" w:lineRule="exact"/>
        <w:rPr>
          <w:sz w:val="20"/>
          <w:szCs w:val="20"/>
          <w:color w:val="auto"/>
        </w:rPr>
      </w:pPr>
    </w:p>
    <w:p>
      <w:pPr>
        <w:spacing w:after="0"/>
        <w:tabs>
          <w:tab w:leader="none" w:pos="4160" w:val="left"/>
        </w:tabs>
        <w:rPr>
          <w:sz w:val="20"/>
          <w:szCs w:val="20"/>
          <w:color w:val="auto"/>
        </w:rPr>
      </w:pPr>
      <w:r>
        <w:rPr>
          <w:rFonts w:ascii="Arial" w:cs="Arial" w:eastAsia="Arial" w:hAnsi="Arial"/>
          <w:sz w:val="16"/>
          <w:szCs w:val="16"/>
          <w:b w:val="1"/>
          <w:bCs w:val="1"/>
          <w:i w:val="1"/>
          <w:iCs w:val="1"/>
          <w:color w:val="auto"/>
        </w:rPr>
        <w:t>(PCSK9 Antibody)</w:t>
      </w:r>
      <w:r>
        <w:rPr>
          <w:sz w:val="20"/>
          <w:szCs w:val="20"/>
          <w:color w:val="auto"/>
        </w:rPr>
        <w:tab/>
      </w:r>
      <w:r>
        <w:rPr>
          <w:rFonts w:ascii="Arial" w:cs="Arial" w:eastAsia="Arial" w:hAnsi="Arial"/>
          <w:sz w:val="14"/>
          <w:szCs w:val="14"/>
          <w:color w:val="auto"/>
        </w:rPr>
        <w:t>reduction</w:t>
      </w:r>
    </w:p>
    <w:p>
      <w:pPr>
        <w:spacing w:after="0" w:line="10"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Reported positive initial data from two of the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-66675</wp:posOffset>
            </wp:positionV>
            <wp:extent cx="56515" cy="56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6059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Report final data from three Phase 2 studies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-210185</wp:posOffset>
            </wp:positionV>
            <wp:extent cx="56515" cy="56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right="500"/>
        <w:spacing w:after="0" w:line="266" w:lineRule="auto"/>
        <w:rPr>
          <w:sz w:val="20"/>
          <w:szCs w:val="20"/>
          <w:color w:val="auto"/>
        </w:rPr>
      </w:pPr>
      <w:r>
        <w:rPr>
          <w:rFonts w:ascii="Arial" w:cs="Arial" w:eastAsia="Arial" w:hAnsi="Arial"/>
          <w:sz w:val="16"/>
          <w:szCs w:val="16"/>
          <w:color w:val="auto"/>
        </w:rPr>
        <w:t>Initiate Phase 3 program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-222885</wp:posOffset>
            </wp:positionV>
            <wp:extent cx="56515" cy="56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540"/>
            <w:col w:w="3360"/>
          </w:cols>
          <w:pgMar w:left="240" w:top="526" w:right="199" w:bottom="1440" w:gutter="0" w:footer="0" w:header="0"/>
          <w:type w:val="continuous"/>
        </w:sectPr>
      </w:pPr>
    </w:p>
    <w:p>
      <w:pPr>
        <w:spacing w:after="0" w:line="5" w:lineRule="exact"/>
        <w:rPr>
          <w:sz w:val="20"/>
          <w:szCs w:val="20"/>
          <w:color w:val="auto"/>
        </w:rPr>
      </w:pPr>
    </w:p>
    <w:p>
      <w:pPr>
        <w:spacing w:after="0"/>
        <w:tabs>
          <w:tab w:leader="none" w:pos="3950" w:val="left"/>
        </w:tabs>
        <w:rPr>
          <w:sz w:val="20"/>
          <w:szCs w:val="20"/>
          <w:color w:val="auto"/>
        </w:rPr>
      </w:pPr>
      <w:r>
        <w:rPr>
          <w:rFonts w:ascii="Arial" w:cs="Arial" w:eastAsia="Arial" w:hAnsi="Arial"/>
          <w:sz w:val="14"/>
          <w:szCs w:val="14"/>
          <w:b w:val="1"/>
          <w:bCs w:val="1"/>
          <w:i w:val="1"/>
          <w:iCs w:val="1"/>
          <w:color w:val="auto"/>
        </w:rPr>
        <w:t>REGN668</w:t>
      </w:r>
      <w:r>
        <w:rPr>
          <w:sz w:val="20"/>
          <w:szCs w:val="20"/>
          <w:color w:val="auto"/>
        </w:rPr>
        <w:tab/>
      </w:r>
      <w:r>
        <w:rPr>
          <w:sz w:val="1"/>
          <w:szCs w:val="1"/>
          <w:color w:val="auto"/>
        </w:rPr>
        <w:drawing>
          <wp:inline distT="0" distB="0" distL="0" distR="0">
            <wp:extent cx="56515" cy="5651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15" cy="56515"/>
                    </a:xfrm>
                    <a:prstGeom prst="rect">
                      <a:avLst/>
                    </a:prstGeom>
                    <a:noFill/>
                    <a:ln>
                      <a:noFill/>
                    </a:ln>
                  </pic:spPr>
                </pic:pic>
              </a:graphicData>
            </a:graphic>
          </wp:inline>
        </w:drawing>
      </w:r>
      <w:r>
        <w:rPr>
          <w:rFonts w:ascii="Arial" w:cs="Arial" w:eastAsia="Arial" w:hAnsi="Arial"/>
          <w:sz w:val="14"/>
          <w:szCs w:val="14"/>
          <w:color w:val="auto"/>
        </w:rPr>
        <w:t xml:space="preserve">  Initiated Phase 1b study in atopic dermatitis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(IL-4R Antibody)                                   </w:t>
      </w:r>
      <w:r>
        <w:rPr>
          <w:sz w:val="1"/>
          <w:szCs w:val="1"/>
          <w:color w:val="auto"/>
        </w:rPr>
        <w:drawing>
          <wp:inline distT="0" distB="0" distL="0" distR="0">
            <wp:extent cx="56515" cy="5651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15" cy="56515"/>
                    </a:xfrm>
                    <a:prstGeom prst="rect">
                      <a:avLst/>
                    </a:prstGeom>
                    <a:noFill/>
                    <a:ln>
                      <a:noFill/>
                    </a:ln>
                  </pic:spPr>
                </pic:pic>
              </a:graphicData>
            </a:graphic>
          </wp:inline>
        </w:drawing>
      </w:r>
      <w:r>
        <w:rPr>
          <w:rFonts w:ascii="Arial" w:cs="Arial" w:eastAsia="Arial" w:hAnsi="Arial"/>
          <w:sz w:val="16"/>
          <w:szCs w:val="16"/>
          <w:color w:val="auto"/>
        </w:rPr>
        <w:t xml:space="preserve">  Initiated Phase 2 proof of concept study in</w:t>
      </w:r>
    </w:p>
    <w:p>
      <w:pPr>
        <w:spacing w:after="0" w:line="10"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eosinophilic asthma</w:t>
      </w:r>
    </w:p>
    <w:p>
      <w:pPr>
        <w:spacing w:after="0" w:line="20" w:lineRule="exact"/>
        <w:rPr>
          <w:sz w:val="20"/>
          <w:szCs w:val="20"/>
          <w:color w:val="auto"/>
        </w:rPr>
      </w:pPr>
      <w:r>
        <w:rPr>
          <w:sz w:val="20"/>
          <w:szCs w:val="20"/>
          <w:color w:val="auto"/>
        </w:rPr>
        <w:br w:type="column"/>
      </w:r>
    </w:p>
    <w:p>
      <w:pPr>
        <w:ind w:right="260"/>
        <w:spacing w:after="0" w:line="260" w:lineRule="auto"/>
        <w:rPr>
          <w:sz w:val="20"/>
          <w:szCs w:val="20"/>
          <w:color w:val="auto"/>
        </w:rPr>
      </w:pPr>
      <w:r>
        <w:rPr>
          <w:rFonts w:ascii="Arial" w:cs="Arial" w:eastAsia="Arial" w:hAnsi="Arial"/>
          <w:sz w:val="16"/>
          <w:szCs w:val="16"/>
          <w:color w:val="auto"/>
        </w:rPr>
        <w:t>Report initial results for Phase 1b study in atopic dermatitis and initiate Phase 2 program Report initial results for Phase 2 study in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-466725</wp:posOffset>
            </wp:positionV>
            <wp:extent cx="56515" cy="56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-219710</wp:posOffset>
            </wp:positionV>
            <wp:extent cx="56515" cy="56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7380" w:space="720"/>
            <w:col w:w="3360"/>
          </w:cols>
          <w:pgMar w:left="240" w:top="526" w:right="19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REGN421</w:t>
            </w:r>
          </w:p>
        </w:tc>
        <w:tc>
          <w:tcPr>
            <w:tcW w:w="4940" w:type="dxa"/>
            <w:vAlign w:val="bottom"/>
            <w:tcBorders>
              <w:top w:val="single" w:sz="8" w:color="auto"/>
            </w:tcBorders>
          </w:tcPr>
          <w:p>
            <w:pPr>
              <w:ind w:left="1420"/>
              <w:spacing w:after="0"/>
              <w:rPr>
                <w:sz w:val="20"/>
                <w:szCs w:val="20"/>
                <w:color w:val="auto"/>
              </w:rPr>
            </w:pPr>
            <w:r>
              <w:rPr>
                <w:rFonts w:ascii="Arial" w:cs="Arial" w:eastAsia="Arial" w:hAnsi="Arial"/>
                <w:sz w:val="16"/>
                <w:szCs w:val="16"/>
                <w:color w:val="auto"/>
              </w:rPr>
              <w:t>Continued patient enrollment in Phase 1 program</w:t>
            </w:r>
          </w:p>
        </w:tc>
        <w:tc>
          <w:tcPr>
            <w:tcW w:w="374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Initiate a Phase 1b program in advanced</w:t>
            </w:r>
          </w:p>
        </w:tc>
        <w:tc>
          <w:tcPr>
            <w:tcW w:w="20" w:type="dxa"/>
            <w:vAlign w:val="bottom"/>
          </w:tcPr>
          <w:p>
            <w:pPr>
              <w:spacing w:after="0"/>
              <w:rPr>
                <w:sz w:val="17"/>
                <w:szCs w:val="17"/>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(Dll4 Antibody)</w:t>
            </w:r>
          </w:p>
        </w:tc>
        <w:tc>
          <w:tcPr>
            <w:tcW w:w="4940" w:type="dxa"/>
            <w:vAlign w:val="bottom"/>
          </w:tcPr>
          <w:p>
            <w:pPr>
              <w:spacing w:after="0"/>
              <w:rPr>
                <w:sz w:val="17"/>
                <w:szCs w:val="17"/>
                <w:color w:val="auto"/>
              </w:rPr>
            </w:pPr>
          </w:p>
        </w:tc>
        <w:tc>
          <w:tcPr>
            <w:tcW w:w="3740" w:type="dxa"/>
            <w:vAlign w:val="bottom"/>
          </w:tcPr>
          <w:p>
            <w:pPr>
              <w:ind w:left="400"/>
              <w:spacing w:after="0"/>
              <w:rPr>
                <w:sz w:val="20"/>
                <w:szCs w:val="20"/>
                <w:color w:val="auto"/>
              </w:rPr>
            </w:pPr>
            <w:r>
              <w:rPr>
                <w:rFonts w:ascii="Arial" w:cs="Arial" w:eastAsia="Arial" w:hAnsi="Arial"/>
                <w:sz w:val="16"/>
                <w:szCs w:val="16"/>
                <w:color w:val="auto"/>
              </w:rPr>
              <w:t>malignancies</w:t>
            </w:r>
          </w:p>
        </w:tc>
        <w:tc>
          <w:tcPr>
            <w:tcW w:w="2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276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rPr>
              <w:t>REGN910</w:t>
            </w:r>
          </w:p>
        </w:tc>
        <w:tc>
          <w:tcPr>
            <w:tcW w:w="4940" w:type="dxa"/>
            <w:vAlign w:val="bottom"/>
          </w:tcPr>
          <w:p>
            <w:pPr>
              <w:ind w:left="1420"/>
              <w:spacing w:after="0" w:line="178" w:lineRule="exact"/>
              <w:rPr>
                <w:sz w:val="20"/>
                <w:szCs w:val="20"/>
                <w:color w:val="auto"/>
              </w:rPr>
            </w:pPr>
            <w:r>
              <w:rPr>
                <w:rFonts w:ascii="Arial" w:cs="Arial" w:eastAsia="Arial" w:hAnsi="Arial"/>
                <w:sz w:val="16"/>
                <w:szCs w:val="16"/>
                <w:color w:val="auto"/>
              </w:rPr>
              <w:t>Continued patient enrollment in Phase 1 program</w:t>
            </w: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(ANG2 Antibody)</w:t>
            </w:r>
          </w:p>
        </w:tc>
        <w:tc>
          <w:tcPr>
            <w:tcW w:w="49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4"/>
        </w:trPr>
        <w:tc>
          <w:tcPr>
            <w:tcW w:w="2760" w:type="dxa"/>
            <w:vAlign w:val="bottom"/>
          </w:tcPr>
          <w:p>
            <w:pPr>
              <w:spacing w:after="0" w:line="174" w:lineRule="exact"/>
              <w:rPr>
                <w:sz w:val="20"/>
                <w:szCs w:val="20"/>
                <w:color w:val="auto"/>
              </w:rPr>
            </w:pPr>
            <w:r>
              <w:rPr>
                <w:rFonts w:ascii="Arial" w:cs="Arial" w:eastAsia="Arial" w:hAnsi="Arial"/>
                <w:sz w:val="16"/>
                <w:szCs w:val="16"/>
                <w:b w:val="1"/>
                <w:bCs w:val="1"/>
                <w:i w:val="1"/>
                <w:iCs w:val="1"/>
                <w:color w:val="auto"/>
              </w:rPr>
              <w:t>REGN475</w:t>
            </w:r>
          </w:p>
        </w:tc>
        <w:tc>
          <w:tcPr>
            <w:tcW w:w="4940" w:type="dxa"/>
            <w:vAlign w:val="bottom"/>
          </w:tcPr>
          <w:p>
            <w:pPr>
              <w:ind w:left="1420"/>
              <w:spacing w:after="0" w:line="174" w:lineRule="exact"/>
              <w:rPr>
                <w:sz w:val="20"/>
                <w:szCs w:val="20"/>
                <w:color w:val="auto"/>
              </w:rPr>
            </w:pPr>
            <w:r>
              <w:rPr>
                <w:rFonts w:ascii="Arial" w:cs="Arial" w:eastAsia="Arial" w:hAnsi="Arial"/>
                <w:sz w:val="16"/>
                <w:szCs w:val="16"/>
                <w:color w:val="auto"/>
              </w:rPr>
              <w:t>Anti-NGF class of antibodies is on clinical hold</w:t>
            </w:r>
          </w:p>
        </w:tc>
        <w:tc>
          <w:tcPr>
            <w:tcW w:w="3740" w:type="dxa"/>
            <w:vAlign w:val="bottom"/>
          </w:tcPr>
          <w:p>
            <w:pPr>
              <w:ind w:left="400"/>
              <w:spacing w:after="0" w:line="174" w:lineRule="exact"/>
              <w:rPr>
                <w:sz w:val="20"/>
                <w:szCs w:val="20"/>
                <w:color w:val="auto"/>
              </w:rPr>
            </w:pPr>
            <w:r>
              <w:rPr>
                <w:rFonts w:ascii="Arial" w:cs="Arial" w:eastAsia="Arial" w:hAnsi="Arial"/>
                <w:sz w:val="16"/>
                <w:szCs w:val="16"/>
                <w:color w:val="auto"/>
                <w:w w:val="97"/>
              </w:rPr>
              <w:t>FDA Advisory Committee meeting scheduled for</w:t>
            </w:r>
          </w:p>
        </w:tc>
        <w:tc>
          <w:tcPr>
            <w:tcW w:w="20" w:type="dxa"/>
            <w:vAlign w:val="bottom"/>
          </w:tcPr>
          <w:p>
            <w:pPr>
              <w:spacing w:after="0"/>
              <w:rPr>
                <w:sz w:val="15"/>
                <w:szCs w:val="15"/>
                <w:color w:val="auto"/>
              </w:rPr>
            </w:pPr>
          </w:p>
        </w:tc>
      </w:tr>
      <w:tr>
        <w:trPr>
          <w:trHeight w:val="198"/>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(NGF Antibody)</w:t>
            </w:r>
          </w:p>
        </w:tc>
        <w:tc>
          <w:tcPr>
            <w:tcW w:w="4940" w:type="dxa"/>
            <w:vAlign w:val="bottom"/>
          </w:tcPr>
          <w:p>
            <w:pPr>
              <w:ind w:left="1420"/>
              <w:spacing w:after="0"/>
              <w:rPr>
                <w:sz w:val="20"/>
                <w:szCs w:val="20"/>
                <w:color w:val="auto"/>
              </w:rPr>
            </w:pPr>
            <w:r>
              <w:rPr>
                <w:rFonts w:ascii="Arial" w:cs="Arial" w:eastAsia="Arial" w:hAnsi="Arial"/>
                <w:sz w:val="16"/>
                <w:szCs w:val="16"/>
                <w:color w:val="auto"/>
              </w:rPr>
              <w:t>Sanofi elected not to co-develop REGN475</w:t>
            </w:r>
          </w:p>
        </w:tc>
        <w:tc>
          <w:tcPr>
            <w:tcW w:w="3740" w:type="dxa"/>
            <w:vAlign w:val="bottom"/>
          </w:tcPr>
          <w:p>
            <w:pPr>
              <w:ind w:left="400"/>
              <w:spacing w:after="0"/>
              <w:rPr>
                <w:sz w:val="20"/>
                <w:szCs w:val="20"/>
                <w:color w:val="auto"/>
              </w:rPr>
            </w:pPr>
            <w:r>
              <w:rPr>
                <w:rFonts w:ascii="Arial" w:cs="Arial" w:eastAsia="Arial" w:hAnsi="Arial"/>
                <w:sz w:val="16"/>
                <w:szCs w:val="16"/>
                <w:color w:val="auto"/>
                <w:w w:val="95"/>
              </w:rPr>
              <w:t>March 2012 to review safety of anti-NGF class of</w:t>
            </w:r>
          </w:p>
        </w:tc>
        <w:tc>
          <w:tcPr>
            <w:tcW w:w="20" w:type="dxa"/>
            <w:vAlign w:val="bottom"/>
          </w:tcPr>
          <w:p>
            <w:pPr>
              <w:spacing w:after="0"/>
              <w:rPr>
                <w:sz w:val="17"/>
                <w:szCs w:val="17"/>
                <w:color w:val="auto"/>
              </w:rPr>
            </w:pPr>
          </w:p>
        </w:tc>
      </w:tr>
      <w:tr>
        <w:trPr>
          <w:trHeight w:val="201"/>
        </w:trPr>
        <w:tc>
          <w:tcPr>
            <w:tcW w:w="27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740" w:type="dxa"/>
            <w:vAlign w:val="bottom"/>
          </w:tcPr>
          <w:p>
            <w:pPr>
              <w:ind w:left="400"/>
              <w:spacing w:after="0"/>
              <w:rPr>
                <w:sz w:val="20"/>
                <w:szCs w:val="20"/>
                <w:color w:val="auto"/>
              </w:rPr>
            </w:pPr>
            <w:r>
              <w:rPr>
                <w:rFonts w:ascii="Arial" w:cs="Arial" w:eastAsia="Arial" w:hAnsi="Arial"/>
                <w:sz w:val="16"/>
                <w:szCs w:val="16"/>
                <w:color w:val="auto"/>
              </w:rPr>
              <w:t>antibodies</w:t>
            </w:r>
          </w:p>
        </w:tc>
        <w:tc>
          <w:tcPr>
            <w:tcW w:w="2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276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rPr>
              <w:t>REGN728</w:t>
            </w:r>
          </w:p>
        </w:tc>
        <w:tc>
          <w:tcPr>
            <w:tcW w:w="4940" w:type="dxa"/>
            <w:vAlign w:val="bottom"/>
          </w:tcPr>
          <w:p>
            <w:pPr>
              <w:ind w:left="1420"/>
              <w:spacing w:after="0" w:line="178" w:lineRule="exact"/>
              <w:rPr>
                <w:sz w:val="20"/>
                <w:szCs w:val="20"/>
                <w:color w:val="auto"/>
              </w:rPr>
            </w:pPr>
            <w:r>
              <w:rPr>
                <w:rFonts w:ascii="Arial" w:cs="Arial" w:eastAsia="Arial" w:hAnsi="Arial"/>
                <w:sz w:val="16"/>
                <w:szCs w:val="16"/>
                <w:color w:val="auto"/>
              </w:rPr>
              <w:t>Continued patient enrollment in Phase 1 program</w:t>
            </w: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(target not disclosed)</w:t>
            </w:r>
          </w:p>
        </w:tc>
        <w:tc>
          <w:tcPr>
            <w:tcW w:w="49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276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rPr>
              <w:t>REGN846</w:t>
            </w:r>
          </w:p>
        </w:tc>
        <w:tc>
          <w:tcPr>
            <w:tcW w:w="4940" w:type="dxa"/>
            <w:vAlign w:val="bottom"/>
          </w:tcPr>
          <w:p>
            <w:pPr>
              <w:ind w:left="1420"/>
              <w:spacing w:after="0" w:line="178" w:lineRule="exact"/>
              <w:rPr>
                <w:sz w:val="20"/>
                <w:szCs w:val="20"/>
                <w:color w:val="auto"/>
              </w:rPr>
            </w:pPr>
            <w:r>
              <w:rPr>
                <w:rFonts w:ascii="Arial" w:cs="Arial" w:eastAsia="Arial" w:hAnsi="Arial"/>
                <w:sz w:val="16"/>
                <w:szCs w:val="16"/>
                <w:color w:val="auto"/>
              </w:rPr>
              <w:t>Continued patient enrollment in Phase 1 program</w:t>
            </w: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(target not disclosed)</w:t>
            </w:r>
          </w:p>
        </w:tc>
        <w:tc>
          <w:tcPr>
            <w:tcW w:w="4940" w:type="dxa"/>
            <w:vAlign w:val="bottom"/>
          </w:tcPr>
          <w:p>
            <w:pPr>
              <w:ind w:left="1420"/>
              <w:spacing w:after="0"/>
              <w:rPr>
                <w:sz w:val="20"/>
                <w:szCs w:val="20"/>
                <w:color w:val="auto"/>
              </w:rPr>
            </w:pPr>
            <w:r>
              <w:rPr>
                <w:rFonts w:ascii="Arial" w:cs="Arial" w:eastAsia="Arial" w:hAnsi="Arial"/>
                <w:sz w:val="16"/>
                <w:szCs w:val="16"/>
                <w:color w:val="auto"/>
              </w:rPr>
              <w:t>Sanofi elected not to co-develop REGN846</w:t>
            </w:r>
          </w:p>
        </w:tc>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2760" w:type="dxa"/>
            <w:vAlign w:val="bottom"/>
          </w:tcPr>
          <w:p>
            <w:pPr>
              <w:spacing w:after="0"/>
              <w:rPr>
                <w:sz w:val="17"/>
                <w:szCs w:val="17"/>
                <w:color w:val="auto"/>
              </w:rPr>
            </w:pPr>
          </w:p>
        </w:tc>
        <w:tc>
          <w:tcPr>
            <w:tcW w:w="4940" w:type="dxa"/>
            <w:vAlign w:val="bottom"/>
          </w:tcPr>
          <w:p>
            <w:pPr>
              <w:ind w:left="1420"/>
              <w:spacing w:after="0"/>
              <w:rPr>
                <w:sz w:val="20"/>
                <w:szCs w:val="20"/>
                <w:color w:val="auto"/>
              </w:rPr>
            </w:pPr>
            <w:r>
              <w:rPr>
                <w:rFonts w:ascii="Arial" w:cs="Arial" w:eastAsia="Arial" w:hAnsi="Arial"/>
                <w:sz w:val="16"/>
                <w:szCs w:val="16"/>
                <w:color w:val="auto"/>
              </w:rPr>
              <w:t>Initiated Phase 2a program in atopic dermatitis</w:t>
            </w: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4"/>
        </w:trPr>
        <w:tc>
          <w:tcPr>
            <w:tcW w:w="2760" w:type="dxa"/>
            <w:vAlign w:val="bottom"/>
          </w:tcPr>
          <w:p>
            <w:pPr>
              <w:spacing w:after="0" w:line="174" w:lineRule="exact"/>
              <w:rPr>
                <w:sz w:val="20"/>
                <w:szCs w:val="20"/>
                <w:color w:val="auto"/>
              </w:rPr>
            </w:pPr>
            <w:r>
              <w:rPr>
                <w:rFonts w:ascii="Arial" w:cs="Arial" w:eastAsia="Arial" w:hAnsi="Arial"/>
                <w:sz w:val="16"/>
                <w:szCs w:val="16"/>
                <w:b w:val="1"/>
                <w:bCs w:val="1"/>
                <w:i w:val="1"/>
                <w:iCs w:val="1"/>
                <w:color w:val="auto"/>
              </w:rPr>
              <w:t>REGN1033</w:t>
            </w:r>
          </w:p>
        </w:tc>
        <w:tc>
          <w:tcPr>
            <w:tcW w:w="4940" w:type="dxa"/>
            <w:vAlign w:val="bottom"/>
          </w:tcPr>
          <w:p>
            <w:pPr>
              <w:ind w:left="1420"/>
              <w:spacing w:after="0" w:line="174" w:lineRule="exact"/>
              <w:rPr>
                <w:sz w:val="20"/>
                <w:szCs w:val="20"/>
                <w:color w:val="auto"/>
              </w:rPr>
            </w:pPr>
            <w:r>
              <w:rPr>
                <w:rFonts w:ascii="Arial" w:cs="Arial" w:eastAsia="Arial" w:hAnsi="Arial"/>
                <w:sz w:val="16"/>
                <w:szCs w:val="16"/>
                <w:color w:val="auto"/>
              </w:rPr>
              <w:t>IND accepted by the FDA</w:t>
            </w: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(target not disclosed)</w:t>
            </w:r>
          </w:p>
        </w:tc>
        <w:tc>
          <w:tcPr>
            <w:tcW w:w="4940" w:type="dxa"/>
            <w:vAlign w:val="bottom"/>
          </w:tcPr>
          <w:p>
            <w:pPr>
              <w:ind w:left="1420"/>
              <w:spacing w:after="0"/>
              <w:rPr>
                <w:sz w:val="20"/>
                <w:szCs w:val="20"/>
                <w:color w:val="auto"/>
              </w:rPr>
            </w:pPr>
            <w:r>
              <w:rPr>
                <w:rFonts w:ascii="Arial" w:cs="Arial" w:eastAsia="Arial" w:hAnsi="Arial"/>
                <w:sz w:val="16"/>
                <w:szCs w:val="16"/>
                <w:color w:val="auto"/>
              </w:rPr>
              <w:t>Initiated Phase 1 program</w:t>
            </w: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276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rPr>
              <w:t>REGN1154</w:t>
            </w:r>
          </w:p>
        </w:tc>
        <w:tc>
          <w:tcPr>
            <w:tcW w:w="4940" w:type="dxa"/>
            <w:vAlign w:val="bottom"/>
          </w:tcPr>
          <w:p>
            <w:pPr>
              <w:spacing w:after="0"/>
              <w:rPr>
                <w:sz w:val="15"/>
                <w:szCs w:val="15"/>
                <w:color w:val="auto"/>
              </w:rPr>
            </w:pPr>
          </w:p>
        </w:tc>
        <w:tc>
          <w:tcPr>
            <w:tcW w:w="3740" w:type="dxa"/>
            <w:vAlign w:val="bottom"/>
          </w:tcPr>
          <w:p>
            <w:pPr>
              <w:ind w:left="400"/>
              <w:spacing w:after="0" w:line="178" w:lineRule="exact"/>
              <w:rPr>
                <w:sz w:val="20"/>
                <w:szCs w:val="20"/>
                <w:color w:val="auto"/>
              </w:rPr>
            </w:pPr>
            <w:r>
              <w:rPr>
                <w:rFonts w:ascii="Arial" w:cs="Arial" w:eastAsia="Arial" w:hAnsi="Arial"/>
                <w:sz w:val="16"/>
                <w:szCs w:val="16"/>
                <w:color w:val="auto"/>
              </w:rPr>
              <w:t>Initiate Phase 1 program</w:t>
            </w:r>
          </w:p>
        </w:tc>
        <w:tc>
          <w:tcPr>
            <w:tcW w:w="20" w:type="dxa"/>
            <w:vAlign w:val="bottom"/>
          </w:tcPr>
          <w:p>
            <w:pPr>
              <w:spacing w:after="0"/>
              <w:rPr>
                <w:sz w:val="15"/>
                <w:szCs w:val="15"/>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(target not disclosed)</w:t>
            </w:r>
          </w:p>
        </w:tc>
        <w:tc>
          <w:tcPr>
            <w:tcW w:w="49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7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596"/>
        </w:trPr>
        <w:tc>
          <w:tcPr>
            <w:tcW w:w="2760" w:type="dxa"/>
            <w:vAlign w:val="bottom"/>
          </w:tcPr>
          <w:p>
            <w:pPr>
              <w:spacing w:after="0"/>
              <w:rPr>
                <w:sz w:val="24"/>
                <w:szCs w:val="24"/>
                <w:color w:val="auto"/>
              </w:rPr>
            </w:pPr>
          </w:p>
        </w:tc>
        <w:tc>
          <w:tcPr>
            <w:tcW w:w="4940" w:type="dxa"/>
            <w:vAlign w:val="bottom"/>
          </w:tcPr>
          <w:p>
            <w:pPr>
              <w:ind w:left="2880"/>
              <w:spacing w:after="0"/>
              <w:rPr>
                <w:sz w:val="20"/>
                <w:szCs w:val="20"/>
                <w:color w:val="auto"/>
              </w:rPr>
            </w:pPr>
            <w:r>
              <w:rPr>
                <w:rFonts w:ascii="Arial" w:cs="Arial" w:eastAsia="Arial" w:hAnsi="Arial"/>
                <w:sz w:val="16"/>
                <w:szCs w:val="16"/>
                <w:color w:val="auto"/>
              </w:rPr>
              <w:t>49</w:t>
            </w: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2760" w:type="dxa"/>
            <w:vAlign w:val="bottom"/>
            <w:tcBorders>
              <w:bottom w:val="single" w:sz="8" w:color="808080"/>
            </w:tcBorders>
          </w:tcPr>
          <w:p>
            <w:pPr>
              <w:spacing w:after="0"/>
              <w:rPr>
                <w:sz w:val="17"/>
                <w:szCs w:val="17"/>
                <w:color w:val="auto"/>
              </w:rPr>
            </w:pPr>
          </w:p>
        </w:tc>
        <w:tc>
          <w:tcPr>
            <w:tcW w:w="4940" w:type="dxa"/>
            <w:vAlign w:val="bottom"/>
            <w:tcBorders>
              <w:bottom w:val="single" w:sz="8" w:color="808080"/>
            </w:tcBorders>
          </w:tcPr>
          <w:p>
            <w:pPr>
              <w:spacing w:after="0"/>
              <w:rPr>
                <w:sz w:val="17"/>
                <w:szCs w:val="17"/>
                <w:color w:val="auto"/>
              </w:rPr>
            </w:pPr>
          </w:p>
        </w:tc>
        <w:tc>
          <w:tcPr>
            <w:tcW w:w="37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-3490595</wp:posOffset>
            </wp:positionV>
            <wp:extent cx="56515" cy="56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-3490595</wp:posOffset>
            </wp:positionV>
            <wp:extent cx="56515" cy="56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-3097530</wp:posOffset>
            </wp:positionV>
            <wp:extent cx="56515" cy="56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-2704465</wp:posOffset>
            </wp:positionV>
            <wp:extent cx="56515" cy="56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-2581275</wp:posOffset>
            </wp:positionV>
            <wp:extent cx="56515" cy="56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-2704465</wp:posOffset>
            </wp:positionV>
            <wp:extent cx="56515" cy="56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-2188210</wp:posOffset>
            </wp:positionV>
            <wp:extent cx="56515" cy="56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-1795145</wp:posOffset>
            </wp:positionV>
            <wp:extent cx="56515" cy="56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-1671955</wp:posOffset>
            </wp:positionV>
            <wp:extent cx="56515" cy="56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-1548130</wp:posOffset>
            </wp:positionV>
            <wp:extent cx="56515" cy="56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-1278890</wp:posOffset>
            </wp:positionV>
            <wp:extent cx="56515" cy="56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-1155065</wp:posOffset>
            </wp:positionV>
            <wp:extent cx="56515" cy="56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-885825</wp:posOffset>
            </wp:positionV>
            <wp:extent cx="56515" cy="56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ectPr>
          <w:pgSz w:w="11900" w:h="16838" w:orient="portrait"/>
          <w:cols w:equalWidth="0" w:num="1">
            <w:col w:w="11460"/>
          </w:cols>
          <w:pgMar w:left="240" w:top="526" w:right="1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Critical Accounting Policies and Use of Estimates</w:t>
      </w:r>
    </w:p>
    <w:p>
      <w:pPr>
        <w:spacing w:after="0" w:line="233" w:lineRule="exact"/>
        <w:rPr>
          <w:sz w:val="20"/>
          <w:szCs w:val="20"/>
          <w:color w:val="auto"/>
        </w:rPr>
      </w:pPr>
    </w:p>
    <w:p>
      <w:pPr>
        <w:jc w:val="both"/>
        <w:ind w:right="20" w:firstLine="340"/>
        <w:spacing w:after="0" w:line="289" w:lineRule="auto"/>
        <w:rPr>
          <w:sz w:val="20"/>
          <w:szCs w:val="20"/>
          <w:color w:val="auto"/>
        </w:rPr>
      </w:pPr>
      <w:r>
        <w:rPr>
          <w:rFonts w:ascii="Arial" w:cs="Arial" w:eastAsia="Arial" w:hAnsi="Arial"/>
          <w:sz w:val="15"/>
          <w:szCs w:val="15"/>
          <w:color w:val="auto"/>
        </w:rPr>
        <w:t>A summary of the significant accounting policies that impact us is provided in Note 2 to our Financial Statements, beginning on page F-7.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It requires an assumption (or assumptions) regarding a future outcome;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-76835</wp:posOffset>
            </wp:positionV>
            <wp:extent cx="56515" cy="56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Changes in the estimate or the use of different assumptions to prepare the estimate could have a material effect on our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-73660</wp:posOffset>
            </wp:positionV>
            <wp:extent cx="56515" cy="56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14" w:lineRule="exact"/>
        <w:rPr>
          <w:sz w:val="20"/>
          <w:szCs w:val="20"/>
          <w:color w:val="auto"/>
        </w:rPr>
      </w:pPr>
    </w:p>
    <w:p>
      <w:pPr>
        <w:jc w:val="both"/>
        <w:ind w:right="20" w:firstLine="303"/>
        <w:spacing w:after="0" w:line="319" w:lineRule="auto"/>
        <w:rPr>
          <w:sz w:val="20"/>
          <w:szCs w:val="20"/>
          <w:color w:val="auto"/>
        </w:rPr>
      </w:pPr>
      <w:r>
        <w:rPr>
          <w:rFonts w:ascii="Arial" w:cs="Arial" w:eastAsia="Arial" w:hAnsi="Arial"/>
          <w:sz w:val="14"/>
          <w:szCs w:val="14"/>
          <w:color w:val="auto"/>
        </w:rPr>
        <w:t>Management believes the current assumptions used to estimate amounts reflected in our financial statements are appropriate. However, if actual experience differs from the assumptions used in estimating amounts reflected in our financial statements, the resulting changes could have a material adverse effect on our results of operations, and in certain situations, could have a material adverse effect on our liquidity and financial condition. The critical accounting estimates that impact our financial statements are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229"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4"/>
          <w:szCs w:val="14"/>
          <w:color w:val="auto"/>
        </w:rPr>
        <w:t>We earn collaboration revenue in connection with collaboration agreements to develop and commercialize product candidates and utilize our technology platforms. We currently have collaboration agreements with Sanofi and Bayer HealthCare. The terms of collaboration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Although we did not enter into, or materially modify, any collaboration arrangements with multiple-deliverables in 2011, any future arrangements with multiple deliverables will be divided into separate units of accounting if the deliverables in the arrangement meet certain criteria, including whether the delivered item or items has value to the collaborator on a standalone basis.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we take into consideration (i) the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179" w:lineRule="exact"/>
        <w:rPr>
          <w:sz w:val="20"/>
          <w:szCs w:val="20"/>
          <w:color w:val="auto"/>
        </w:rPr>
      </w:pPr>
    </w:p>
    <w:p>
      <w:pPr>
        <w:jc w:val="both"/>
        <w:ind w:firstLine="279"/>
        <w:spacing w:after="0" w:line="247" w:lineRule="auto"/>
        <w:rPr>
          <w:sz w:val="20"/>
          <w:szCs w:val="20"/>
          <w:color w:val="auto"/>
        </w:rPr>
      </w:pPr>
      <w:r>
        <w:rPr>
          <w:rFonts w:ascii="Arial" w:cs="Arial" w:eastAsia="Arial" w:hAnsi="Arial"/>
          <w:sz w:val="14"/>
          <w:szCs w:val="14"/>
          <w:color w:val="auto"/>
        </w:rPr>
        <w:t>We enter into collaboration agreements that include varying arrangements regarding which parties perform and bear the costs of research and development activities. We may share the costs of research and development activities with our collaborator, such as in our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 with Bayer HealthCare, or we may be reimbursed for all or a</w:t>
      </w:r>
    </w:p>
    <w:p>
      <w:pPr>
        <w:jc w:val="both"/>
        <w:spacing w:after="0" w:line="253" w:lineRule="auto"/>
        <w:rPr>
          <w:sz w:val="20"/>
          <w:szCs w:val="20"/>
          <w:color w:val="auto"/>
        </w:rPr>
      </w:pPr>
      <w:r>
        <w:rPr>
          <w:rFonts w:ascii="Arial" w:cs="Arial" w:eastAsia="Arial" w:hAnsi="Arial"/>
          <w:sz w:val="15"/>
          <w:szCs w:val="15"/>
          <w:color w:val="auto"/>
        </w:rPr>
        <w:t>significant portion of the costs of our research and development activities, such as in our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antibody collaborations with Sanofi.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 In certain cases, we may also share the costs of pre-launch commercialization activities with our collaborators. We record our share of these costs as a reduction of collaboration revenue.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50" w:name="page51"/>
    <w:bookmarkEnd w:id="50"/>
    <w:p>
      <w:pPr>
        <w:jc w:val="both"/>
        <w:ind w:firstLine="255"/>
        <w:spacing w:after="0" w:line="256" w:lineRule="auto"/>
        <w:rPr>
          <w:sz w:val="20"/>
          <w:szCs w:val="20"/>
          <w:color w:val="auto"/>
        </w:rPr>
      </w:pPr>
      <w:r>
        <w:rPr>
          <w:rFonts w:ascii="Arial" w:cs="Arial" w:eastAsia="Arial" w:hAnsi="Arial"/>
          <w:sz w:val="16"/>
          <w:szCs w:val="16"/>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 Also, if a collaborator terminates an agreement in accordance with the terms of the agreement, we would recognize any unamortized remainder of an up-front or previously deferred payment at the time of the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Revenue</w:t>
      </w:r>
    </w:p>
    <w:p>
      <w:pPr>
        <w:spacing w:after="0" w:line="208" w:lineRule="exact"/>
        <w:rPr>
          <w:sz w:val="20"/>
          <w:szCs w:val="20"/>
          <w:color w:val="auto"/>
        </w:rPr>
      </w:pPr>
    </w:p>
    <w:p>
      <w:pPr>
        <w:jc w:val="both"/>
        <w:ind w:right="20" w:firstLine="315"/>
        <w:spacing w:after="0" w:line="268" w:lineRule="auto"/>
        <w:rPr>
          <w:sz w:val="20"/>
          <w:szCs w:val="20"/>
          <w:color w:val="auto"/>
        </w:rPr>
      </w:pPr>
      <w:r>
        <w:rPr>
          <w:rFonts w:ascii="Arial" w:cs="Arial" w:eastAsia="Arial" w:hAnsi="Arial"/>
          <w:sz w:val="14"/>
          <w:szCs w:val="14"/>
          <w:color w:val="auto"/>
        </w:rPr>
        <w:t>Product sales consist of U.S. sales of our two marketed products,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ARCALYST</w:t>
      </w:r>
      <w:r>
        <w:rPr>
          <w:rFonts w:ascii="Arial" w:cs="Arial" w:eastAsia="Arial" w:hAnsi="Arial"/>
          <w:sz w:val="23"/>
          <w:szCs w:val="23"/>
          <w:color w:val="auto"/>
          <w:vertAlign w:val="superscript"/>
        </w:rPr>
        <w:t>®</w:t>
      </w:r>
      <w:r>
        <w:rPr>
          <w:rFonts w:ascii="Arial" w:cs="Arial" w:eastAsia="Arial" w:hAnsi="Arial"/>
          <w:sz w:val="14"/>
          <w:szCs w:val="14"/>
          <w:color w:val="auto"/>
        </w:rPr>
        <w: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Our written contracts with our distributors and specialty pharmacies (collectively, our “customers”) stipulate that product is shipped freight on board destination (FOB destination). We record revenue from product sales upon delivery to our customers.</w:t>
      </w:r>
    </w:p>
    <w:p>
      <w:pPr>
        <w:spacing w:after="0" w:line="173" w:lineRule="exact"/>
        <w:rPr>
          <w:sz w:val="20"/>
          <w:szCs w:val="20"/>
          <w:color w:val="auto"/>
        </w:rPr>
      </w:pPr>
    </w:p>
    <w:p>
      <w:pPr>
        <w:jc w:val="both"/>
        <w:ind w:right="20" w:firstLine="291"/>
        <w:spacing w:after="0" w:line="223" w:lineRule="auto"/>
        <w:rPr>
          <w:sz w:val="20"/>
          <w:szCs w:val="20"/>
          <w:color w:val="auto"/>
        </w:rPr>
      </w:pPr>
      <w:r>
        <w:rPr>
          <w:rFonts w:ascii="Arial" w:cs="Arial" w:eastAsia="Arial" w:hAnsi="Arial"/>
          <w:sz w:val="15"/>
          <w:szCs w:val="15"/>
          <w:color w:val="auto"/>
        </w:rPr>
        <w:t>We sell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the United States to three distributors and several specialty pharmacies. We sell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the United States to two specialty pharmacies. Under these distribution models, the distributors and specialty pharmacies generally take physical delivery of product. For EYLEA</w:t>
      </w:r>
      <w:r>
        <w:rPr>
          <w:rFonts w:ascii="Arial" w:cs="Arial" w:eastAsia="Arial" w:hAnsi="Arial"/>
          <w:sz w:val="25"/>
          <w:szCs w:val="25"/>
          <w:color w:val="auto"/>
          <w:vertAlign w:val="superscript"/>
        </w:rPr>
        <w:t>®</w:t>
      </w:r>
      <w:r>
        <w:rPr>
          <w:rFonts w:ascii="Arial" w:cs="Arial" w:eastAsia="Arial" w:hAnsi="Arial"/>
          <w:sz w:val="15"/>
          <w:szCs w:val="15"/>
          <w:color w:val="auto"/>
        </w:rPr>
        <w:t>, the distributors and specialty pharmacies generally sell the product directly to healthcare providers, whereas for ARCALYST</w:t>
      </w:r>
      <w:r>
        <w:rPr>
          <w:rFonts w:ascii="Arial" w:cs="Arial" w:eastAsia="Arial" w:hAnsi="Arial"/>
          <w:sz w:val="25"/>
          <w:szCs w:val="25"/>
          <w:color w:val="auto"/>
          <w:vertAlign w:val="superscript"/>
        </w:rPr>
        <w:t>®</w:t>
      </w:r>
      <w:r>
        <w:rPr>
          <w:rFonts w:ascii="Arial" w:cs="Arial" w:eastAsia="Arial" w:hAnsi="Arial"/>
          <w:sz w:val="15"/>
          <w:szCs w:val="15"/>
          <w:color w:val="auto"/>
        </w:rPr>
        <w:t>, the specialty pharmacies sell the product directly to patients.</w:t>
      </w:r>
    </w:p>
    <w:p>
      <w:pPr>
        <w:spacing w:after="0" w:line="106" w:lineRule="exact"/>
        <w:rPr>
          <w:sz w:val="20"/>
          <w:szCs w:val="20"/>
          <w:color w:val="auto"/>
        </w:rPr>
      </w:pPr>
    </w:p>
    <w:p>
      <w:pPr>
        <w:jc w:val="both"/>
        <w:ind w:right="20" w:firstLine="279"/>
        <w:spacing w:after="0" w:line="289" w:lineRule="auto"/>
        <w:rPr>
          <w:sz w:val="20"/>
          <w:szCs w:val="20"/>
          <w:color w:val="auto"/>
        </w:rPr>
      </w:pPr>
      <w:r>
        <w:rPr>
          <w:rFonts w:ascii="Arial" w:cs="Arial" w:eastAsia="Arial" w:hAnsi="Arial"/>
          <w:sz w:val="15"/>
          <w:szCs w:val="15"/>
          <w:color w:val="auto"/>
        </w:rPr>
        <w:t>Revenue from product sales are recorded net of applicable provisions for prompt pay discounts, rebates and chargebacks under governmental programs (including Medicaid), product returns, distribution-related fees, and other sales-related deductions. Calculating these provisions involves estimates and judgments. We review our estimates of rebates, chargebacks, and other applicable provisions each period and record any necessary adjustments in the current period’s net product sales.</w:t>
      </w:r>
    </w:p>
    <w:p>
      <w:pPr>
        <w:spacing w:after="0" w:line="157" w:lineRule="exact"/>
        <w:rPr>
          <w:sz w:val="20"/>
          <w:szCs w:val="20"/>
          <w:color w:val="auto"/>
        </w:rPr>
      </w:pPr>
    </w:p>
    <w:p>
      <w:pPr>
        <w:jc w:val="both"/>
        <w:ind w:right="20" w:firstLine="267"/>
        <w:spacing w:after="0" w:line="241" w:lineRule="auto"/>
        <w:rPr>
          <w:sz w:val="20"/>
          <w:szCs w:val="20"/>
          <w:color w:val="auto"/>
        </w:rPr>
      </w:pPr>
      <w:r>
        <w:rPr>
          <w:rFonts w:ascii="Arial" w:cs="Arial" w:eastAsia="Arial" w:hAnsi="Arial"/>
          <w:sz w:val="14"/>
          <w:szCs w:val="14"/>
          <w:i w:val="1"/>
          <w:iCs w:val="1"/>
          <w:color w:val="auto"/>
        </w:rPr>
        <w:t xml:space="preserve">Prompt Pay Discounts: </w:t>
      </w:r>
      <w:r>
        <w:rPr>
          <w:rFonts w:ascii="Arial" w:cs="Arial" w:eastAsia="Arial" w:hAnsi="Arial"/>
          <w:sz w:val="14"/>
          <w:szCs w:val="14"/>
          <w:color w:val="auto"/>
        </w:rPr>
        <w:t>No prompt pay discounts are currently offered to our customers on sales of EYLEA</w:t>
      </w:r>
      <w:r>
        <w:rPr>
          <w:rFonts w:ascii="Arial" w:cs="Arial" w:eastAsia="Arial" w:hAnsi="Arial"/>
          <w:sz w:val="23"/>
          <w:szCs w:val="23"/>
          <w:color w:val="auto"/>
          <w:vertAlign w:val="superscript"/>
        </w:rPr>
        <w:t>®</w:t>
      </w:r>
      <w:r>
        <w:rPr>
          <w:rFonts w:ascii="Arial" w:cs="Arial" w:eastAsia="Arial" w:hAnsi="Arial"/>
          <w:sz w:val="14"/>
          <w:szCs w:val="14"/>
          <w:color w:val="auto"/>
        </w:rPr>
        <w:t>. In connection with sales of ARCALYST</w:t>
      </w:r>
      <w:r>
        <w:rPr>
          <w:rFonts w:ascii="Arial" w:cs="Arial" w:eastAsia="Arial" w:hAnsi="Arial"/>
          <w:sz w:val="23"/>
          <w:szCs w:val="23"/>
          <w:color w:val="auto"/>
          <w:vertAlign w:val="superscript"/>
        </w:rPr>
        <w:t>®</w:t>
      </w:r>
      <w:r>
        <w:rPr>
          <w:rFonts w:ascii="Arial" w:cs="Arial" w:eastAsia="Arial" w:hAnsi="Arial"/>
          <w:sz w:val="14"/>
          <w:szCs w:val="14"/>
          <w:color w:val="auto"/>
        </w:rPr>
        <w:t>, we offer discounts to</w:t>
      </w:r>
      <w:r>
        <w:rPr>
          <w:rFonts w:ascii="Arial" w:cs="Arial" w:eastAsia="Arial" w:hAnsi="Arial"/>
          <w:sz w:val="14"/>
          <w:szCs w:val="14"/>
          <w:i w:val="1"/>
          <w:iCs w:val="1"/>
          <w:color w:val="auto"/>
        </w:rPr>
        <w:t xml:space="preserve"> </w:t>
      </w:r>
      <w:r>
        <w:rPr>
          <w:rFonts w:ascii="Arial" w:cs="Arial" w:eastAsia="Arial" w:hAnsi="Arial"/>
          <w:sz w:val="14"/>
          <w:szCs w:val="14"/>
          <w:color w:val="auto"/>
        </w:rPr>
        <w:t>our customers for prompt payments. We estimate these discounts based on customer terms and historical experience, and expect that our customers will always take advantage of</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this discount. Therefore, we accrue 100% of the prompt pay discount that is based on the gross amount of each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invoice at the time of sale. Our accrual for prompt pay discounts was not material at December 31, 2011 and 2010.</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Government Rebates and Chargebacks: </w:t>
      </w:r>
      <w:r>
        <w:rPr>
          <w:rFonts w:ascii="Arial" w:cs="Arial" w:eastAsia="Arial" w:hAnsi="Arial"/>
          <w:sz w:val="11"/>
          <w:szCs w:val="11"/>
          <w:color w:val="auto"/>
        </w:rPr>
        <w:t>We estimate reductions to product sales for Medicaid and Veterans’ Administration (VA) programs, and for certain other qualifying federal and state government programs. Based upon our</w:t>
      </w:r>
    </w:p>
    <w:p>
      <w:pPr>
        <w:spacing w:after="0" w:line="28" w:lineRule="exact"/>
        <w:rPr>
          <w:sz w:val="20"/>
          <w:szCs w:val="20"/>
          <w:color w:val="auto"/>
        </w:rPr>
      </w:pPr>
    </w:p>
    <w:p>
      <w:pPr>
        <w:jc w:val="both"/>
        <w:ind w:right="20"/>
        <w:spacing w:after="0" w:line="223" w:lineRule="auto"/>
        <w:rPr>
          <w:sz w:val="20"/>
          <w:szCs w:val="20"/>
          <w:color w:val="auto"/>
        </w:rPr>
      </w:pPr>
      <w:r>
        <w:rPr>
          <w:rFonts w:ascii="Arial" w:cs="Arial" w:eastAsia="Arial" w:hAnsi="Arial"/>
          <w:sz w:val="12"/>
          <w:szCs w:val="12"/>
          <w:color w:val="auto"/>
        </w:rPr>
        <w:t>contracts with government agencies, statutorily-defined discounts applicable to government-funded programs, historical experience, and, in the case of EYLEA</w:t>
      </w:r>
      <w:r>
        <w:rPr>
          <w:rFonts w:ascii="Arial" w:cs="Arial" w:eastAsia="Arial" w:hAnsi="Arial"/>
          <w:sz w:val="20"/>
          <w:szCs w:val="20"/>
          <w:color w:val="auto"/>
          <w:vertAlign w:val="superscript"/>
        </w:rPr>
        <w:t>®</w:t>
      </w:r>
      <w:r>
        <w:rPr>
          <w:rFonts w:ascii="Arial" w:cs="Arial" w:eastAsia="Arial" w:hAnsi="Arial"/>
          <w:sz w:val="12"/>
          <w:szCs w:val="12"/>
          <w:color w:val="auto"/>
        </w:rPr>
        <w:t>, estimated payer mix based on third-party market research data, we estimate and record an allowance for rebates and chargebacks. Our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Our reserves related to discounted pricing offered to VA, Public Health Services (PHS), and other institutions (collectively, “qualified healthcare providers”) represent our estimated obligations resulting from contractual commitments to sell products to qualified healthcare providers at prices lower than the list prices we charge to our customers. Our customers charge us for the difference between what they pay for the products and the ultimate selling price to the qualified healthcare providers. Our reserve for this discounted pricing is based on expected sales to qualified healthcare providers and the chargebacks that customers have already claimed. Our government rebate and chargeback accruals were $0.6 million at December 31, 2011, which was based on a percentage of gross sales. Government rebate and chargeback accruals were not material at December 31, 2010.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51" w:name="page52"/>
    <w:bookmarkEnd w:id="51"/>
    <w:p>
      <w:pPr>
        <w:jc w:val="both"/>
        <w:ind w:right="20" w:firstLine="303"/>
        <w:spacing w:after="0" w:line="260"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we offer our customers a limited right to return product purchased directly from us, which is principally based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expiration date. We will accept returns for three months prior to and up to six months after the product expiration date. Product returned is generally not resalable given the nature of our products and method of administration. We develop estimates for product returns based upon historical experience, inventory levels in the distribution channel, and other relevant factors.</w:t>
      </w:r>
    </w:p>
    <w:p>
      <w:pPr>
        <w:spacing w:after="0" w:line="182" w:lineRule="exact"/>
        <w:rPr>
          <w:sz w:val="20"/>
          <w:szCs w:val="20"/>
          <w:color w:val="auto"/>
        </w:rPr>
      </w:pPr>
    </w:p>
    <w:p>
      <w:pPr>
        <w:jc w:val="both"/>
        <w:ind w:right="20" w:firstLine="234"/>
        <w:spacing w:after="0" w:line="195" w:lineRule="auto"/>
        <w:rPr>
          <w:sz w:val="20"/>
          <w:szCs w:val="20"/>
          <w:color w:val="auto"/>
        </w:rPr>
      </w:pPr>
      <w:r>
        <w:rPr>
          <w:rFonts w:ascii="Arial" w:cs="Arial" w:eastAsia="Arial" w:hAnsi="Arial"/>
          <w:sz w:val="11"/>
          <w:szCs w:val="11"/>
          <w:color w:val="auto"/>
        </w:rPr>
        <w:t>We have developed estimates for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product returns, based on several factors, including (i) our historical experience to date, and our expectation, that our customers will not stock significant supplies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due to contractual limitations and other mitigating circumstances, (ii) historical industry information regarding product return rates for similar specialty products, and (iii) the shelf life of the product. Estimates for ARCALYST</w:t>
      </w:r>
      <w:r>
        <w:rPr>
          <w:rFonts w:ascii="Arial" w:cs="Arial" w:eastAsia="Arial" w:hAnsi="Arial"/>
          <w:sz w:val="18"/>
          <w:szCs w:val="18"/>
          <w:color w:val="auto"/>
          <w:vertAlign w:val="superscript"/>
        </w:rPr>
        <w:t>®</w:t>
      </w:r>
      <w:r>
        <w:rPr>
          <w:rFonts w:ascii="Arial" w:cs="Arial" w:eastAsia="Arial" w:hAnsi="Arial"/>
          <w:sz w:val="11"/>
          <w:szCs w:val="11"/>
          <w:color w:val="auto"/>
        </w:rPr>
        <w:t xml:space="preserve"> product returns have been developed based primarily on our historical returns experience; to date, actual ARCALYST</w:t>
      </w:r>
      <w:r>
        <w:rPr>
          <w:rFonts w:ascii="Arial" w:cs="Arial" w:eastAsia="Arial" w:hAnsi="Arial"/>
          <w:sz w:val="18"/>
          <w:szCs w:val="18"/>
          <w:color w:val="auto"/>
          <w:vertAlign w:val="superscript"/>
        </w:rPr>
        <w:t>®</w:t>
      </w:r>
      <w:r>
        <w:rPr>
          <w:rFonts w:ascii="Arial" w:cs="Arial" w:eastAsia="Arial" w:hAnsi="Arial"/>
          <w:sz w:val="11"/>
          <w:szCs w:val="11"/>
          <w:color w:val="auto"/>
        </w:rPr>
        <w:t xml:space="preserve"> product returns have been negligible. We monitor product supply levels in the distribution channel, as well as sales by our</w:t>
      </w:r>
    </w:p>
    <w:p>
      <w:pPr>
        <w:spacing w:after="0" w:line="1" w:lineRule="exact"/>
        <w:rPr>
          <w:sz w:val="20"/>
          <w:szCs w:val="20"/>
          <w:color w:val="auto"/>
        </w:rPr>
      </w:pPr>
    </w:p>
    <w:p>
      <w:pPr>
        <w:jc w:val="both"/>
        <w:ind w:right="20"/>
        <w:spacing w:after="0" w:line="200" w:lineRule="auto"/>
        <w:rPr>
          <w:sz w:val="20"/>
          <w:szCs w:val="20"/>
          <w:color w:val="auto"/>
        </w:rPr>
      </w:pPr>
      <w:r>
        <w:rPr>
          <w:rFonts w:ascii="Arial" w:cs="Arial" w:eastAsia="Arial" w:hAnsi="Arial"/>
          <w:sz w:val="12"/>
          <w:szCs w:val="12"/>
          <w:color w:val="auto"/>
        </w:rPr>
        <w:t>customers of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to healthcare providers and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to patients using product-specific data provided by our customers. If necessary, our estimates of product returns may be adjusted in the future based on actual returns experience, known or expected changes in the marketplace, or other factors. Our product returns accruals were not material at December 31, 2011 or 2010.</w:t>
      </w:r>
    </w:p>
    <w:p>
      <w:pPr>
        <w:spacing w:after="0" w:line="19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i w:val="1"/>
          <w:iCs w:val="1"/>
          <w:color w:val="auto"/>
        </w:rPr>
        <w:t xml:space="preserve">Distribution-Related Fees: </w:t>
      </w:r>
      <w:r>
        <w:rPr>
          <w:rFonts w:ascii="Arial" w:cs="Arial" w:eastAsia="Arial" w:hAnsi="Arial"/>
          <w:sz w:val="16"/>
          <w:szCs w:val="16"/>
          <w:color w:val="auto"/>
        </w:rPr>
        <w:t>We have written contracts with our customers that include terms for distribution-related fees. We estimate and record distribution and related fees due</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customers based on a percentage of gross sales. Our accrual for distribution-related fees was $1.5 million at December 31, 2011. Our accrual for distribution-related fees at December 31, 2010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Expenses</w:t>
      </w:r>
    </w:p>
    <w:p>
      <w:pPr>
        <w:spacing w:after="0" w:line="229" w:lineRule="exact"/>
        <w:rPr>
          <w:sz w:val="20"/>
          <w:szCs w:val="20"/>
          <w:color w:val="auto"/>
        </w:rPr>
      </w:pPr>
    </w:p>
    <w:p>
      <w:pPr>
        <w:jc w:val="both"/>
        <w:ind w:firstLine="315"/>
        <w:spacing w:after="0" w:line="309" w:lineRule="auto"/>
        <w:rPr>
          <w:sz w:val="20"/>
          <w:szCs w:val="20"/>
          <w:color w:val="auto"/>
        </w:rPr>
      </w:pPr>
      <w:r>
        <w:rPr>
          <w:rFonts w:ascii="Arial" w:cs="Arial" w:eastAsia="Arial" w:hAnsi="Arial"/>
          <w:sz w:val="14"/>
          <w:szCs w:val="14"/>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CROs are expected to provide services.</w:t>
      </w:r>
    </w:p>
    <w:p>
      <w:pPr>
        <w:spacing w:after="0" w:line="166" w:lineRule="exact"/>
        <w:rPr>
          <w:sz w:val="20"/>
          <w:szCs w:val="20"/>
          <w:color w:val="auto"/>
        </w:rPr>
      </w:pPr>
    </w:p>
    <w:p>
      <w:pPr>
        <w:jc w:val="both"/>
        <w:ind w:firstLine="291"/>
        <w:spacing w:after="0" w:line="299" w:lineRule="auto"/>
        <w:rPr>
          <w:sz w:val="20"/>
          <w:szCs w:val="20"/>
          <w:color w:val="auto"/>
        </w:rPr>
      </w:pPr>
      <w:r>
        <w:rPr>
          <w:rFonts w:ascii="Arial" w:cs="Arial" w:eastAsia="Arial" w:hAnsi="Arial"/>
          <w:sz w:val="14"/>
          <w:szCs w:val="14"/>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174" w:lineRule="exact"/>
        <w:rPr>
          <w:sz w:val="20"/>
          <w:szCs w:val="20"/>
          <w:color w:val="auto"/>
        </w:rPr>
      </w:pPr>
    </w:p>
    <w:p>
      <w:pPr>
        <w:jc w:val="both"/>
        <w:ind w:right="20" w:firstLine="279"/>
        <w:spacing w:after="0" w:line="297" w:lineRule="auto"/>
        <w:rPr>
          <w:sz w:val="20"/>
          <w:szCs w:val="20"/>
          <w:color w:val="auto"/>
        </w:rPr>
      </w:pPr>
      <w:r>
        <w:rPr>
          <w:rFonts w:ascii="Arial" w:cs="Arial" w:eastAsia="Arial" w:hAnsi="Arial"/>
          <w:sz w:val="14"/>
          <w:szCs w:val="14"/>
          <w:color w:val="auto"/>
        </w:rPr>
        <w:t>For clinical study sites, where payments are made periodically on a per-patient basis to the institutions performing the clinical study, we accrue expense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2011, 2010, or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9" w:lineRule="exact"/>
        <w:rPr>
          <w:sz w:val="20"/>
          <w:szCs w:val="20"/>
          <w:color w:val="auto"/>
        </w:rPr>
      </w:pPr>
    </w:p>
    <w:p>
      <w:pPr>
        <w:jc w:val="both"/>
        <w:ind w:right="20" w:firstLine="291"/>
        <w:spacing w:after="0" w:line="264" w:lineRule="auto"/>
        <w:rPr>
          <w:sz w:val="20"/>
          <w:szCs w:val="20"/>
          <w:color w:val="auto"/>
        </w:rPr>
      </w:pPr>
      <w:r>
        <w:rPr>
          <w:rFonts w:ascii="Arial" w:cs="Arial" w:eastAsia="Arial" w:hAnsi="Arial"/>
          <w:sz w:val="16"/>
          <w:szCs w:val="16"/>
          <w:color w:val="auto"/>
        </w:rPr>
        <w:t>We recognize stock-based compensation expense for grants of stock option awards and restricted stock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194"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5"/>
          <w:szCs w:val="15"/>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9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6"/>
          <w:szCs w:val="16"/>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194"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6"/>
          <w:szCs w:val="16"/>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we estimate that these options will vest, which is based on whether we consider the options’ performance conditions to be probable of attainment. Our estimates of the number of performance-based options that will vest will be revised, if necessary, in subsequent periods. Changes in these estimates may materially affect the amount of stock-based compensation that we recognize in future periods related to performance-based options.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229" w:lineRule="exact"/>
        <w:rPr>
          <w:sz w:val="20"/>
          <w:szCs w:val="20"/>
          <w:color w:val="auto"/>
        </w:rPr>
      </w:pPr>
    </w:p>
    <w:p>
      <w:pPr>
        <w:jc w:val="both"/>
        <w:ind w:firstLine="267"/>
        <w:spacing w:after="0" w:line="280" w:lineRule="auto"/>
        <w:rPr>
          <w:sz w:val="20"/>
          <w:szCs w:val="20"/>
          <w:color w:val="auto"/>
        </w:rPr>
      </w:pPr>
      <w:r>
        <w:rPr>
          <w:rFonts w:ascii="Arial" w:cs="Arial" w:eastAsia="Arial" w:hAnsi="Arial"/>
          <w:sz w:val="15"/>
          <w:szCs w:val="15"/>
          <w:color w:val="auto"/>
        </w:rPr>
        <w:t>We have invested our excess cash primarily in direct obligations of the U.S. government and its agencies, other debt securities guaranteed by the U.S. government, and money market funds that invest in U.S. government securities. We consider our marketable securities to be “available-for-sale,” as defined by authoritative guidance issued by the Financial Accounting Standards Board (FASB). These assets are carried at fair value and the unrealized gains and losses are included in other accumulated comprehensive income (loss) as a separate component of stockholders’ equity. If the decline in the value of a marketable security in our investment portfolio is deemed to be other-than-temporary, we write down the security to its current fair value and recognize a loss that may be charged against income.</w:t>
      </w:r>
    </w:p>
    <w:p>
      <w:pPr>
        <w:spacing w:after="0" w:line="183" w:lineRule="exact"/>
        <w:rPr>
          <w:sz w:val="20"/>
          <w:szCs w:val="20"/>
          <w:color w:val="auto"/>
        </w:rPr>
      </w:pPr>
    </w:p>
    <w:p>
      <w:pPr>
        <w:jc w:val="both"/>
        <w:ind w:right="20" w:firstLine="255"/>
        <w:spacing w:after="0" w:line="256" w:lineRule="auto"/>
        <w:rPr>
          <w:sz w:val="20"/>
          <w:szCs w:val="20"/>
          <w:color w:val="auto"/>
        </w:rPr>
      </w:pPr>
      <w:r>
        <w:rPr>
          <w:rFonts w:ascii="Arial" w:cs="Arial" w:eastAsia="Arial" w:hAnsi="Arial"/>
          <w:sz w:val="16"/>
          <w:szCs w:val="16"/>
          <w:color w:val="auto"/>
        </w:rPr>
        <w:t>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With respect to debt securities, this review process also includes an evaluation of our intent to sell an individual debt security or our need to sell the debt security before its anticipated recovery or maturity. With respect to equity securities, this review process includes an evaluation of our ability and intent to hold the securities until their full value can be recovered. This review is subjective and requires a high degree of judgment. We recorded no charges for other-than-temporary impairment of our marketable securities during 2011, and inconsequential charges for other-than-temporary impairment of our marketable securities during 2010 and 2009.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Depreciation of Property, Plant, and Equipment</w:t>
      </w:r>
    </w:p>
    <w:p>
      <w:pPr>
        <w:spacing w:after="0" w:line="229" w:lineRule="exact"/>
        <w:rPr>
          <w:sz w:val="20"/>
          <w:szCs w:val="20"/>
          <w:color w:val="auto"/>
        </w:rPr>
      </w:pPr>
    </w:p>
    <w:p>
      <w:pPr>
        <w:jc w:val="both"/>
        <w:ind w:right="40" w:firstLine="267"/>
        <w:spacing w:after="0" w:line="260" w:lineRule="auto"/>
        <w:rPr>
          <w:sz w:val="20"/>
          <w:szCs w:val="20"/>
          <w:color w:val="auto"/>
        </w:rPr>
      </w:pPr>
      <w:r>
        <w:rPr>
          <w:rFonts w:ascii="Arial" w:cs="Arial" w:eastAsia="Arial" w:hAnsi="Arial"/>
          <w:sz w:val="16"/>
          <w:szCs w:val="16"/>
          <w:color w:val="auto"/>
        </w:rPr>
        <w:t>Property, plant, and equipment are stated at cost, net of accumulated depreciation. Depreciation is provided on a straight-line basis over the estimated useful lives of the assets. 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Years Ended December 31, 2011 and 2010</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w:t>
      </w:r>
    </w:p>
    <w:p>
      <w:pPr>
        <w:spacing w:after="0" w:line="229" w:lineRule="exact"/>
        <w:rPr>
          <w:sz w:val="20"/>
          <w:szCs w:val="20"/>
          <w:color w:val="auto"/>
        </w:rPr>
      </w:pPr>
    </w:p>
    <w:p>
      <w:pPr>
        <w:jc w:val="both"/>
        <w:ind w:right="40" w:firstLine="265"/>
        <w:spacing w:after="0" w:line="272" w:lineRule="auto"/>
        <w:rPr>
          <w:sz w:val="20"/>
          <w:szCs w:val="20"/>
          <w:color w:val="auto"/>
        </w:rPr>
      </w:pPr>
      <w:r>
        <w:rPr>
          <w:rFonts w:ascii="Arial" w:cs="Arial" w:eastAsia="Arial" w:hAnsi="Arial"/>
          <w:sz w:val="16"/>
          <w:szCs w:val="16"/>
          <w:color w:val="auto"/>
        </w:rPr>
        <w:t>We reported a net loss of $221.8 million, or $2.45 per share (basic and diluted), for the year ended December 31, 2011, compared to a net loss of $104.5 million, or $1.26 per share (basic and diluted) for 2010. The increase in our net loss in 2011 was principally due to higher selling, general, and administrative expenses, partly in connection with commercializing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wet AMD, and higher research and development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Revenues</w:t>
            </w: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3"/>
        </w:trPr>
        <w:tc>
          <w:tcPr>
            <w:tcW w:w="6280" w:type="dxa"/>
            <w:vAlign w:val="bottom"/>
            <w:gridSpan w:val="2"/>
          </w:tcPr>
          <w:p>
            <w:pPr>
              <w:ind w:left="240"/>
              <w:spacing w:after="0"/>
              <w:rPr>
                <w:sz w:val="20"/>
                <w:szCs w:val="20"/>
                <w:color w:val="auto"/>
              </w:rPr>
            </w:pPr>
            <w:r>
              <w:rPr>
                <w:rFonts w:ascii="Arial" w:cs="Arial" w:eastAsia="Arial" w:hAnsi="Arial"/>
                <w:sz w:val="16"/>
                <w:szCs w:val="16"/>
                <w:color w:val="auto"/>
              </w:rPr>
              <w:t>Revenues in 2011 and 2010 consist of the following:</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8"/>
        </w:trPr>
        <w:tc>
          <w:tcPr>
            <w:tcW w:w="6280" w:type="dxa"/>
            <w:vAlign w:val="bottom"/>
            <w:gridSpan w:val="2"/>
          </w:tcPr>
          <w:p>
            <w:pPr>
              <w:ind w:left="2280"/>
              <w:spacing w:after="0"/>
              <w:rPr>
                <w:sz w:val="20"/>
                <w:szCs w:val="20"/>
                <w:color w:val="auto"/>
              </w:rPr>
            </w:pPr>
            <w:r>
              <w:rPr>
                <w:rFonts w:ascii="Arial" w:cs="Arial" w:eastAsia="Arial" w:hAnsi="Arial"/>
                <w:sz w:val="16"/>
                <w:szCs w:val="16"/>
                <w:b w:val="1"/>
                <w:bCs w:val="1"/>
                <w:i w:val="1"/>
                <w:iCs w:val="1"/>
                <w:color w:val="auto"/>
              </w:rPr>
              <w:t>(In millions)</w:t>
            </w:r>
          </w:p>
        </w:tc>
        <w:tc>
          <w:tcPr>
            <w:tcW w:w="21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r>
      <w:tr>
        <w:trPr>
          <w:trHeight w:val="206"/>
        </w:trPr>
        <w:tc>
          <w:tcPr>
            <w:tcW w:w="2300" w:type="dxa"/>
            <w:vAlign w:val="bottom"/>
          </w:tcPr>
          <w:p>
            <w:pPr>
              <w:spacing w:after="0"/>
              <w:rPr>
                <w:sz w:val="17"/>
                <w:szCs w:val="17"/>
                <w:color w:val="auto"/>
              </w:rPr>
            </w:pPr>
          </w:p>
        </w:tc>
        <w:tc>
          <w:tcPr>
            <w:tcW w:w="39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6"/>
                <w:szCs w:val="16"/>
                <w:color w:val="auto"/>
              </w:rPr>
              <w:t>Collaboration revenue</w:t>
            </w:r>
          </w:p>
        </w:tc>
        <w:tc>
          <w:tcPr>
            <w:tcW w:w="1720" w:type="dxa"/>
            <w:vAlign w:val="bottom"/>
            <w:tcBorders>
              <w:top w:val="single" w:sz="8" w:color="C0C0C0"/>
            </w:tcBorders>
            <w:shd w:val="clear" w:color="auto" w:fill="C0C0C0"/>
          </w:tcPr>
          <w:p>
            <w:pPr>
              <w:spacing w:after="0"/>
              <w:rPr>
                <w:sz w:val="17"/>
                <w:szCs w:val="17"/>
                <w:color w:val="auto"/>
              </w:rPr>
            </w:pPr>
          </w:p>
        </w:tc>
        <w:tc>
          <w:tcPr>
            <w:tcW w:w="46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440" w:type="dxa"/>
            <w:vAlign w:val="bottom"/>
            <w:tcBorders>
              <w:top w:val="single" w:sz="8" w:color="auto"/>
            </w:tcBorders>
            <w:shd w:val="clear" w:color="auto" w:fill="C0C0C0"/>
          </w:tcPr>
          <w:p>
            <w:pPr>
              <w:spacing w:after="0"/>
              <w:rPr>
                <w:sz w:val="17"/>
                <w:szCs w:val="17"/>
                <w:color w:val="auto"/>
              </w:rPr>
            </w:pPr>
          </w:p>
        </w:tc>
      </w:tr>
      <w:tr>
        <w:trPr>
          <w:trHeight w:val="211"/>
        </w:trPr>
        <w:tc>
          <w:tcPr>
            <w:tcW w:w="2300" w:type="dxa"/>
            <w:vAlign w:val="bottom"/>
          </w:tcPr>
          <w:p>
            <w:pPr>
              <w:spacing w:after="0"/>
              <w:rPr>
                <w:sz w:val="18"/>
                <w:szCs w:val="18"/>
                <w:color w:val="auto"/>
              </w:rPr>
            </w:pPr>
          </w:p>
        </w:tc>
        <w:tc>
          <w:tcPr>
            <w:tcW w:w="3980" w:type="dxa"/>
            <w:vAlign w:val="bottom"/>
          </w:tcPr>
          <w:p>
            <w:pPr>
              <w:ind w:left="260"/>
              <w:spacing w:after="0"/>
              <w:rPr>
                <w:sz w:val="20"/>
                <w:szCs w:val="20"/>
                <w:color w:val="auto"/>
              </w:rPr>
            </w:pPr>
            <w:r>
              <w:rPr>
                <w:rFonts w:ascii="Arial" w:cs="Arial" w:eastAsia="Arial" w:hAnsi="Arial"/>
                <w:sz w:val="16"/>
                <w:szCs w:val="16"/>
                <w:color w:val="auto"/>
              </w:rPr>
              <w:t>Sanofi</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$326.6</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78"/>
              </w:rPr>
              <w:t>$ 311.3</w:t>
            </w:r>
          </w:p>
        </w:tc>
      </w:tr>
      <w:tr>
        <w:trPr>
          <w:trHeight w:val="226"/>
        </w:trPr>
        <w:tc>
          <w:tcPr>
            <w:tcW w:w="2300" w:type="dxa"/>
            <w:vAlign w:val="bottom"/>
          </w:tcPr>
          <w:p>
            <w:pPr>
              <w:spacing w:after="0"/>
              <w:rPr>
                <w:sz w:val="19"/>
                <w:szCs w:val="19"/>
                <w:color w:val="auto"/>
              </w:rPr>
            </w:pPr>
          </w:p>
        </w:tc>
        <w:tc>
          <w:tcPr>
            <w:tcW w:w="3980" w:type="dxa"/>
            <w:vAlign w:val="bottom"/>
            <w:shd w:val="clear" w:color="auto" w:fill="C0C0C0"/>
          </w:tcPr>
          <w:p>
            <w:pPr>
              <w:ind w:left="260"/>
              <w:spacing w:after="0"/>
              <w:rPr>
                <w:sz w:val="20"/>
                <w:szCs w:val="20"/>
                <w:color w:val="auto"/>
              </w:rPr>
            </w:pPr>
            <w:r>
              <w:rPr>
                <w:rFonts w:ascii="Arial" w:cs="Arial" w:eastAsia="Arial" w:hAnsi="Arial"/>
                <w:sz w:val="16"/>
                <w:szCs w:val="16"/>
                <w:color w:val="auto"/>
              </w:rPr>
              <w:t>Bayer HealthCare</w:t>
            </w:r>
          </w:p>
        </w:tc>
        <w:tc>
          <w:tcPr>
            <w:tcW w:w="1720" w:type="dxa"/>
            <w:vAlign w:val="bottom"/>
            <w:shd w:val="clear" w:color="auto" w:fill="C0C0C0"/>
          </w:tcPr>
          <w:p>
            <w:pPr>
              <w:spacing w:after="0"/>
              <w:rPr>
                <w:sz w:val="19"/>
                <w:szCs w:val="19"/>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43.1</w:t>
            </w:r>
          </w:p>
        </w:tc>
        <w:tc>
          <w:tcPr>
            <w:tcW w:w="240" w:type="dxa"/>
            <w:vAlign w:val="bottom"/>
            <w:shd w:val="clear" w:color="auto" w:fill="C0C0C0"/>
          </w:tcPr>
          <w:p>
            <w:pPr>
              <w:spacing w:after="0"/>
              <w:rPr>
                <w:sz w:val="19"/>
                <w:szCs w:val="19"/>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75.4</w:t>
            </w:r>
          </w:p>
        </w:tc>
      </w:tr>
      <w:tr>
        <w:trPr>
          <w:trHeight w:val="203"/>
        </w:trPr>
        <w:tc>
          <w:tcPr>
            <w:tcW w:w="2300" w:type="dxa"/>
            <w:vAlign w:val="bottom"/>
          </w:tcPr>
          <w:p>
            <w:pPr>
              <w:spacing w:after="0"/>
              <w:rPr>
                <w:sz w:val="17"/>
                <w:szCs w:val="17"/>
                <w:color w:val="auto"/>
              </w:rPr>
            </w:pPr>
          </w:p>
        </w:tc>
        <w:tc>
          <w:tcPr>
            <w:tcW w:w="3980" w:type="dxa"/>
            <w:vAlign w:val="bottom"/>
          </w:tcPr>
          <w:p>
            <w:pPr>
              <w:ind w:left="540"/>
              <w:spacing w:after="0"/>
              <w:rPr>
                <w:sz w:val="20"/>
                <w:szCs w:val="20"/>
                <w:color w:val="auto"/>
              </w:rPr>
            </w:pPr>
            <w:r>
              <w:rPr>
                <w:rFonts w:ascii="Arial" w:cs="Arial" w:eastAsia="Arial" w:hAnsi="Arial"/>
                <w:sz w:val="16"/>
                <w:szCs w:val="16"/>
                <w:color w:val="auto"/>
              </w:rPr>
              <w:t>Total collaboration revenue</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369.7</w:t>
            </w: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226"/>
        </w:trPr>
        <w:tc>
          <w:tcPr>
            <w:tcW w:w="2300" w:type="dxa"/>
            <w:vAlign w:val="bottom"/>
          </w:tcPr>
          <w:p>
            <w:pPr>
              <w:spacing w:after="0"/>
              <w:rPr>
                <w:sz w:val="19"/>
                <w:szCs w:val="19"/>
                <w:color w:val="auto"/>
              </w:rPr>
            </w:pPr>
          </w:p>
        </w:tc>
        <w:tc>
          <w:tcPr>
            <w:tcW w:w="3980" w:type="dxa"/>
            <w:vAlign w:val="bottom"/>
            <w:shd w:val="clear" w:color="auto" w:fill="C0C0C0"/>
          </w:tcPr>
          <w:p>
            <w:pPr>
              <w:spacing w:after="0"/>
              <w:rPr>
                <w:sz w:val="20"/>
                <w:szCs w:val="20"/>
                <w:color w:val="auto"/>
              </w:rPr>
            </w:pPr>
            <w:r>
              <w:rPr>
                <w:rFonts w:ascii="Arial" w:cs="Arial" w:eastAsia="Arial" w:hAnsi="Arial"/>
                <w:sz w:val="16"/>
                <w:szCs w:val="16"/>
                <w:color w:val="auto"/>
              </w:rPr>
              <w:t>Net product sales</w:t>
            </w:r>
          </w:p>
        </w:tc>
        <w:tc>
          <w:tcPr>
            <w:tcW w:w="21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44.7</w:t>
            </w:r>
          </w:p>
        </w:tc>
        <w:tc>
          <w:tcPr>
            <w:tcW w:w="240" w:type="dxa"/>
            <w:vAlign w:val="bottom"/>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25.3</w:t>
            </w:r>
          </w:p>
        </w:tc>
      </w:tr>
      <w:tr>
        <w:trPr>
          <w:trHeight w:val="211"/>
        </w:trPr>
        <w:tc>
          <w:tcPr>
            <w:tcW w:w="6280" w:type="dxa"/>
            <w:vAlign w:val="bottom"/>
            <w:gridSpan w:val="2"/>
          </w:tcPr>
          <w:p>
            <w:pPr>
              <w:ind w:left="2280"/>
              <w:spacing w:after="0"/>
              <w:rPr>
                <w:sz w:val="20"/>
                <w:szCs w:val="20"/>
                <w:color w:val="auto"/>
              </w:rPr>
            </w:pPr>
            <w:r>
              <w:rPr>
                <w:rFonts w:ascii="Arial" w:cs="Arial" w:eastAsia="Arial" w:hAnsi="Arial"/>
                <w:sz w:val="16"/>
                <w:szCs w:val="16"/>
                <w:color w:val="auto"/>
              </w:rPr>
              <w:t>Technology licensing revenue</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8"/>
        </w:trPr>
        <w:tc>
          <w:tcPr>
            <w:tcW w:w="2300" w:type="dxa"/>
            <w:vAlign w:val="bottom"/>
          </w:tcPr>
          <w:p>
            <w:pPr>
              <w:spacing w:after="0"/>
              <w:rPr>
                <w:sz w:val="18"/>
                <w:szCs w:val="18"/>
                <w:color w:val="auto"/>
              </w:rPr>
            </w:pPr>
          </w:p>
        </w:tc>
        <w:tc>
          <w:tcPr>
            <w:tcW w:w="3980" w:type="dxa"/>
            <w:vAlign w:val="bottom"/>
            <w:shd w:val="clear" w:color="auto" w:fill="C0C0C0"/>
          </w:tcPr>
          <w:p>
            <w:pPr>
              <w:spacing w:after="0"/>
              <w:rPr>
                <w:sz w:val="20"/>
                <w:szCs w:val="20"/>
                <w:color w:val="auto"/>
              </w:rPr>
            </w:pPr>
            <w:r>
              <w:rPr>
                <w:rFonts w:ascii="Arial" w:cs="Arial" w:eastAsia="Arial" w:hAnsi="Arial"/>
                <w:sz w:val="16"/>
                <w:szCs w:val="16"/>
                <w:color w:val="auto"/>
              </w:rPr>
              <w:t>Contract research and other revenue</w:t>
            </w:r>
          </w:p>
        </w:tc>
        <w:tc>
          <w:tcPr>
            <w:tcW w:w="1720" w:type="dxa"/>
            <w:vAlign w:val="bottom"/>
            <w:shd w:val="clear" w:color="auto" w:fill="C0C0C0"/>
          </w:tcPr>
          <w:p>
            <w:pPr>
              <w:spacing w:after="0"/>
              <w:rPr>
                <w:sz w:val="18"/>
                <w:szCs w:val="18"/>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6.6</w:t>
            </w:r>
          </w:p>
        </w:tc>
        <w:tc>
          <w:tcPr>
            <w:tcW w:w="240" w:type="dxa"/>
            <w:vAlign w:val="bottom"/>
            <w:shd w:val="clear" w:color="auto" w:fill="C0C0C0"/>
          </w:tcPr>
          <w:p>
            <w:pPr>
              <w:spacing w:after="0"/>
              <w:rPr>
                <w:sz w:val="18"/>
                <w:szCs w:val="18"/>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6.9</w:t>
            </w:r>
          </w:p>
        </w:tc>
      </w:tr>
      <w:tr>
        <w:trPr>
          <w:trHeight w:val="222"/>
        </w:trPr>
        <w:tc>
          <w:tcPr>
            <w:tcW w:w="2300" w:type="dxa"/>
            <w:vAlign w:val="bottom"/>
          </w:tcPr>
          <w:p>
            <w:pPr>
              <w:spacing w:after="0"/>
              <w:rPr>
                <w:sz w:val="19"/>
                <w:szCs w:val="19"/>
                <w:color w:val="auto"/>
              </w:rPr>
            </w:pPr>
          </w:p>
        </w:tc>
        <w:tc>
          <w:tcPr>
            <w:tcW w:w="3980" w:type="dxa"/>
            <w:vAlign w:val="bottom"/>
          </w:tcPr>
          <w:p>
            <w:pPr>
              <w:ind w:left="540"/>
              <w:spacing w:after="0"/>
              <w:rPr>
                <w:sz w:val="20"/>
                <w:szCs w:val="20"/>
                <w:color w:val="auto"/>
              </w:rPr>
            </w:pPr>
            <w:r>
              <w:rPr>
                <w:rFonts w:ascii="Arial" w:cs="Arial" w:eastAsia="Arial" w:hAnsi="Arial"/>
                <w:sz w:val="16"/>
                <w:szCs w:val="16"/>
                <w:color w:val="auto"/>
              </w:rPr>
              <w:t>Total revenue</w:t>
            </w:r>
          </w:p>
        </w:tc>
        <w:tc>
          <w:tcPr>
            <w:tcW w:w="17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$445.8</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$459.1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Sanofi Collaboration Revenue</w:t>
      </w:r>
    </w:p>
    <w:p>
      <w:pPr>
        <w:spacing w:after="0" w:line="229" w:lineRule="exact"/>
        <w:rPr>
          <w:sz w:val="20"/>
          <w:szCs w:val="20"/>
          <w:color w:val="auto"/>
        </w:rPr>
      </w:pPr>
    </w:p>
    <w:p>
      <w:pPr>
        <w:ind w:right="40" w:firstLine="265"/>
        <w:spacing w:after="0" w:line="305" w:lineRule="auto"/>
        <w:rPr>
          <w:sz w:val="20"/>
          <w:szCs w:val="20"/>
          <w:color w:val="auto"/>
        </w:rPr>
      </w:pPr>
      <w:r>
        <w:rPr>
          <w:rFonts w:ascii="Arial" w:cs="Arial" w:eastAsia="Arial" w:hAnsi="Arial"/>
          <w:sz w:val="15"/>
          <w:szCs w:val="15"/>
          <w:color w:val="auto"/>
        </w:rPr>
        <w:t>The collaboration revenue we earned from Sanofi, as detailed below, consisted primarily of reimbursement for research and development expenses and recognition of revenue related to non-refundable up-front payments of $105.0 million related to the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collaboration and $85.0 million related to the antibody collaboration.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Years ended</w:t>
            </w:r>
          </w:p>
        </w:tc>
      </w:tr>
      <w:tr>
        <w:trPr>
          <w:trHeight w:val="226"/>
        </w:trPr>
        <w:tc>
          <w:tcPr>
            <w:tcW w:w="4900" w:type="dxa"/>
            <w:vAlign w:val="bottom"/>
          </w:tcPr>
          <w:p>
            <w:pPr>
              <w:spacing w:after="0"/>
              <w:rPr>
                <w:sz w:val="20"/>
                <w:szCs w:val="20"/>
                <w:color w:val="auto"/>
              </w:rPr>
            </w:pPr>
            <w:r>
              <w:rPr>
                <w:rFonts w:ascii="Arial" w:cs="Arial" w:eastAsia="Arial" w:hAnsi="Arial"/>
                <w:sz w:val="16"/>
                <w:szCs w:val="16"/>
                <w:b w:val="1"/>
                <w:bCs w:val="1"/>
                <w:color w:val="auto"/>
              </w:rPr>
              <w:t>Sanofi Collaboration Revenue</w:t>
            </w:r>
          </w:p>
        </w:tc>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8"/>
              </w:rPr>
              <w:t>December 31,</w:t>
            </w:r>
          </w:p>
        </w:tc>
      </w:tr>
      <w:tr>
        <w:trPr>
          <w:trHeight w:val="211"/>
        </w:trPr>
        <w:tc>
          <w:tcPr>
            <w:tcW w:w="490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6"/>
                <w:szCs w:val="16"/>
                <w:b w:val="1"/>
                <w:bCs w:val="1"/>
                <w:i w:val="1"/>
                <w:iCs w:val="1"/>
                <w:color w:val="auto"/>
              </w:rPr>
              <w:t>(In millions)</w:t>
            </w:r>
          </w:p>
        </w:tc>
        <w:tc>
          <w:tcPr>
            <w:tcW w:w="4980" w:type="dxa"/>
            <w:vAlign w:val="bottom"/>
            <w:tcBorders>
              <w:top w:val="single" w:sz="8" w:color="auto"/>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89"/>
              </w:rPr>
              <w:t>2011</w:t>
            </w:r>
          </w:p>
        </w:tc>
        <w:tc>
          <w:tcPr>
            <w:tcW w:w="240" w:type="dxa"/>
            <w:vAlign w:val="bottom"/>
            <w:tcBorders>
              <w:top w:val="single" w:sz="8" w:color="auto"/>
              <w:bottom w:val="single" w:sz="8" w:color="C0C0C0"/>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4"/>
              </w:rPr>
              <w:t>2010</w:t>
            </w:r>
          </w:p>
        </w:tc>
        <w:tc>
          <w:tcPr>
            <w:tcW w:w="20" w:type="dxa"/>
            <w:vAlign w:val="bottom"/>
          </w:tcPr>
          <w:p>
            <w:pPr>
              <w:spacing w:after="0"/>
              <w:rPr>
                <w:sz w:val="18"/>
                <w:szCs w:val="18"/>
                <w:color w:val="auto"/>
              </w:rPr>
            </w:pPr>
          </w:p>
        </w:tc>
      </w:tr>
      <w:tr>
        <w:trPr>
          <w:trHeight w:val="266"/>
        </w:trPr>
        <w:tc>
          <w:tcPr>
            <w:tcW w:w="4900" w:type="dxa"/>
            <w:vAlign w:val="bottom"/>
            <w:shd w:val="clear" w:color="auto" w:fill="C0C0C0"/>
          </w:tcPr>
          <w:p>
            <w:pPr>
              <w:spacing w:after="0" w:line="266" w:lineRule="exact"/>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r>
              <w:rPr>
                <w:rFonts w:ascii="Arial" w:cs="Arial" w:eastAsia="Arial" w:hAnsi="Arial"/>
                <w:sz w:val="16"/>
                <w:szCs w:val="16"/>
                <w:color w:val="auto"/>
              </w:rPr>
              <w:t>:</w:t>
            </w:r>
          </w:p>
        </w:tc>
        <w:tc>
          <w:tcPr>
            <w:tcW w:w="4980" w:type="dxa"/>
            <w:vAlign w:val="bottom"/>
            <w:shd w:val="clear" w:color="auto" w:fill="C0C0C0"/>
          </w:tcPr>
          <w:p>
            <w:pPr>
              <w:spacing w:after="0"/>
              <w:rPr>
                <w:sz w:val="23"/>
                <w:szCs w:val="23"/>
                <w:color w:val="auto"/>
              </w:rPr>
            </w:pPr>
          </w:p>
        </w:tc>
        <w:tc>
          <w:tcPr>
            <w:tcW w:w="260" w:type="dxa"/>
            <w:vAlign w:val="bottom"/>
            <w:shd w:val="clear" w:color="auto" w:fill="C0C0C0"/>
          </w:tcPr>
          <w:p>
            <w:pPr>
              <w:spacing w:after="0"/>
              <w:rPr>
                <w:sz w:val="23"/>
                <w:szCs w:val="23"/>
                <w:color w:val="auto"/>
              </w:rPr>
            </w:pPr>
          </w:p>
        </w:tc>
        <w:tc>
          <w:tcPr>
            <w:tcW w:w="100" w:type="dxa"/>
            <w:vAlign w:val="bottom"/>
            <w:shd w:val="clear" w:color="auto" w:fill="C0C0C0"/>
          </w:tcPr>
          <w:p>
            <w:pPr>
              <w:spacing w:after="0"/>
              <w:rPr>
                <w:sz w:val="23"/>
                <w:szCs w:val="23"/>
                <w:color w:val="auto"/>
              </w:rPr>
            </w:pPr>
          </w:p>
        </w:tc>
        <w:tc>
          <w:tcPr>
            <w:tcW w:w="480" w:type="dxa"/>
            <w:vAlign w:val="bottom"/>
            <w:shd w:val="clear" w:color="auto" w:fill="C0C0C0"/>
          </w:tcPr>
          <w:p>
            <w:pPr>
              <w:spacing w:after="0"/>
              <w:rPr>
                <w:sz w:val="23"/>
                <w:szCs w:val="23"/>
                <w:color w:val="auto"/>
              </w:rPr>
            </w:pPr>
          </w:p>
        </w:tc>
        <w:tc>
          <w:tcPr>
            <w:tcW w:w="240" w:type="dxa"/>
            <w:vAlign w:val="bottom"/>
            <w:shd w:val="clear" w:color="auto" w:fill="C0C0C0"/>
          </w:tcPr>
          <w:p>
            <w:pPr>
              <w:spacing w:after="0"/>
              <w:rPr>
                <w:sz w:val="23"/>
                <w:szCs w:val="23"/>
                <w:color w:val="auto"/>
              </w:rPr>
            </w:pPr>
          </w:p>
        </w:tc>
        <w:tc>
          <w:tcPr>
            <w:tcW w:w="80" w:type="dxa"/>
            <w:vAlign w:val="bottom"/>
            <w:shd w:val="clear" w:color="auto" w:fill="C0C0C0"/>
          </w:tcPr>
          <w:p>
            <w:pPr>
              <w:spacing w:after="0"/>
              <w:rPr>
                <w:sz w:val="23"/>
                <w:szCs w:val="23"/>
                <w:color w:val="auto"/>
              </w:rPr>
            </w:pPr>
          </w:p>
        </w:tc>
        <w:tc>
          <w:tcPr>
            <w:tcW w:w="400" w:type="dxa"/>
            <w:vAlign w:val="bottom"/>
            <w:shd w:val="clear" w:color="auto" w:fill="C0C0C0"/>
          </w:tcPr>
          <w:p>
            <w:pPr>
              <w:spacing w:after="0"/>
              <w:rPr>
                <w:sz w:val="23"/>
                <w:szCs w:val="23"/>
                <w:color w:val="auto"/>
              </w:rPr>
            </w:pPr>
          </w:p>
        </w:tc>
        <w:tc>
          <w:tcPr>
            <w:tcW w:w="20" w:type="dxa"/>
            <w:vAlign w:val="bottom"/>
          </w:tcPr>
          <w:p>
            <w:pPr>
              <w:spacing w:after="0"/>
              <w:rPr>
                <w:sz w:val="23"/>
                <w:szCs w:val="23"/>
                <w:color w:val="auto"/>
              </w:rPr>
            </w:pPr>
          </w:p>
        </w:tc>
      </w:tr>
      <w:tr>
        <w:trPr>
          <w:trHeight w:val="211"/>
        </w:trPr>
        <w:tc>
          <w:tcPr>
            <w:tcW w:w="4900" w:type="dxa"/>
            <w:vAlign w:val="bottom"/>
          </w:tcPr>
          <w:p>
            <w:pPr>
              <w:ind w:left="280"/>
              <w:spacing w:after="0"/>
              <w:rPr>
                <w:sz w:val="20"/>
                <w:szCs w:val="20"/>
                <w:color w:val="auto"/>
              </w:rPr>
            </w:pPr>
            <w:r>
              <w:rPr>
                <w:rFonts w:ascii="Arial" w:cs="Arial" w:eastAsia="Arial" w:hAnsi="Arial"/>
                <w:sz w:val="16"/>
                <w:szCs w:val="16"/>
                <w:color w:val="auto"/>
              </w:rPr>
              <w:t>Regeneron expense reimbursement</w:t>
            </w:r>
          </w:p>
        </w:tc>
        <w:tc>
          <w:tcPr>
            <w:tcW w:w="5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18"/>
                <w:szCs w:val="18"/>
                <w:color w:val="auto"/>
              </w:rPr>
            </w:pPr>
          </w:p>
        </w:tc>
      </w:tr>
      <w:tr>
        <w:trPr>
          <w:trHeight w:val="226"/>
        </w:trPr>
        <w:tc>
          <w:tcPr>
            <w:tcW w:w="49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Recognition of deferred revenue related to up-front payments</w:t>
            </w:r>
          </w:p>
        </w:tc>
        <w:tc>
          <w:tcPr>
            <w:tcW w:w="49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8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9"/>
                <w:szCs w:val="19"/>
                <w:color w:val="auto"/>
              </w:rPr>
            </w:pPr>
          </w:p>
        </w:tc>
      </w:tr>
      <w:tr>
        <w:trPr>
          <w:trHeight w:val="279"/>
        </w:trPr>
        <w:tc>
          <w:tcPr>
            <w:tcW w:w="4900" w:type="dxa"/>
            <w:vAlign w:val="bottom"/>
            <w:tcBorders>
              <w:bottom w:val="single" w:sz="8" w:color="C0C0C0"/>
            </w:tcBorders>
          </w:tcPr>
          <w:p>
            <w:pPr>
              <w:ind w:left="280"/>
              <w:spacing w:after="0" w:line="280" w:lineRule="exact"/>
              <w:rPr>
                <w:sz w:val="20"/>
                <w:szCs w:val="20"/>
                <w:color w:val="auto"/>
              </w:rPr>
            </w:pPr>
            <w:r>
              <w:rPr>
                <w:rFonts w:ascii="Arial" w:cs="Arial" w:eastAsia="Arial" w:hAnsi="Arial"/>
                <w:sz w:val="16"/>
                <w:szCs w:val="16"/>
                <w:color w:val="auto"/>
              </w:rPr>
              <w:t>Regeneron share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commercialization expenses</w:t>
            </w:r>
          </w:p>
        </w:tc>
        <w:tc>
          <w:tcPr>
            <w:tcW w:w="49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4900" w:type="dxa"/>
            <w:vAlign w:val="bottom"/>
            <w:shd w:val="clear" w:color="auto" w:fill="C0C0C0"/>
          </w:tcPr>
          <w:p>
            <w:pPr>
              <w:ind w:left="540"/>
              <w:spacing w:after="0" w:line="260" w:lineRule="exact"/>
              <w:rPr>
                <w:sz w:val="20"/>
                <w:szCs w:val="20"/>
                <w:color w:val="auto"/>
              </w:rPr>
            </w:pPr>
            <w:r>
              <w:rPr>
                <w:rFonts w:ascii="Arial" w:cs="Arial" w:eastAsia="Arial" w:hAnsi="Arial"/>
                <w:sz w:val="16"/>
                <w:szCs w:val="16"/>
                <w:color w:val="auto"/>
              </w:rPr>
              <w:t>Total ZALTRAP</w:t>
            </w:r>
            <w:r>
              <w:rPr>
                <w:rFonts w:ascii="Arial" w:cs="Arial" w:eastAsia="Arial" w:hAnsi="Arial"/>
                <w:sz w:val="26"/>
                <w:szCs w:val="26"/>
                <w:color w:val="auto"/>
                <w:vertAlign w:val="superscript"/>
              </w:rPr>
              <w:t>®</w:t>
            </w:r>
          </w:p>
        </w:tc>
        <w:tc>
          <w:tcPr>
            <w:tcW w:w="498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spacing w:after="0"/>
              <w:rPr>
                <w:sz w:val="22"/>
                <w:szCs w:val="22"/>
                <w:color w:val="auto"/>
              </w:rPr>
            </w:pPr>
          </w:p>
        </w:tc>
        <w:tc>
          <w:tcPr>
            <w:tcW w:w="48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17.5</w:t>
            </w:r>
          </w:p>
        </w:tc>
        <w:tc>
          <w:tcPr>
            <w:tcW w:w="240" w:type="dxa"/>
            <w:vAlign w:val="bottom"/>
            <w:shd w:val="clear" w:color="auto" w:fill="C0C0C0"/>
          </w:tcPr>
          <w:p>
            <w:pPr>
              <w:spacing w:after="0"/>
              <w:rPr>
                <w:sz w:val="22"/>
                <w:szCs w:val="22"/>
                <w:color w:val="auto"/>
              </w:rPr>
            </w:pPr>
          </w:p>
        </w:tc>
        <w:tc>
          <w:tcPr>
            <w:tcW w:w="80" w:type="dxa"/>
            <w:vAlign w:val="bottom"/>
            <w:tcBorders>
              <w:bottom w:val="single" w:sz="8" w:color="auto"/>
            </w:tcBorders>
            <w:shd w:val="clear" w:color="auto" w:fill="C0C0C0"/>
          </w:tcPr>
          <w:p>
            <w:pPr>
              <w:spacing w:after="0"/>
              <w:rPr>
                <w:sz w:val="22"/>
                <w:szCs w:val="22"/>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22"/>
                <w:szCs w:val="22"/>
                <w:color w:val="auto"/>
              </w:rPr>
            </w:pPr>
          </w:p>
        </w:tc>
      </w:tr>
      <w:tr>
        <w:trPr>
          <w:trHeight w:val="191"/>
        </w:trPr>
        <w:tc>
          <w:tcPr>
            <w:tcW w:w="4900" w:type="dxa"/>
            <w:vAlign w:val="bottom"/>
          </w:tcPr>
          <w:p>
            <w:pPr>
              <w:spacing w:after="0"/>
              <w:rPr>
                <w:sz w:val="20"/>
                <w:szCs w:val="20"/>
                <w:color w:val="auto"/>
              </w:rPr>
            </w:pPr>
            <w:r>
              <w:rPr>
                <w:rFonts w:ascii="Arial" w:cs="Arial" w:eastAsia="Arial" w:hAnsi="Arial"/>
                <w:sz w:val="16"/>
                <w:szCs w:val="16"/>
                <w:color w:val="auto"/>
              </w:rPr>
              <w:t>Antibody:</w:t>
            </w:r>
          </w:p>
        </w:tc>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49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Regeneron expense reimbursement</w:t>
            </w:r>
          </w:p>
        </w:tc>
        <w:tc>
          <w:tcPr>
            <w:tcW w:w="49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8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84"/>
              </w:rPr>
              <w:t>299.3</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4"/>
              </w:rPr>
              <w:t>276.0</w:t>
            </w:r>
          </w:p>
        </w:tc>
        <w:tc>
          <w:tcPr>
            <w:tcW w:w="20" w:type="dxa"/>
            <w:vAlign w:val="bottom"/>
          </w:tcPr>
          <w:p>
            <w:pPr>
              <w:spacing w:after="0"/>
              <w:rPr>
                <w:sz w:val="19"/>
                <w:szCs w:val="19"/>
                <w:color w:val="auto"/>
              </w:rPr>
            </w:pPr>
          </w:p>
        </w:tc>
      </w:tr>
      <w:tr>
        <w:trPr>
          <w:trHeight w:val="204"/>
        </w:trPr>
        <w:tc>
          <w:tcPr>
            <w:tcW w:w="4900" w:type="dxa"/>
            <w:vAlign w:val="bottom"/>
          </w:tcPr>
          <w:p>
            <w:pPr>
              <w:ind w:left="280"/>
              <w:spacing w:after="0"/>
              <w:rPr>
                <w:sz w:val="20"/>
                <w:szCs w:val="20"/>
                <w:color w:val="auto"/>
              </w:rPr>
            </w:pPr>
            <w:r>
              <w:rPr>
                <w:rFonts w:ascii="Arial" w:cs="Arial" w:eastAsia="Arial" w:hAnsi="Arial"/>
                <w:sz w:val="16"/>
                <w:szCs w:val="16"/>
                <w:color w:val="auto"/>
              </w:rPr>
              <w:t>Recognition of deferred revenue related to up-front and other</w:t>
            </w:r>
          </w:p>
        </w:tc>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900" w:type="dxa"/>
            <w:vAlign w:val="bottom"/>
          </w:tcPr>
          <w:p>
            <w:pPr>
              <w:ind w:left="540"/>
              <w:spacing w:after="0"/>
              <w:rPr>
                <w:sz w:val="20"/>
                <w:szCs w:val="20"/>
                <w:color w:val="auto"/>
              </w:rPr>
            </w:pPr>
            <w:r>
              <w:rPr>
                <w:rFonts w:ascii="Arial" w:cs="Arial" w:eastAsia="Arial" w:hAnsi="Arial"/>
                <w:sz w:val="16"/>
                <w:szCs w:val="16"/>
                <w:color w:val="auto"/>
              </w:rPr>
              <w:t>payments</w:t>
            </w:r>
          </w:p>
        </w:tc>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9"/>
                <w:szCs w:val="19"/>
                <w:color w:val="auto"/>
              </w:rPr>
            </w:pPr>
          </w:p>
        </w:tc>
      </w:tr>
      <w:tr>
        <w:trPr>
          <w:trHeight w:val="287"/>
        </w:trPr>
        <w:tc>
          <w:tcPr>
            <w:tcW w:w="4900" w:type="dxa"/>
            <w:vAlign w:val="bottom"/>
            <w:shd w:val="clear" w:color="auto" w:fill="C0C0C0"/>
          </w:tcPr>
          <w:p>
            <w:pPr>
              <w:ind w:left="280"/>
              <w:spacing w:after="0" w:line="286" w:lineRule="exact"/>
              <w:rPr>
                <w:sz w:val="20"/>
                <w:szCs w:val="20"/>
                <w:color w:val="auto"/>
              </w:rPr>
            </w:pPr>
            <w:r>
              <w:rPr>
                <w:rFonts w:ascii="Arial" w:cs="Arial" w:eastAsia="Arial" w:hAnsi="Arial"/>
                <w:sz w:val="16"/>
                <w:szCs w:val="16"/>
                <w:color w:val="auto"/>
              </w:rPr>
              <w:t xml:space="preserve">Recognition of revenue related to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agreement</w:t>
            </w:r>
          </w:p>
        </w:tc>
        <w:tc>
          <w:tcPr>
            <w:tcW w:w="498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spacing w:after="0"/>
              <w:rPr>
                <w:sz w:val="24"/>
                <w:szCs w:val="24"/>
                <w:color w:val="auto"/>
              </w:rPr>
            </w:pPr>
          </w:p>
        </w:tc>
        <w:tc>
          <w:tcPr>
            <w:tcW w:w="48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0C0C0"/>
          </w:tcPr>
          <w:p>
            <w:pPr>
              <w:spacing w:after="0"/>
              <w:rPr>
                <w:sz w:val="24"/>
                <w:szCs w:val="24"/>
                <w:color w:val="auto"/>
              </w:rPr>
            </w:pPr>
          </w:p>
        </w:tc>
        <w:tc>
          <w:tcPr>
            <w:tcW w:w="80" w:type="dxa"/>
            <w:vAlign w:val="bottom"/>
            <w:tcBorders>
              <w:bottom w:val="single" w:sz="8" w:color="auto"/>
            </w:tcBorders>
            <w:shd w:val="clear" w:color="auto" w:fill="C0C0C0"/>
          </w:tcPr>
          <w:p>
            <w:pPr>
              <w:spacing w:after="0"/>
              <w:rPr>
                <w:sz w:val="24"/>
                <w:szCs w:val="24"/>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4"/>
                <w:szCs w:val="24"/>
                <w:color w:val="auto"/>
              </w:rPr>
            </w:pPr>
          </w:p>
        </w:tc>
      </w:tr>
      <w:tr>
        <w:trPr>
          <w:trHeight w:val="203"/>
        </w:trPr>
        <w:tc>
          <w:tcPr>
            <w:tcW w:w="4900" w:type="dxa"/>
            <w:vAlign w:val="bottom"/>
            <w:tcBorders>
              <w:bottom w:val="single" w:sz="8" w:color="C0C0C0"/>
            </w:tcBorders>
          </w:tcPr>
          <w:p>
            <w:pPr>
              <w:ind w:left="540"/>
              <w:spacing w:after="0"/>
              <w:rPr>
                <w:sz w:val="20"/>
                <w:szCs w:val="20"/>
                <w:color w:val="auto"/>
              </w:rPr>
            </w:pPr>
            <w:r>
              <w:rPr>
                <w:rFonts w:ascii="Arial" w:cs="Arial" w:eastAsia="Arial" w:hAnsi="Arial"/>
                <w:sz w:val="16"/>
                <w:szCs w:val="16"/>
                <w:color w:val="auto"/>
              </w:rPr>
              <w:t>Total antibody</w:t>
            </w:r>
          </w:p>
        </w:tc>
        <w:tc>
          <w:tcPr>
            <w:tcW w:w="4980" w:type="dxa"/>
            <w:vAlign w:val="bottom"/>
            <w:tcBorders>
              <w:bottom w:val="single" w:sz="8" w:color="C0C0C0"/>
            </w:tcBorders>
          </w:tcPr>
          <w:p>
            <w:pPr>
              <w:spacing w:after="0"/>
              <w:rPr>
                <w:sz w:val="17"/>
                <w:szCs w:val="17"/>
                <w:color w:val="auto"/>
              </w:rPr>
            </w:pPr>
          </w:p>
        </w:tc>
        <w:tc>
          <w:tcPr>
            <w:tcW w:w="26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4"/>
              </w:rPr>
              <w:t>309.1</w:t>
            </w:r>
          </w:p>
        </w:tc>
        <w:tc>
          <w:tcPr>
            <w:tcW w:w="240" w:type="dxa"/>
            <w:vAlign w:val="bottom"/>
            <w:tcBorders>
              <w:bottom w:val="single" w:sz="8" w:color="C0C0C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284.9</w:t>
            </w:r>
          </w:p>
        </w:tc>
        <w:tc>
          <w:tcPr>
            <w:tcW w:w="20" w:type="dxa"/>
            <w:vAlign w:val="bottom"/>
          </w:tcPr>
          <w:p>
            <w:pPr>
              <w:spacing w:after="0"/>
              <w:rPr>
                <w:sz w:val="17"/>
                <w:szCs w:val="17"/>
                <w:color w:val="auto"/>
              </w:rPr>
            </w:pPr>
          </w:p>
        </w:tc>
      </w:tr>
      <w:tr>
        <w:trPr>
          <w:trHeight w:val="237"/>
        </w:trPr>
        <w:tc>
          <w:tcPr>
            <w:tcW w:w="4900" w:type="dxa"/>
            <w:vAlign w:val="bottom"/>
            <w:shd w:val="clear" w:color="auto" w:fill="C0C0C0"/>
          </w:tcPr>
          <w:p>
            <w:pPr>
              <w:spacing w:after="0"/>
              <w:rPr>
                <w:sz w:val="20"/>
                <w:szCs w:val="20"/>
                <w:color w:val="auto"/>
              </w:rPr>
            </w:pPr>
            <w:r>
              <w:rPr>
                <w:rFonts w:ascii="Arial" w:cs="Arial" w:eastAsia="Arial" w:hAnsi="Arial"/>
                <w:sz w:val="16"/>
                <w:szCs w:val="16"/>
                <w:color w:val="auto"/>
              </w:rPr>
              <w:t>Total Sanofi collaboration revenue</w:t>
            </w:r>
          </w:p>
        </w:tc>
        <w:tc>
          <w:tcPr>
            <w:tcW w:w="5340" w:type="dxa"/>
            <w:vAlign w:val="bottom"/>
            <w:gridSpan w:val="3"/>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84"/>
              </w:rPr>
              <w:t>326.6</w:t>
            </w:r>
          </w:p>
        </w:tc>
        <w:tc>
          <w:tcPr>
            <w:tcW w:w="240" w:type="dxa"/>
            <w:vAlign w:val="bottom"/>
            <w:shd w:val="clear" w:color="auto" w:fill="C0C0C0"/>
          </w:tcPr>
          <w:p>
            <w:pPr>
              <w:spacing w:after="0"/>
              <w:rPr>
                <w:sz w:val="20"/>
                <w:szCs w:val="20"/>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4"/>
              </w:rPr>
              <w:t>311.3</w:t>
            </w:r>
          </w:p>
        </w:tc>
        <w:tc>
          <w:tcPr>
            <w:tcW w:w="20" w:type="dxa"/>
            <w:vAlign w:val="bottom"/>
          </w:tcPr>
          <w:p>
            <w:pPr>
              <w:spacing w:after="0"/>
              <w:rPr>
                <w:sz w:val="20"/>
                <w:szCs w:val="20"/>
                <w:color w:val="auto"/>
              </w:rPr>
            </w:pPr>
          </w:p>
        </w:tc>
      </w:tr>
      <w:tr>
        <w:trPr>
          <w:trHeight w:val="371"/>
        </w:trPr>
        <w:tc>
          <w:tcPr>
            <w:tcW w:w="4900" w:type="dxa"/>
            <w:vAlign w:val="bottom"/>
            <w:tcBorders>
              <w:top w:val="single" w:sz="8" w:color="C0C0C0"/>
            </w:tcBorders>
          </w:tcPr>
          <w:p>
            <w:pPr>
              <w:spacing w:after="0"/>
              <w:rPr>
                <w:sz w:val="24"/>
                <w:szCs w:val="24"/>
                <w:color w:val="auto"/>
              </w:rPr>
            </w:pPr>
          </w:p>
        </w:tc>
        <w:tc>
          <w:tcPr>
            <w:tcW w:w="4980" w:type="dxa"/>
            <w:vAlign w:val="bottom"/>
            <w:tcBorders>
              <w:top w:val="single" w:sz="8" w:color="C0C0C0"/>
            </w:tcBorders>
          </w:tcPr>
          <w:p>
            <w:pPr>
              <w:jc w:val="right"/>
              <w:ind w:right="4001"/>
              <w:spacing w:after="0"/>
              <w:rPr>
                <w:sz w:val="20"/>
                <w:szCs w:val="20"/>
                <w:color w:val="auto"/>
              </w:rPr>
            </w:pPr>
            <w:r>
              <w:rPr>
                <w:rFonts w:ascii="Arial" w:cs="Arial" w:eastAsia="Arial" w:hAnsi="Arial"/>
                <w:sz w:val="16"/>
                <w:szCs w:val="16"/>
                <w:color w:val="auto"/>
              </w:rPr>
              <w:t>54</w:t>
            </w:r>
          </w:p>
        </w:tc>
        <w:tc>
          <w:tcPr>
            <w:tcW w:w="2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900" w:type="dxa"/>
            <w:vAlign w:val="bottom"/>
            <w:tcBorders>
              <w:bottom w:val="single" w:sz="8" w:color="808080"/>
            </w:tcBorders>
          </w:tcPr>
          <w:p>
            <w:pPr>
              <w:spacing w:after="0"/>
              <w:rPr>
                <w:sz w:val="17"/>
                <w:szCs w:val="17"/>
                <w:color w:val="auto"/>
              </w:rPr>
            </w:pPr>
          </w:p>
        </w:tc>
        <w:tc>
          <w:tcPr>
            <w:tcW w:w="49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43" w:right="199" w:bottom="1440" w:gutter="0" w:footer="0" w:header="0"/>
        </w:sectPr>
      </w:pPr>
    </w:p>
    <w:bookmarkStart w:id="54" w:name="page55"/>
    <w:bookmarkEnd w:id="54"/>
    <w:p>
      <w:pPr>
        <w:jc w:val="both"/>
        <w:ind w:right="20" w:firstLine="255"/>
        <w:spacing w:after="0" w:line="231" w:lineRule="auto"/>
        <w:rPr>
          <w:sz w:val="20"/>
          <w:szCs w:val="20"/>
          <w:color w:val="auto"/>
        </w:rPr>
      </w:pPr>
      <w:r>
        <w:rPr>
          <w:rFonts w:ascii="Arial" w:cs="Arial" w:eastAsia="Arial" w:hAnsi="Arial"/>
          <w:sz w:val="14"/>
          <w:szCs w:val="14"/>
          <w:color w:val="auto"/>
        </w:rPr>
        <w:t>Sanofi’s reimbursement of our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expenses increased slightly in 2011 compared to 2010, primarily due to higher costs related to manufacturing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supplies, offset by a decrease in other research and development activities. Effective in 2011, we and Sanofi began equally sharing pre-launch commercialization expenses related to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accordance with the companies’ collaboration agreement. Our share of these expenses was $9.3 million in 2011, which reduced our Sanofi collaboration revenue. In</w:t>
      </w:r>
    </w:p>
    <w:p>
      <w:pPr>
        <w:spacing w:after="0" w:line="1"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connection with recognition of deferred revenue related to ZALTRAP</w:t>
      </w:r>
      <w:r>
        <w:rPr>
          <w:rFonts w:ascii="Arial" w:cs="Arial" w:eastAsia="Arial" w:hAnsi="Arial"/>
          <w:sz w:val="26"/>
          <w:szCs w:val="26"/>
          <w:color w:val="auto"/>
          <w:vertAlign w:val="superscript"/>
        </w:rPr>
        <w:t>®</w:t>
      </w:r>
      <w:r>
        <w:rPr>
          <w:rFonts w:ascii="Arial" w:cs="Arial" w:eastAsia="Arial" w:hAnsi="Arial"/>
          <w:sz w:val="16"/>
          <w:szCs w:val="16"/>
          <w:color w:val="auto"/>
        </w:rPr>
        <w:t>, as of December 31, 2011, $22.6 million of the original $105.0 million of up-front payments was deferred and will be recognized as revenue in future periods.</w:t>
      </w:r>
    </w:p>
    <w:p>
      <w:pPr>
        <w:spacing w:after="0" w:line="214" w:lineRule="exact"/>
        <w:rPr>
          <w:sz w:val="20"/>
          <w:szCs w:val="20"/>
          <w:color w:val="auto"/>
        </w:rPr>
      </w:pPr>
    </w:p>
    <w:p>
      <w:pPr>
        <w:jc w:val="both"/>
        <w:ind w:right="20" w:firstLine="243"/>
        <w:spacing w:after="0" w:line="309" w:lineRule="auto"/>
        <w:rPr>
          <w:sz w:val="20"/>
          <w:szCs w:val="20"/>
          <w:color w:val="auto"/>
        </w:rPr>
      </w:pPr>
      <w:r>
        <w:rPr>
          <w:rFonts w:ascii="Arial" w:cs="Arial" w:eastAsia="Arial" w:hAnsi="Arial"/>
          <w:sz w:val="14"/>
          <w:szCs w:val="14"/>
          <w:color w:val="auto"/>
        </w:rPr>
        <w:t>In 2011, Sanofi’s reimbursement of our antibody expenses consisted of $161.9 million under the discovery agreement and $137.4 million of development costs under the license agreement, compared to $137.7 million and $138.3 million, respectively, in 2010. The higher reimbursement amount under the discovery agreement in 2011 compared to 2010 was primarily due to an increase in our antibody discovery activities. The slightly lower reimbursement of development costs in 2011 compared to 2010 was primarily due to a decrease in development activities related to REGN475, which is currently on clinical hold, offset generally by increases in development activities for other antibody candidates.</w:t>
      </w:r>
    </w:p>
    <w:p>
      <w:pPr>
        <w:spacing w:after="0" w:line="166" w:lineRule="exact"/>
        <w:rPr>
          <w:sz w:val="20"/>
          <w:szCs w:val="20"/>
          <w:color w:val="auto"/>
        </w:rPr>
      </w:pPr>
    </w:p>
    <w:p>
      <w:pPr>
        <w:jc w:val="both"/>
        <w:ind w:right="20" w:firstLine="255"/>
        <w:spacing w:after="0" w:line="280" w:lineRule="auto"/>
        <w:rPr>
          <w:sz w:val="20"/>
          <w:szCs w:val="20"/>
          <w:color w:val="auto"/>
        </w:rPr>
      </w:pPr>
      <w:r>
        <w:rPr>
          <w:rFonts w:ascii="Arial" w:cs="Arial" w:eastAsia="Arial" w:hAnsi="Arial"/>
          <w:sz w:val="15"/>
          <w:szCs w:val="15"/>
          <w:color w:val="auto"/>
        </w:rPr>
        <w:t>Recognition of deferred revenue related to Sanofi’s $85.0 million up-front payment and other payments increased in 2011 compared to 2010. In connection with the November 2009 amendment of the discovery agreement, Sanofi is funding up to $30 million of agreed-upon costs incurred by us to expand our manufacturing capacity at our Rensselaer, New York facilities, of which $28.2 million was received or receivable as of December 31, 2011. Revenue related to such funding from Sanofi is deferred and recognized as collaboration revenue prospectively over the related performance period in conjunction with the recognition of the original $85.0 million up-front payment. As of December 31, 2011, $76.4 million of these up-front and other payments was deferred and will be recognized as revenue in future periods.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 xml:space="preserve">In August 2008, we entered into a separate </w:t>
      </w:r>
      <w:r>
        <w:rPr>
          <w:rFonts w:ascii="Arial" w:cs="Arial" w:eastAsia="Arial" w:hAnsi="Arial"/>
          <w:sz w:val="15"/>
          <w:szCs w:val="15"/>
          <w:i w:val="1"/>
          <w:iCs w:val="1"/>
          <w:color w:val="auto"/>
        </w:rPr>
        <w:t>VelociGene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agreement with Sanofi. In 2011 and 2010, we recognized $1.6 million in revenue related to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Bayer HealthCare Collaboration Revenue</w:t>
      </w:r>
    </w:p>
    <w:p>
      <w:pPr>
        <w:spacing w:after="0" w:line="208" w:lineRule="exact"/>
        <w:rPr>
          <w:sz w:val="20"/>
          <w:szCs w:val="20"/>
          <w:color w:val="auto"/>
        </w:rPr>
      </w:pPr>
    </w:p>
    <w:p>
      <w:pPr>
        <w:jc w:val="both"/>
        <w:ind w:right="20" w:firstLine="388"/>
        <w:spacing w:after="0" w:line="223" w:lineRule="auto"/>
        <w:rPr>
          <w:sz w:val="20"/>
          <w:szCs w:val="20"/>
          <w:color w:val="auto"/>
        </w:rPr>
      </w:pPr>
      <w:r>
        <w:rPr>
          <w:rFonts w:ascii="Arial" w:cs="Arial" w:eastAsia="Arial" w:hAnsi="Arial"/>
          <w:sz w:val="16"/>
          <w:szCs w:val="16"/>
          <w:color w:val="auto"/>
        </w:rPr>
        <w:t>The collaboration revenue we earned from Bayer HealthCare, as detailed below, consisted of cost sharing of Regeneron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substantive performance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w w:val="94"/>
              </w:rPr>
              <w:t>Years ended</w:t>
            </w:r>
          </w:p>
        </w:tc>
      </w:tr>
      <w:tr>
        <w:trPr>
          <w:trHeight w:val="226"/>
        </w:trPr>
        <w:tc>
          <w:tcPr>
            <w:tcW w:w="10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Bayer HealthCare Collaboration Revenue</w:t>
            </w:r>
          </w:p>
        </w:tc>
        <w:tc>
          <w:tcPr>
            <w:tcW w:w="260" w:type="dxa"/>
            <w:vAlign w:val="bottom"/>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r>
      <w:tr>
        <w:trPr>
          <w:trHeight w:val="211"/>
        </w:trPr>
        <w:tc>
          <w:tcPr>
            <w:tcW w:w="10160" w:type="dxa"/>
            <w:vAlign w:val="bottom"/>
            <w:tcBorders>
              <w:bottom w:val="single" w:sz="8" w:color="C0C0C0"/>
            </w:tcBorders>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60" w:type="dxa"/>
            <w:vAlign w:val="bottom"/>
            <w:tcBorders>
              <w:bottom w:val="single" w:sz="8" w:color="C0C0C0"/>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2011</w:t>
            </w:r>
          </w:p>
        </w:tc>
        <w:tc>
          <w:tcPr>
            <w:tcW w:w="240" w:type="dxa"/>
            <w:vAlign w:val="bottom"/>
            <w:tcBorders>
              <w:bottom w:val="single" w:sz="8" w:color="C0C0C0"/>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2010</w:t>
            </w:r>
          </w:p>
        </w:tc>
      </w:tr>
      <w:tr>
        <w:trPr>
          <w:trHeight w:val="266"/>
        </w:trPr>
        <w:tc>
          <w:tcPr>
            <w:tcW w:w="10160" w:type="dxa"/>
            <w:vAlign w:val="bottom"/>
            <w:shd w:val="clear" w:color="auto" w:fill="C0C0C0"/>
          </w:tcPr>
          <w:p>
            <w:pPr>
              <w:spacing w:after="0" w:line="266" w:lineRule="exact"/>
              <w:rPr>
                <w:sz w:val="20"/>
                <w:szCs w:val="20"/>
                <w:color w:val="auto"/>
              </w:rPr>
            </w:pPr>
            <w:r>
              <w:rPr>
                <w:rFonts w:ascii="Arial" w:cs="Arial" w:eastAsia="Arial" w:hAnsi="Arial"/>
                <w:sz w:val="16"/>
                <w:szCs w:val="16"/>
                <w:color w:val="auto"/>
              </w:rPr>
              <w:t>Cost-sharing of Regeneron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w:t>
            </w:r>
          </w:p>
        </w:tc>
        <w:tc>
          <w:tcPr>
            <w:tcW w:w="880" w:type="dxa"/>
            <w:vAlign w:val="bottom"/>
            <w:gridSpan w:val="3"/>
            <w:shd w:val="clear" w:color="auto" w:fill="C0C0C0"/>
          </w:tcPr>
          <w:p>
            <w:pPr>
              <w:jc w:val="right"/>
              <w:ind w:right="240"/>
              <w:spacing w:after="0"/>
              <w:rPr>
                <w:sz w:val="20"/>
                <w:szCs w:val="20"/>
                <w:color w:val="auto"/>
              </w:rPr>
            </w:pPr>
            <w:r>
              <w:rPr>
                <w:rFonts w:ascii="Arial" w:cs="Arial" w:eastAsia="Arial" w:hAnsi="Arial"/>
                <w:sz w:val="16"/>
                <w:szCs w:val="16"/>
                <w:color w:val="auto"/>
              </w:rPr>
              <w:t>$ 33.7</w:t>
            </w:r>
          </w:p>
        </w:tc>
        <w:tc>
          <w:tcPr>
            <w:tcW w:w="40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5"/>
              </w:rPr>
              <w:t>$ 45.5</w:t>
            </w:r>
          </w:p>
        </w:tc>
      </w:tr>
      <w:tr>
        <w:trPr>
          <w:trHeight w:val="211"/>
        </w:trPr>
        <w:tc>
          <w:tcPr>
            <w:tcW w:w="10160" w:type="dxa"/>
            <w:vAlign w:val="bottom"/>
          </w:tcPr>
          <w:p>
            <w:pPr>
              <w:spacing w:after="0"/>
              <w:rPr>
                <w:sz w:val="20"/>
                <w:szCs w:val="20"/>
                <w:color w:val="auto"/>
              </w:rPr>
            </w:pPr>
            <w:r>
              <w:rPr>
                <w:rFonts w:ascii="Arial" w:cs="Arial" w:eastAsia="Arial" w:hAnsi="Arial"/>
                <w:sz w:val="16"/>
                <w:szCs w:val="16"/>
                <w:color w:val="auto"/>
              </w:rPr>
              <w:t>Substantive performance milestone payments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1"/>
        </w:trPr>
        <w:tc>
          <w:tcPr>
            <w:tcW w:w="10160" w:type="dxa"/>
            <w:vAlign w:val="bottom"/>
            <w:shd w:val="clear" w:color="auto" w:fill="C0C0C0"/>
          </w:tcPr>
          <w:p>
            <w:pPr>
              <w:spacing w:after="0"/>
              <w:rPr>
                <w:sz w:val="20"/>
                <w:szCs w:val="20"/>
                <w:color w:val="auto"/>
              </w:rPr>
            </w:pPr>
            <w:r>
              <w:rPr>
                <w:rFonts w:ascii="Arial" w:cs="Arial" w:eastAsia="Arial" w:hAnsi="Arial"/>
                <w:sz w:val="16"/>
                <w:szCs w:val="16"/>
                <w:color w:val="auto"/>
              </w:rPr>
              <w:t>Recognition of deferred revenue related to up-front and other milestone</w:t>
            </w:r>
          </w:p>
        </w:tc>
        <w:tc>
          <w:tcPr>
            <w:tcW w:w="26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r>
      <w:tr>
        <w:trPr>
          <w:trHeight w:val="226"/>
        </w:trPr>
        <w:tc>
          <w:tcPr>
            <w:tcW w:w="101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payments</w:t>
            </w:r>
          </w:p>
        </w:tc>
        <w:tc>
          <w:tcPr>
            <w:tcW w:w="260" w:type="dxa"/>
            <w:vAlign w:val="bottom"/>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9.4</w:t>
            </w:r>
          </w:p>
        </w:tc>
        <w:tc>
          <w:tcPr>
            <w:tcW w:w="240" w:type="dxa"/>
            <w:vAlign w:val="bottom"/>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10160" w:type="dxa"/>
            <w:vAlign w:val="bottom"/>
          </w:tcPr>
          <w:p>
            <w:pPr>
              <w:ind w:left="280"/>
              <w:spacing w:after="0"/>
              <w:rPr>
                <w:sz w:val="20"/>
                <w:szCs w:val="20"/>
                <w:color w:val="auto"/>
              </w:rPr>
            </w:pPr>
            <w:r>
              <w:rPr>
                <w:rFonts w:ascii="Arial" w:cs="Arial" w:eastAsia="Arial" w:hAnsi="Arial"/>
                <w:sz w:val="16"/>
                <w:szCs w:val="16"/>
                <w:color w:val="auto"/>
              </w:rPr>
              <w:t>Total Bayer HealthCare collaboration revenue</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$ 43.1</w:t>
            </w:r>
          </w:p>
        </w:tc>
        <w:tc>
          <w:tcPr>
            <w:tcW w:w="400" w:type="dxa"/>
            <w:vAlign w:val="bottom"/>
          </w:tcPr>
          <w:p>
            <w:pPr>
              <w:jc w:val="right"/>
              <w:spacing w:after="0"/>
              <w:rPr>
                <w:sz w:val="20"/>
                <w:szCs w:val="20"/>
                <w:color w:val="auto"/>
              </w:rPr>
            </w:pPr>
            <w:r>
              <w:rPr>
                <w:rFonts w:ascii="Arial" w:cs="Arial" w:eastAsia="Arial" w:hAnsi="Arial"/>
                <w:sz w:val="16"/>
                <w:szCs w:val="16"/>
                <w:color w:val="auto"/>
                <w:w w:val="85"/>
              </w:rPr>
              <w:t>$ 75.4</w:t>
            </w:r>
          </w:p>
        </w:tc>
      </w:tr>
      <w:tr>
        <w:trPr>
          <w:trHeight w:val="26"/>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279"/>
        <w:spacing w:after="0" w:line="237" w:lineRule="auto"/>
        <w:rPr>
          <w:sz w:val="20"/>
          <w:szCs w:val="20"/>
          <w:color w:val="auto"/>
        </w:rPr>
      </w:pPr>
      <w:r>
        <w:rPr>
          <w:rFonts w:ascii="Arial" w:cs="Arial" w:eastAsia="Arial" w:hAnsi="Arial"/>
          <w:sz w:val="16"/>
          <w:szCs w:val="16"/>
          <w:color w:val="auto"/>
        </w:rPr>
        <w:t>Cost-sharing of our global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with Bayer HealthCare decreased in 2011 compared to 2010 due primarily to lower clinical development costs in connection with our Phase 3 VIEW 1 trial in wet AMD and our Phase 2 trial in DME. In the fourth quarter of 2010, we earned two $10.0 million substantive milestone payments from Bayer HealthCare for achieving positive 52-week results in the VIEW 1 study and positive 6-month results in the COPERNICUS study. Recognition of deferred revenue related to the up-front and August 2007 milestone payments from Bayer HealthCare decreased in 2011 from 2010 due to an extension of the estimated performance period over which this deferred revenue is being recognized, effective in the fourth quarter of 2011. As of December 31, 2011, $42.4 million of these up-front and milestone payments was deferred and will be recognized as revenue in future periods.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i w:val="1"/>
          <w:iCs w:val="1"/>
          <w:color w:val="auto"/>
        </w:rPr>
        <w:t>Net Product Sales</w:t>
      </w:r>
    </w:p>
    <w:p>
      <w:pPr>
        <w:spacing w:after="0" w:line="208" w:lineRule="exact"/>
        <w:rPr>
          <w:sz w:val="20"/>
          <w:szCs w:val="20"/>
          <w:color w:val="auto"/>
        </w:rPr>
      </w:pPr>
    </w:p>
    <w:p>
      <w:pPr>
        <w:jc w:val="both"/>
        <w:ind w:right="20" w:firstLine="352"/>
        <w:spacing w:after="0" w:line="230" w:lineRule="auto"/>
        <w:rPr>
          <w:sz w:val="20"/>
          <w:szCs w:val="20"/>
          <w:color w:val="auto"/>
        </w:rPr>
      </w:pPr>
      <w:r>
        <w:rPr>
          <w:rFonts w:ascii="Arial" w:cs="Arial" w:eastAsia="Arial" w:hAnsi="Arial"/>
          <w:sz w:val="16"/>
          <w:szCs w:val="16"/>
          <w:color w:val="auto"/>
        </w:rPr>
        <w:t>Product sales consist of U.S. sales of our two marketed products,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ARCALYST</w:t>
      </w:r>
      <w:r>
        <w:rPr>
          <w:rFonts w:ascii="Arial" w:cs="Arial" w:eastAsia="Arial" w:hAnsi="Arial"/>
          <w:sz w:val="26"/>
          <w:szCs w:val="26"/>
          <w:color w:val="auto"/>
          <w:vertAlign w:val="superscript"/>
        </w:rPr>
        <w:t>®</w:t>
      </w:r>
      <w:r>
        <w:rPr>
          <w:rFonts w:ascii="Arial" w:cs="Arial" w:eastAsia="Arial" w:hAnsi="Arial"/>
          <w:sz w:val="16"/>
          <w:szCs w:val="16"/>
          <w:color w:val="auto"/>
        </w:rPr>
        <w:t>. We record product sales net of allowances and accruals for prompt pay discounts, rebates and chargebacks under governmental programs (including Medicaid), product returns, and distribution-related fees. We expect our customers to stock limited supplies of our products due to (i) contractual limitations that we and our customers establish, (ii) our products’ specialty nature, sales price, and distribution channels, and (iii) our historical experience to date.</w:t>
      </w:r>
    </w:p>
    <w:p>
      <w:pPr>
        <w:spacing w:after="0" w:line="192" w:lineRule="exact"/>
        <w:rPr>
          <w:sz w:val="20"/>
          <w:szCs w:val="20"/>
          <w:color w:val="auto"/>
        </w:rPr>
      </w:pPr>
    </w:p>
    <w:p>
      <w:pPr>
        <w:jc w:val="both"/>
        <w:ind w:right="20" w:firstLine="279"/>
        <w:spacing w:after="0" w:line="229" w:lineRule="auto"/>
        <w:rPr>
          <w:sz w:val="20"/>
          <w:szCs w:val="20"/>
          <w:color w:val="auto"/>
        </w:rPr>
      </w:pPr>
      <w:r>
        <w:rPr>
          <w:rFonts w:ascii="Arial" w:cs="Arial" w:eastAsia="Arial" w:hAnsi="Arial"/>
          <w:sz w:val="16"/>
          <w:szCs w:val="16"/>
          <w:color w:val="auto"/>
        </w:rPr>
        <w:t>In November 2011, we received marketing approval from the FDA for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wet AMD, at which time product sales commenced. For the year ended December 31, 2011, we recognized as revenue $24.8 million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product sales.</w:t>
      </w:r>
    </w:p>
    <w:p>
      <w:pPr>
        <w:spacing w:after="0" w:line="85" w:lineRule="exact"/>
        <w:rPr>
          <w:sz w:val="20"/>
          <w:szCs w:val="20"/>
          <w:color w:val="auto"/>
        </w:rPr>
      </w:pPr>
    </w:p>
    <w:p>
      <w:pPr>
        <w:jc w:val="both"/>
        <w:ind w:firstLine="243"/>
        <w:spacing w:after="0" w:line="214" w:lineRule="auto"/>
        <w:rPr>
          <w:sz w:val="20"/>
          <w:szCs w:val="20"/>
          <w:color w:val="auto"/>
        </w:rPr>
      </w:pPr>
      <w:r>
        <w:rPr>
          <w:rFonts w:ascii="Arial" w:cs="Arial" w:eastAsia="Arial" w:hAnsi="Arial"/>
          <w:sz w:val="16"/>
          <w:szCs w:val="16"/>
          <w:color w:val="auto"/>
        </w:rPr>
        <w:t>In 2011 and 2010, we recognized as revenue $19.9 million and $25.3 million, respectively,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product sales.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CAPS, a group of rare, inherited auto-inflammatory diseases that affect a very small group of people, was our first commercialized drug product.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product sales in 2010 included $20.5 million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product sales made in 2010 and $4.8 million of previously deferred net product sales.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December 31, 2011 and 2010, there was no deferred revenue related to net product sales.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Licensing Revenue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 xml:space="preserve">In connection with our </w:t>
      </w:r>
      <w:r>
        <w:rPr>
          <w:rFonts w:ascii="Arial" w:cs="Arial" w:eastAsia="Arial" w:hAnsi="Arial"/>
          <w:sz w:val="11"/>
          <w:szCs w:val="11"/>
          <w:i w:val="1"/>
          <w:iCs w:val="1"/>
          <w:color w:val="auto"/>
        </w:rPr>
        <w:t>VelocImmune</w:t>
      </w:r>
      <w:r>
        <w:rPr>
          <w:rFonts w:ascii="Arial" w:cs="Arial" w:eastAsia="Arial" w:hAnsi="Arial"/>
          <w:sz w:val="18"/>
          <w:szCs w:val="18"/>
          <w:color w:val="auto"/>
          <w:vertAlign w:val="superscript"/>
        </w:rPr>
        <w:t>®</w:t>
      </w:r>
      <w:r>
        <w:rPr>
          <w:rFonts w:ascii="Arial" w:cs="Arial" w:eastAsia="Arial" w:hAnsi="Arial"/>
          <w:sz w:val="11"/>
          <w:szCs w:val="11"/>
          <w:color w:val="auto"/>
        </w:rPr>
        <w:t xml:space="preserve"> license agreement with Astellas, the $20.0 million non-refundable payment received in the second quarter of 2010 was deferred upon receipt and recognized as revenue ratably over the</w:t>
      </w:r>
    </w:p>
    <w:p>
      <w:pPr>
        <w:jc w:val="both"/>
        <w:ind w:right="20"/>
        <w:spacing w:after="0" w:line="235" w:lineRule="auto"/>
        <w:rPr>
          <w:sz w:val="20"/>
          <w:szCs w:val="20"/>
          <w:color w:val="auto"/>
        </w:rPr>
      </w:pPr>
      <w:r>
        <w:rPr>
          <w:rFonts w:ascii="Arial" w:cs="Arial" w:eastAsia="Arial" w:hAnsi="Arial"/>
          <w:sz w:val="12"/>
          <w:szCs w:val="12"/>
          <w:color w:val="auto"/>
        </w:rPr>
        <w:t xml:space="preserve">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2011 and 2010, we recognized $24.8 million and $40.0 million, respectively, of technology licensing revenue related to these agreements. As of December 31, 2011, $151.7 million of the August 2010 technology licensing payment received from Astellas was deferred and will be recognized as revenue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Research and Other Revenue</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Contract research and other revenue in 2011 and 2010 included $3.6 million and $4.6 million, respectively, recognized in connection with our five-year grant from the NIH, which we were awarded in September 2006 as part of the</w:t>
      </w:r>
    </w:p>
    <w:p>
      <w:pPr>
        <w:spacing w:after="0" w:line="31"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NIH’s Knockout Mouse Project. As of the end of 2011, no further revenue will be recognized by us in connection with this NIH Grant. In addition, under a June 2009 agreement with Novartis, we receive royalties on worldwide sales of Novartis’ canakinumab. In 2011 and 2010, contract research and other revenue included $2.3 million and $0.7 million, respectively, of royalties from Novartis.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29" w:lineRule="exact"/>
        <w:rPr>
          <w:sz w:val="20"/>
          <w:szCs w:val="20"/>
          <w:color w:val="auto"/>
        </w:rPr>
      </w:pPr>
    </w:p>
    <w:p>
      <w:pPr>
        <w:jc w:val="both"/>
        <w:ind w:right="20" w:firstLine="243"/>
        <w:spacing w:after="0" w:line="272" w:lineRule="auto"/>
        <w:rPr>
          <w:sz w:val="20"/>
          <w:szCs w:val="20"/>
          <w:color w:val="auto"/>
        </w:rPr>
      </w:pPr>
      <w:r>
        <w:rPr>
          <w:rFonts w:ascii="Arial" w:cs="Arial" w:eastAsia="Arial" w:hAnsi="Arial"/>
          <w:sz w:val="16"/>
          <w:szCs w:val="16"/>
          <w:color w:val="auto"/>
        </w:rPr>
        <w:t>Total operating expenses increased to $651.0 million in 2011 from $556.5 million in 2010. Our average headcount in 2011 increased to 1,568 from 1,249 in 2010 principally as a result of our expanding research and development activities, which were primarily attributable to our antibody collaboration with Sanofi, and 2011 activities in connection with commercializing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wet AMD.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56" w:name="page57"/>
    <w:bookmarkEnd w:id="56"/>
    <w:p>
      <w:pPr>
        <w:jc w:val="both"/>
        <w:ind w:left="3" w:firstLine="255"/>
        <w:spacing w:after="0" w:line="274" w:lineRule="auto"/>
        <w:rPr>
          <w:sz w:val="20"/>
          <w:szCs w:val="20"/>
          <w:color w:val="auto"/>
        </w:rPr>
      </w:pPr>
      <w:r>
        <w:rPr>
          <w:rFonts w:ascii="Arial" w:cs="Arial" w:eastAsia="Arial" w:hAnsi="Arial"/>
          <w:sz w:val="16"/>
          <w:szCs w:val="16"/>
          <w:color w:val="auto"/>
        </w:rPr>
        <w:t>Operating expenses in 2011 and 2010 included a total of $56.1 million and $39.9 million, respectively, of non-cash compensation expense related to employee stock option and restricted stock awards (Non-cash Compensation Expense), as detailed below:</w:t>
      </w:r>
    </w:p>
    <w:p>
      <w:pPr>
        <w:spacing w:after="0" w:line="171" w:lineRule="exact"/>
        <w:rPr>
          <w:sz w:val="20"/>
          <w:szCs w:val="20"/>
          <w:color w:val="auto"/>
        </w:rPr>
      </w:pPr>
    </w:p>
    <w:tbl>
      <w:tblPr>
        <w:tblLayout w:type="fixed"/>
        <w:tblInd w:w="1143"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6"/>
                <w:szCs w:val="16"/>
                <w:b w:val="1"/>
                <w:bCs w:val="1"/>
                <w:color w:val="auto"/>
              </w:rPr>
              <w:t>For the year ended December 31, 2011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4"/>
              </w:rPr>
              <w:t>Expenses before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700" w:type="dxa"/>
            <w:vAlign w:val="bottom"/>
            <w:gridSpan w:val="3"/>
          </w:tcPr>
          <w:p>
            <w:pPr>
              <w:ind w:left="240"/>
              <w:spacing w:after="0"/>
              <w:rPr>
                <w:sz w:val="20"/>
                <w:szCs w:val="20"/>
                <w:color w:val="auto"/>
              </w:rPr>
            </w:pPr>
            <w:r>
              <w:rPr>
                <w:rFonts w:ascii="Arial" w:cs="Arial" w:eastAsia="Arial" w:hAnsi="Arial"/>
                <w:sz w:val="16"/>
                <w:szCs w:val="16"/>
                <w:b w:val="1"/>
                <w:bCs w:val="1"/>
                <w:color w:val="auto"/>
                <w:w w:val="86"/>
              </w:rPr>
              <w:t>inclusion of Non-cash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Non-cash</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Compensation</w:t>
            </w:r>
          </w:p>
        </w:tc>
        <w:tc>
          <w:tcPr>
            <w:tcW w:w="144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Compensation</w:t>
            </w: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80"/>
              </w:rPr>
              <w:t>Expenses as</w:t>
            </w: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5"/>
              </w:rPr>
              <w:t>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Expense</w:t>
            </w:r>
          </w:p>
        </w:tc>
        <w:tc>
          <w:tcPr>
            <w:tcW w:w="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w w:val="88"/>
              </w:rPr>
              <w:t>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shd w:val="clear" w:color="auto" w:fill="C0C0C0"/>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vMerge w:val="continue"/>
            <w:shd w:val="clear" w:color="auto" w:fill="C0C0C0"/>
          </w:tcPr>
          <w:p>
            <w:pPr>
              <w:spacing w:after="0"/>
              <w:rPr>
                <w:sz w:val="18"/>
                <w:szCs w:val="18"/>
                <w:color w:val="auto"/>
              </w:rPr>
            </w:pP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496.7</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32.8</w:t>
            </w: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529.5</w:t>
            </w: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6"/>
                <w:szCs w:val="16"/>
                <w:color w:val="auto"/>
              </w:rPr>
              <w:t>Cost of goods sold</w:t>
            </w:r>
          </w:p>
        </w:tc>
        <w:tc>
          <w:tcPr>
            <w:tcW w:w="24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840" w:type="dxa"/>
            <w:vAlign w:val="bottom"/>
            <w:tcBorders>
              <w:bottom w:val="single" w:sz="8" w:color="auto"/>
            </w:tcBorders>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594.9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56.1</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6"/>
                <w:szCs w:val="16"/>
                <w:b w:val="1"/>
                <w:bCs w:val="1"/>
                <w:color w:val="auto"/>
              </w:rPr>
              <w:t>For the year ended December 31, 2010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4"/>
              </w:rPr>
              <w:t>Expenses before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700" w:type="dxa"/>
            <w:vAlign w:val="bottom"/>
            <w:gridSpan w:val="3"/>
          </w:tcPr>
          <w:p>
            <w:pPr>
              <w:ind w:left="240"/>
              <w:spacing w:after="0"/>
              <w:rPr>
                <w:sz w:val="20"/>
                <w:szCs w:val="20"/>
                <w:color w:val="auto"/>
              </w:rPr>
            </w:pPr>
            <w:r>
              <w:rPr>
                <w:rFonts w:ascii="Arial" w:cs="Arial" w:eastAsia="Arial" w:hAnsi="Arial"/>
                <w:sz w:val="16"/>
                <w:szCs w:val="16"/>
                <w:b w:val="1"/>
                <w:bCs w:val="1"/>
                <w:color w:val="auto"/>
                <w:w w:val="86"/>
              </w:rPr>
              <w:t>inclusion of Non-cash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Non-cash</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Compensation</w:t>
            </w:r>
          </w:p>
        </w:tc>
        <w:tc>
          <w:tcPr>
            <w:tcW w:w="144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Compensation</w:t>
            </w: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80"/>
              </w:rPr>
              <w:t>Expenses as</w:t>
            </w: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5"/>
              </w:rPr>
              <w:t>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Expense</w:t>
            </w:r>
          </w:p>
        </w:tc>
        <w:tc>
          <w:tcPr>
            <w:tcW w:w="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w w:val="88"/>
              </w:rPr>
              <w:t>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shd w:val="clear" w:color="auto" w:fill="C0C0C0"/>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vMerge w:val="continue"/>
            <w:shd w:val="clear" w:color="auto" w:fill="C0C0C0"/>
          </w:tcPr>
          <w:p>
            <w:pPr>
              <w:spacing w:after="0"/>
              <w:rPr>
                <w:sz w:val="18"/>
                <w:szCs w:val="18"/>
                <w:color w:val="auto"/>
              </w:rPr>
            </w:pP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466.9</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22.3</w:t>
            </w: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211"/>
        </w:trPr>
        <w:tc>
          <w:tcPr>
            <w:tcW w:w="5200" w:type="dxa"/>
            <w:vAlign w:val="bottom"/>
            <w:gridSpan w:val="2"/>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6"/>
                <w:szCs w:val="16"/>
                <w:color w:val="auto"/>
              </w:rPr>
              <w:t>Cost of goods sold</w:t>
            </w:r>
          </w:p>
        </w:tc>
        <w:tc>
          <w:tcPr>
            <w:tcW w:w="24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840" w:type="dxa"/>
            <w:vAlign w:val="bottom"/>
            <w:tcBorders>
              <w:bottom w:val="single" w:sz="8" w:color="auto"/>
            </w:tcBorders>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516.6</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left="3" w:firstLine="255"/>
        <w:spacing w:after="0" w:line="264" w:lineRule="auto"/>
        <w:rPr>
          <w:sz w:val="20"/>
          <w:szCs w:val="20"/>
          <w:color w:val="auto"/>
        </w:rPr>
      </w:pPr>
      <w:r>
        <w:rPr>
          <w:rFonts w:ascii="Arial" w:cs="Arial" w:eastAsia="Arial" w:hAnsi="Arial"/>
          <w:sz w:val="16"/>
          <w:szCs w:val="16"/>
          <w:color w:val="auto"/>
        </w:rPr>
        <w:t>The increase in total Non-cash Compensation Expense in 2011 was primarily attributable to (i) the recognition of higher expense in 2011 in connection with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Research and Development Expenses</w:t>
      </w:r>
    </w:p>
    <w:p>
      <w:pPr>
        <w:spacing w:after="0" w:line="229" w:lineRule="exact"/>
        <w:rPr>
          <w:sz w:val="20"/>
          <w:szCs w:val="20"/>
          <w:color w:val="auto"/>
        </w:rPr>
      </w:pPr>
    </w:p>
    <w:p>
      <w:pPr>
        <w:jc w:val="both"/>
        <w:ind w:left="3" w:firstLine="255"/>
        <w:spacing w:after="0" w:line="274" w:lineRule="auto"/>
        <w:rPr>
          <w:sz w:val="20"/>
          <w:szCs w:val="20"/>
          <w:color w:val="auto"/>
        </w:rPr>
      </w:pPr>
      <w:r>
        <w:rPr>
          <w:rFonts w:ascii="Arial" w:cs="Arial" w:eastAsia="Arial" w:hAnsi="Arial"/>
          <w:sz w:val="16"/>
          <w:szCs w:val="16"/>
          <w:color w:val="auto"/>
        </w:rPr>
        <w:t>Research and development expenses increased to $529.5 million in 2011 from $489.2 million in 2010. The following table summarizes the major categories of our research and development expenses in 2011 and 2010:</w:t>
      </w:r>
    </w:p>
    <w:p>
      <w:pPr>
        <w:spacing w:after="0" w:line="171" w:lineRule="exact"/>
        <w:rPr>
          <w:sz w:val="20"/>
          <w:szCs w:val="20"/>
          <w:color w:val="auto"/>
        </w:rPr>
      </w:pPr>
    </w:p>
    <w:tbl>
      <w:tblPr>
        <w:tblLayout w:type="fixed"/>
        <w:tblInd w:w="1143" w:type="dxa"/>
        <w:tblCellMar>
          <w:top w:w="0" w:type="dxa"/>
          <w:left w:w="0" w:type="dxa"/>
          <w:bottom w:w="0" w:type="dxa"/>
          <w:right w:w="0" w:type="dxa"/>
        </w:tblCellMar>
      </w:tblPr>
      <w:tr>
        <w:trPr>
          <w:trHeight w:val="195"/>
        </w:trPr>
        <w:tc>
          <w:tcPr>
            <w:tcW w:w="464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 Expenses*</w:t>
            </w:r>
          </w:p>
        </w:tc>
        <w:tc>
          <w:tcPr>
            <w:tcW w:w="3600" w:type="dxa"/>
            <w:vAlign w:val="bottom"/>
            <w:gridSpan w:val="6"/>
          </w:tcPr>
          <w:p>
            <w:pPr>
              <w:ind w:left="1840"/>
              <w:spacing w:after="0"/>
              <w:rPr>
                <w:sz w:val="20"/>
                <w:szCs w:val="20"/>
                <w:color w:val="auto"/>
              </w:rPr>
            </w:pPr>
            <w:r>
              <w:rPr>
                <w:rFonts w:ascii="Arial" w:cs="Arial" w:eastAsia="Arial" w:hAnsi="Arial"/>
                <w:sz w:val="16"/>
                <w:szCs w:val="16"/>
                <w:b w:val="1"/>
                <w:bCs w:val="1"/>
                <w:color w:val="auto"/>
                <w:w w:val="87"/>
              </w:rPr>
              <w:t>Year Ended December 31,</w:t>
            </w:r>
          </w:p>
        </w:tc>
        <w:tc>
          <w:tcPr>
            <w:tcW w:w="2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Increase</w:t>
            </w:r>
          </w:p>
        </w:tc>
        <w:tc>
          <w:tcPr>
            <w:tcW w:w="0" w:type="dxa"/>
            <w:vAlign w:val="bottom"/>
          </w:tcPr>
          <w:p>
            <w:pPr>
              <w:spacing w:after="0"/>
              <w:rPr>
                <w:sz w:val="1"/>
                <w:szCs w:val="1"/>
                <w:color w:val="auto"/>
              </w:rPr>
            </w:pPr>
          </w:p>
        </w:tc>
      </w:tr>
      <w:tr>
        <w:trPr>
          <w:trHeight w:val="215"/>
        </w:trPr>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5"/>
              </w:rPr>
              <w:t>2011</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2010</w:t>
            </w:r>
          </w:p>
        </w:tc>
        <w:tc>
          <w:tcPr>
            <w:tcW w:w="920" w:type="dxa"/>
            <w:vAlign w:val="bottom"/>
            <w:gridSpan w:val="4"/>
          </w:tcPr>
          <w:p>
            <w:pPr>
              <w:ind w:left="220"/>
              <w:spacing w:after="0"/>
              <w:rPr>
                <w:sz w:val="20"/>
                <w:szCs w:val="20"/>
                <w:color w:val="auto"/>
              </w:rPr>
            </w:pPr>
            <w:r>
              <w:rPr>
                <w:rFonts w:ascii="Arial" w:cs="Arial" w:eastAsia="Arial" w:hAnsi="Arial"/>
                <w:sz w:val="16"/>
                <w:szCs w:val="16"/>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shd w:val="clear" w:color="auto" w:fill="C0C0C0"/>
          </w:tcPr>
          <w:p>
            <w:pPr>
              <w:spacing w:after="0"/>
              <w:rPr>
                <w:sz w:val="20"/>
                <w:szCs w:val="20"/>
                <w:color w:val="auto"/>
              </w:rPr>
            </w:pPr>
            <w:r>
              <w:rPr>
                <w:rFonts w:ascii="Arial" w:cs="Arial" w:eastAsia="Arial" w:hAnsi="Arial"/>
                <w:sz w:val="16"/>
                <w:szCs w:val="16"/>
                <w:color w:val="auto"/>
              </w:rPr>
              <w:t>Payroll and benefits (1)</w:t>
            </w:r>
          </w:p>
        </w:tc>
        <w:tc>
          <w:tcPr>
            <w:tcW w:w="18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0C0C0"/>
            </w:tcBorders>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vMerge w:val="continue"/>
            <w:shd w:val="clear" w:color="auto" w:fill="C0C0C0"/>
          </w:tcPr>
          <w:p>
            <w:pPr>
              <w:spacing w:after="0"/>
              <w:rPr>
                <w:sz w:val="18"/>
                <w:szCs w:val="18"/>
                <w:color w:val="auto"/>
              </w:rPr>
            </w:pPr>
          </w:p>
        </w:tc>
        <w:tc>
          <w:tcPr>
            <w:tcW w:w="2000" w:type="dxa"/>
            <w:vAlign w:val="bottom"/>
            <w:gridSpan w:val="2"/>
            <w:shd w:val="clear" w:color="auto" w:fill="C0C0C0"/>
          </w:tcPr>
          <w:p>
            <w:pPr>
              <w:ind w:left="18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168.9</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rPr>
              <w:t>131.7</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gridSpan w:val="3"/>
          </w:tcPr>
          <w:p>
            <w:pPr>
              <w:spacing w:after="0"/>
              <w:rPr>
                <w:sz w:val="20"/>
                <w:szCs w:val="20"/>
                <w:color w:val="auto"/>
              </w:rPr>
            </w:pPr>
            <w:r>
              <w:rPr>
                <w:rFonts w:ascii="Arial" w:cs="Arial" w:eastAsia="Arial" w:hAnsi="Arial"/>
                <w:sz w:val="16"/>
                <w:szCs w:val="16"/>
                <w:color w:val="auto"/>
              </w:rPr>
              <w:t>Clinical trial expenses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Clinical manufacturing costs (2)</w:t>
            </w:r>
          </w:p>
        </w:tc>
        <w:tc>
          <w:tcPr>
            <w:tcW w:w="1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123.0</w:t>
            </w: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rPr>
              <w:t>116.1</w:t>
            </w: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40" w:type="dxa"/>
            <w:vAlign w:val="bottom"/>
            <w:gridSpan w:val="3"/>
          </w:tcPr>
          <w:p>
            <w:pPr>
              <w:spacing w:after="0"/>
              <w:rPr>
                <w:sz w:val="20"/>
                <w:szCs w:val="20"/>
                <w:color w:val="auto"/>
              </w:rPr>
            </w:pPr>
            <w:r>
              <w:rPr>
                <w:rFonts w:ascii="Arial" w:cs="Arial" w:eastAsia="Arial" w:hAnsi="Arial"/>
                <w:sz w:val="16"/>
                <w:szCs w:val="16"/>
                <w:color w:val="auto"/>
              </w:rPr>
              <w:t>Research and other development costs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Occupancy and other operating costs</w:t>
            </w:r>
          </w:p>
        </w:tc>
        <w:tc>
          <w:tcPr>
            <w:tcW w:w="18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61.8</w:t>
            </w: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rPr>
              <w:t>52.3</w:t>
            </w: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640" w:type="dxa"/>
            <w:vAlign w:val="bottom"/>
            <w:gridSpan w:val="3"/>
          </w:tcPr>
          <w:p>
            <w:pPr>
              <w:spacing w:after="0" w:line="282" w:lineRule="exact"/>
              <w:rPr>
                <w:sz w:val="20"/>
                <w:szCs w:val="20"/>
                <w:color w:val="auto"/>
              </w:rPr>
            </w:pPr>
            <w:r>
              <w:rPr>
                <w:rFonts w:ascii="Arial" w:cs="Arial" w:eastAsia="Arial" w:hAnsi="Arial"/>
                <w:sz w:val="16"/>
                <w:szCs w:val="16"/>
                <w:color w:val="auto"/>
              </w:rPr>
              <w:t>Cost-sharing of Bayer HealthCare EYLEA</w:t>
            </w:r>
            <w:r>
              <w:rPr>
                <w:rFonts w:ascii="Arial" w:cs="Arial" w:eastAsia="Arial" w:hAnsi="Arial"/>
                <w:sz w:val="26"/>
                <w:szCs w:val="26"/>
                <w:color w:val="auto"/>
                <w:vertAlign w:val="superscript"/>
              </w:rPr>
              <w:t>®</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Borders>
              <w:bottom w:val="single" w:sz="8" w:color="C0C0C0"/>
            </w:tcBorders>
            <w:gridSpan w:val="2"/>
          </w:tcPr>
          <w:p>
            <w:pPr>
              <w:ind w:left="260"/>
              <w:spacing w:after="0"/>
              <w:rPr>
                <w:sz w:val="20"/>
                <w:szCs w:val="20"/>
                <w:color w:val="auto"/>
              </w:rPr>
            </w:pPr>
            <w:r>
              <w:rPr>
                <w:rFonts w:ascii="Arial" w:cs="Arial" w:eastAsia="Arial" w:hAnsi="Arial"/>
                <w:sz w:val="16"/>
                <w:szCs w:val="16"/>
                <w:color w:val="auto"/>
              </w:rPr>
              <w:t>development expenses (3)</w:t>
            </w:r>
          </w:p>
        </w:tc>
        <w:tc>
          <w:tcPr>
            <w:tcW w:w="186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24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vMerge w:val="restart"/>
            <w:shd w:val="clear" w:color="auto" w:fill="C0C0C0"/>
          </w:tcPr>
          <w:p>
            <w:pPr>
              <w:ind w:left="200"/>
              <w:spacing w:after="0"/>
              <w:rPr>
                <w:sz w:val="20"/>
                <w:szCs w:val="20"/>
                <w:color w:val="auto"/>
              </w:rPr>
            </w:pPr>
            <w:r>
              <w:rPr>
                <w:rFonts w:ascii="Arial" w:cs="Arial" w:eastAsia="Arial" w:hAnsi="Arial"/>
                <w:sz w:val="12"/>
                <w:szCs w:val="12"/>
                <w:color w:val="auto"/>
              </w:rPr>
              <w:t>Total research and development expenses</w:t>
            </w:r>
          </w:p>
        </w:tc>
        <w:tc>
          <w:tcPr>
            <w:tcW w:w="2000" w:type="dxa"/>
            <w:vAlign w:val="bottom"/>
            <w:gridSpan w:val="2"/>
            <w:shd w:val="clear" w:color="auto" w:fill="C0C0C0"/>
          </w:tcPr>
          <w:p>
            <w:pPr>
              <w:ind w:left="18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529.5</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6"/>
                <w:szCs w:val="16"/>
                <w:color w:val="auto"/>
              </w:rPr>
              <w:t>489.2</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gridSpan w:val="2"/>
            <w:vMerge w:val="continue"/>
            <w:shd w:val="clear" w:color="auto" w:fill="C0C0C0"/>
          </w:tcPr>
          <w:p>
            <w:pPr>
              <w:spacing w:after="0"/>
              <w:rPr>
                <w:sz w:val="2"/>
                <w:szCs w:val="2"/>
                <w:color w:val="auto"/>
              </w:rPr>
            </w:pPr>
          </w:p>
        </w:tc>
        <w:tc>
          <w:tcPr>
            <w:tcW w:w="186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0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20" w:type="dxa"/>
            <w:vAlign w:val="bottom"/>
            <w:tcBorders>
              <w:right w:val="single" w:sz="8" w:color="C0C0C0"/>
            </w:tcBorders>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54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168783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87830" cy="15240"/>
                    </a:xfrm>
                    <a:prstGeom prst="rect">
                      <a:avLst/>
                    </a:prstGeom>
                    <a:noFill/>
                  </pic:spPr>
                </pic:pic>
              </a:graphicData>
            </a:graphic>
          </wp:anchor>
        </w:drawing>
      </w:r>
    </w:p>
    <w:p>
      <w:pPr>
        <w:ind w:left="3"/>
        <w:spacing w:after="0"/>
        <w:rPr>
          <w:sz w:val="20"/>
          <w:szCs w:val="20"/>
          <w:color w:val="auto"/>
        </w:rPr>
      </w:pPr>
      <w:r>
        <w:rPr>
          <w:rFonts w:ascii="Arial" w:cs="Arial" w:eastAsia="Arial" w:hAnsi="Arial"/>
          <w:sz w:val="19"/>
          <w:szCs w:val="19"/>
          <w:color w:val="auto"/>
        </w:rPr>
        <w:t>____________________</w:t>
      </w:r>
    </w:p>
    <w:p>
      <w:pPr>
        <w:spacing w:after="0" w:line="197" w:lineRule="exact"/>
        <w:rPr>
          <w:sz w:val="20"/>
          <w:szCs w:val="20"/>
          <w:color w:val="auto"/>
        </w:rPr>
      </w:pPr>
    </w:p>
    <w:p>
      <w:pPr>
        <w:ind w:left="123" w:hanging="123"/>
        <w:spacing w:after="0"/>
        <w:tabs>
          <w:tab w:leader="none" w:pos="123"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216" w:lineRule="exact"/>
        <w:rPr>
          <w:rFonts w:ascii="Arial" w:cs="Arial" w:eastAsia="Arial" w:hAnsi="Arial"/>
          <w:sz w:val="16"/>
          <w:szCs w:val="16"/>
          <w:color w:val="auto"/>
        </w:rPr>
      </w:pPr>
    </w:p>
    <w:p>
      <w:pPr>
        <w:ind w:left="683" w:hanging="440"/>
        <w:spacing w:after="0"/>
        <w:tabs>
          <w:tab w:leader="none" w:pos="683"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Includes $29.3 million and $19.3 million of Non-cash Compensation Expense in 2011 and 2010, respectively.</w:t>
      </w:r>
    </w:p>
    <w:p>
      <w:pPr>
        <w:spacing w:after="0" w:line="22" w:lineRule="exact"/>
        <w:rPr>
          <w:rFonts w:ascii="Arial" w:cs="Arial" w:eastAsia="Arial" w:hAnsi="Arial"/>
          <w:sz w:val="16"/>
          <w:szCs w:val="16"/>
          <w:color w:val="auto"/>
        </w:rPr>
      </w:pPr>
    </w:p>
    <w:p>
      <w:pPr>
        <w:jc w:val="both"/>
        <w:ind w:left="683" w:hanging="440"/>
        <w:spacing w:after="0" w:line="256" w:lineRule="auto"/>
        <w:tabs>
          <w:tab w:leader="none" w:pos="683" w:val="left"/>
        </w:tabs>
        <w:numPr>
          <w:ilvl w:val="1"/>
          <w:numId w:val="5"/>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$3.5 million and $3.0 million of Non-cash Compensation Expense in 2011 and 2010, respectively.</w:t>
      </w:r>
    </w:p>
    <w:p>
      <w:pPr>
        <w:jc w:val="both"/>
        <w:ind w:left="683" w:hanging="440"/>
        <w:spacing w:after="0" w:line="223" w:lineRule="auto"/>
        <w:tabs>
          <w:tab w:leader="none" w:pos="683" w:val="left"/>
        </w:tabs>
        <w:numPr>
          <w:ilvl w:val="1"/>
          <w:numId w:val="5"/>
        </w:numPr>
        <w:rPr>
          <w:rFonts w:ascii="Arial" w:cs="Arial" w:eastAsia="Arial" w:hAnsi="Arial"/>
          <w:sz w:val="27"/>
          <w:szCs w:val="27"/>
          <w:color w:val="auto"/>
          <w:vertAlign w:val="superscript"/>
        </w:rPr>
      </w:pPr>
      <w:r>
        <w:rPr>
          <w:rFonts w:ascii="Arial" w:cs="Arial" w:eastAsia="Arial" w:hAnsi="Arial"/>
          <w:sz w:val="14"/>
          <w:szCs w:val="14"/>
          <w:color w:val="auto"/>
        </w:rPr>
        <w:t>Under our collaboration with Bayer HealthCare, in periods when Bayer HealthCare incurs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we also recognize, as additional research and development expense, the portion of Bayer HealthCare’s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that we are obligated to reimburse. Bayer HealthCare provides us with estimated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for the most recent fiscal quarter. Bayer HealthCare’s estimate is reconciled to its actual expenses for such quarter in the subsequent fiscal quarter and our portion of its global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that we are obligated to reimburse is adjusted accordingly.</w:t>
      </w:r>
    </w:p>
    <w:p>
      <w:pPr>
        <w:spacing w:after="0" w:line="30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28091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3"/>
          </w:cols>
          <w:pgMar w:left="237" w:top="568" w:right="239" w:bottom="1440" w:gutter="0" w:footer="0" w:header="0"/>
        </w:sectPr>
      </w:pPr>
    </w:p>
    <w:bookmarkStart w:id="57" w:name="page58"/>
    <w:bookmarkEnd w:id="57"/>
    <w:p>
      <w:pPr>
        <w:jc w:val="both"/>
        <w:ind w:right="20" w:firstLine="255"/>
        <w:spacing w:after="0" w:line="220" w:lineRule="auto"/>
        <w:rPr>
          <w:sz w:val="20"/>
          <w:szCs w:val="20"/>
          <w:color w:val="auto"/>
        </w:rPr>
      </w:pPr>
      <w:r>
        <w:rPr>
          <w:rFonts w:ascii="Arial" w:cs="Arial" w:eastAsia="Arial" w:hAnsi="Arial"/>
          <w:sz w:val="14"/>
          <w:szCs w:val="14"/>
          <w:color w:val="auto"/>
        </w:rPr>
        <w:t>Payroll and benefits increased principally due to increases in employee headcount and Non-cash Compensation Expense for the reasons described above. Clinical trial expenses decreased due primarily to lower costs related to our Phase 3 clinical development program for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in patients initiated uric acid-lowering therapy, our VIEW 1 trial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wet AMD, our Phase 2 trial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DME, and our clinical development program for REGN475, which is currently on clinical hold, partly offset by higher costs related to our Phase 3 VISTA-DME study for EYLEA</w:t>
      </w:r>
      <w:r>
        <w:rPr>
          <w:rFonts w:ascii="Arial" w:cs="Arial" w:eastAsia="Arial" w:hAnsi="Arial"/>
          <w:sz w:val="23"/>
          <w:szCs w:val="23"/>
          <w:color w:val="auto"/>
          <w:vertAlign w:val="superscript"/>
        </w:rPr>
        <w:t>®</w:t>
      </w:r>
      <w:r>
        <w:rPr>
          <w:rFonts w:ascii="Arial" w:cs="Arial" w:eastAsia="Arial" w:hAnsi="Arial"/>
          <w:sz w:val="14"/>
          <w:szCs w:val="14"/>
          <w:color w:val="auto"/>
        </w:rPr>
        <w:t>. Clinical manufacturing costs increased primarily due to higher costs related to manufacturing supplies of EYLEA</w:t>
      </w:r>
      <w:r>
        <w:rPr>
          <w:rFonts w:ascii="Arial" w:cs="Arial" w:eastAsia="Arial" w:hAnsi="Arial"/>
          <w:sz w:val="23"/>
          <w:szCs w:val="23"/>
          <w:color w:val="auto"/>
          <w:vertAlign w:val="superscript"/>
        </w:rPr>
        <w:t>®</w:t>
      </w:r>
      <w:r>
        <w:rPr>
          <w:rFonts w:ascii="Arial" w:cs="Arial" w:eastAsia="Arial" w:hAnsi="Arial"/>
          <w:sz w:val="14"/>
          <w:szCs w:val="14"/>
          <w:color w:val="auto"/>
        </w:rPr>
        <w:t>, ZALTRAP</w:t>
      </w:r>
      <w:r>
        <w:rPr>
          <w:rFonts w:ascii="Arial" w:cs="Arial" w:eastAsia="Arial" w:hAnsi="Arial"/>
          <w:sz w:val="23"/>
          <w:szCs w:val="23"/>
          <w:color w:val="auto"/>
          <w:vertAlign w:val="superscript"/>
        </w:rPr>
        <w:t>®</w:t>
      </w:r>
      <w:r>
        <w:rPr>
          <w:rFonts w:ascii="Arial" w:cs="Arial" w:eastAsia="Arial" w:hAnsi="Arial"/>
          <w:sz w:val="14"/>
          <w:szCs w:val="14"/>
          <w:color w:val="auto"/>
        </w:rPr>
        <w:t>, and antibody candidates, partly offset by lower costs related to manufacturing clinical supplies of ARCALYST</w:t>
      </w:r>
      <w:r>
        <w:rPr>
          <w:rFonts w:ascii="Arial" w:cs="Arial" w:eastAsia="Arial" w:hAnsi="Arial"/>
          <w:sz w:val="23"/>
          <w:szCs w:val="23"/>
          <w:color w:val="auto"/>
          <w:vertAlign w:val="superscript"/>
        </w:rPr>
        <w:t>®</w:t>
      </w:r>
      <w:r>
        <w:rPr>
          <w:rFonts w:ascii="Arial" w:cs="Arial" w:eastAsia="Arial" w:hAnsi="Arial"/>
          <w:sz w:val="14"/>
          <w:szCs w:val="14"/>
          <w:color w:val="auto"/>
        </w:rPr>
        <w:t>. Research and other development costs increased primarily due to higher costs associated with our antibody programs and regulatory submissions for marketing approvals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wet</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AMD and CRVO,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prevention of gout flares in patients initiated uric acid-lowering therapy. Occupancy and other operating costs increased principally in connection with our higher headcount, expanded research and development activities, and new and expanded leased facilities in Tarrytown, New York. Cost-sharing of Bayer</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HealthCare’s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decreased primarily due to lower costs related to Bayer HealthCare’s VIEW 2 trial in wet AMD, partly offset by higher costs in connection with Bayer HealthCare’s Phase 3 VIVID-DME trial.</w:t>
      </w:r>
    </w:p>
    <w:p>
      <w:pPr>
        <w:spacing w:after="0" w:line="212" w:lineRule="exact"/>
        <w:rPr>
          <w:sz w:val="20"/>
          <w:szCs w:val="20"/>
          <w:color w:val="auto"/>
        </w:rPr>
      </w:pPr>
    </w:p>
    <w:p>
      <w:pPr>
        <w:jc w:val="both"/>
        <w:ind w:right="20" w:firstLine="279"/>
        <w:spacing w:after="0" w:line="294" w:lineRule="auto"/>
        <w:rPr>
          <w:sz w:val="20"/>
          <w:szCs w:val="20"/>
          <w:color w:val="auto"/>
        </w:rPr>
      </w:pPr>
      <w:r>
        <w:rPr>
          <w:rFonts w:ascii="Arial" w:cs="Arial" w:eastAsia="Arial" w:hAnsi="Arial"/>
          <w:sz w:val="14"/>
          <w:szCs w:val="14"/>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w:t>
      </w:r>
    </w:p>
    <w:p>
      <w:pPr>
        <w:jc w:val="both"/>
        <w:ind w:right="20"/>
        <w:spacing w:after="0" w:line="211" w:lineRule="auto"/>
        <w:rPr>
          <w:sz w:val="20"/>
          <w:szCs w:val="20"/>
          <w:color w:val="auto"/>
        </w:rPr>
      </w:pPr>
      <w:r>
        <w:rPr>
          <w:rFonts w:ascii="Arial" w:cs="Arial" w:eastAsia="Arial" w:hAnsi="Arial"/>
          <w:sz w:val="16"/>
          <w:szCs w:val="16"/>
          <w:color w:val="auto"/>
        </w:rPr>
        <w:t>portion of Bayer HealthCare’s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that we are obligated to reimburse. Our estimates of research and development costs for clinical development programs are shown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6280" w:type="dxa"/>
            <w:vAlign w:val="bottom"/>
            <w:gridSpan w:val="2"/>
          </w:tcPr>
          <w:p>
            <w:pPr>
              <w:spacing w:after="0"/>
              <w:rPr>
                <w:sz w:val="20"/>
                <w:szCs w:val="20"/>
                <w:color w:val="auto"/>
              </w:rPr>
            </w:pPr>
            <w:r>
              <w:rPr>
                <w:rFonts w:ascii="Arial" w:cs="Arial" w:eastAsia="Arial" w:hAnsi="Arial"/>
                <w:sz w:val="16"/>
                <w:szCs w:val="16"/>
                <w:b w:val="1"/>
                <w:bCs w:val="1"/>
                <w:color w:val="auto"/>
              </w:rPr>
              <w:t>Project Costs</w:t>
            </w:r>
          </w:p>
        </w:tc>
        <w:tc>
          <w:tcPr>
            <w:tcW w:w="2180" w:type="dxa"/>
            <w:vAlign w:val="bottom"/>
            <w:gridSpan w:val="7"/>
          </w:tcPr>
          <w:p>
            <w:pPr>
              <w:ind w:left="240"/>
              <w:spacing w:after="0"/>
              <w:rPr>
                <w:sz w:val="20"/>
                <w:szCs w:val="20"/>
                <w:color w:val="auto"/>
              </w:rPr>
            </w:pPr>
            <w:r>
              <w:rPr>
                <w:rFonts w:ascii="Arial" w:cs="Arial" w:eastAsia="Arial" w:hAnsi="Arial"/>
                <w:sz w:val="16"/>
                <w:szCs w:val="16"/>
                <w:b w:val="1"/>
                <w:bCs w:val="1"/>
                <w:color w:val="auto"/>
                <w:w w:val="98"/>
              </w:rPr>
              <w:t>Year ended December 31,</w:t>
            </w:r>
          </w:p>
        </w:tc>
        <w:tc>
          <w:tcPr>
            <w:tcW w:w="7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Increase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83"/>
              </w:rPr>
              <w:t>(Decrease)</w:t>
            </w:r>
          </w:p>
        </w:tc>
        <w:tc>
          <w:tcPr>
            <w:tcW w:w="0" w:type="dxa"/>
            <w:vAlign w:val="bottom"/>
          </w:tcPr>
          <w:p>
            <w:pPr>
              <w:spacing w:after="0" w:line="20" w:lineRule="exact"/>
              <w:rPr>
                <w:sz w:val="1"/>
                <w:szCs w:val="1"/>
                <w:color w:val="auto"/>
              </w:rPr>
            </w:pPr>
          </w:p>
        </w:tc>
      </w:tr>
      <w:tr>
        <w:trPr>
          <w:trHeight w:val="212"/>
        </w:trPr>
        <w:tc>
          <w:tcPr>
            <w:tcW w:w="6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41"/>
              <w:spacing w:after="0"/>
              <w:rPr>
                <w:sz w:val="20"/>
                <w:szCs w:val="20"/>
                <w:color w:val="auto"/>
              </w:rPr>
            </w:pPr>
            <w:r>
              <w:rPr>
                <w:rFonts w:ascii="Arial" w:cs="Arial" w:eastAsia="Arial" w:hAnsi="Arial"/>
                <w:sz w:val="16"/>
                <w:szCs w:val="16"/>
                <w:b w:val="1"/>
                <w:bCs w:val="1"/>
                <w:color w:val="auto"/>
                <w:w w:val="95"/>
              </w:rPr>
              <w:t>2011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41"/>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shd w:val="clear" w:color="auto" w:fill="C0C0C0"/>
          </w:tcPr>
          <w:p>
            <w:pPr>
              <w:spacing w:after="0" w:line="286" w:lineRule="exact"/>
              <w:rPr>
                <w:sz w:val="20"/>
                <w:szCs w:val="20"/>
                <w:color w:val="auto"/>
              </w:rPr>
            </w:pPr>
            <w:r>
              <w:rPr>
                <w:rFonts w:ascii="Arial" w:cs="Arial" w:eastAsia="Arial" w:hAnsi="Arial"/>
                <w:sz w:val="16"/>
                <w:szCs w:val="16"/>
                <w:color w:val="auto"/>
              </w:rPr>
              <w:t>ARCALYST</w:t>
            </w:r>
            <w:r>
              <w:rPr>
                <w:rFonts w:ascii="Arial" w:cs="Arial" w:eastAsia="Arial" w:hAnsi="Arial"/>
                <w:sz w:val="26"/>
                <w:szCs w:val="26"/>
                <w:color w:val="auto"/>
                <w:vertAlign w:val="superscript"/>
              </w:rPr>
              <w:t>®</w:t>
            </w: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6260" w:type="dxa"/>
            <w:vAlign w:val="bottom"/>
            <w:vMerge w:val="continue"/>
            <w:shd w:val="clear" w:color="auto" w:fill="C0C0C0"/>
          </w:tcPr>
          <w:p>
            <w:pPr>
              <w:spacing w:after="0"/>
              <w:rPr>
                <w:sz w:val="23"/>
                <w:szCs w:val="23"/>
                <w:color w:val="auto"/>
              </w:rPr>
            </w:pPr>
          </w:p>
        </w:tc>
        <w:tc>
          <w:tcPr>
            <w:tcW w:w="38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43.2</w:t>
            </w:r>
          </w:p>
        </w:tc>
        <w:tc>
          <w:tcPr>
            <w:tcW w:w="380" w:type="dxa"/>
            <w:vAlign w:val="bottom"/>
            <w:gridSpan w:val="2"/>
            <w:shd w:val="clear" w:color="auto" w:fill="C0C0C0"/>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56.8</w:t>
            </w:r>
          </w:p>
        </w:tc>
        <w:tc>
          <w:tcPr>
            <w:tcW w:w="240" w:type="dxa"/>
            <w:vAlign w:val="bottom"/>
            <w:shd w:val="clear" w:color="auto" w:fill="C0C0C0"/>
          </w:tcPr>
          <w:p>
            <w:pPr>
              <w:spacing w:after="0"/>
              <w:rPr>
                <w:sz w:val="23"/>
                <w:szCs w:val="23"/>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80" w:type="dxa"/>
            <w:vAlign w:val="bottom"/>
            <w:gridSpan w:val="2"/>
          </w:tcPr>
          <w:p>
            <w:pPr>
              <w:spacing w:after="0" w:line="280" w:lineRule="exact"/>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6260" w:type="dxa"/>
            <w:vAlign w:val="bottom"/>
            <w:shd w:val="clear" w:color="auto" w:fill="C0C0C0"/>
          </w:tcPr>
          <w:p>
            <w:pPr>
              <w:spacing w:after="0" w:line="280" w:lineRule="exact"/>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p>
        </w:tc>
        <w:tc>
          <w:tcPr>
            <w:tcW w:w="2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17.1</w:t>
            </w:r>
          </w:p>
        </w:tc>
        <w:tc>
          <w:tcPr>
            <w:tcW w:w="2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5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80" w:type="dxa"/>
            <w:vAlign w:val="bottom"/>
            <w:gridSpan w:val="2"/>
          </w:tcPr>
          <w:p>
            <w:pPr>
              <w:spacing w:after="0"/>
              <w:rPr>
                <w:sz w:val="20"/>
                <w:szCs w:val="20"/>
                <w:color w:val="auto"/>
              </w:rPr>
            </w:pPr>
            <w:r>
              <w:rPr>
                <w:rFonts w:ascii="Arial" w:cs="Arial" w:eastAsia="Arial" w:hAnsi="Arial"/>
                <w:sz w:val="16"/>
                <w:szCs w:val="16"/>
                <w:color w:val="auto"/>
              </w:rPr>
              <w:t>Sarilumab</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60" w:type="dxa"/>
            <w:vAlign w:val="bottom"/>
            <w:shd w:val="clear" w:color="auto" w:fill="C0C0C0"/>
          </w:tcPr>
          <w:p>
            <w:pPr>
              <w:spacing w:after="0"/>
              <w:rPr>
                <w:sz w:val="20"/>
                <w:szCs w:val="20"/>
                <w:color w:val="auto"/>
              </w:rPr>
            </w:pPr>
            <w:r>
              <w:rPr>
                <w:rFonts w:ascii="Arial" w:cs="Arial" w:eastAsia="Arial" w:hAnsi="Arial"/>
                <w:sz w:val="16"/>
                <w:szCs w:val="16"/>
                <w:color w:val="auto"/>
              </w:rPr>
              <w:t>REGN727</w:t>
            </w: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33.9</w:t>
            </w: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36.0</w:t>
            </w: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4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gridSpan w:val="2"/>
          </w:tcPr>
          <w:p>
            <w:pPr>
              <w:spacing w:after="0"/>
              <w:rPr>
                <w:sz w:val="20"/>
                <w:szCs w:val="20"/>
                <w:color w:val="auto"/>
              </w:rPr>
            </w:pPr>
            <w:r>
              <w:rPr>
                <w:rFonts w:ascii="Arial" w:cs="Arial" w:eastAsia="Arial" w:hAnsi="Arial"/>
                <w:sz w:val="16"/>
                <w:szCs w:val="16"/>
                <w:color w:val="auto"/>
              </w:rPr>
              <w:t>Other antibody candidates in clinical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0C0C0"/>
          </w:tcPr>
          <w:p>
            <w:pPr>
              <w:spacing w:after="0"/>
              <w:rPr>
                <w:sz w:val="20"/>
                <w:szCs w:val="20"/>
                <w:color w:val="auto"/>
              </w:rPr>
            </w:pPr>
            <w:r>
              <w:rPr>
                <w:rFonts w:ascii="Arial" w:cs="Arial" w:eastAsia="Arial" w:hAnsi="Arial"/>
                <w:sz w:val="16"/>
                <w:szCs w:val="16"/>
                <w:color w:val="auto"/>
              </w:rPr>
              <w:t>Other research programs &amp; unallocated costs</w:t>
            </w:r>
          </w:p>
        </w:tc>
        <w:tc>
          <w:tcPr>
            <w:tcW w:w="24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185.7</w:t>
            </w:r>
          </w:p>
        </w:tc>
        <w:tc>
          <w:tcPr>
            <w:tcW w:w="24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153.9</w:t>
            </w:r>
          </w:p>
        </w:tc>
        <w:tc>
          <w:tcPr>
            <w:tcW w:w="24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54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Pr>
          <w:p>
            <w:pPr>
              <w:ind w:left="260"/>
              <w:spacing w:after="0"/>
              <w:rPr>
                <w:sz w:val="20"/>
                <w:szCs w:val="20"/>
                <w:color w:val="auto"/>
              </w:rPr>
            </w:pPr>
            <w:r>
              <w:rPr>
                <w:rFonts w:ascii="Arial" w:cs="Arial" w:eastAsia="Arial" w:hAnsi="Arial"/>
                <w:sz w:val="16"/>
                <w:szCs w:val="16"/>
                <w:color w:val="auto"/>
              </w:rPr>
              <w:t>Total research and development expenses</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529.5</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489.2</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firstLine="267"/>
        <w:spacing w:after="0" w:line="290" w:lineRule="auto"/>
        <w:rPr>
          <w:sz w:val="20"/>
          <w:szCs w:val="20"/>
          <w:color w:val="auto"/>
        </w:rPr>
      </w:pPr>
      <w:r>
        <w:rPr>
          <w:rFonts w:ascii="Arial" w:cs="Arial" w:eastAsia="Arial" w:hAnsi="Arial"/>
          <w:sz w:val="14"/>
          <w:szCs w:val="14"/>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w:t>
      </w:r>
    </w:p>
    <w:p>
      <w:pPr>
        <w:spacing w:after="0" w:line="3"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which we will be developing a product. For example, we, and our collaborators where applicable, continue to explore further development of ARCALYST</w:t>
      </w:r>
      <w:r>
        <w:rPr>
          <w:rFonts w:ascii="Arial" w:cs="Arial" w:eastAsia="Arial" w:hAnsi="Arial"/>
          <w:sz w:val="26"/>
          <w:szCs w:val="26"/>
          <w:color w:val="auto"/>
          <w:vertAlign w:val="superscript"/>
        </w:rPr>
        <w:t>®</w:t>
      </w:r>
      <w:r>
        <w:rPr>
          <w:rFonts w:ascii="Arial" w:cs="Arial" w:eastAsia="Arial" w:hAnsi="Arial"/>
          <w:sz w:val="16"/>
          <w:szCs w:val="16"/>
          <w:color w:val="auto"/>
        </w:rPr>
        <w:t>, ZALTRAP</w:t>
      </w:r>
      <w:r>
        <w:rPr>
          <w:rFonts w:ascii="Arial" w:cs="Arial" w:eastAsia="Arial" w:hAnsi="Arial"/>
          <w:sz w:val="26"/>
          <w:szCs w:val="26"/>
          <w:color w:val="auto"/>
          <w:vertAlign w:val="superscript"/>
        </w:rPr>
        <w:t>®</w:t>
      </w:r>
      <w:r>
        <w:rPr>
          <w:rFonts w:ascii="Arial" w:cs="Arial" w:eastAsia="Arial" w:hAnsi="Arial"/>
          <w:sz w:val="16"/>
          <w:szCs w:val="16"/>
          <w:color w:val="auto"/>
        </w:rPr>
        <w:t>, and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different disease indications.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58" w:name="page59"/>
    <w:bookmarkEnd w:id="58"/>
    <w:p>
      <w:pPr>
        <w:jc w:val="both"/>
        <w:ind w:firstLine="376"/>
        <w:spacing w:after="0" w:line="257"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the Development and Approval of Our Product Candidates and New Indications for Our Marketed Products,” “Risks Related to Commercialization of Products”, and “Regulatory and Litigation Risks.”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02"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6"/>
          <w:szCs w:val="16"/>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29" w:lineRule="exact"/>
        <w:rPr>
          <w:sz w:val="20"/>
          <w:szCs w:val="20"/>
          <w:color w:val="auto"/>
        </w:rPr>
      </w:pPr>
    </w:p>
    <w:p>
      <w:pPr>
        <w:jc w:val="both"/>
        <w:ind w:firstLine="376"/>
        <w:spacing w:after="0" w:line="237" w:lineRule="auto"/>
        <w:rPr>
          <w:sz w:val="20"/>
          <w:szCs w:val="20"/>
          <w:color w:val="auto"/>
        </w:rPr>
      </w:pPr>
      <w:r>
        <w:rPr>
          <w:rFonts w:ascii="Arial" w:cs="Arial" w:eastAsia="Arial" w:hAnsi="Arial"/>
          <w:sz w:val="15"/>
          <w:szCs w:val="15"/>
          <w:color w:val="auto"/>
        </w:rPr>
        <w:t>Selling, general, and administrative expenses increased to $117.3 million in 2011 from $65.2 million in 2010 due primarily to increases in compensation expense and recruitment costs, principally in connection with higher headcount in 2011, higher commercialization costs primarily in connection with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wet AMD, an increase in Non-cash Compensation Expense for the reasons described above, and higher legal expenses in connection with patent-related litigation with Genentech.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Goods Sold</w:t>
      </w:r>
    </w:p>
    <w:p>
      <w:pPr>
        <w:spacing w:after="0" w:line="208" w:lineRule="exact"/>
        <w:rPr>
          <w:sz w:val="20"/>
          <w:szCs w:val="20"/>
          <w:color w:val="auto"/>
        </w:rPr>
      </w:pPr>
    </w:p>
    <w:p>
      <w:pPr>
        <w:jc w:val="both"/>
        <w:ind w:firstLine="243"/>
        <w:spacing w:after="0" w:line="238" w:lineRule="auto"/>
        <w:rPr>
          <w:sz w:val="20"/>
          <w:szCs w:val="20"/>
          <w:color w:val="auto"/>
        </w:rPr>
      </w:pPr>
      <w:r>
        <w:rPr>
          <w:rFonts w:ascii="Arial" w:cs="Arial" w:eastAsia="Arial" w:hAnsi="Arial"/>
          <w:sz w:val="15"/>
          <w:szCs w:val="15"/>
          <w:color w:val="auto"/>
        </w:rPr>
        <w:t>Cost of goods sold increased to $4.2 million in 2011 from $2.1 million in 2010, due primarily to our launch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in November 2011. Cost of goods sold in 2011 and 2010 primarily consisted of royalties and the costs of producing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commercial supplies.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and Expense</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 income increased to $3.5 million in 2011 from $2.1 million in 2010 due to higher average balances of cash and marketable securities during 2011.</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Interest expense increased to $21.3 million in 2011 from $9.1 million in 2010. In October 2011, we issued $400.0 million aggregate principal amount of 1.875% convertible senior notes. Total interest expense in 2011 associated</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with these notes, including amortization of the note discount and debt issuance costs, was $5.4 million. In addition, interest expense includes the imputed interest portion of payments to our landlord to lease laboratory and office facilities in Tarrytown, New York, which totaled $15.6 million in 2011 and $9.1 million in 2010. The increase is due to our occupying in February 2011 an additional new building in Tarrytown and, therefore, we began recognizing interest expense on the related payments to our landlord.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29" w:lineRule="exact"/>
        <w:rPr>
          <w:sz w:val="20"/>
          <w:szCs w:val="20"/>
          <w:color w:val="auto"/>
        </w:rPr>
      </w:pPr>
    </w:p>
    <w:p>
      <w:pPr>
        <w:jc w:val="both"/>
        <w:ind w:firstLine="267"/>
        <w:spacing w:after="0" w:line="274" w:lineRule="auto"/>
        <w:rPr>
          <w:sz w:val="20"/>
          <w:szCs w:val="20"/>
          <w:color w:val="auto"/>
        </w:rPr>
      </w:pPr>
      <w:r>
        <w:rPr>
          <w:rFonts w:ascii="Arial" w:cs="Arial" w:eastAsia="Arial" w:hAnsi="Arial"/>
          <w:sz w:val="16"/>
          <w:szCs w:val="16"/>
          <w:color w:val="auto"/>
        </w:rPr>
        <w:t>In 2011, we recognized a $1.1 million income tax benefit, which consisted primarily of $0.7 million related to tax legislation that allowed us to claim a refund for a portion of our unused pre-2006 research tax credits.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u w:val="single" w:color="auto"/>
          <w:color w:val="auto"/>
        </w:rPr>
        <w:t>Years Ended December 31, 2010 and 2009</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w:t>
      </w:r>
    </w:p>
    <w:p>
      <w:pPr>
        <w:spacing w:after="0" w:line="229"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Regeneron reported a net loss of $104.5 million, or $1.26 per share (basic and diluted), for the year ended December 31, 2010, compared to a net loss of $67.8 million, or $0.85 per share (basic and diluted) for 2009. The increase in our net loss in 2010 was principally due to higher research and development expenses, partly offset by higher collaboration revenue in connection with our antibody collaboration with Sanofi.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Revenues</w:t>
            </w: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3"/>
        </w:trPr>
        <w:tc>
          <w:tcPr>
            <w:tcW w:w="6280" w:type="dxa"/>
            <w:vAlign w:val="bottom"/>
            <w:gridSpan w:val="2"/>
          </w:tcPr>
          <w:p>
            <w:pPr>
              <w:ind w:left="240"/>
              <w:spacing w:after="0"/>
              <w:rPr>
                <w:sz w:val="20"/>
                <w:szCs w:val="20"/>
                <w:color w:val="auto"/>
              </w:rPr>
            </w:pPr>
            <w:r>
              <w:rPr>
                <w:rFonts w:ascii="Arial" w:cs="Arial" w:eastAsia="Arial" w:hAnsi="Arial"/>
                <w:sz w:val="16"/>
                <w:szCs w:val="16"/>
                <w:color w:val="auto"/>
              </w:rPr>
              <w:t>Revenues in 2010 and 2009 consist of the following:</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8"/>
        </w:trPr>
        <w:tc>
          <w:tcPr>
            <w:tcW w:w="6280" w:type="dxa"/>
            <w:vAlign w:val="bottom"/>
            <w:gridSpan w:val="2"/>
          </w:tcPr>
          <w:p>
            <w:pPr>
              <w:ind w:left="2280"/>
              <w:spacing w:after="0"/>
              <w:rPr>
                <w:sz w:val="20"/>
                <w:szCs w:val="20"/>
                <w:color w:val="auto"/>
              </w:rPr>
            </w:pPr>
            <w:r>
              <w:rPr>
                <w:rFonts w:ascii="Arial" w:cs="Arial" w:eastAsia="Arial" w:hAnsi="Arial"/>
                <w:sz w:val="16"/>
                <w:szCs w:val="16"/>
                <w:b w:val="1"/>
                <w:bCs w:val="1"/>
                <w:i w:val="1"/>
                <w:iCs w:val="1"/>
                <w:color w:val="auto"/>
              </w:rPr>
              <w:t>(In millions)</w:t>
            </w:r>
          </w:p>
        </w:tc>
        <w:tc>
          <w:tcPr>
            <w:tcW w:w="21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2009</w:t>
            </w:r>
          </w:p>
        </w:tc>
      </w:tr>
      <w:tr>
        <w:trPr>
          <w:trHeight w:val="206"/>
        </w:trPr>
        <w:tc>
          <w:tcPr>
            <w:tcW w:w="2300" w:type="dxa"/>
            <w:vAlign w:val="bottom"/>
          </w:tcPr>
          <w:p>
            <w:pPr>
              <w:spacing w:after="0"/>
              <w:rPr>
                <w:sz w:val="17"/>
                <w:szCs w:val="17"/>
                <w:color w:val="auto"/>
              </w:rPr>
            </w:pPr>
          </w:p>
        </w:tc>
        <w:tc>
          <w:tcPr>
            <w:tcW w:w="39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6"/>
                <w:szCs w:val="16"/>
                <w:color w:val="auto"/>
              </w:rPr>
              <w:t>Collaboration revenue</w:t>
            </w:r>
          </w:p>
        </w:tc>
        <w:tc>
          <w:tcPr>
            <w:tcW w:w="1720" w:type="dxa"/>
            <w:vAlign w:val="bottom"/>
            <w:tcBorders>
              <w:top w:val="single" w:sz="8" w:color="C0C0C0"/>
            </w:tcBorders>
            <w:shd w:val="clear" w:color="auto" w:fill="C0C0C0"/>
          </w:tcPr>
          <w:p>
            <w:pPr>
              <w:spacing w:after="0"/>
              <w:rPr>
                <w:sz w:val="17"/>
                <w:szCs w:val="17"/>
                <w:color w:val="auto"/>
              </w:rPr>
            </w:pPr>
          </w:p>
        </w:tc>
        <w:tc>
          <w:tcPr>
            <w:tcW w:w="46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440" w:type="dxa"/>
            <w:vAlign w:val="bottom"/>
            <w:tcBorders>
              <w:top w:val="single" w:sz="8" w:color="auto"/>
            </w:tcBorders>
            <w:shd w:val="clear" w:color="auto" w:fill="C0C0C0"/>
          </w:tcPr>
          <w:p>
            <w:pPr>
              <w:spacing w:after="0"/>
              <w:rPr>
                <w:sz w:val="17"/>
                <w:szCs w:val="17"/>
                <w:color w:val="auto"/>
              </w:rPr>
            </w:pPr>
          </w:p>
        </w:tc>
      </w:tr>
      <w:tr>
        <w:trPr>
          <w:trHeight w:val="211"/>
        </w:trPr>
        <w:tc>
          <w:tcPr>
            <w:tcW w:w="2300" w:type="dxa"/>
            <w:vAlign w:val="bottom"/>
          </w:tcPr>
          <w:p>
            <w:pPr>
              <w:spacing w:after="0"/>
              <w:rPr>
                <w:sz w:val="18"/>
                <w:szCs w:val="18"/>
                <w:color w:val="auto"/>
              </w:rPr>
            </w:pPr>
          </w:p>
        </w:tc>
        <w:tc>
          <w:tcPr>
            <w:tcW w:w="3980" w:type="dxa"/>
            <w:vAlign w:val="bottom"/>
          </w:tcPr>
          <w:p>
            <w:pPr>
              <w:ind w:left="260"/>
              <w:spacing w:after="0"/>
              <w:rPr>
                <w:sz w:val="20"/>
                <w:szCs w:val="20"/>
                <w:color w:val="auto"/>
              </w:rPr>
            </w:pPr>
            <w:r>
              <w:rPr>
                <w:rFonts w:ascii="Arial" w:cs="Arial" w:eastAsia="Arial" w:hAnsi="Arial"/>
                <w:sz w:val="16"/>
                <w:szCs w:val="16"/>
                <w:color w:val="auto"/>
              </w:rPr>
              <w:t>Sanofi</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$ 311.3</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$247.2</w:t>
            </w:r>
          </w:p>
        </w:tc>
      </w:tr>
      <w:tr>
        <w:trPr>
          <w:trHeight w:val="226"/>
        </w:trPr>
        <w:tc>
          <w:tcPr>
            <w:tcW w:w="2300" w:type="dxa"/>
            <w:vAlign w:val="bottom"/>
          </w:tcPr>
          <w:p>
            <w:pPr>
              <w:spacing w:after="0"/>
              <w:rPr>
                <w:sz w:val="19"/>
                <w:szCs w:val="19"/>
                <w:color w:val="auto"/>
              </w:rPr>
            </w:pPr>
          </w:p>
        </w:tc>
        <w:tc>
          <w:tcPr>
            <w:tcW w:w="3980" w:type="dxa"/>
            <w:vAlign w:val="bottom"/>
            <w:shd w:val="clear" w:color="auto" w:fill="C0C0C0"/>
          </w:tcPr>
          <w:p>
            <w:pPr>
              <w:ind w:left="260"/>
              <w:spacing w:after="0"/>
              <w:rPr>
                <w:sz w:val="20"/>
                <w:szCs w:val="20"/>
                <w:color w:val="auto"/>
              </w:rPr>
            </w:pPr>
            <w:r>
              <w:rPr>
                <w:rFonts w:ascii="Arial" w:cs="Arial" w:eastAsia="Arial" w:hAnsi="Arial"/>
                <w:sz w:val="16"/>
                <w:szCs w:val="16"/>
                <w:color w:val="auto"/>
              </w:rPr>
              <w:t>Bayer HealthCare</w:t>
            </w:r>
          </w:p>
        </w:tc>
        <w:tc>
          <w:tcPr>
            <w:tcW w:w="1720" w:type="dxa"/>
            <w:vAlign w:val="bottom"/>
            <w:shd w:val="clear" w:color="auto" w:fill="C0C0C0"/>
          </w:tcPr>
          <w:p>
            <w:pPr>
              <w:spacing w:after="0"/>
              <w:rPr>
                <w:sz w:val="19"/>
                <w:szCs w:val="19"/>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75.4</w:t>
            </w:r>
          </w:p>
        </w:tc>
        <w:tc>
          <w:tcPr>
            <w:tcW w:w="240" w:type="dxa"/>
            <w:vAlign w:val="bottom"/>
            <w:shd w:val="clear" w:color="auto" w:fill="C0C0C0"/>
          </w:tcPr>
          <w:p>
            <w:pPr>
              <w:spacing w:after="0"/>
              <w:rPr>
                <w:sz w:val="19"/>
                <w:szCs w:val="19"/>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67.3</w:t>
            </w:r>
          </w:p>
        </w:tc>
      </w:tr>
      <w:tr>
        <w:trPr>
          <w:trHeight w:val="203"/>
        </w:trPr>
        <w:tc>
          <w:tcPr>
            <w:tcW w:w="2300" w:type="dxa"/>
            <w:vAlign w:val="bottom"/>
          </w:tcPr>
          <w:p>
            <w:pPr>
              <w:spacing w:after="0"/>
              <w:rPr>
                <w:sz w:val="17"/>
                <w:szCs w:val="17"/>
                <w:color w:val="auto"/>
              </w:rPr>
            </w:pPr>
          </w:p>
        </w:tc>
        <w:tc>
          <w:tcPr>
            <w:tcW w:w="3980" w:type="dxa"/>
            <w:vAlign w:val="bottom"/>
          </w:tcPr>
          <w:p>
            <w:pPr>
              <w:ind w:left="540"/>
              <w:spacing w:after="0"/>
              <w:rPr>
                <w:sz w:val="20"/>
                <w:szCs w:val="20"/>
                <w:color w:val="auto"/>
              </w:rPr>
            </w:pPr>
            <w:r>
              <w:rPr>
                <w:rFonts w:ascii="Arial" w:cs="Arial" w:eastAsia="Arial" w:hAnsi="Arial"/>
                <w:sz w:val="16"/>
                <w:szCs w:val="16"/>
                <w:color w:val="auto"/>
              </w:rPr>
              <w:t>Total collaboration revenue</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386.7</w:t>
            </w: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314.5</w:t>
            </w:r>
          </w:p>
        </w:tc>
      </w:tr>
      <w:tr>
        <w:trPr>
          <w:trHeight w:val="226"/>
        </w:trPr>
        <w:tc>
          <w:tcPr>
            <w:tcW w:w="2300" w:type="dxa"/>
            <w:vAlign w:val="bottom"/>
          </w:tcPr>
          <w:p>
            <w:pPr>
              <w:spacing w:after="0"/>
              <w:rPr>
                <w:sz w:val="19"/>
                <w:szCs w:val="19"/>
                <w:color w:val="auto"/>
              </w:rPr>
            </w:pPr>
          </w:p>
        </w:tc>
        <w:tc>
          <w:tcPr>
            <w:tcW w:w="3980" w:type="dxa"/>
            <w:vAlign w:val="bottom"/>
            <w:shd w:val="clear" w:color="auto" w:fill="C0C0C0"/>
          </w:tcPr>
          <w:p>
            <w:pPr>
              <w:spacing w:after="0"/>
              <w:rPr>
                <w:sz w:val="20"/>
                <w:szCs w:val="20"/>
                <w:color w:val="auto"/>
              </w:rPr>
            </w:pPr>
            <w:r>
              <w:rPr>
                <w:rFonts w:ascii="Arial" w:cs="Arial" w:eastAsia="Arial" w:hAnsi="Arial"/>
                <w:sz w:val="16"/>
                <w:szCs w:val="16"/>
                <w:color w:val="auto"/>
              </w:rPr>
              <w:t>Net product sales</w:t>
            </w:r>
          </w:p>
        </w:tc>
        <w:tc>
          <w:tcPr>
            <w:tcW w:w="21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25.3</w:t>
            </w:r>
          </w:p>
        </w:tc>
        <w:tc>
          <w:tcPr>
            <w:tcW w:w="240" w:type="dxa"/>
            <w:vAlign w:val="bottom"/>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18.4</w:t>
            </w:r>
          </w:p>
        </w:tc>
      </w:tr>
      <w:tr>
        <w:trPr>
          <w:trHeight w:val="211"/>
        </w:trPr>
        <w:tc>
          <w:tcPr>
            <w:tcW w:w="6280" w:type="dxa"/>
            <w:vAlign w:val="bottom"/>
            <w:gridSpan w:val="2"/>
          </w:tcPr>
          <w:p>
            <w:pPr>
              <w:ind w:left="2280"/>
              <w:spacing w:after="0"/>
              <w:rPr>
                <w:sz w:val="20"/>
                <w:szCs w:val="20"/>
                <w:color w:val="auto"/>
              </w:rPr>
            </w:pPr>
            <w:r>
              <w:rPr>
                <w:rFonts w:ascii="Arial" w:cs="Arial" w:eastAsia="Arial" w:hAnsi="Arial"/>
                <w:sz w:val="16"/>
                <w:szCs w:val="16"/>
                <w:color w:val="auto"/>
              </w:rPr>
              <w:t>Technology licensing revenue</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8"/>
        </w:trPr>
        <w:tc>
          <w:tcPr>
            <w:tcW w:w="2300" w:type="dxa"/>
            <w:vAlign w:val="bottom"/>
          </w:tcPr>
          <w:p>
            <w:pPr>
              <w:spacing w:after="0"/>
              <w:rPr>
                <w:sz w:val="18"/>
                <w:szCs w:val="18"/>
                <w:color w:val="auto"/>
              </w:rPr>
            </w:pPr>
          </w:p>
        </w:tc>
        <w:tc>
          <w:tcPr>
            <w:tcW w:w="3980" w:type="dxa"/>
            <w:vAlign w:val="bottom"/>
            <w:shd w:val="clear" w:color="auto" w:fill="C0C0C0"/>
          </w:tcPr>
          <w:p>
            <w:pPr>
              <w:spacing w:after="0"/>
              <w:rPr>
                <w:sz w:val="20"/>
                <w:szCs w:val="20"/>
                <w:color w:val="auto"/>
              </w:rPr>
            </w:pPr>
            <w:r>
              <w:rPr>
                <w:rFonts w:ascii="Arial" w:cs="Arial" w:eastAsia="Arial" w:hAnsi="Arial"/>
                <w:sz w:val="16"/>
                <w:szCs w:val="16"/>
                <w:color w:val="auto"/>
              </w:rPr>
              <w:t>Contract research and other revenue</w:t>
            </w:r>
          </w:p>
        </w:tc>
        <w:tc>
          <w:tcPr>
            <w:tcW w:w="1720" w:type="dxa"/>
            <w:vAlign w:val="bottom"/>
            <w:shd w:val="clear" w:color="auto" w:fill="C0C0C0"/>
          </w:tcPr>
          <w:p>
            <w:pPr>
              <w:spacing w:after="0"/>
              <w:rPr>
                <w:sz w:val="18"/>
                <w:szCs w:val="18"/>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0C0C0"/>
          </w:tcPr>
          <w:p>
            <w:pPr>
              <w:spacing w:after="0"/>
              <w:rPr>
                <w:sz w:val="18"/>
                <w:szCs w:val="18"/>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6.4</w:t>
            </w:r>
          </w:p>
        </w:tc>
      </w:tr>
      <w:tr>
        <w:trPr>
          <w:trHeight w:val="222"/>
        </w:trPr>
        <w:tc>
          <w:tcPr>
            <w:tcW w:w="2300" w:type="dxa"/>
            <w:vAlign w:val="bottom"/>
          </w:tcPr>
          <w:p>
            <w:pPr>
              <w:spacing w:after="0"/>
              <w:rPr>
                <w:sz w:val="19"/>
                <w:szCs w:val="19"/>
                <w:color w:val="auto"/>
              </w:rPr>
            </w:pPr>
          </w:p>
        </w:tc>
        <w:tc>
          <w:tcPr>
            <w:tcW w:w="3980" w:type="dxa"/>
            <w:vAlign w:val="bottom"/>
          </w:tcPr>
          <w:p>
            <w:pPr>
              <w:ind w:left="540"/>
              <w:spacing w:after="0"/>
              <w:rPr>
                <w:sz w:val="20"/>
                <w:szCs w:val="20"/>
                <w:color w:val="auto"/>
              </w:rPr>
            </w:pPr>
            <w:r>
              <w:rPr>
                <w:rFonts w:ascii="Arial" w:cs="Arial" w:eastAsia="Arial" w:hAnsi="Arial"/>
                <w:sz w:val="16"/>
                <w:szCs w:val="16"/>
                <w:color w:val="auto"/>
              </w:rPr>
              <w:t>Total revenue</w:t>
            </w:r>
          </w:p>
        </w:tc>
        <w:tc>
          <w:tcPr>
            <w:tcW w:w="17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$459.1</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$379.3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Sanofi Collaboration Revenue</w:t>
      </w:r>
    </w:p>
    <w:p>
      <w:pPr>
        <w:spacing w:after="0" w:line="229" w:lineRule="exact"/>
        <w:rPr>
          <w:sz w:val="20"/>
          <w:szCs w:val="20"/>
          <w:color w:val="auto"/>
        </w:rPr>
      </w:pPr>
    </w:p>
    <w:p>
      <w:pPr>
        <w:jc w:val="both"/>
        <w:ind w:right="20" w:firstLine="267"/>
        <w:spacing w:after="0" w:line="305" w:lineRule="auto"/>
        <w:rPr>
          <w:sz w:val="20"/>
          <w:szCs w:val="20"/>
          <w:color w:val="auto"/>
        </w:rPr>
      </w:pPr>
      <w:r>
        <w:rPr>
          <w:rFonts w:ascii="Arial" w:cs="Arial" w:eastAsia="Arial" w:hAnsi="Arial"/>
          <w:sz w:val="15"/>
          <w:szCs w:val="15"/>
          <w:color w:val="auto"/>
        </w:rPr>
        <w:t>The collaboration revenue we earned from Sanofi, as detailed below, consisted primarily of reimbursement for research and development expenses and recognition of revenue related to non-refundable up-front payments of $105.0 million related to the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collaboration and $85.0 million related to the antibody collaboration.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w w:val="94"/>
              </w:rPr>
              <w:t>Years ended</w:t>
            </w:r>
          </w:p>
        </w:tc>
      </w:tr>
      <w:tr>
        <w:trPr>
          <w:trHeight w:val="226"/>
        </w:trPr>
        <w:tc>
          <w:tcPr>
            <w:tcW w:w="10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Sanofi Collaboration Revenue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b w:val="1"/>
                <w:bCs w:val="1"/>
                <w:color w:val="auto"/>
                <w:w w:val="92"/>
              </w:rPr>
              <w:t>December 31,</w:t>
            </w:r>
          </w:p>
        </w:tc>
      </w:tr>
      <w:tr>
        <w:trPr>
          <w:trHeight w:val="211"/>
        </w:trPr>
        <w:tc>
          <w:tcPr>
            <w:tcW w:w="10000" w:type="dxa"/>
            <w:vAlign w:val="bottom"/>
            <w:tcBorders>
              <w:bottom w:val="single" w:sz="8" w:color="C0C0C0"/>
            </w:tcBorders>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4"/>
              </w:rPr>
              <w:t>2010</w:t>
            </w:r>
          </w:p>
        </w:tc>
        <w:tc>
          <w:tcPr>
            <w:tcW w:w="2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4"/>
              </w:rPr>
              <w:t>2009</w:t>
            </w:r>
          </w:p>
        </w:tc>
      </w:tr>
      <w:tr>
        <w:trPr>
          <w:trHeight w:val="266"/>
        </w:trPr>
        <w:tc>
          <w:tcPr>
            <w:tcW w:w="10000" w:type="dxa"/>
            <w:vAlign w:val="bottom"/>
            <w:shd w:val="clear" w:color="auto" w:fill="C0C0C0"/>
          </w:tcPr>
          <w:p>
            <w:pPr>
              <w:spacing w:after="0" w:line="266" w:lineRule="exact"/>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r>
              <w:rPr>
                <w:rFonts w:ascii="Arial" w:cs="Arial" w:eastAsia="Arial" w:hAnsi="Arial"/>
                <w:sz w:val="16"/>
                <w:szCs w:val="16"/>
                <w:color w:val="auto"/>
              </w:rPr>
              <w:t>:</w:t>
            </w:r>
          </w:p>
        </w:tc>
        <w:tc>
          <w:tcPr>
            <w:tcW w:w="240" w:type="dxa"/>
            <w:vAlign w:val="bottom"/>
            <w:shd w:val="clear" w:color="auto" w:fill="C0C0C0"/>
          </w:tcPr>
          <w:p>
            <w:pPr>
              <w:spacing w:after="0"/>
              <w:rPr>
                <w:sz w:val="23"/>
                <w:szCs w:val="23"/>
                <w:color w:val="auto"/>
              </w:rPr>
            </w:pPr>
          </w:p>
        </w:tc>
        <w:tc>
          <w:tcPr>
            <w:tcW w:w="80" w:type="dxa"/>
            <w:vAlign w:val="bottom"/>
            <w:shd w:val="clear" w:color="auto" w:fill="C0C0C0"/>
          </w:tcPr>
          <w:p>
            <w:pPr>
              <w:spacing w:after="0"/>
              <w:rPr>
                <w:sz w:val="23"/>
                <w:szCs w:val="23"/>
                <w:color w:val="auto"/>
              </w:rPr>
            </w:pPr>
          </w:p>
        </w:tc>
        <w:tc>
          <w:tcPr>
            <w:tcW w:w="400" w:type="dxa"/>
            <w:vAlign w:val="bottom"/>
            <w:shd w:val="clear" w:color="auto" w:fill="C0C0C0"/>
          </w:tcPr>
          <w:p>
            <w:pPr>
              <w:spacing w:after="0"/>
              <w:rPr>
                <w:sz w:val="23"/>
                <w:szCs w:val="23"/>
                <w:color w:val="auto"/>
              </w:rPr>
            </w:pPr>
          </w:p>
        </w:tc>
        <w:tc>
          <w:tcPr>
            <w:tcW w:w="240" w:type="dxa"/>
            <w:vAlign w:val="bottom"/>
            <w:shd w:val="clear" w:color="auto" w:fill="C0C0C0"/>
          </w:tcPr>
          <w:p>
            <w:pPr>
              <w:spacing w:after="0"/>
              <w:rPr>
                <w:sz w:val="23"/>
                <w:szCs w:val="23"/>
                <w:color w:val="auto"/>
              </w:rPr>
            </w:pPr>
          </w:p>
        </w:tc>
        <w:tc>
          <w:tcPr>
            <w:tcW w:w="80" w:type="dxa"/>
            <w:vAlign w:val="bottom"/>
            <w:shd w:val="clear" w:color="auto" w:fill="C0C0C0"/>
          </w:tcPr>
          <w:p>
            <w:pPr>
              <w:spacing w:after="0"/>
              <w:rPr>
                <w:sz w:val="23"/>
                <w:szCs w:val="23"/>
                <w:color w:val="auto"/>
              </w:rPr>
            </w:pPr>
          </w:p>
        </w:tc>
        <w:tc>
          <w:tcPr>
            <w:tcW w:w="400" w:type="dxa"/>
            <w:vAlign w:val="bottom"/>
            <w:shd w:val="clear" w:color="auto" w:fill="C0C0C0"/>
          </w:tcPr>
          <w:p>
            <w:pPr>
              <w:spacing w:after="0"/>
              <w:rPr>
                <w:sz w:val="23"/>
                <w:szCs w:val="23"/>
                <w:color w:val="auto"/>
              </w:rPr>
            </w:pPr>
          </w:p>
        </w:tc>
      </w:tr>
      <w:tr>
        <w:trPr>
          <w:trHeight w:val="211"/>
        </w:trPr>
        <w:tc>
          <w:tcPr>
            <w:tcW w:w="10000" w:type="dxa"/>
            <w:vAlign w:val="bottom"/>
          </w:tcPr>
          <w:p>
            <w:pPr>
              <w:ind w:left="280"/>
              <w:spacing w:after="0"/>
              <w:rPr>
                <w:sz w:val="20"/>
                <w:szCs w:val="20"/>
                <w:color w:val="auto"/>
              </w:rPr>
            </w:pPr>
            <w:r>
              <w:rPr>
                <w:rFonts w:ascii="Arial" w:cs="Arial" w:eastAsia="Arial" w:hAnsi="Arial"/>
                <w:sz w:val="16"/>
                <w:szCs w:val="16"/>
                <w:color w:val="auto"/>
              </w:rPr>
              <w:t>Regeneron expense reimbursement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16.5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26"/>
        </w:trPr>
        <w:tc>
          <w:tcPr>
            <w:tcW w:w="100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Recognition of deferred revenue related to up-front payments</w:t>
            </w:r>
          </w:p>
        </w:tc>
        <w:tc>
          <w:tcPr>
            <w:tcW w:w="240" w:type="dxa"/>
            <w:vAlign w:val="bottom"/>
            <w:shd w:val="clear" w:color="auto" w:fill="C0C0C0"/>
          </w:tcPr>
          <w:p>
            <w:pPr>
              <w:spacing w:after="0"/>
              <w:rPr>
                <w:sz w:val="19"/>
                <w:szCs w:val="19"/>
                <w:color w:val="auto"/>
              </w:rPr>
            </w:pPr>
          </w:p>
        </w:tc>
        <w:tc>
          <w:tcPr>
            <w:tcW w:w="8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9.9</w:t>
            </w:r>
          </w:p>
        </w:tc>
        <w:tc>
          <w:tcPr>
            <w:tcW w:w="240" w:type="dxa"/>
            <w:vAlign w:val="bottom"/>
            <w:shd w:val="clear" w:color="auto" w:fill="C0C0C0"/>
          </w:tcPr>
          <w:p>
            <w:pPr>
              <w:spacing w:after="0"/>
              <w:rPr>
                <w:sz w:val="19"/>
                <w:szCs w:val="19"/>
                <w:color w:val="auto"/>
              </w:rPr>
            </w:pPr>
          </w:p>
        </w:tc>
        <w:tc>
          <w:tcPr>
            <w:tcW w:w="8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9.9</w:t>
            </w:r>
          </w:p>
        </w:tc>
      </w:tr>
      <w:tr>
        <w:trPr>
          <w:trHeight w:val="259"/>
        </w:trPr>
        <w:tc>
          <w:tcPr>
            <w:tcW w:w="10000" w:type="dxa"/>
            <w:vAlign w:val="bottom"/>
          </w:tcPr>
          <w:p>
            <w:pPr>
              <w:ind w:left="540"/>
              <w:spacing w:after="0" w:line="260" w:lineRule="exact"/>
              <w:rPr>
                <w:sz w:val="20"/>
                <w:szCs w:val="20"/>
                <w:color w:val="auto"/>
              </w:rPr>
            </w:pPr>
            <w:r>
              <w:rPr>
                <w:rFonts w:ascii="Arial" w:cs="Arial" w:eastAsia="Arial" w:hAnsi="Arial"/>
                <w:sz w:val="16"/>
                <w:szCs w:val="16"/>
                <w:color w:val="auto"/>
              </w:rPr>
              <w:t>Total ZALTRAP</w:t>
            </w:r>
            <w:r>
              <w:rPr>
                <w:rFonts w:ascii="Arial" w:cs="Arial" w:eastAsia="Arial" w:hAnsi="Arial"/>
                <w:sz w:val="26"/>
                <w:szCs w:val="26"/>
                <w:color w:val="auto"/>
                <w:vertAlign w:val="superscript"/>
              </w:rPr>
              <w:t>®</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198"/>
        </w:trPr>
        <w:tc>
          <w:tcPr>
            <w:tcW w:w="100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6"/>
                <w:szCs w:val="16"/>
                <w:color w:val="auto"/>
              </w:rPr>
              <w:t>Antibody:</w:t>
            </w:r>
          </w:p>
        </w:tc>
        <w:tc>
          <w:tcPr>
            <w:tcW w:w="24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auto"/>
            </w:tcBorders>
            <w:shd w:val="clear" w:color="auto" w:fill="C0C0C0"/>
          </w:tcPr>
          <w:p>
            <w:pPr>
              <w:spacing w:after="0"/>
              <w:rPr>
                <w:sz w:val="17"/>
                <w:szCs w:val="17"/>
                <w:color w:val="auto"/>
              </w:rPr>
            </w:pPr>
          </w:p>
        </w:tc>
        <w:tc>
          <w:tcPr>
            <w:tcW w:w="40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auto"/>
            </w:tcBorders>
            <w:shd w:val="clear" w:color="auto" w:fill="C0C0C0"/>
          </w:tcPr>
          <w:p>
            <w:pPr>
              <w:spacing w:after="0"/>
              <w:rPr>
                <w:sz w:val="17"/>
                <w:szCs w:val="17"/>
                <w:color w:val="auto"/>
              </w:rPr>
            </w:pPr>
          </w:p>
        </w:tc>
        <w:tc>
          <w:tcPr>
            <w:tcW w:w="400" w:type="dxa"/>
            <w:vAlign w:val="bottom"/>
            <w:tcBorders>
              <w:top w:val="single" w:sz="8" w:color="auto"/>
            </w:tcBorders>
            <w:shd w:val="clear" w:color="auto" w:fill="C0C0C0"/>
          </w:tcPr>
          <w:p>
            <w:pPr>
              <w:spacing w:after="0"/>
              <w:rPr>
                <w:sz w:val="17"/>
                <w:szCs w:val="17"/>
                <w:color w:val="auto"/>
              </w:rPr>
            </w:pPr>
          </w:p>
        </w:tc>
      </w:tr>
      <w:tr>
        <w:trPr>
          <w:trHeight w:val="211"/>
        </w:trPr>
        <w:tc>
          <w:tcPr>
            <w:tcW w:w="10000" w:type="dxa"/>
            <w:vAlign w:val="bottom"/>
          </w:tcPr>
          <w:p>
            <w:pPr>
              <w:ind w:left="280"/>
              <w:spacing w:after="0"/>
              <w:rPr>
                <w:sz w:val="20"/>
                <w:szCs w:val="20"/>
                <w:color w:val="auto"/>
              </w:rPr>
            </w:pPr>
            <w:r>
              <w:rPr>
                <w:rFonts w:ascii="Arial" w:cs="Arial" w:eastAsia="Arial" w:hAnsi="Arial"/>
                <w:sz w:val="16"/>
                <w:szCs w:val="16"/>
                <w:color w:val="auto"/>
              </w:rPr>
              <w:t>Regeneron expense reimbursement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276.0</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198.1</w:t>
            </w:r>
          </w:p>
        </w:tc>
      </w:tr>
      <w:tr>
        <w:trPr>
          <w:trHeight w:val="211"/>
        </w:trPr>
        <w:tc>
          <w:tcPr>
            <w:tcW w:w="100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Recognition of deferred revenue related to up-front and other</w:t>
            </w: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r>
      <w:tr>
        <w:trPr>
          <w:trHeight w:val="233"/>
        </w:trPr>
        <w:tc>
          <w:tcPr>
            <w:tcW w:w="10000" w:type="dxa"/>
            <w:vAlign w:val="bottom"/>
            <w:shd w:val="clear" w:color="auto" w:fill="C0C0C0"/>
          </w:tcPr>
          <w:p>
            <w:pPr>
              <w:ind w:left="540"/>
              <w:spacing w:after="0"/>
              <w:rPr>
                <w:sz w:val="20"/>
                <w:szCs w:val="20"/>
                <w:color w:val="auto"/>
              </w:rPr>
            </w:pPr>
            <w:r>
              <w:rPr>
                <w:rFonts w:ascii="Arial" w:cs="Arial" w:eastAsia="Arial" w:hAnsi="Arial"/>
                <w:sz w:val="16"/>
                <w:szCs w:val="16"/>
                <w:color w:val="auto"/>
              </w:rPr>
              <w:t>payments</w:t>
            </w:r>
          </w:p>
        </w:tc>
        <w:tc>
          <w:tcPr>
            <w:tcW w:w="2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9.9</w:t>
            </w:r>
          </w:p>
        </w:tc>
      </w:tr>
      <w:tr>
        <w:trPr>
          <w:trHeight w:val="279"/>
        </w:trPr>
        <w:tc>
          <w:tcPr>
            <w:tcW w:w="10000" w:type="dxa"/>
            <w:vAlign w:val="bottom"/>
            <w:tcBorders>
              <w:bottom w:val="single" w:sz="8" w:color="C0C0C0"/>
            </w:tcBorders>
          </w:tcPr>
          <w:p>
            <w:pPr>
              <w:ind w:left="280"/>
              <w:spacing w:after="0" w:line="280" w:lineRule="exact"/>
              <w:rPr>
                <w:sz w:val="20"/>
                <w:szCs w:val="20"/>
                <w:color w:val="auto"/>
              </w:rPr>
            </w:pPr>
            <w:r>
              <w:rPr>
                <w:rFonts w:ascii="Arial" w:cs="Arial" w:eastAsia="Arial" w:hAnsi="Arial"/>
                <w:sz w:val="16"/>
                <w:szCs w:val="16"/>
                <w:color w:val="auto"/>
              </w:rPr>
              <w:t xml:space="preserve">Recognition of revenue related to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agreement</w:t>
            </w:r>
          </w:p>
        </w:tc>
        <w:tc>
          <w:tcPr>
            <w:tcW w:w="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03"/>
        </w:trPr>
        <w:tc>
          <w:tcPr>
            <w:tcW w:w="10000" w:type="dxa"/>
            <w:vAlign w:val="bottom"/>
            <w:shd w:val="clear" w:color="auto" w:fill="C0C0C0"/>
          </w:tcPr>
          <w:p>
            <w:pPr>
              <w:ind w:left="540"/>
              <w:spacing w:after="0"/>
              <w:rPr>
                <w:sz w:val="20"/>
                <w:szCs w:val="20"/>
                <w:color w:val="auto"/>
              </w:rPr>
            </w:pPr>
            <w:r>
              <w:rPr>
                <w:rFonts w:ascii="Arial" w:cs="Arial" w:eastAsia="Arial" w:hAnsi="Arial"/>
                <w:sz w:val="16"/>
                <w:szCs w:val="16"/>
                <w:color w:val="auto"/>
              </w:rPr>
              <w:t>Total antibody</w:t>
            </w:r>
          </w:p>
        </w:tc>
        <w:tc>
          <w:tcPr>
            <w:tcW w:w="24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4"/>
              </w:rPr>
              <w:t>284.9</w:t>
            </w:r>
          </w:p>
        </w:tc>
        <w:tc>
          <w:tcPr>
            <w:tcW w:w="240" w:type="dxa"/>
            <w:vAlign w:val="bottom"/>
            <w:shd w:val="clear" w:color="auto" w:fill="C0C0C0"/>
          </w:tcPr>
          <w:p>
            <w:pPr>
              <w:spacing w:after="0"/>
              <w:rPr>
                <w:sz w:val="17"/>
                <w:szCs w:val="17"/>
                <w:color w:val="auto"/>
              </w:rPr>
            </w:pPr>
          </w:p>
        </w:tc>
        <w:tc>
          <w:tcPr>
            <w:tcW w:w="80" w:type="dxa"/>
            <w:vAlign w:val="bottom"/>
            <w:tcBorders>
              <w:bottom w:val="single" w:sz="8" w:color="auto"/>
            </w:tcBorders>
            <w:shd w:val="clear" w:color="auto" w:fill="C0C0C0"/>
          </w:tcPr>
          <w:p>
            <w:pPr>
              <w:spacing w:after="0"/>
              <w:rPr>
                <w:sz w:val="17"/>
                <w:szCs w:val="17"/>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4"/>
              </w:rPr>
              <w:t>210.7</w:t>
            </w:r>
          </w:p>
        </w:tc>
      </w:tr>
      <w:tr>
        <w:trPr>
          <w:trHeight w:val="222"/>
        </w:trPr>
        <w:tc>
          <w:tcPr>
            <w:tcW w:w="10000" w:type="dxa"/>
            <w:vAlign w:val="bottom"/>
          </w:tcPr>
          <w:p>
            <w:pPr>
              <w:spacing w:after="0"/>
              <w:rPr>
                <w:sz w:val="20"/>
                <w:szCs w:val="20"/>
                <w:color w:val="auto"/>
              </w:rPr>
            </w:pPr>
            <w:r>
              <w:rPr>
                <w:rFonts w:ascii="Arial" w:cs="Arial" w:eastAsia="Arial" w:hAnsi="Arial"/>
                <w:sz w:val="16"/>
                <w:szCs w:val="16"/>
                <w:color w:val="auto"/>
              </w:rPr>
              <w:t>Total Sanofi collaboration revenue</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311.3</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247.2</w:t>
            </w:r>
          </w:p>
        </w:tc>
      </w:tr>
    </w:tbl>
    <w:p>
      <w:pPr>
        <w:spacing w:after="0" w:line="200" w:lineRule="exact"/>
        <w:rPr>
          <w:sz w:val="20"/>
          <w:szCs w:val="20"/>
          <w:color w:val="auto"/>
        </w:rPr>
      </w:pPr>
    </w:p>
    <w:p>
      <w:pPr>
        <w:spacing w:after="0" w:line="207" w:lineRule="exact"/>
        <w:rPr>
          <w:sz w:val="20"/>
          <w:szCs w:val="20"/>
          <w:color w:val="auto"/>
        </w:rPr>
      </w:pPr>
    </w:p>
    <w:p>
      <w:pPr>
        <w:jc w:val="both"/>
        <w:ind w:right="20" w:firstLine="243"/>
        <w:spacing w:after="0" w:line="229" w:lineRule="auto"/>
        <w:rPr>
          <w:sz w:val="20"/>
          <w:szCs w:val="20"/>
          <w:color w:val="auto"/>
        </w:rPr>
      </w:pPr>
      <w:r>
        <w:rPr>
          <w:rFonts w:ascii="Arial" w:cs="Arial" w:eastAsia="Arial" w:hAnsi="Arial"/>
          <w:sz w:val="16"/>
          <w:szCs w:val="16"/>
          <w:color w:val="auto"/>
        </w:rPr>
        <w:t>Sanofi’s reimbursement of our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expenses decreased in 2010 compared to 2009, primarily due to lower costs related to internal research activities and manufacturing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supplies.</w:t>
      </w:r>
    </w:p>
    <w:p>
      <w:pPr>
        <w:spacing w:after="0" w:line="106" w:lineRule="exact"/>
        <w:rPr>
          <w:sz w:val="20"/>
          <w:szCs w:val="20"/>
          <w:color w:val="auto"/>
        </w:rPr>
      </w:pPr>
    </w:p>
    <w:p>
      <w:pPr>
        <w:jc w:val="both"/>
        <w:ind w:right="20" w:firstLine="243"/>
        <w:spacing w:after="0" w:line="319" w:lineRule="auto"/>
        <w:rPr>
          <w:sz w:val="20"/>
          <w:szCs w:val="20"/>
          <w:color w:val="auto"/>
        </w:rPr>
      </w:pPr>
      <w:r>
        <w:rPr>
          <w:rFonts w:ascii="Arial" w:cs="Arial" w:eastAsia="Arial" w:hAnsi="Arial"/>
          <w:sz w:val="14"/>
          <w:szCs w:val="14"/>
          <w:color w:val="auto"/>
        </w:rPr>
        <w:t>In 2010, Sanofi’s reimbursement of our antibody expenses consisted of $137.7 million under the discovery agreement and $138.3 million of development costs under the license agreement, compared to $99.8 million and $98.3 million, respectively, in 2009. The higher reimbursement amounts in 2010 compared to 2009 were due to an increase in our research activities conducted under the discovery agreement and increases in our development activities for antibody candidates under the license agreement.</w:t>
      </w:r>
    </w:p>
    <w:p>
      <w:pPr>
        <w:spacing w:after="0" w:line="159" w:lineRule="exact"/>
        <w:rPr>
          <w:sz w:val="20"/>
          <w:szCs w:val="20"/>
          <w:color w:val="auto"/>
        </w:rPr>
      </w:pPr>
    </w:p>
    <w:p>
      <w:pPr>
        <w:jc w:val="both"/>
        <w:ind w:right="20" w:firstLine="255"/>
        <w:spacing w:after="0" w:line="280" w:lineRule="auto"/>
        <w:rPr>
          <w:sz w:val="20"/>
          <w:szCs w:val="20"/>
          <w:color w:val="auto"/>
        </w:rPr>
      </w:pPr>
      <w:r>
        <w:rPr>
          <w:rFonts w:ascii="Arial" w:cs="Arial" w:eastAsia="Arial" w:hAnsi="Arial"/>
          <w:sz w:val="15"/>
          <w:szCs w:val="15"/>
          <w:color w:val="auto"/>
        </w:rPr>
        <w:t>Recognition of deferred revenue related to Sanofi’s $85.0 million up-front payment decreased in 2010 compared to 2009 due to the November 2009 amendments to expand and extend the companies’ antibody collaboration. In connection with the November 2009 amendment of the discovery agreement, Sanofi is funding up to $30 million of agreed-upon costs incurred by us to expand our manufacturing capacity at our Rensselaer, New York facilities, of which $23.4 million was received or receivable from Sanofi as of December 31, 2010. Revenue related to these payments for such funding from Sanofi is deferred and recognized as collaboration revenue prospectively over the related performance period in conjunction with the recognition of the original $85.0 million up-front payment.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60" w:name="page61"/>
    <w:bookmarkEnd w:id="60"/>
    <w:p>
      <w:pPr>
        <w:jc w:val="both"/>
        <w:ind w:right="20" w:firstLine="243"/>
        <w:spacing w:after="0" w:line="212" w:lineRule="auto"/>
        <w:rPr>
          <w:sz w:val="20"/>
          <w:szCs w:val="20"/>
          <w:color w:val="auto"/>
        </w:rPr>
      </w:pPr>
      <w:r>
        <w:rPr>
          <w:rFonts w:ascii="Arial" w:cs="Arial" w:eastAsia="Arial" w:hAnsi="Arial"/>
          <w:sz w:val="16"/>
          <w:szCs w:val="16"/>
          <w:color w:val="auto"/>
        </w:rPr>
        <w:t xml:space="preserve">In August 2008, we entered into a separate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agreement with Sanofi. In 2010 and 2009, we recognized $1.6 million and $2.7 million, respectively, in revenue related to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Bayer HealthCare Collaboration Revenue</w:t>
      </w:r>
    </w:p>
    <w:p>
      <w:pPr>
        <w:spacing w:after="0" w:line="208" w:lineRule="exact"/>
        <w:rPr>
          <w:sz w:val="20"/>
          <w:szCs w:val="20"/>
          <w:color w:val="auto"/>
        </w:rPr>
      </w:pPr>
    </w:p>
    <w:p>
      <w:pPr>
        <w:jc w:val="both"/>
        <w:ind w:right="20" w:firstLine="388"/>
        <w:spacing w:after="0" w:line="223" w:lineRule="auto"/>
        <w:rPr>
          <w:sz w:val="20"/>
          <w:szCs w:val="20"/>
          <w:color w:val="auto"/>
        </w:rPr>
      </w:pPr>
      <w:r>
        <w:rPr>
          <w:rFonts w:ascii="Arial" w:cs="Arial" w:eastAsia="Arial" w:hAnsi="Arial"/>
          <w:sz w:val="16"/>
          <w:szCs w:val="16"/>
          <w:color w:val="auto"/>
        </w:rPr>
        <w:t>The collaboration revenue we earned from Bayer HealthCare, as detailed below, consisted of cost sharing of Regeneron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substantive performance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40" w:type="dxa"/>
            <w:vAlign w:val="bottom"/>
            <w:gridSpan w:val="4"/>
          </w:tcPr>
          <w:p>
            <w:pPr>
              <w:jc w:val="right"/>
              <w:ind w:right="81"/>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185"/>
        </w:trPr>
        <w:tc>
          <w:tcPr>
            <w:tcW w:w="7400" w:type="dxa"/>
            <w:vAlign w:val="bottom"/>
            <w:gridSpan w:val="2"/>
          </w:tcPr>
          <w:p>
            <w:pPr>
              <w:spacing w:after="0"/>
              <w:rPr>
                <w:sz w:val="20"/>
                <w:szCs w:val="20"/>
                <w:color w:val="auto"/>
              </w:rPr>
            </w:pPr>
            <w:r>
              <w:rPr>
                <w:rFonts w:ascii="Arial" w:cs="Arial" w:eastAsia="Arial" w:hAnsi="Arial"/>
                <w:sz w:val="16"/>
                <w:szCs w:val="16"/>
                <w:b w:val="1"/>
                <w:bCs w:val="1"/>
                <w:color w:val="auto"/>
              </w:rPr>
              <w:t>Bayer HealthCare Collaboration Revenue</w:t>
            </w:r>
          </w:p>
        </w:tc>
        <w:tc>
          <w:tcPr>
            <w:tcW w:w="2900" w:type="dxa"/>
            <w:vAlign w:val="bottom"/>
          </w:tcPr>
          <w:p>
            <w:pPr>
              <w:spacing w:after="0"/>
              <w:rPr>
                <w:sz w:val="16"/>
                <w:szCs w:val="16"/>
                <w:color w:val="auto"/>
              </w:rPr>
            </w:pPr>
          </w:p>
        </w:tc>
        <w:tc>
          <w:tcPr>
            <w:tcW w:w="114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9"/>
        </w:trPr>
        <w:tc>
          <w:tcPr>
            <w:tcW w:w="28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i w:val="1"/>
                <w:iCs w:val="1"/>
                <w:color w:val="auto"/>
              </w:rPr>
              <w:t>(In millions)</w:t>
            </w:r>
          </w:p>
        </w:tc>
        <w:tc>
          <w:tcPr>
            <w:tcW w:w="458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20" w:type="dxa"/>
            <w:vAlign w:val="bottom"/>
            <w:tcBorders>
              <w:bottom w:val="single" w:sz="8" w:color="C0C0C0"/>
            </w:tcBorders>
            <w:vMerge w:val="continue"/>
          </w:tcPr>
          <w:p>
            <w:pPr>
              <w:spacing w:after="0"/>
              <w:rPr>
                <w:sz w:val="17"/>
                <w:szCs w:val="17"/>
                <w:color w:val="auto"/>
              </w:rPr>
            </w:pPr>
          </w:p>
        </w:tc>
        <w:tc>
          <w:tcPr>
            <w:tcW w:w="4580" w:type="dxa"/>
            <w:vAlign w:val="bottom"/>
            <w:tcBorders>
              <w:bottom w:val="single" w:sz="8" w:color="C0C0C0"/>
            </w:tcBorders>
            <w:vMerge w:val="continue"/>
          </w:tcPr>
          <w:p>
            <w:pPr>
              <w:spacing w:after="0"/>
              <w:rPr>
                <w:sz w:val="17"/>
                <w:szCs w:val="17"/>
                <w:color w:val="auto"/>
              </w:rPr>
            </w:pPr>
          </w:p>
        </w:tc>
        <w:tc>
          <w:tcPr>
            <w:tcW w:w="2900" w:type="dxa"/>
            <w:vAlign w:val="bottom"/>
            <w:tcBorders>
              <w:bottom w:val="single" w:sz="8" w:color="C0C0C0"/>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2010</w:t>
            </w:r>
          </w:p>
        </w:tc>
        <w:tc>
          <w:tcPr>
            <w:tcW w:w="280" w:type="dxa"/>
            <w:vAlign w:val="bottom"/>
            <w:tcBorders>
              <w:bottom w:val="single" w:sz="8" w:color="C0C0C0"/>
            </w:tcBorders>
          </w:tcPr>
          <w:p>
            <w:pPr>
              <w:spacing w:after="0"/>
              <w:rPr>
                <w:sz w:val="17"/>
                <w:szCs w:val="17"/>
                <w:color w:val="auto"/>
              </w:rPr>
            </w:pPr>
          </w:p>
        </w:tc>
        <w:tc>
          <w:tcPr>
            <w:tcW w:w="4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66"/>
        </w:trPr>
        <w:tc>
          <w:tcPr>
            <w:tcW w:w="7400" w:type="dxa"/>
            <w:vAlign w:val="bottom"/>
            <w:gridSpan w:val="2"/>
            <w:shd w:val="clear" w:color="auto" w:fill="C0C0C0"/>
          </w:tcPr>
          <w:p>
            <w:pPr>
              <w:spacing w:after="0" w:line="266" w:lineRule="exact"/>
              <w:rPr>
                <w:sz w:val="20"/>
                <w:szCs w:val="20"/>
                <w:color w:val="auto"/>
              </w:rPr>
            </w:pPr>
            <w:r>
              <w:rPr>
                <w:rFonts w:ascii="Arial" w:cs="Arial" w:eastAsia="Arial" w:hAnsi="Arial"/>
                <w:sz w:val="16"/>
                <w:szCs w:val="16"/>
                <w:color w:val="auto"/>
              </w:rPr>
              <w:t>Cost-sharing of Regeneron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w:t>
            </w:r>
          </w:p>
        </w:tc>
        <w:tc>
          <w:tcPr>
            <w:tcW w:w="33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$ 45.5</w:t>
            </w:r>
          </w:p>
        </w:tc>
        <w:tc>
          <w:tcPr>
            <w:tcW w:w="280" w:type="dxa"/>
            <w:vAlign w:val="bottom"/>
            <w:shd w:val="clear" w:color="auto" w:fill="C0C0C0"/>
          </w:tcPr>
          <w:p>
            <w:pPr>
              <w:spacing w:after="0"/>
              <w:rPr>
                <w:sz w:val="23"/>
                <w:szCs w:val="23"/>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1"/>
        </w:trPr>
        <w:tc>
          <w:tcPr>
            <w:tcW w:w="7400" w:type="dxa"/>
            <w:vAlign w:val="bottom"/>
            <w:gridSpan w:val="2"/>
          </w:tcPr>
          <w:p>
            <w:pPr>
              <w:spacing w:after="0"/>
              <w:rPr>
                <w:sz w:val="20"/>
                <w:szCs w:val="20"/>
                <w:color w:val="auto"/>
              </w:rPr>
            </w:pPr>
            <w:r>
              <w:rPr>
                <w:rFonts w:ascii="Arial" w:cs="Arial" w:eastAsia="Arial" w:hAnsi="Arial"/>
                <w:sz w:val="16"/>
                <w:szCs w:val="16"/>
                <w:color w:val="auto"/>
              </w:rPr>
              <w:t>Substantive performance milestone payments</w:t>
            </w:r>
          </w:p>
        </w:tc>
        <w:tc>
          <w:tcPr>
            <w:tcW w:w="330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1"/>
        </w:trPr>
        <w:tc>
          <w:tcPr>
            <w:tcW w:w="740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Recognition of deferred revenue related to up-front and other milestone</w:t>
            </w:r>
          </w:p>
        </w:tc>
        <w:tc>
          <w:tcPr>
            <w:tcW w:w="290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gridSpan w:val="2"/>
            <w:shd w:val="clear" w:color="auto" w:fill="C0C0C0"/>
          </w:tcPr>
          <w:p>
            <w:pPr>
              <w:ind w:left="280"/>
              <w:spacing w:after="0"/>
              <w:rPr>
                <w:sz w:val="20"/>
                <w:szCs w:val="20"/>
                <w:color w:val="auto"/>
              </w:rPr>
            </w:pPr>
            <w:r>
              <w:rPr>
                <w:rFonts w:ascii="Arial" w:cs="Arial" w:eastAsia="Arial" w:hAnsi="Arial"/>
                <w:sz w:val="16"/>
                <w:szCs w:val="16"/>
                <w:color w:val="auto"/>
              </w:rPr>
              <w:t>payments</w:t>
            </w:r>
          </w:p>
        </w:tc>
        <w:tc>
          <w:tcPr>
            <w:tcW w:w="2900" w:type="dxa"/>
            <w:vAlign w:val="bottom"/>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9.9</w:t>
            </w:r>
          </w:p>
        </w:tc>
        <w:tc>
          <w:tcPr>
            <w:tcW w:w="280" w:type="dxa"/>
            <w:vAlign w:val="bottom"/>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2"/>
        </w:trPr>
        <w:tc>
          <w:tcPr>
            <w:tcW w:w="7400" w:type="dxa"/>
            <w:vAlign w:val="bottom"/>
            <w:gridSpan w:val="2"/>
          </w:tcPr>
          <w:p>
            <w:pPr>
              <w:ind w:left="280"/>
              <w:spacing w:after="0"/>
              <w:rPr>
                <w:sz w:val="20"/>
                <w:szCs w:val="20"/>
                <w:color w:val="auto"/>
              </w:rPr>
            </w:pPr>
            <w:r>
              <w:rPr>
                <w:rFonts w:ascii="Arial" w:cs="Arial" w:eastAsia="Arial" w:hAnsi="Arial"/>
                <w:sz w:val="16"/>
                <w:szCs w:val="16"/>
                <w:color w:val="auto"/>
              </w:rPr>
              <w:t>Total Bayer HealthCare collaboration revenue</w:t>
            </w:r>
          </w:p>
        </w:tc>
        <w:tc>
          <w:tcPr>
            <w:tcW w:w="29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$ 75.4</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328"/>
        <w:spacing w:after="0" w:line="268" w:lineRule="auto"/>
        <w:rPr>
          <w:sz w:val="20"/>
          <w:szCs w:val="20"/>
          <w:color w:val="auto"/>
        </w:rPr>
      </w:pPr>
      <w:r>
        <w:rPr>
          <w:rFonts w:ascii="Arial" w:cs="Arial" w:eastAsia="Arial" w:hAnsi="Arial"/>
          <w:sz w:val="14"/>
          <w:szCs w:val="14"/>
          <w:color w:val="auto"/>
        </w:rPr>
        <w:t>Cost-sharing of our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with Bayer HealthCare increased in 2010 compared to 2009 due to higher internal development activities and higher clinical development costs in connection with our Phase 3 COPERNICUS trial in CRVO. In the fourth quarter of 2010, we earned two $10.0 million substantive milestone payments from Bayer HealthCare for achieving positive 52-week results in the VIEW 1 study and positive 6-month results in the COPERNICUS study. In July 2009, we earned a $20.0 million substantive performance milestone payment from Bayer HealthCare in connection with the dosing of the first patient in the COPERNICUS study.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Product Sales</w:t>
      </w:r>
    </w:p>
    <w:p>
      <w:pPr>
        <w:spacing w:after="0" w:line="212" w:lineRule="exact"/>
        <w:rPr>
          <w:sz w:val="20"/>
          <w:szCs w:val="20"/>
          <w:color w:val="auto"/>
        </w:rPr>
      </w:pPr>
    </w:p>
    <w:p>
      <w:pPr>
        <w:jc w:val="both"/>
        <w:ind w:right="20" w:firstLine="221"/>
        <w:spacing w:after="0" w:line="191" w:lineRule="auto"/>
        <w:rPr>
          <w:sz w:val="20"/>
          <w:szCs w:val="20"/>
          <w:color w:val="auto"/>
        </w:rPr>
      </w:pPr>
      <w:r>
        <w:rPr>
          <w:rFonts w:ascii="Arial" w:cs="Arial" w:eastAsia="Arial" w:hAnsi="Arial"/>
          <w:sz w:val="12"/>
          <w:szCs w:val="12"/>
          <w:color w:val="auto"/>
        </w:rPr>
        <w:t>In 2010 and 2009, we recognized as revenue $25.3 million and $18.4 million, respectively, of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net product sales. We had limited historical returns experience for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beginning with initial sales in 2008 through the end of 2009; therefore,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20"/>
          <w:szCs w:val="20"/>
          <w:color w:val="auto"/>
          <w:vertAlign w:val="superscript"/>
        </w:rPr>
        <w:t>®</w:t>
      </w:r>
      <w:r>
        <w:rPr>
          <w:rFonts w:ascii="Arial" w:cs="Arial" w:eastAsia="Arial" w:hAnsi="Arial"/>
          <w:sz w:val="12"/>
          <w:szCs w:val="12"/>
          <w:color w:val="auto"/>
        </w:rPr>
        <w:t>. As a result, $4.8 million of previously deferred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net product sales were recognized as revenue in the first quarter of 2010. The effect of recognizing the previously deferred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net product sales revenue was to lower our net loss per share by $0.06 in 2010. At December 31, 2010, there was no deferred revenue related to ARCALYST</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net product sales.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Licensing Revenue</w:t>
      </w:r>
    </w:p>
    <w:p>
      <w:pPr>
        <w:spacing w:after="0" w:line="208" w:lineRule="exact"/>
        <w:rPr>
          <w:sz w:val="20"/>
          <w:szCs w:val="20"/>
          <w:color w:val="auto"/>
        </w:rPr>
      </w:pPr>
    </w:p>
    <w:p>
      <w:pPr>
        <w:jc w:val="both"/>
        <w:ind w:right="20" w:firstLine="243"/>
        <w:spacing w:after="0" w:line="244" w:lineRule="auto"/>
        <w:rPr>
          <w:sz w:val="20"/>
          <w:szCs w:val="20"/>
          <w:color w:val="auto"/>
        </w:rPr>
      </w:pPr>
      <w:r>
        <w:rPr>
          <w:rFonts w:ascii="Arial" w:cs="Arial" w:eastAsia="Arial" w:hAnsi="Arial"/>
          <w:sz w:val="15"/>
          <w:szCs w:val="15"/>
          <w:color w:val="auto"/>
        </w:rPr>
        <w:t xml:space="preserve">In connection with our </w:t>
      </w:r>
      <w:r>
        <w:rPr>
          <w:rFonts w:ascii="Arial" w:cs="Arial" w:eastAsia="Arial" w:hAnsi="Arial"/>
          <w:sz w:val="15"/>
          <w:szCs w:val="15"/>
          <w:i w:val="1"/>
          <w:iCs w:val="1"/>
          <w:color w:val="auto"/>
        </w:rPr>
        <w:t>VelocImmune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license agreements with AstraZeneca and Astellas, each of the $20.0 million annual, non-refundable payments were deferred upon receipt and recognized as revenue ratably over approximately the ensuing year of each agreement. In both 2010 and 2009, we recognized $40.0 million of technology licensing revenue related to these agreements. In addition, in connection with the amendment and extension of our license agreement with Astellas, in August 2010, we received a $165.0 million up-front payment, which was deferred upon receipt and will be recognized as revenue ratably over a seven-year period beginning in June 2011.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61" w:name="page62"/>
    <w:bookmarkEnd w:id="61"/>
    <w:p>
      <w:pPr>
        <w:spacing w:after="0"/>
        <w:rPr>
          <w:sz w:val="20"/>
          <w:szCs w:val="20"/>
          <w:color w:val="auto"/>
        </w:rPr>
      </w:pPr>
      <w:r>
        <w:rPr>
          <w:rFonts w:ascii="Arial" w:cs="Arial" w:eastAsia="Arial" w:hAnsi="Arial"/>
          <w:sz w:val="16"/>
          <w:szCs w:val="16"/>
          <w:i w:val="1"/>
          <w:iCs w:val="1"/>
          <w:color w:val="auto"/>
        </w:rPr>
        <w:t>Contract Research and Other Revenue</w:t>
      </w:r>
    </w:p>
    <w:p>
      <w:pPr>
        <w:spacing w:after="0" w:line="229" w:lineRule="exact"/>
        <w:rPr>
          <w:sz w:val="20"/>
          <w:szCs w:val="20"/>
          <w:color w:val="auto"/>
        </w:rPr>
      </w:pPr>
    </w:p>
    <w:p>
      <w:pPr>
        <w:jc w:val="both"/>
        <w:ind w:firstLine="291"/>
        <w:spacing w:after="0" w:line="274" w:lineRule="auto"/>
        <w:rPr>
          <w:sz w:val="20"/>
          <w:szCs w:val="20"/>
          <w:color w:val="auto"/>
        </w:rPr>
      </w:pPr>
      <w:r>
        <w:rPr>
          <w:rFonts w:ascii="Arial" w:cs="Arial" w:eastAsia="Arial" w:hAnsi="Arial"/>
          <w:sz w:val="16"/>
          <w:szCs w:val="16"/>
          <w:color w:val="auto"/>
        </w:rPr>
        <w:t>Contract research and other revenue in 2010 and 2009 included $4.6 million and $5.5 million, respectively, recognized in connection with our five-year grant from the NIH, which we were awarded in September 2006 as part of the NIH’s Knockout Mouse Project.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29"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6"/>
          <w:szCs w:val="16"/>
          <w:color w:val="auto"/>
        </w:rPr>
        <w:t>Total operating expenses increased to $556.5 million in 2010 from $453.4 million in 2009. Our average headcount in 2010 increased to 1,249 from 980 in 2009 principally as a result of our expanded research and development activities, which were primarily attributable to our antibody collaboration with Sanofi.</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Operating expenses in 2010 and 2009 included a total of $39.9 million and $31.3 million, respectively, of Non-cash Compensation Expense, as detailed below:</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6"/>
                <w:szCs w:val="16"/>
                <w:b w:val="1"/>
                <w:bCs w:val="1"/>
                <w:color w:val="auto"/>
              </w:rPr>
              <w:t>For the year ended December 31, 2010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4"/>
              </w:rPr>
              <w:t>Expenses before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gridSpan w:val="3"/>
          </w:tcPr>
          <w:p>
            <w:pPr>
              <w:ind w:left="1600"/>
              <w:spacing w:after="0"/>
              <w:rPr>
                <w:sz w:val="20"/>
                <w:szCs w:val="20"/>
                <w:color w:val="auto"/>
              </w:rPr>
            </w:pPr>
            <w:r>
              <w:rPr>
                <w:rFonts w:ascii="Arial" w:cs="Arial" w:eastAsia="Arial" w:hAnsi="Arial"/>
                <w:sz w:val="16"/>
                <w:szCs w:val="16"/>
                <w:b w:val="1"/>
                <w:bCs w:val="1"/>
                <w:color w:val="auto"/>
                <w:w w:val="86"/>
              </w:rPr>
              <w:t>inclusion of Non-cash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Non-cash</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40" w:type="dxa"/>
            <w:vAlign w:val="bottom"/>
            <w:gridSpan w:val="3"/>
          </w:tcPr>
          <w:p>
            <w:pPr>
              <w:spacing w:after="0"/>
              <w:rPr>
                <w:sz w:val="20"/>
                <w:szCs w:val="20"/>
                <w:color w:val="auto"/>
              </w:rPr>
            </w:pPr>
            <w:r>
              <w:rPr>
                <w:rFonts w:ascii="Arial" w:cs="Arial" w:eastAsia="Arial" w:hAnsi="Arial"/>
                <w:sz w:val="16"/>
                <w:szCs w:val="16"/>
                <w:b w:val="1"/>
                <w:bCs w:val="1"/>
                <w:color w:val="auto"/>
              </w:rPr>
              <w:t>Expenses</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Compensation</w:t>
            </w:r>
          </w:p>
        </w:tc>
        <w:tc>
          <w:tcPr>
            <w:tcW w:w="144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Compensation</w:t>
            </w: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80"/>
              </w:rPr>
              <w:t>Expenses as</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85"/>
              </w:rPr>
              <w:t>Expense</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5"/>
              </w:rPr>
              <w:t>Expense</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88"/>
              </w:rPr>
              <w:t>Reported</w:t>
            </w:r>
          </w:p>
        </w:tc>
        <w:tc>
          <w:tcPr>
            <w:tcW w:w="0" w:type="dxa"/>
            <w:vAlign w:val="bottom"/>
          </w:tcPr>
          <w:p>
            <w:pPr>
              <w:spacing w:after="0" w:line="20" w:lineRule="exact"/>
              <w:rPr>
                <w:sz w:val="1"/>
                <w:szCs w:val="1"/>
                <w:color w:val="auto"/>
              </w:rPr>
            </w:pPr>
          </w:p>
        </w:tc>
      </w:tr>
      <w:tr>
        <w:trPr>
          <w:trHeight w:val="240"/>
        </w:trPr>
        <w:tc>
          <w:tcPr>
            <w:tcW w:w="38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 millions)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shd w:val="clear" w:color="auto" w:fill="C0C0C0"/>
          </w:tcPr>
          <w:p>
            <w:pPr>
              <w:spacing w:after="0"/>
              <w:rPr>
                <w:sz w:val="20"/>
                <w:szCs w:val="20"/>
                <w:color w:val="auto"/>
              </w:rPr>
            </w:pPr>
            <w:r>
              <w:rPr>
                <w:rFonts w:ascii="Arial" w:cs="Arial" w:eastAsia="Arial" w:hAnsi="Arial"/>
                <w:sz w:val="16"/>
                <w:szCs w:val="16"/>
                <w:color w:val="auto"/>
              </w:rPr>
              <w:t>Research and development</w:t>
            </w:r>
          </w:p>
        </w:tc>
        <w:tc>
          <w:tcPr>
            <w:tcW w:w="16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vMerge w:val="continue"/>
            <w:shd w:val="clear" w:color="auto" w:fill="C0C0C0"/>
          </w:tcPr>
          <w:p>
            <w:pPr>
              <w:spacing w:after="0"/>
              <w:rPr>
                <w:sz w:val="18"/>
                <w:szCs w:val="18"/>
                <w:color w:val="auto"/>
              </w:rPr>
            </w:pPr>
          </w:p>
        </w:tc>
        <w:tc>
          <w:tcPr>
            <w:tcW w:w="1720" w:type="dxa"/>
            <w:vAlign w:val="bottom"/>
            <w:gridSpan w:val="2"/>
            <w:shd w:val="clear" w:color="auto" w:fill="C0C0C0"/>
          </w:tcPr>
          <w:p>
            <w:pPr>
              <w:ind w:left="15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466.9</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22.3</w:t>
            </w: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489.2</w:t>
            </w:r>
          </w:p>
        </w:tc>
        <w:tc>
          <w:tcPr>
            <w:tcW w:w="0" w:type="dxa"/>
            <w:vAlign w:val="bottom"/>
          </w:tcPr>
          <w:p>
            <w:pPr>
              <w:spacing w:after="0"/>
              <w:rPr>
                <w:sz w:val="1"/>
                <w:szCs w:val="1"/>
                <w:color w:val="auto"/>
              </w:rPr>
            </w:pPr>
          </w:p>
        </w:tc>
      </w:tr>
      <w:tr>
        <w:trPr>
          <w:trHeight w:val="211"/>
        </w:trPr>
        <w:tc>
          <w:tcPr>
            <w:tcW w:w="3840" w:type="dxa"/>
            <w:vAlign w:val="bottom"/>
            <w:gridSpan w:val="3"/>
          </w:tcPr>
          <w:p>
            <w:pPr>
              <w:spacing w:after="0"/>
              <w:rPr>
                <w:sz w:val="20"/>
                <w:szCs w:val="20"/>
                <w:color w:val="auto"/>
              </w:rPr>
            </w:pPr>
            <w:r>
              <w:rPr>
                <w:rFonts w:ascii="Arial" w:cs="Arial" w:eastAsia="Arial" w:hAnsi="Arial"/>
                <w:sz w:val="16"/>
                <w:szCs w:val="16"/>
                <w:color w:val="auto"/>
              </w:rPr>
              <w:t>Selling, general, and administrative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Cost of goods sold</w:t>
            </w:r>
          </w:p>
        </w:tc>
        <w:tc>
          <w:tcPr>
            <w:tcW w:w="160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840" w:type="dxa"/>
            <w:vAlign w:val="bottom"/>
            <w:tcBorders>
              <w:bottom w:val="single" w:sz="8" w:color="auto"/>
            </w:tcBorders>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tcPr>
          <w:p>
            <w:pPr>
              <w:ind w:left="260"/>
              <w:spacing w:after="0"/>
              <w:rPr>
                <w:sz w:val="20"/>
                <w:szCs w:val="20"/>
                <w:color w:val="auto"/>
              </w:rPr>
            </w:pPr>
            <w:r>
              <w:rPr>
                <w:rFonts w:ascii="Arial" w:cs="Arial" w:eastAsia="Arial" w:hAnsi="Arial"/>
                <w:sz w:val="16"/>
                <w:szCs w:val="16"/>
                <w:color w:val="auto"/>
              </w:rPr>
              <w:t>Total operating expenses</w:t>
            </w:r>
          </w:p>
        </w:tc>
        <w:tc>
          <w:tcPr>
            <w:tcW w:w="17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516.6</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16"/>
                <w:szCs w:val="16"/>
                <w:b w:val="1"/>
                <w:bCs w:val="1"/>
                <w:color w:val="auto"/>
              </w:rPr>
              <w:t>For the year ended December 31, 2009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4"/>
              </w:rPr>
              <w:t>Expenses before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gridSpan w:val="3"/>
          </w:tcPr>
          <w:p>
            <w:pPr>
              <w:ind w:left="1600"/>
              <w:spacing w:after="0"/>
              <w:rPr>
                <w:sz w:val="20"/>
                <w:szCs w:val="20"/>
                <w:color w:val="auto"/>
              </w:rPr>
            </w:pPr>
            <w:r>
              <w:rPr>
                <w:rFonts w:ascii="Arial" w:cs="Arial" w:eastAsia="Arial" w:hAnsi="Arial"/>
                <w:sz w:val="16"/>
                <w:szCs w:val="16"/>
                <w:b w:val="1"/>
                <w:bCs w:val="1"/>
                <w:color w:val="auto"/>
                <w:w w:val="86"/>
              </w:rPr>
              <w:t>inclusion of Non-cash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Non-cash</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40" w:type="dxa"/>
            <w:vAlign w:val="bottom"/>
            <w:gridSpan w:val="3"/>
          </w:tcPr>
          <w:p>
            <w:pPr>
              <w:spacing w:after="0"/>
              <w:rPr>
                <w:sz w:val="20"/>
                <w:szCs w:val="20"/>
                <w:color w:val="auto"/>
              </w:rPr>
            </w:pPr>
            <w:r>
              <w:rPr>
                <w:rFonts w:ascii="Arial" w:cs="Arial" w:eastAsia="Arial" w:hAnsi="Arial"/>
                <w:sz w:val="16"/>
                <w:szCs w:val="16"/>
                <w:b w:val="1"/>
                <w:bCs w:val="1"/>
                <w:color w:val="auto"/>
              </w:rPr>
              <w:t>Expenses</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61"/>
              <w:spacing w:after="0"/>
              <w:rPr>
                <w:sz w:val="20"/>
                <w:szCs w:val="20"/>
                <w:color w:val="auto"/>
              </w:rPr>
            </w:pPr>
            <w:r>
              <w:rPr>
                <w:rFonts w:ascii="Arial" w:cs="Arial" w:eastAsia="Arial" w:hAnsi="Arial"/>
                <w:sz w:val="16"/>
                <w:szCs w:val="16"/>
                <w:b w:val="1"/>
                <w:bCs w:val="1"/>
                <w:color w:val="auto"/>
                <w:w w:val="86"/>
              </w:rPr>
              <w:t>Compensation</w:t>
            </w:r>
          </w:p>
        </w:tc>
        <w:tc>
          <w:tcPr>
            <w:tcW w:w="1440" w:type="dxa"/>
            <w:vAlign w:val="bottom"/>
            <w:gridSpan w:val="4"/>
          </w:tcPr>
          <w:p>
            <w:pPr>
              <w:ind w:left="220"/>
              <w:spacing w:after="0"/>
              <w:rPr>
                <w:sz w:val="20"/>
                <w:szCs w:val="20"/>
                <w:color w:val="auto"/>
              </w:rPr>
            </w:pPr>
            <w:r>
              <w:rPr>
                <w:rFonts w:ascii="Arial" w:cs="Arial" w:eastAsia="Arial" w:hAnsi="Arial"/>
                <w:sz w:val="16"/>
                <w:szCs w:val="16"/>
                <w:b w:val="1"/>
                <w:bCs w:val="1"/>
                <w:color w:val="auto"/>
              </w:rPr>
              <w:t>Compensation</w:t>
            </w: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80"/>
              </w:rPr>
              <w:t>Expenses as</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85"/>
              </w:rPr>
              <w:t>Expense</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5"/>
              </w:rPr>
              <w:t>Expense</w:t>
            </w:r>
          </w:p>
        </w:tc>
        <w:tc>
          <w:tcPr>
            <w:tcW w:w="80" w:type="dxa"/>
            <w:vAlign w:val="bottom"/>
          </w:tcPr>
          <w:p>
            <w:pPr>
              <w:spacing w:after="0" w:line="20" w:lineRule="exact"/>
              <w:rPr>
                <w:sz w:val="1"/>
                <w:szCs w:val="1"/>
                <w:color w:val="auto"/>
              </w:rPr>
            </w:pP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88"/>
              </w:rPr>
              <w:t>Reported</w:t>
            </w:r>
          </w:p>
        </w:tc>
        <w:tc>
          <w:tcPr>
            <w:tcW w:w="0" w:type="dxa"/>
            <w:vAlign w:val="bottom"/>
          </w:tcPr>
          <w:p>
            <w:pPr>
              <w:spacing w:after="0" w:line="20" w:lineRule="exact"/>
              <w:rPr>
                <w:sz w:val="1"/>
                <w:szCs w:val="1"/>
                <w:color w:val="auto"/>
              </w:rPr>
            </w:pPr>
          </w:p>
        </w:tc>
      </w:tr>
      <w:tr>
        <w:trPr>
          <w:trHeight w:val="240"/>
        </w:trPr>
        <w:tc>
          <w:tcPr>
            <w:tcW w:w="38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(In millions)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shd w:val="clear" w:color="auto" w:fill="C0C0C0"/>
          </w:tcPr>
          <w:p>
            <w:pPr>
              <w:spacing w:after="0"/>
              <w:rPr>
                <w:sz w:val="20"/>
                <w:szCs w:val="20"/>
                <w:color w:val="auto"/>
              </w:rPr>
            </w:pPr>
            <w:r>
              <w:rPr>
                <w:rFonts w:ascii="Arial" w:cs="Arial" w:eastAsia="Arial" w:hAnsi="Arial"/>
                <w:sz w:val="16"/>
                <w:szCs w:val="16"/>
                <w:color w:val="auto"/>
              </w:rPr>
              <w:t>Research and development</w:t>
            </w:r>
          </w:p>
        </w:tc>
        <w:tc>
          <w:tcPr>
            <w:tcW w:w="16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vMerge w:val="continue"/>
            <w:shd w:val="clear" w:color="auto" w:fill="C0C0C0"/>
          </w:tcPr>
          <w:p>
            <w:pPr>
              <w:spacing w:after="0"/>
              <w:rPr>
                <w:sz w:val="18"/>
                <w:szCs w:val="18"/>
                <w:color w:val="auto"/>
              </w:rPr>
            </w:pPr>
          </w:p>
        </w:tc>
        <w:tc>
          <w:tcPr>
            <w:tcW w:w="1720" w:type="dxa"/>
            <w:vAlign w:val="bottom"/>
            <w:gridSpan w:val="2"/>
            <w:shd w:val="clear" w:color="auto" w:fill="C0C0C0"/>
          </w:tcPr>
          <w:p>
            <w:pPr>
              <w:ind w:left="15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380.0</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18.8</w:t>
            </w: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11"/>
        </w:trPr>
        <w:tc>
          <w:tcPr>
            <w:tcW w:w="3840" w:type="dxa"/>
            <w:vAlign w:val="bottom"/>
            <w:gridSpan w:val="3"/>
          </w:tcPr>
          <w:p>
            <w:pPr>
              <w:spacing w:after="0"/>
              <w:rPr>
                <w:sz w:val="20"/>
                <w:szCs w:val="20"/>
                <w:color w:val="auto"/>
              </w:rPr>
            </w:pPr>
            <w:r>
              <w:rPr>
                <w:rFonts w:ascii="Arial" w:cs="Arial" w:eastAsia="Arial" w:hAnsi="Arial"/>
                <w:sz w:val="16"/>
                <w:szCs w:val="16"/>
                <w:color w:val="auto"/>
              </w:rPr>
              <w:t>Selling, general, and administrative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Cost of goods sold</w:t>
            </w:r>
          </w:p>
        </w:tc>
        <w:tc>
          <w:tcPr>
            <w:tcW w:w="160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1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840" w:type="dxa"/>
            <w:vAlign w:val="bottom"/>
            <w:tcBorders>
              <w:bottom w:val="single" w:sz="8" w:color="auto"/>
            </w:tcBorders>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gridSpan w:val="2"/>
          </w:tcPr>
          <w:p>
            <w:pPr>
              <w:ind w:left="260"/>
              <w:spacing w:after="0"/>
              <w:rPr>
                <w:sz w:val="20"/>
                <w:szCs w:val="20"/>
                <w:color w:val="auto"/>
              </w:rPr>
            </w:pPr>
            <w:r>
              <w:rPr>
                <w:rFonts w:ascii="Arial" w:cs="Arial" w:eastAsia="Arial" w:hAnsi="Arial"/>
                <w:sz w:val="16"/>
                <w:szCs w:val="16"/>
                <w:color w:val="auto"/>
              </w:rPr>
              <w:t>Total operating expenses</w:t>
            </w:r>
          </w:p>
        </w:tc>
        <w:tc>
          <w:tcPr>
            <w:tcW w:w="17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422.1</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The increase in total Non-cash Compensation Expense in 2010 was primarily attributable to (i) the recognition of higher expense in 2010 in connection with performance-based stock options that we estimate will vest, (ii) the increase in stock option awards in 2010, due in part to the increase in headcount, and (iii) the higher fair market value of our Common Stock on the date of our annual employee option grants made in December 2009 compared to December 2008.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29" w:lineRule="exact"/>
        <w:rPr>
          <w:sz w:val="20"/>
          <w:szCs w:val="20"/>
          <w:color w:val="auto"/>
        </w:rPr>
      </w:pPr>
    </w:p>
    <w:p>
      <w:pPr>
        <w:ind w:right="60" w:firstLine="243"/>
        <w:spacing w:after="0" w:line="274" w:lineRule="auto"/>
        <w:rPr>
          <w:sz w:val="20"/>
          <w:szCs w:val="20"/>
          <w:color w:val="auto"/>
        </w:rPr>
      </w:pPr>
      <w:r>
        <w:rPr>
          <w:rFonts w:ascii="Arial" w:cs="Arial" w:eastAsia="Arial" w:hAnsi="Arial"/>
          <w:sz w:val="16"/>
          <w:szCs w:val="16"/>
          <w:color w:val="auto"/>
        </w:rPr>
        <w:t>Research and development expenses increased to $489.2 million in 2010 from $398.8 million in 2009. The following table summarizes the major categories of our research and development expenses in 2010 and 2009:</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60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 Expenses*</w:t>
            </w:r>
          </w:p>
        </w:tc>
        <w:tc>
          <w:tcPr>
            <w:tcW w:w="3440" w:type="dxa"/>
            <w:vAlign w:val="bottom"/>
            <w:gridSpan w:val="6"/>
          </w:tcPr>
          <w:p>
            <w:pPr>
              <w:ind w:left="1700"/>
              <w:spacing w:after="0"/>
              <w:rPr>
                <w:sz w:val="20"/>
                <w:szCs w:val="20"/>
                <w:color w:val="auto"/>
              </w:rPr>
            </w:pPr>
            <w:r>
              <w:rPr>
                <w:rFonts w:ascii="Arial" w:cs="Arial" w:eastAsia="Arial" w:hAnsi="Arial"/>
                <w:sz w:val="16"/>
                <w:szCs w:val="16"/>
                <w:b w:val="1"/>
                <w:bCs w:val="1"/>
                <w:color w:val="auto"/>
                <w:w w:val="87"/>
              </w:rPr>
              <w:t>Year Ended December 31,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w w:val="95"/>
              </w:rPr>
              <w:t>Increase</w:t>
            </w:r>
          </w:p>
        </w:tc>
        <w:tc>
          <w:tcPr>
            <w:tcW w:w="0" w:type="dxa"/>
            <w:vAlign w:val="bottom"/>
          </w:tcPr>
          <w:p>
            <w:pPr>
              <w:spacing w:after="0"/>
              <w:rPr>
                <w:sz w:val="1"/>
                <w:szCs w:val="1"/>
                <w:color w:val="auto"/>
              </w:rPr>
            </w:pPr>
          </w:p>
        </w:tc>
      </w:tr>
      <w:tr>
        <w:trPr>
          <w:trHeight w:val="29"/>
        </w:trPr>
        <w:tc>
          <w:tcPr>
            <w:tcW w:w="25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6"/>
                <w:szCs w:val="16"/>
                <w:b w:val="1"/>
                <w:bCs w:val="1"/>
                <w:i w:val="1"/>
                <w:iCs w:val="1"/>
                <w:color w:val="auto"/>
              </w:rPr>
              <w:t>(In millions)</w:t>
            </w:r>
          </w:p>
        </w:tc>
        <w:tc>
          <w:tcPr>
            <w:tcW w:w="20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83"/>
              </w:rPr>
              <w:t>(Decrease)</w:t>
            </w:r>
          </w:p>
        </w:tc>
        <w:tc>
          <w:tcPr>
            <w:tcW w:w="0" w:type="dxa"/>
            <w:vAlign w:val="bottom"/>
          </w:tcPr>
          <w:p>
            <w:pPr>
              <w:spacing w:after="0"/>
              <w:rPr>
                <w:sz w:val="1"/>
                <w:szCs w:val="1"/>
                <w:color w:val="auto"/>
              </w:rPr>
            </w:pPr>
          </w:p>
        </w:tc>
      </w:tr>
      <w:tr>
        <w:trPr>
          <w:trHeight w:val="204"/>
        </w:trPr>
        <w:tc>
          <w:tcPr>
            <w:tcW w:w="2580" w:type="dxa"/>
            <w:vAlign w:val="bottom"/>
            <w:gridSpan w:val="2"/>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61"/>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61"/>
              <w:spacing w:after="0"/>
              <w:rPr>
                <w:sz w:val="20"/>
                <w:szCs w:val="20"/>
                <w:color w:val="auto"/>
              </w:rPr>
            </w:pPr>
            <w:r>
              <w:rPr>
                <w:rFonts w:ascii="Arial" w:cs="Arial" w:eastAsia="Arial" w:hAnsi="Arial"/>
                <w:sz w:val="16"/>
                <w:szCs w:val="16"/>
                <w:b w:val="1"/>
                <w:bCs w:val="1"/>
                <w:color w:val="auto"/>
              </w:rPr>
              <w:t>2009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shd w:val="clear" w:color="auto" w:fill="C0C0C0"/>
          </w:tcPr>
          <w:p>
            <w:pPr>
              <w:spacing w:after="0"/>
              <w:rPr>
                <w:sz w:val="20"/>
                <w:szCs w:val="20"/>
                <w:color w:val="auto"/>
              </w:rPr>
            </w:pPr>
            <w:r>
              <w:rPr>
                <w:rFonts w:ascii="Arial" w:cs="Arial" w:eastAsia="Arial" w:hAnsi="Arial"/>
                <w:sz w:val="16"/>
                <w:szCs w:val="16"/>
                <w:color w:val="auto"/>
              </w:rPr>
              <w:t>Payroll and benefits (1)</w:t>
            </w:r>
          </w:p>
        </w:tc>
        <w:tc>
          <w:tcPr>
            <w:tcW w:w="17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gridSpan w:val="2"/>
            <w:vMerge w:val="continue"/>
            <w:shd w:val="clear" w:color="auto" w:fill="C0C0C0"/>
          </w:tcPr>
          <w:p>
            <w:pPr>
              <w:spacing w:after="0"/>
              <w:rPr>
                <w:sz w:val="18"/>
                <w:szCs w:val="18"/>
                <w:color w:val="auto"/>
              </w:rPr>
            </w:pPr>
          </w:p>
        </w:tc>
        <w:tc>
          <w:tcPr>
            <w:tcW w:w="1840" w:type="dxa"/>
            <w:vAlign w:val="bottom"/>
            <w:gridSpan w:val="2"/>
            <w:shd w:val="clear" w:color="auto" w:fill="C0C0C0"/>
          </w:tcPr>
          <w:p>
            <w:pPr>
              <w:ind w:left="17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131.7</w:t>
            </w:r>
          </w:p>
        </w:tc>
        <w:tc>
          <w:tcPr>
            <w:tcW w:w="34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99.9</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1"/>
        </w:trPr>
        <w:tc>
          <w:tcPr>
            <w:tcW w:w="4600" w:type="dxa"/>
            <w:vAlign w:val="bottom"/>
            <w:gridSpan w:val="3"/>
          </w:tcPr>
          <w:p>
            <w:pPr>
              <w:spacing w:after="0"/>
              <w:rPr>
                <w:sz w:val="20"/>
                <w:szCs w:val="20"/>
                <w:color w:val="auto"/>
              </w:rPr>
            </w:pPr>
            <w:r>
              <w:rPr>
                <w:rFonts w:ascii="Arial" w:cs="Arial" w:eastAsia="Arial" w:hAnsi="Arial"/>
                <w:sz w:val="16"/>
                <w:szCs w:val="16"/>
                <w:color w:val="auto"/>
              </w:rPr>
              <w:t>Clinical trial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Clinical manufacturing costs (2)</w:t>
            </w:r>
          </w:p>
        </w:tc>
        <w:tc>
          <w:tcPr>
            <w:tcW w:w="1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116.1</w:t>
            </w:r>
          </w:p>
        </w:tc>
        <w:tc>
          <w:tcPr>
            <w:tcW w:w="1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79.8</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1"/>
        </w:trPr>
        <w:tc>
          <w:tcPr>
            <w:tcW w:w="4600" w:type="dxa"/>
            <w:vAlign w:val="bottom"/>
            <w:gridSpan w:val="3"/>
          </w:tcPr>
          <w:p>
            <w:pPr>
              <w:spacing w:after="0"/>
              <w:rPr>
                <w:sz w:val="20"/>
                <w:szCs w:val="20"/>
                <w:color w:val="auto"/>
              </w:rPr>
            </w:pPr>
            <w:r>
              <w:rPr>
                <w:rFonts w:ascii="Arial" w:cs="Arial" w:eastAsia="Arial" w:hAnsi="Arial"/>
                <w:sz w:val="16"/>
                <w:szCs w:val="16"/>
                <w:color w:val="auto"/>
              </w:rPr>
              <w:t>Research and other development costs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Occupancy and other operating costs</w:t>
            </w:r>
          </w:p>
        </w:tc>
        <w:tc>
          <w:tcPr>
            <w:tcW w:w="17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52.3</w:t>
            </w:r>
          </w:p>
        </w:tc>
        <w:tc>
          <w:tcPr>
            <w:tcW w:w="1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82"/>
        </w:trPr>
        <w:tc>
          <w:tcPr>
            <w:tcW w:w="4600" w:type="dxa"/>
            <w:vAlign w:val="bottom"/>
            <w:gridSpan w:val="3"/>
          </w:tcPr>
          <w:p>
            <w:pPr>
              <w:spacing w:after="0" w:line="282" w:lineRule="exact"/>
              <w:rPr>
                <w:sz w:val="20"/>
                <w:szCs w:val="20"/>
                <w:color w:val="auto"/>
              </w:rPr>
            </w:pPr>
            <w:r>
              <w:rPr>
                <w:rFonts w:ascii="Arial" w:cs="Arial" w:eastAsia="Arial" w:hAnsi="Arial"/>
                <w:sz w:val="16"/>
                <w:szCs w:val="16"/>
                <w:color w:val="auto"/>
              </w:rPr>
              <w:t>Cost-sharing of Bayer HealthCare EYLEA</w:t>
            </w:r>
            <w:r>
              <w:rPr>
                <w:rFonts w:ascii="Arial" w:cs="Arial" w:eastAsia="Arial" w:hAnsi="Arial"/>
                <w:sz w:val="26"/>
                <w:szCs w:val="26"/>
                <w:color w:val="auto"/>
                <w:vertAlign w:val="superscript"/>
              </w:rPr>
              <w:t>®</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Borders>
              <w:bottom w:val="single" w:sz="8" w:color="C0C0C0"/>
            </w:tcBorders>
            <w:gridSpan w:val="2"/>
          </w:tcPr>
          <w:p>
            <w:pPr>
              <w:ind w:left="260"/>
              <w:spacing w:after="0"/>
              <w:rPr>
                <w:sz w:val="20"/>
                <w:szCs w:val="20"/>
                <w:color w:val="auto"/>
              </w:rPr>
            </w:pPr>
            <w:r>
              <w:rPr>
                <w:rFonts w:ascii="Arial" w:cs="Arial" w:eastAsia="Arial" w:hAnsi="Arial"/>
                <w:sz w:val="16"/>
                <w:szCs w:val="16"/>
                <w:color w:val="auto"/>
              </w:rPr>
              <w:t>development expenses (3)</w:t>
            </w:r>
          </w:p>
        </w:tc>
        <w:tc>
          <w:tcPr>
            <w:tcW w:w="170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8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2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shd w:val="clear" w:color="auto" w:fill="C0C0C0"/>
          </w:tcPr>
          <w:p>
            <w:pPr>
              <w:ind w:left="260"/>
              <w:spacing w:after="0"/>
              <w:rPr>
                <w:sz w:val="20"/>
                <w:szCs w:val="20"/>
                <w:color w:val="auto"/>
              </w:rPr>
            </w:pPr>
            <w:r>
              <w:rPr>
                <w:rFonts w:ascii="Arial" w:cs="Arial" w:eastAsia="Arial" w:hAnsi="Arial"/>
                <w:sz w:val="16"/>
                <w:szCs w:val="16"/>
                <w:color w:val="auto"/>
              </w:rPr>
              <w:t>Total research and development expenses</w:t>
            </w:r>
          </w:p>
        </w:tc>
        <w:tc>
          <w:tcPr>
            <w:tcW w:w="1840" w:type="dxa"/>
            <w:vAlign w:val="bottom"/>
            <w:gridSpan w:val="2"/>
            <w:shd w:val="clear" w:color="auto" w:fill="C0C0C0"/>
          </w:tcPr>
          <w:p>
            <w:pPr>
              <w:ind w:left="17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489.2</w:t>
            </w:r>
          </w:p>
        </w:tc>
        <w:tc>
          <w:tcPr>
            <w:tcW w:w="34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398.8</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-6985</wp:posOffset>
            </wp:positionV>
            <wp:extent cx="181102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11020" cy="1524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____________________</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62" w:name="page63"/>
    <w:bookmarkEnd w:id="62"/>
    <w:p>
      <w:pPr>
        <w:ind w:left="123" w:hanging="123"/>
        <w:spacing w:after="0"/>
        <w:tabs>
          <w:tab w:leader="none" w:pos="123"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216" w:lineRule="exact"/>
        <w:rPr>
          <w:rFonts w:ascii="Arial" w:cs="Arial" w:eastAsia="Arial" w:hAnsi="Arial"/>
          <w:sz w:val="16"/>
          <w:szCs w:val="16"/>
          <w:color w:val="auto"/>
        </w:rPr>
      </w:pPr>
    </w:p>
    <w:p>
      <w:pPr>
        <w:ind w:left="683" w:hanging="440"/>
        <w:spacing w:after="0"/>
        <w:tabs>
          <w:tab w:leader="none" w:pos="683" w:val="left"/>
        </w:tabs>
        <w:numPr>
          <w:ilvl w:val="1"/>
          <w:numId w:val="6"/>
        </w:numPr>
        <w:rPr>
          <w:rFonts w:ascii="Arial" w:cs="Arial" w:eastAsia="Arial" w:hAnsi="Arial"/>
          <w:sz w:val="16"/>
          <w:szCs w:val="16"/>
          <w:color w:val="auto"/>
        </w:rPr>
      </w:pPr>
      <w:r>
        <w:rPr>
          <w:rFonts w:ascii="Arial" w:cs="Arial" w:eastAsia="Arial" w:hAnsi="Arial"/>
          <w:sz w:val="16"/>
          <w:szCs w:val="16"/>
          <w:color w:val="auto"/>
        </w:rPr>
        <w:t>Includes $19.3 million and $16.2 million of Non-cash Compensation Expense in 2010 and 2009, respectively.</w:t>
      </w:r>
    </w:p>
    <w:p>
      <w:pPr>
        <w:spacing w:after="0" w:line="22" w:lineRule="exact"/>
        <w:rPr>
          <w:rFonts w:ascii="Arial" w:cs="Arial" w:eastAsia="Arial" w:hAnsi="Arial"/>
          <w:sz w:val="16"/>
          <w:szCs w:val="16"/>
          <w:color w:val="auto"/>
        </w:rPr>
      </w:pPr>
    </w:p>
    <w:p>
      <w:pPr>
        <w:jc w:val="both"/>
        <w:ind w:left="683" w:right="20" w:hanging="440"/>
        <w:spacing w:after="0" w:line="256" w:lineRule="auto"/>
        <w:tabs>
          <w:tab w:leader="none" w:pos="683" w:val="left"/>
        </w:tabs>
        <w:numPr>
          <w:ilvl w:val="1"/>
          <w:numId w:val="6"/>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$3.0 million and $2.6 million of Non-cash Compensation Expense in 2010 and 2009, respectively.</w:t>
      </w:r>
    </w:p>
    <w:p>
      <w:pPr>
        <w:jc w:val="both"/>
        <w:ind w:left="683" w:right="20" w:hanging="440"/>
        <w:spacing w:after="0" w:line="223" w:lineRule="auto"/>
        <w:tabs>
          <w:tab w:leader="none" w:pos="683" w:val="left"/>
        </w:tabs>
        <w:numPr>
          <w:ilvl w:val="1"/>
          <w:numId w:val="6"/>
        </w:numPr>
        <w:rPr>
          <w:rFonts w:ascii="Arial" w:cs="Arial" w:eastAsia="Arial" w:hAnsi="Arial"/>
          <w:sz w:val="27"/>
          <w:szCs w:val="27"/>
          <w:color w:val="auto"/>
          <w:vertAlign w:val="superscript"/>
        </w:rPr>
      </w:pPr>
      <w:r>
        <w:rPr>
          <w:rFonts w:ascii="Arial" w:cs="Arial" w:eastAsia="Arial" w:hAnsi="Arial"/>
          <w:sz w:val="14"/>
          <w:szCs w:val="14"/>
          <w:color w:val="auto"/>
        </w:rPr>
        <w:t>Under our collaboration with Bayer HealthCare, in periods when Bayer HealthCare incurs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we also recognize, as additional research and development expense, the portion of Bayer HealthCare’s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that we are obligated to reimburse. Bayer HealthCare provides us with estimated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for the most recent fiscal quarter. Bayer HealthCare’s estimate is reconciled to its actual expenses for such quarter in the subsequent fiscal quarter and our portion of its global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that we are obligated to reimburse is adjusted accordingly.</w:t>
      </w:r>
    </w:p>
    <w:p>
      <w:pPr>
        <w:spacing w:after="0" w:line="109" w:lineRule="exact"/>
        <w:rPr>
          <w:sz w:val="20"/>
          <w:szCs w:val="20"/>
          <w:color w:val="auto"/>
        </w:rPr>
      </w:pPr>
    </w:p>
    <w:p>
      <w:pPr>
        <w:jc w:val="both"/>
        <w:ind w:left="3" w:firstLine="267"/>
        <w:spacing w:after="0" w:line="263" w:lineRule="auto"/>
        <w:rPr>
          <w:sz w:val="20"/>
          <w:szCs w:val="20"/>
          <w:color w:val="auto"/>
        </w:rPr>
      </w:pPr>
      <w:r>
        <w:rPr>
          <w:rFonts w:ascii="Arial" w:cs="Arial" w:eastAsia="Arial" w:hAnsi="Arial"/>
          <w:sz w:val="14"/>
          <w:szCs w:val="14"/>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gout, partly offset by higher costs related to our clinical development programs for EYLEA</w:t>
      </w:r>
      <w:r>
        <w:rPr>
          <w:rFonts w:ascii="Arial" w:cs="Arial" w:eastAsia="Arial" w:hAnsi="Arial"/>
          <w:sz w:val="23"/>
          <w:szCs w:val="23"/>
          <w:color w:val="auto"/>
          <w:vertAlign w:val="superscript"/>
        </w:rPr>
        <w:t>®</w:t>
      </w:r>
      <w:r>
        <w:rPr>
          <w:rFonts w:ascii="Arial" w:cs="Arial" w:eastAsia="Arial" w:hAnsi="Arial"/>
          <w:sz w:val="14"/>
          <w:szCs w:val="14"/>
          <w:color w:val="auto"/>
        </w:rPr>
        <w:t>, principally in connection with our COPERNICUS trial in CRVO. Clinical manufacturing costs increased due to higher facility-related costs in connection with the expansion of our manufacturing capacity at our Rensselaer facility and higher costs related to manufacturing clinical supplies of monoclonal antibodies, partly offset by lower costs related to manufacturing</w:t>
      </w:r>
    </w:p>
    <w:p>
      <w:pPr>
        <w:spacing w:after="0" w:line="1" w:lineRule="exact"/>
        <w:rPr>
          <w:sz w:val="20"/>
          <w:szCs w:val="20"/>
          <w:color w:val="auto"/>
        </w:rPr>
      </w:pPr>
    </w:p>
    <w:p>
      <w:pPr>
        <w:jc w:val="both"/>
        <w:ind w:left="3" w:right="20"/>
        <w:spacing w:after="0" w:line="239" w:lineRule="auto"/>
        <w:rPr>
          <w:sz w:val="20"/>
          <w:szCs w:val="20"/>
          <w:color w:val="auto"/>
        </w:rPr>
      </w:pPr>
      <w:r>
        <w:rPr>
          <w:rFonts w:ascii="Arial" w:cs="Arial" w:eastAsia="Arial" w:hAnsi="Arial"/>
          <w:sz w:val="14"/>
          <w:szCs w:val="14"/>
          <w:color w:val="auto"/>
        </w:rPr>
        <w:t>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clinical supplies. Research and other development costs increased primarily due to higher costs associated with our antibody programs. Occupancy and other operating costs increased principally in connection with our higher headcount, expanded research and development activities, and new and expanded leased laboratory and office facilities in</w:t>
      </w:r>
    </w:p>
    <w:p>
      <w:pPr>
        <w:spacing w:after="0" w:line="1" w:lineRule="exact"/>
        <w:rPr>
          <w:sz w:val="20"/>
          <w:szCs w:val="20"/>
          <w:color w:val="auto"/>
        </w:rPr>
      </w:pPr>
    </w:p>
    <w:p>
      <w:pPr>
        <w:jc w:val="both"/>
        <w:ind w:left="3" w:right="20"/>
        <w:spacing w:after="0" w:line="211" w:lineRule="auto"/>
        <w:rPr>
          <w:sz w:val="20"/>
          <w:szCs w:val="20"/>
          <w:color w:val="auto"/>
        </w:rPr>
      </w:pPr>
      <w:r>
        <w:rPr>
          <w:rFonts w:ascii="Arial" w:cs="Arial" w:eastAsia="Arial" w:hAnsi="Arial"/>
          <w:sz w:val="16"/>
          <w:szCs w:val="16"/>
          <w:color w:val="auto"/>
        </w:rPr>
        <w:t>Tarrytown, New York. Cost-sharing of Bayer HealthCare’s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increased primarily due to higher costs in connection with Bayer HealthCare’s VIEW 2 trial in wet AMD.</w:t>
      </w:r>
    </w:p>
    <w:p>
      <w:pPr>
        <w:spacing w:after="0" w:line="212" w:lineRule="exact"/>
        <w:rPr>
          <w:sz w:val="20"/>
          <w:szCs w:val="20"/>
          <w:color w:val="auto"/>
        </w:rPr>
      </w:pPr>
    </w:p>
    <w:p>
      <w:pPr>
        <w:jc w:val="both"/>
        <w:ind w:left="3" w:right="20" w:firstLine="279"/>
        <w:spacing w:after="0" w:line="294" w:lineRule="auto"/>
        <w:rPr>
          <w:sz w:val="20"/>
          <w:szCs w:val="20"/>
          <w:color w:val="auto"/>
        </w:rPr>
      </w:pPr>
      <w:r>
        <w:rPr>
          <w:rFonts w:ascii="Arial" w:cs="Arial" w:eastAsia="Arial" w:hAnsi="Arial"/>
          <w:sz w:val="14"/>
          <w:szCs w:val="14"/>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w:t>
      </w:r>
    </w:p>
    <w:p>
      <w:pPr>
        <w:jc w:val="both"/>
        <w:ind w:left="3" w:right="20"/>
        <w:spacing w:after="0" w:line="211" w:lineRule="auto"/>
        <w:rPr>
          <w:sz w:val="20"/>
          <w:szCs w:val="20"/>
          <w:color w:val="auto"/>
        </w:rPr>
      </w:pPr>
      <w:r>
        <w:rPr>
          <w:rFonts w:ascii="Arial" w:cs="Arial" w:eastAsia="Arial" w:hAnsi="Arial"/>
          <w:sz w:val="16"/>
          <w:szCs w:val="16"/>
          <w:color w:val="auto"/>
        </w:rPr>
        <w:t>portion of Bayer HealthCare’s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that we are obligated to reimburse. Our estimates of research and development costs for clinical development programs are shown below:</w:t>
      </w:r>
    </w:p>
    <w:p>
      <w:pPr>
        <w:spacing w:after="0" w:line="183" w:lineRule="exact"/>
        <w:rPr>
          <w:sz w:val="20"/>
          <w:szCs w:val="20"/>
          <w:color w:val="auto"/>
        </w:rPr>
      </w:pPr>
    </w:p>
    <w:tbl>
      <w:tblPr>
        <w:tblLayout w:type="fixed"/>
        <w:tblInd w:w="1143" w:type="dxa"/>
        <w:tblCellMar>
          <w:top w:w="0" w:type="dxa"/>
          <w:left w:w="0" w:type="dxa"/>
          <w:bottom w:w="0" w:type="dxa"/>
          <w:right w:w="0" w:type="dxa"/>
        </w:tblCellMar>
      </w:tblPr>
      <w:tr>
        <w:trPr>
          <w:trHeight w:val="184"/>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5"/>
              </w:rPr>
              <w:t>Project Costs</w:t>
            </w:r>
          </w:p>
        </w:tc>
        <w:tc>
          <w:tcPr>
            <w:tcW w:w="3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Year ended December 31,</w:t>
            </w:r>
          </w:p>
        </w:tc>
        <w:tc>
          <w:tcPr>
            <w:tcW w:w="80" w:type="dxa"/>
            <w:vAlign w:val="bottom"/>
          </w:tcPr>
          <w:p>
            <w:pPr>
              <w:spacing w:after="0"/>
              <w:rPr>
                <w:sz w:val="16"/>
                <w:szCs w:val="16"/>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w w:val="95"/>
              </w:rPr>
              <w:t>Increase</w:t>
            </w:r>
          </w:p>
        </w:tc>
        <w:tc>
          <w:tcPr>
            <w:tcW w:w="0" w:type="dxa"/>
            <w:vAlign w:val="bottom"/>
          </w:tcPr>
          <w:p>
            <w:pPr>
              <w:spacing w:after="0"/>
              <w:rPr>
                <w:sz w:val="1"/>
                <w:szCs w:val="1"/>
                <w:color w:val="auto"/>
              </w:rPr>
            </w:pPr>
          </w:p>
        </w:tc>
      </w:tr>
      <w:tr>
        <w:trPr>
          <w:trHeight w:val="29"/>
        </w:trPr>
        <w:tc>
          <w:tcPr>
            <w:tcW w:w="4720" w:type="dxa"/>
            <w:vAlign w:val="bottom"/>
            <w:gridSpan w:val="3"/>
            <w:vMerge w:val="restart"/>
          </w:tcPr>
          <w:p>
            <w:pPr>
              <w:spacing w:after="0"/>
              <w:rPr>
                <w:sz w:val="20"/>
                <w:szCs w:val="20"/>
                <w:color w:val="auto"/>
              </w:rPr>
            </w:pPr>
            <w:r>
              <w:rPr>
                <w:rFonts w:ascii="Arial" w:cs="Arial" w:eastAsia="Arial" w:hAnsi="Arial"/>
                <w:sz w:val="16"/>
                <w:szCs w:val="16"/>
                <w:b w:val="1"/>
                <w:bCs w:val="1"/>
                <w:i w:val="1"/>
                <w:iCs w:val="1"/>
                <w:color w:val="auto"/>
              </w:rPr>
              <w:t>(In millions)</w:t>
            </w:r>
          </w:p>
        </w:tc>
        <w:tc>
          <w:tcPr>
            <w:tcW w:w="1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w w:val="83"/>
              </w:rPr>
              <w:t>(Decrease)</w:t>
            </w:r>
          </w:p>
        </w:tc>
        <w:tc>
          <w:tcPr>
            <w:tcW w:w="0" w:type="dxa"/>
            <w:vAlign w:val="bottom"/>
          </w:tcPr>
          <w:p>
            <w:pPr>
              <w:spacing w:after="0"/>
              <w:rPr>
                <w:sz w:val="1"/>
                <w:szCs w:val="1"/>
                <w:color w:val="auto"/>
              </w:rPr>
            </w:pPr>
          </w:p>
        </w:tc>
      </w:tr>
      <w:tr>
        <w:trPr>
          <w:trHeight w:val="204"/>
        </w:trPr>
        <w:tc>
          <w:tcPr>
            <w:tcW w:w="4720" w:type="dxa"/>
            <w:vAlign w:val="bottom"/>
            <w:gridSpan w:val="3"/>
            <w:vMerge w:val="continue"/>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61"/>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Arial" w:cs="Arial" w:eastAsia="Arial" w:hAnsi="Arial"/>
                <w:sz w:val="16"/>
                <w:szCs w:val="16"/>
                <w:b w:val="1"/>
                <w:bCs w:val="1"/>
                <w:color w:val="auto"/>
              </w:rPr>
              <w:t>2009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vMerge w:val="restart"/>
            <w:shd w:val="clear" w:color="auto" w:fill="C0C0C0"/>
          </w:tcPr>
          <w:p>
            <w:pPr>
              <w:spacing w:after="0" w:line="286" w:lineRule="exact"/>
              <w:rPr>
                <w:sz w:val="20"/>
                <w:szCs w:val="20"/>
                <w:color w:val="auto"/>
              </w:rPr>
            </w:pPr>
            <w:r>
              <w:rPr>
                <w:rFonts w:ascii="Arial" w:cs="Arial" w:eastAsia="Arial" w:hAnsi="Arial"/>
                <w:sz w:val="16"/>
                <w:szCs w:val="16"/>
                <w:color w:val="auto"/>
              </w:rPr>
              <w:t>ARCALYST</w:t>
            </w:r>
            <w:r>
              <w:rPr>
                <w:rFonts w:ascii="Arial" w:cs="Arial" w:eastAsia="Arial" w:hAnsi="Arial"/>
                <w:sz w:val="26"/>
                <w:szCs w:val="26"/>
                <w:color w:val="auto"/>
                <w:vertAlign w:val="superscript"/>
              </w:rPr>
              <w:t>®</w:t>
            </w:r>
          </w:p>
        </w:tc>
        <w:tc>
          <w:tcPr>
            <w:tcW w:w="15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0C0C0"/>
            </w:tcBorders>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4700" w:type="dxa"/>
            <w:vAlign w:val="bottom"/>
            <w:gridSpan w:val="2"/>
            <w:vMerge w:val="continue"/>
            <w:shd w:val="clear" w:color="auto" w:fill="C0C0C0"/>
          </w:tcPr>
          <w:p>
            <w:pPr>
              <w:spacing w:after="0"/>
              <w:rPr>
                <w:sz w:val="23"/>
                <w:szCs w:val="23"/>
                <w:color w:val="auto"/>
              </w:rPr>
            </w:pPr>
          </w:p>
        </w:tc>
        <w:tc>
          <w:tcPr>
            <w:tcW w:w="1680" w:type="dxa"/>
            <w:vAlign w:val="bottom"/>
            <w:gridSpan w:val="2"/>
            <w:shd w:val="clear" w:color="auto" w:fill="C0C0C0"/>
          </w:tcPr>
          <w:p>
            <w:pPr>
              <w:ind w:left="15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56.8</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67.7</w:t>
            </w:r>
          </w:p>
        </w:tc>
        <w:tc>
          <w:tcPr>
            <w:tcW w:w="260" w:type="dxa"/>
            <w:vAlign w:val="bottom"/>
            <w:tcBorders>
              <w:right w:val="single" w:sz="8" w:color="C0C0C0"/>
            </w:tcBorders>
            <w:shd w:val="clear" w:color="auto" w:fill="C0C0C0"/>
          </w:tcPr>
          <w:p>
            <w:pPr>
              <w:spacing w:after="0"/>
              <w:rPr>
                <w:sz w:val="23"/>
                <w:szCs w:val="23"/>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79"/>
        </w:trPr>
        <w:tc>
          <w:tcPr>
            <w:tcW w:w="4720" w:type="dxa"/>
            <w:vAlign w:val="bottom"/>
            <w:gridSpan w:val="3"/>
          </w:tcPr>
          <w:p>
            <w:pPr>
              <w:spacing w:after="0" w:line="280" w:lineRule="exact"/>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4700" w:type="dxa"/>
            <w:vAlign w:val="bottom"/>
            <w:gridSpan w:val="2"/>
            <w:shd w:val="clear" w:color="auto" w:fill="C0C0C0"/>
          </w:tcPr>
          <w:p>
            <w:pPr>
              <w:spacing w:after="0" w:line="280" w:lineRule="exact"/>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p>
        </w:tc>
        <w:tc>
          <w:tcPr>
            <w:tcW w:w="15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23.3</w:t>
            </w:r>
          </w:p>
        </w:tc>
        <w:tc>
          <w:tcPr>
            <w:tcW w:w="260" w:type="dxa"/>
            <w:vAlign w:val="bottom"/>
            <w:tcBorders>
              <w:right w:val="single" w:sz="8" w:color="C0C0C0"/>
            </w:tcBorders>
            <w:shd w:val="clear" w:color="auto" w:fill="C0C0C0"/>
          </w:tcPr>
          <w:p>
            <w:pPr>
              <w:spacing w:after="0"/>
              <w:rPr>
                <w:sz w:val="24"/>
                <w:szCs w:val="24"/>
                <w:color w:val="auto"/>
              </w:rPr>
            </w:pPr>
          </w:p>
        </w:tc>
        <w:tc>
          <w:tcPr>
            <w:tcW w:w="80" w:type="dxa"/>
            <w:vAlign w:val="bottom"/>
            <w:shd w:val="clear" w:color="auto" w:fill="C0C0C0"/>
          </w:tcPr>
          <w:p>
            <w:pPr>
              <w:spacing w:after="0"/>
              <w:rPr>
                <w:sz w:val="24"/>
                <w:szCs w:val="24"/>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1"/>
        </w:trPr>
        <w:tc>
          <w:tcPr>
            <w:tcW w:w="4720" w:type="dxa"/>
            <w:vAlign w:val="bottom"/>
            <w:gridSpan w:val="3"/>
          </w:tcPr>
          <w:p>
            <w:pPr>
              <w:spacing w:after="0"/>
              <w:rPr>
                <w:sz w:val="20"/>
                <w:szCs w:val="20"/>
                <w:color w:val="auto"/>
              </w:rPr>
            </w:pPr>
            <w:r>
              <w:rPr>
                <w:rFonts w:ascii="Arial" w:cs="Arial" w:eastAsia="Arial" w:hAnsi="Arial"/>
                <w:sz w:val="16"/>
                <w:szCs w:val="16"/>
                <w:color w:val="auto"/>
              </w:rPr>
              <w:t>Sarilumab</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REGN727</w:t>
            </w:r>
          </w:p>
        </w:tc>
        <w:tc>
          <w:tcPr>
            <w:tcW w:w="15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36.0</w:t>
            </w: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21.1</w:t>
            </w:r>
          </w:p>
        </w:tc>
        <w:tc>
          <w:tcPr>
            <w:tcW w:w="260" w:type="dxa"/>
            <w:vAlign w:val="bottom"/>
            <w:tcBorders>
              <w:right w:val="single" w:sz="8" w:color="C0C0C0"/>
            </w:tcBorders>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1"/>
        </w:trPr>
        <w:tc>
          <w:tcPr>
            <w:tcW w:w="4720" w:type="dxa"/>
            <w:vAlign w:val="bottom"/>
            <w:gridSpan w:val="3"/>
          </w:tcPr>
          <w:p>
            <w:pPr>
              <w:spacing w:after="0"/>
              <w:rPr>
                <w:sz w:val="20"/>
                <w:szCs w:val="20"/>
                <w:color w:val="auto"/>
              </w:rPr>
            </w:pPr>
            <w:r>
              <w:rPr>
                <w:rFonts w:ascii="Arial" w:cs="Arial" w:eastAsia="Arial" w:hAnsi="Arial"/>
                <w:sz w:val="16"/>
                <w:szCs w:val="16"/>
                <w:color w:val="auto"/>
              </w:rPr>
              <w:t>Other antibody candidates in clinical development</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Other research programs &amp; unallocated costs</w:t>
            </w:r>
          </w:p>
        </w:tc>
        <w:tc>
          <w:tcPr>
            <w:tcW w:w="154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153.9</w:t>
            </w:r>
          </w:p>
        </w:tc>
        <w:tc>
          <w:tcPr>
            <w:tcW w:w="240" w:type="dxa"/>
            <w:vAlign w:val="bottom"/>
            <w:shd w:val="clear" w:color="auto" w:fill="C0C0C0"/>
          </w:tcPr>
          <w:p>
            <w:pPr>
              <w:spacing w:after="0"/>
              <w:rPr>
                <w:sz w:val="18"/>
                <w:szCs w:val="18"/>
                <w:color w:val="auto"/>
              </w:rPr>
            </w:pPr>
          </w:p>
        </w:tc>
        <w:tc>
          <w:tcPr>
            <w:tcW w:w="140" w:type="dxa"/>
            <w:vAlign w:val="bottom"/>
            <w:tcBorders>
              <w:bottom w:val="single" w:sz="8" w:color="auto"/>
            </w:tcBorders>
            <w:shd w:val="clear" w:color="auto" w:fill="C0C0C0"/>
          </w:tcPr>
          <w:p>
            <w:pPr>
              <w:spacing w:after="0"/>
              <w:rPr>
                <w:sz w:val="18"/>
                <w:szCs w:val="18"/>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86.7</w:t>
            </w:r>
          </w:p>
        </w:tc>
        <w:tc>
          <w:tcPr>
            <w:tcW w:w="260" w:type="dxa"/>
            <w:vAlign w:val="bottom"/>
            <w:tcBorders>
              <w:right w:val="single" w:sz="8" w:color="C0C0C0"/>
            </w:tcBorders>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800" w:type="dxa"/>
            <w:vAlign w:val="bottom"/>
            <w:tcBorders>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ind w:left="260"/>
              <w:spacing w:after="0"/>
              <w:rPr>
                <w:sz w:val="20"/>
                <w:szCs w:val="20"/>
                <w:color w:val="auto"/>
              </w:rPr>
            </w:pPr>
            <w:r>
              <w:rPr>
                <w:rFonts w:ascii="Arial" w:cs="Arial" w:eastAsia="Arial" w:hAnsi="Arial"/>
                <w:sz w:val="16"/>
                <w:szCs w:val="16"/>
                <w:color w:val="auto"/>
              </w:rPr>
              <w:t>Total research and development expenses</w:t>
            </w:r>
          </w:p>
        </w:tc>
        <w:tc>
          <w:tcPr>
            <w:tcW w:w="168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489.2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398.8</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 w:right="20" w:firstLine="207"/>
        <w:spacing w:after="0" w:line="309" w:lineRule="auto"/>
        <w:rPr>
          <w:sz w:val="20"/>
          <w:szCs w:val="20"/>
          <w:color w:val="auto"/>
        </w:rPr>
      </w:pPr>
      <w:r>
        <w:rPr>
          <w:rFonts w:ascii="Arial" w:cs="Arial" w:eastAsia="Arial" w:hAnsi="Arial"/>
          <w:sz w:val="14"/>
          <w:szCs w:val="14"/>
          <w:color w:val="auto"/>
        </w:rPr>
        <w:t>For the reasons described above under “Research and Development Expenses” for the years ended December 31, 2011 and 2010,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14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29" w:lineRule="exact"/>
        <w:rPr>
          <w:sz w:val="20"/>
          <w:szCs w:val="20"/>
          <w:color w:val="auto"/>
        </w:rPr>
      </w:pPr>
    </w:p>
    <w:p>
      <w:pPr>
        <w:jc w:val="both"/>
        <w:ind w:left="3" w:right="20" w:firstLine="243"/>
        <w:spacing w:after="0" w:line="309" w:lineRule="auto"/>
        <w:rPr>
          <w:sz w:val="20"/>
          <w:szCs w:val="20"/>
          <w:color w:val="auto"/>
        </w:rPr>
      </w:pPr>
      <w:r>
        <w:rPr>
          <w:rFonts w:ascii="Arial" w:cs="Arial" w:eastAsia="Arial" w:hAnsi="Arial"/>
          <w:sz w:val="15"/>
          <w:szCs w:val="15"/>
          <w:color w:val="auto"/>
        </w:rPr>
        <w:t>Selling, general, and administrative expenses increased to $65.2 million in 2010 from $52.9 million in 2009 due primarily to increases in compensation expense and recruitment costs, principally in connection with higher headcount in 2010, and an increase in Non-cash Compensation Expense for the reasons described above.</w:t>
      </w:r>
    </w:p>
    <w:p>
      <w:pPr>
        <w:spacing w:after="0" w:line="13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28091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43" w:right="219" w:bottom="1440" w:gutter="0" w:footer="0" w:header="0"/>
        </w:sectPr>
      </w:pPr>
    </w:p>
    <w:bookmarkStart w:id="63" w:name="page64"/>
    <w:bookmarkEnd w:id="63"/>
    <w:p>
      <w:pPr>
        <w:spacing w:after="0"/>
        <w:rPr>
          <w:sz w:val="20"/>
          <w:szCs w:val="20"/>
          <w:color w:val="auto"/>
        </w:rPr>
      </w:pPr>
      <w:r>
        <w:rPr>
          <w:rFonts w:ascii="Arial" w:cs="Arial" w:eastAsia="Arial" w:hAnsi="Arial"/>
          <w:sz w:val="16"/>
          <w:szCs w:val="16"/>
          <w:i w:val="1"/>
          <w:iCs w:val="1"/>
          <w:color w:val="auto"/>
        </w:rPr>
        <w:t>Cost of Goods Sold</w:t>
      </w:r>
    </w:p>
    <w:p>
      <w:pPr>
        <w:spacing w:after="0" w:line="208" w:lineRule="exact"/>
        <w:rPr>
          <w:sz w:val="20"/>
          <w:szCs w:val="20"/>
          <w:color w:val="auto"/>
        </w:rPr>
      </w:pPr>
    </w:p>
    <w:p>
      <w:pPr>
        <w:jc w:val="both"/>
        <w:ind w:right="20" w:firstLine="328"/>
        <w:spacing w:after="0" w:line="237" w:lineRule="auto"/>
        <w:rPr>
          <w:sz w:val="20"/>
          <w:szCs w:val="20"/>
          <w:color w:val="auto"/>
        </w:rPr>
      </w:pPr>
      <w:r>
        <w:rPr>
          <w:rFonts w:ascii="Arial" w:cs="Arial" w:eastAsia="Arial" w:hAnsi="Arial"/>
          <w:sz w:val="16"/>
          <w:szCs w:val="16"/>
          <w:color w:val="auto"/>
        </w:rPr>
        <w:t>Cost of goods sold in 2010 and 2009 was $2.1 million and $1.7 million, respectively, and consisted primarily of royalties and other period costs related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commercial supplies. During 2010 and 2009,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shipments to our customers primarily consisted of supplies of inventory manufactured and expensed as research and development costs prior to FDA approval in 2008; therefore, the costs of these supplies were not included in costs of goods sold.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and Expense</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Investment income decreased to $2.1 million in 2010 from $4.5 million in 2009, due primarily to lower yields on, and lower average balances of, cash and marketable securities.</w:t>
      </w:r>
    </w:p>
    <w:p>
      <w:pPr>
        <w:spacing w:after="0" w:line="252" w:lineRule="exact"/>
        <w:rPr>
          <w:sz w:val="20"/>
          <w:szCs w:val="20"/>
          <w:color w:val="auto"/>
        </w:rPr>
      </w:pPr>
    </w:p>
    <w:p>
      <w:pPr>
        <w:jc w:val="both"/>
        <w:ind w:right="20" w:firstLine="328"/>
        <w:spacing w:after="0" w:line="274" w:lineRule="auto"/>
        <w:rPr>
          <w:sz w:val="20"/>
          <w:szCs w:val="20"/>
          <w:color w:val="auto"/>
        </w:rPr>
      </w:pPr>
      <w:r>
        <w:rPr>
          <w:rFonts w:ascii="Arial" w:cs="Arial" w:eastAsia="Arial" w:hAnsi="Arial"/>
          <w:sz w:val="16"/>
          <w:szCs w:val="16"/>
          <w:color w:val="auto"/>
        </w:rPr>
        <w:t>Interest expense increased to $9.1 million in 2010 from $2.3 million in 2009. Interest expense is primarily attributable to the imputed interest portion of payments to our landlord, commencing in the third quarter of 2009, to lease newly constructed laboratory and office facilities in Tarrytown, New York.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29" w:lineRule="exact"/>
        <w:rPr>
          <w:sz w:val="20"/>
          <w:szCs w:val="20"/>
          <w:color w:val="auto"/>
        </w:rPr>
      </w:pPr>
    </w:p>
    <w:p>
      <w:pPr>
        <w:jc w:val="both"/>
        <w:ind w:right="20" w:firstLine="279"/>
        <w:spacing w:after="0" w:line="264" w:lineRule="auto"/>
        <w:rPr>
          <w:sz w:val="20"/>
          <w:szCs w:val="20"/>
          <w:color w:val="auto"/>
        </w:rPr>
      </w:pPr>
      <w:r>
        <w:rPr>
          <w:rFonts w:ascii="Arial" w:cs="Arial" w:eastAsia="Arial" w:hAnsi="Arial"/>
          <w:sz w:val="16"/>
          <w:szCs w:val="16"/>
          <w:color w:val="auto"/>
        </w:rPr>
        <w:t>In 2010, we did not recognize any income tax expense or benefit. In 2009, we recognized a $4.1 million income tax benefit, consisting primarily of (i) $2.7 million resulting from tax legislation that allowed us to claim a refund of U.S. federal alternative minimum tax that we paid in 2008, and (ii) $0.7 million resulting from tax legislation that allowed us to claim a refund for a portion of our unused pre-2006 research tax credits.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3" w:lineRule="exact"/>
        <w:rPr>
          <w:sz w:val="20"/>
          <w:szCs w:val="20"/>
          <w:color w:val="auto"/>
        </w:rPr>
      </w:pPr>
    </w:p>
    <w:p>
      <w:pPr>
        <w:jc w:val="both"/>
        <w:ind w:right="20" w:firstLine="243"/>
        <w:spacing w:after="0" w:line="322" w:lineRule="auto"/>
        <w:rPr>
          <w:sz w:val="20"/>
          <w:szCs w:val="20"/>
          <w:color w:val="auto"/>
        </w:rPr>
      </w:pPr>
      <w:r>
        <w:rPr>
          <w:rFonts w:ascii="Arial" w:cs="Arial" w:eastAsia="Arial" w:hAnsi="Arial"/>
          <w:sz w:val="14"/>
          <w:szCs w:val="14"/>
          <w:color w:val="auto"/>
        </w:rPr>
        <w:t>Since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 revenue, our technology licensing agreements, our past contract manufacturing agreements, and investment income.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and Uses of Cash for the Years Ended December 31, 2011, 2010, and 2009</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5"/>
          <w:szCs w:val="15"/>
          <w:color w:val="auto"/>
        </w:rPr>
        <w:t>At December 31, 2011, we had $810.6 million in cash, cash equivalents, and marketable securities (including $7.7 million of restricted cash and marketable securities) compared with $626.9 million at December 31, 2010 (including $7.5 million of restricted cash and marketable securities) and $390.0 million (including $1.6 million of restricted cash) at December 31, 2009. In October 2011, we completed a private placement of $400.0 million aggregate principal amount of 1.875% convertible senior notes and received net proceeds of approximately $391.1 million after deducting the initial purchaser’s discount and issuance costs. In connection with the offering of the convertible senior notes, we entered into convertible note hedge and warrant transactions, which had a net cost to us of $23.7 million. In October 2010, we completed an underwritten public offering of 6,325,000 shares of Common Stock and received net proceeds of $174.8 million. In connection with the July 2010 amendment and extension of our non-exclusive license agreement with Astellas, we received a $165.0 million up-front payment from Astellas in August 2010.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(Used in) Provided by Operations</w:t>
      </w:r>
    </w:p>
    <w:p>
      <w:pPr>
        <w:spacing w:after="0" w:line="229" w:lineRule="exact"/>
        <w:rPr>
          <w:sz w:val="20"/>
          <w:szCs w:val="20"/>
          <w:color w:val="auto"/>
        </w:rPr>
      </w:pPr>
    </w:p>
    <w:p>
      <w:pPr>
        <w:jc w:val="both"/>
        <w:ind w:right="20" w:firstLine="291"/>
        <w:spacing w:after="0" w:line="289" w:lineRule="auto"/>
        <w:rPr>
          <w:sz w:val="20"/>
          <w:szCs w:val="20"/>
          <w:color w:val="auto"/>
        </w:rPr>
      </w:pPr>
      <w:r>
        <w:rPr>
          <w:rFonts w:ascii="Arial" w:cs="Arial" w:eastAsia="Arial" w:hAnsi="Arial"/>
          <w:sz w:val="15"/>
          <w:szCs w:val="15"/>
          <w:color w:val="auto"/>
        </w:rPr>
        <w:t>Net cash used in operations was $141.7 million in 2011 and $69.9 million in 2009, and net cash provided by operations was $99.2 million in 2010. Our net losses of $221.8 million in 2011, $104.5 million in 2010, and $67.8 million in 2009 included $56.1 million, $39.9 million, and $31.3 million, respectively, of Non-cash Compensation Expense. Our net losses also included depreciation and amortization of $31.1 million, $19.7 million, and $14.2 million in 2011, 2010, and 2009,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64" w:name="page65"/>
    <w:bookmarkEnd w:id="64"/>
    <w:p>
      <w:pPr>
        <w:jc w:val="both"/>
        <w:ind w:right="20" w:firstLine="340"/>
        <w:spacing w:after="0" w:line="247" w:lineRule="auto"/>
        <w:rPr>
          <w:sz w:val="20"/>
          <w:szCs w:val="20"/>
          <w:color w:val="auto"/>
        </w:rPr>
      </w:pPr>
      <w:r>
        <w:rPr>
          <w:rFonts w:ascii="Arial" w:cs="Arial" w:eastAsia="Arial" w:hAnsi="Arial"/>
          <w:sz w:val="15"/>
          <w:szCs w:val="15"/>
          <w:color w:val="auto"/>
        </w:rPr>
        <w:t>At December 31, 2011, Sanofi and trade accounts receivable increased by $21.1 million, compared to end-of-year 2010, primarily due to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 sales, which commenced in November 2011. Due to the payment terms granted to our customers, our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product sales in 2011, generally, had not yet been collected as of December 31, 2011. Our deferred revenue at December 31, 2011 decreased by $40.3 million, compared to end-of-year 2010, primarily due to (i) amortization of the $165.0 million up-front payment from Astellas, as described above, which was initially deferred and is being recognized ratably over the seven-year period that commenced in mid-2011, and (ii) amortization of previously deferred payments under our Sanofi and Bayer HealthCare collaborations. Accounts payable, accrued expenses, and other liabilities increased $50.0 million at December 31, 2011, compared to end-of-year 2010, primarily in connection with (i) higher payroll-related liabilities, due in part to funding payment of our year-end 2010 employee cash bonuses prior to December 31, 2010 whereas year-end 2011 employee cash bonuses were funded subsequent to December 31, 2011 and (ii) our expanded levels of activities and expenditures, partly in connection with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commercialization activities.</w:t>
      </w:r>
    </w:p>
    <w:p>
      <w:pPr>
        <w:spacing w:after="0" w:line="103" w:lineRule="exact"/>
        <w:rPr>
          <w:sz w:val="20"/>
          <w:szCs w:val="20"/>
          <w:color w:val="auto"/>
        </w:rPr>
      </w:pPr>
    </w:p>
    <w:p>
      <w:pPr>
        <w:jc w:val="both"/>
        <w:ind w:firstLine="267"/>
        <w:spacing w:after="0" w:line="257" w:lineRule="auto"/>
        <w:rPr>
          <w:sz w:val="20"/>
          <w:szCs w:val="20"/>
          <w:color w:val="auto"/>
        </w:rPr>
      </w:pPr>
      <w:r>
        <w:rPr>
          <w:rFonts w:ascii="Arial" w:cs="Arial" w:eastAsia="Arial" w:hAnsi="Arial"/>
          <w:sz w:val="16"/>
          <w:szCs w:val="16"/>
          <w:color w:val="auto"/>
        </w:rPr>
        <w:t>At December 31, 2010, Sanofi and trade accounts receivable increased by $17.5 million, compared to end-of-year 2009, primarily due to a higher receivable balance related to our antibody collaboration with Sanofi. Our deferred revenue at December 31, 2010 increased by $158.2 million, compared to end-of-year 2009, primarily due to (i) the receipt of the $165.0 million up-front payment from Astellas, as described above, which was deferred, and (ii) Sanofi’s funding of $22.9 million of agreed-upon costs incurred by us during 2010 to expand our manufacturing capacity at our Rensselaer facilities, which was deferred and is being recognized as collaboration revenue prospectively over the related performance period in conjunction with the original $85.0 million up-front payment received from Sanofi. These increases were partly offset by amortization of previously received deferred payments under our Sanofi and Bayer HealthCare collaborations.</w:t>
      </w:r>
    </w:p>
    <w:p>
      <w:pPr>
        <w:spacing w:after="0" w:line="202" w:lineRule="exact"/>
        <w:rPr>
          <w:sz w:val="20"/>
          <w:szCs w:val="20"/>
          <w:color w:val="auto"/>
        </w:rPr>
      </w:pPr>
    </w:p>
    <w:p>
      <w:pPr>
        <w:jc w:val="both"/>
        <w:ind w:firstLine="267"/>
        <w:spacing w:after="0" w:line="308" w:lineRule="auto"/>
        <w:rPr>
          <w:sz w:val="20"/>
          <w:szCs w:val="20"/>
          <w:color w:val="auto"/>
        </w:rPr>
      </w:pPr>
      <w:r>
        <w:rPr>
          <w:rFonts w:ascii="Arial" w:cs="Arial" w:eastAsia="Arial" w:hAnsi="Arial"/>
          <w:sz w:val="14"/>
          <w:szCs w:val="14"/>
          <w:color w:val="auto"/>
        </w:rPr>
        <w:t>At December 31, 2009, Sanofi and trade accounts receivable increased by $30.5 million, compared to end-of-year 2008, primarily due to a higher receivable balance related to our antibody collaboration with Sanofi. Our deferred revenue at December 31, 2009 decreased by $27.5 million, compared to end-of-year 2008, primarily due to the amortization of previously received deferred payments under our collaborations with Sanofi and Bayer HealthCare. Accounts payable, accrued expenses, and other liabilities increased $12.6 million at December 31, 2009, compared to end-of-year 2008, primarily in connection with our expanded levels of activities and expenditures, including higher liabilities for clinical-related expenses, which were partly offset by an $8.6 million decrease in the cost-sharing payment due to Bayer HealthCare in connection with our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Provided by (Used in) Investing Activities</w:t>
      </w:r>
    </w:p>
    <w:p>
      <w:pPr>
        <w:spacing w:after="0" w:line="229" w:lineRule="exact"/>
        <w:rPr>
          <w:sz w:val="20"/>
          <w:szCs w:val="20"/>
          <w:color w:val="auto"/>
        </w:rPr>
      </w:pPr>
    </w:p>
    <w:p>
      <w:pPr>
        <w:jc w:val="both"/>
        <w:ind w:firstLine="267"/>
        <w:spacing w:after="0" w:line="258" w:lineRule="auto"/>
        <w:rPr>
          <w:sz w:val="20"/>
          <w:szCs w:val="20"/>
          <w:color w:val="auto"/>
        </w:rPr>
      </w:pPr>
      <w:r>
        <w:rPr>
          <w:rFonts w:ascii="Arial" w:cs="Arial" w:eastAsia="Arial" w:hAnsi="Arial"/>
          <w:sz w:val="16"/>
          <w:szCs w:val="16"/>
          <w:color w:val="auto"/>
        </w:rPr>
        <w:t>Net cash provided by investing activities was $128.5 million in 2011, compared with net cash used in investing activities of $437.0 million and $2.1 million in 2010 and 2009, respectively. Sales or maturities of marketable securities exceeded purchases by $186.0 million in 2011 and $95.1 million in 2009. In 2010, purchases of marketable securities exceeded sales or maturities by $331.4 million. Capital expenditures of $57.2 million, $99.7 million, and $97.3 million in 2011, 2010, and 2009, respectively, included costs in connection with expanding our manufacturing capacity at our Rensselaer, New York facilities and tenant improvements and related costs in connection with our leased facilities in Tarrytown, New York.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Provided by Financing Activities</w:t>
      </w:r>
    </w:p>
    <w:p>
      <w:pPr>
        <w:spacing w:after="0" w:line="229"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6"/>
          <w:szCs w:val="16"/>
          <w:color w:val="auto"/>
        </w:rPr>
        <w:t>Net cash provided by financing activities was $384.2 million in 2011, $243.3 million in 2010 and $31.4 million in 2009. As described above, in October 2011, we completed a private placement of convertible senior notes and received net proceeds of $391.1 million, and entered into convertible note hedge and warrant transactions, which had a net cost to us of $23.7 million. Also as described above, in October 2010, we completed an offering of our Common Stock and received net proceeds of $174.8 million. In addition, net proceeds from issuances of Common Stock in connection with exercises of stock options were $18.5 million in 2011, $22.0 million in 2010, and $8.6 million in 2009. In 2010 and 2009, we received $47.5 million and $23.6 million, respectively, of tenant improvement reimbursements from our landlord in connection with our Tarrytown facilities, which we are deemed to own in accordance with FASB authoritative guidance.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Fair Value of Marketable Securities</w:t>
      </w:r>
    </w:p>
    <w:p>
      <w:pPr>
        <w:spacing w:after="0" w:line="229" w:lineRule="exact"/>
        <w:rPr>
          <w:sz w:val="20"/>
          <w:szCs w:val="20"/>
          <w:color w:val="auto"/>
        </w:rPr>
      </w:pPr>
    </w:p>
    <w:p>
      <w:pPr>
        <w:jc w:val="both"/>
        <w:ind w:right="20" w:firstLine="303"/>
        <w:spacing w:after="0" w:line="274" w:lineRule="auto"/>
        <w:rPr>
          <w:sz w:val="20"/>
          <w:szCs w:val="20"/>
          <w:color w:val="auto"/>
        </w:rPr>
      </w:pPr>
      <w:r>
        <w:rPr>
          <w:rFonts w:ascii="Arial" w:cs="Arial" w:eastAsia="Arial" w:hAnsi="Arial"/>
          <w:sz w:val="16"/>
          <w:szCs w:val="16"/>
          <w:color w:val="auto"/>
        </w:rPr>
        <w:t>At December 31, 2011 and 2010, we held marketable securities whose aggregate fair value totaled $325.2 million and $513.9 million, respectively. The composition of our portfolio of marketable securities on these dates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2011</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2010</w:t>
            </w:r>
          </w:p>
        </w:tc>
        <w:tc>
          <w:tcPr>
            <w:tcW w:w="540" w:type="dxa"/>
            <w:vAlign w:val="bottom"/>
            <w:tcBorders>
              <w:bottom w:val="single" w:sz="8" w:color="auto"/>
            </w:tcBorders>
          </w:tcPr>
          <w:p>
            <w:pPr>
              <w:spacing w:after="0"/>
              <w:rPr>
                <w:sz w:val="18"/>
                <w:szCs w:val="18"/>
                <w:color w:val="auto"/>
              </w:rPr>
            </w:pPr>
          </w:p>
        </w:tc>
      </w:tr>
      <w:tr>
        <w:trPr>
          <w:trHeight w:val="170"/>
        </w:trPr>
        <w:tc>
          <w:tcPr>
            <w:tcW w:w="8260" w:type="dxa"/>
            <w:vAlign w:val="bottom"/>
            <w:gridSpan w:val="2"/>
          </w:tcPr>
          <w:p>
            <w:pPr>
              <w:spacing w:after="0" w:line="170" w:lineRule="exact"/>
              <w:rPr>
                <w:sz w:val="20"/>
                <w:szCs w:val="20"/>
                <w:color w:val="auto"/>
              </w:rPr>
            </w:pPr>
            <w:r>
              <w:rPr>
                <w:rFonts w:ascii="Arial" w:cs="Arial" w:eastAsia="Arial" w:hAnsi="Arial"/>
                <w:sz w:val="16"/>
                <w:szCs w:val="16"/>
                <w:b w:val="1"/>
                <w:bCs w:val="1"/>
                <w:color w:val="auto"/>
              </w:rPr>
              <w:t>Investment type</w:t>
            </w:r>
          </w:p>
        </w:tc>
        <w:tc>
          <w:tcPr>
            <w:tcW w:w="940" w:type="dxa"/>
            <w:vAlign w:val="bottom"/>
            <w:gridSpan w:val="3"/>
          </w:tcPr>
          <w:p>
            <w:pPr>
              <w:spacing w:after="0" w:line="170" w:lineRule="exact"/>
              <w:rPr>
                <w:sz w:val="20"/>
                <w:szCs w:val="20"/>
                <w:color w:val="auto"/>
              </w:rPr>
            </w:pPr>
            <w:r>
              <w:rPr>
                <w:rFonts w:ascii="Arial" w:cs="Arial" w:eastAsia="Arial" w:hAnsi="Arial"/>
                <w:sz w:val="16"/>
                <w:szCs w:val="16"/>
                <w:b w:val="1"/>
                <w:bCs w:val="1"/>
                <w:color w:val="auto"/>
              </w:rPr>
              <w:t>Fair Value</w:t>
            </w:r>
          </w:p>
        </w:tc>
        <w:tc>
          <w:tcPr>
            <w:tcW w:w="520" w:type="dxa"/>
            <w:vAlign w:val="bottom"/>
          </w:tcPr>
          <w:p>
            <w:pPr>
              <w:jc w:val="right"/>
              <w:spacing w:after="0" w:line="170" w:lineRule="exact"/>
              <w:rPr>
                <w:sz w:val="20"/>
                <w:szCs w:val="20"/>
                <w:color w:val="auto"/>
              </w:rPr>
            </w:pPr>
            <w:r>
              <w:rPr>
                <w:rFonts w:ascii="Arial" w:cs="Arial" w:eastAsia="Arial" w:hAnsi="Arial"/>
                <w:sz w:val="16"/>
                <w:szCs w:val="16"/>
                <w:b w:val="1"/>
                <w:bCs w:val="1"/>
                <w:color w:val="auto"/>
                <w:w w:val="85"/>
              </w:rPr>
              <w:t>Percent</w:t>
            </w:r>
          </w:p>
        </w:tc>
        <w:tc>
          <w:tcPr>
            <w:tcW w:w="240" w:type="dxa"/>
            <w:vAlign w:val="bottom"/>
          </w:tcPr>
          <w:p>
            <w:pPr>
              <w:spacing w:after="0"/>
              <w:rPr>
                <w:sz w:val="14"/>
                <w:szCs w:val="14"/>
                <w:color w:val="auto"/>
              </w:rPr>
            </w:pPr>
          </w:p>
        </w:tc>
        <w:tc>
          <w:tcPr>
            <w:tcW w:w="940" w:type="dxa"/>
            <w:vAlign w:val="bottom"/>
            <w:gridSpan w:val="3"/>
          </w:tcPr>
          <w:p>
            <w:pPr>
              <w:spacing w:after="0" w:line="170" w:lineRule="exact"/>
              <w:rPr>
                <w:sz w:val="20"/>
                <w:szCs w:val="20"/>
                <w:color w:val="auto"/>
              </w:rPr>
            </w:pPr>
            <w:r>
              <w:rPr>
                <w:rFonts w:ascii="Arial" w:cs="Arial" w:eastAsia="Arial" w:hAnsi="Arial"/>
                <w:sz w:val="16"/>
                <w:szCs w:val="16"/>
                <w:b w:val="1"/>
                <w:bCs w:val="1"/>
                <w:color w:val="auto"/>
              </w:rPr>
              <w:t>Fair Value</w:t>
            </w:r>
          </w:p>
        </w:tc>
        <w:tc>
          <w:tcPr>
            <w:tcW w:w="540" w:type="dxa"/>
            <w:vAlign w:val="bottom"/>
          </w:tcPr>
          <w:p>
            <w:pPr>
              <w:jc w:val="right"/>
              <w:spacing w:after="0" w:line="170" w:lineRule="exact"/>
              <w:rPr>
                <w:sz w:val="20"/>
                <w:szCs w:val="20"/>
                <w:color w:val="auto"/>
              </w:rPr>
            </w:pPr>
            <w:r>
              <w:rPr>
                <w:rFonts w:ascii="Arial" w:cs="Arial" w:eastAsia="Arial" w:hAnsi="Arial"/>
                <w:sz w:val="16"/>
                <w:szCs w:val="16"/>
                <w:b w:val="1"/>
                <w:bCs w:val="1"/>
                <w:color w:val="auto"/>
                <w:w w:val="85"/>
              </w:rPr>
              <w:t>Percent</w:t>
            </w:r>
          </w:p>
        </w:tc>
      </w:tr>
      <w:tr>
        <w:trPr>
          <w:trHeight w:val="29"/>
        </w:trPr>
        <w:tc>
          <w:tcPr>
            <w:tcW w:w="1080" w:type="dxa"/>
            <w:vAlign w:val="bottom"/>
            <w:tcBorders>
              <w:top w:val="single" w:sz="8" w:color="auto"/>
              <w:bottom w:val="single" w:sz="8" w:color="C0C0C0"/>
            </w:tcBorders>
          </w:tcPr>
          <w:p>
            <w:pPr>
              <w:spacing w:after="0"/>
              <w:rPr>
                <w:sz w:val="2"/>
                <w:szCs w:val="2"/>
                <w:color w:val="auto"/>
              </w:rPr>
            </w:pPr>
          </w:p>
        </w:tc>
        <w:tc>
          <w:tcPr>
            <w:tcW w:w="7180" w:type="dxa"/>
            <w:vAlign w:val="bottom"/>
            <w:tcBorders>
              <w:bottom w:val="single" w:sz="8" w:color="C0C0C0"/>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8"/>
        </w:trPr>
        <w:tc>
          <w:tcPr>
            <w:tcW w:w="8260" w:type="dxa"/>
            <w:vAlign w:val="bottom"/>
            <w:gridSpan w:val="2"/>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20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4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540" w:type="dxa"/>
            <w:vAlign w:val="bottom"/>
            <w:shd w:val="clear" w:color="auto" w:fill="C0C0C0"/>
          </w:tcPr>
          <w:p>
            <w:pPr>
              <w:spacing w:after="0"/>
              <w:rPr>
                <w:sz w:val="17"/>
                <w:szCs w:val="17"/>
                <w:color w:val="auto"/>
              </w:rPr>
            </w:pPr>
          </w:p>
        </w:tc>
      </w:tr>
      <w:tr>
        <w:trPr>
          <w:trHeight w:val="211"/>
        </w:trPr>
        <w:tc>
          <w:tcPr>
            <w:tcW w:w="8260" w:type="dxa"/>
            <w:vAlign w:val="bottom"/>
            <w:gridSpan w:val="2"/>
          </w:tcPr>
          <w:p>
            <w:pPr>
              <w:spacing w:after="0"/>
              <w:rPr>
                <w:sz w:val="20"/>
                <w:szCs w:val="20"/>
                <w:color w:val="auto"/>
              </w:rPr>
            </w:pPr>
            <w:r>
              <w:rPr>
                <w:rFonts w:ascii="Arial" w:cs="Arial" w:eastAsia="Arial" w:hAnsi="Arial"/>
                <w:sz w:val="16"/>
                <w:szCs w:val="16"/>
                <w:color w:val="auto"/>
              </w:rPr>
              <w:t>U.S. government obligations</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284.9</w:t>
            </w:r>
          </w:p>
        </w:tc>
        <w:tc>
          <w:tcPr>
            <w:tcW w:w="520" w:type="dxa"/>
            <w:vAlign w:val="bottom"/>
          </w:tcPr>
          <w:p>
            <w:pPr>
              <w:jc w:val="right"/>
              <w:spacing w:after="0"/>
              <w:rPr>
                <w:sz w:val="20"/>
                <w:szCs w:val="20"/>
                <w:color w:val="auto"/>
              </w:rPr>
            </w:pPr>
            <w:r>
              <w:rPr>
                <w:rFonts w:ascii="Arial" w:cs="Arial" w:eastAsia="Arial" w:hAnsi="Arial"/>
                <w:sz w:val="16"/>
                <w:szCs w:val="16"/>
                <w:color w:val="auto"/>
              </w:rPr>
              <w:t>87%</w:t>
            </w:r>
          </w:p>
        </w:tc>
        <w:tc>
          <w:tcPr>
            <w:tcW w:w="4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434.4</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26"/>
        </w:trPr>
        <w:tc>
          <w:tcPr>
            <w:tcW w:w="826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U.S. government guaranteed corporate bonds</w:t>
            </w:r>
          </w:p>
        </w:tc>
        <w:tc>
          <w:tcPr>
            <w:tcW w:w="200" w:type="dxa"/>
            <w:vAlign w:val="bottom"/>
            <w:shd w:val="clear" w:color="auto" w:fill="C0C0C0"/>
          </w:tcPr>
          <w:p>
            <w:pPr>
              <w:spacing w:after="0"/>
              <w:rPr>
                <w:sz w:val="19"/>
                <w:szCs w:val="19"/>
                <w:color w:val="auto"/>
              </w:rPr>
            </w:pPr>
          </w:p>
        </w:tc>
        <w:tc>
          <w:tcPr>
            <w:tcW w:w="74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15.3</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64.0</w:t>
            </w:r>
          </w:p>
        </w:tc>
        <w:tc>
          <w:tcPr>
            <w:tcW w:w="24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w:t>
            </w:r>
          </w:p>
        </w:tc>
      </w:tr>
      <w:tr>
        <w:trPr>
          <w:trHeight w:val="211"/>
        </w:trPr>
        <w:tc>
          <w:tcPr>
            <w:tcW w:w="8260" w:type="dxa"/>
            <w:vAlign w:val="bottom"/>
            <w:gridSpan w:val="2"/>
          </w:tcPr>
          <w:p>
            <w:pPr>
              <w:spacing w:after="0"/>
              <w:rPr>
                <w:sz w:val="20"/>
                <w:szCs w:val="20"/>
                <w:color w:val="auto"/>
              </w:rPr>
            </w:pPr>
            <w:r>
              <w:rPr>
                <w:rFonts w:ascii="Arial" w:cs="Arial" w:eastAsia="Arial" w:hAnsi="Arial"/>
                <w:sz w:val="16"/>
                <w:szCs w:val="16"/>
                <w:color w:val="auto"/>
              </w:rPr>
              <w:t>Municipal bonds</w:t>
            </w:r>
          </w:p>
        </w:tc>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15.3</w:t>
            </w: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6"/>
        </w:trPr>
        <w:tc>
          <w:tcPr>
            <w:tcW w:w="826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0C0C0"/>
          </w:tcPr>
          <w:p>
            <w:pPr>
              <w:spacing w:after="0"/>
              <w:rPr>
                <w:sz w:val="19"/>
                <w:szCs w:val="19"/>
                <w:color w:val="auto"/>
              </w:rPr>
            </w:pPr>
          </w:p>
        </w:tc>
        <w:tc>
          <w:tcPr>
            <w:tcW w:w="74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3.0</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8260" w:type="dxa"/>
            <w:vAlign w:val="bottom"/>
            <w:gridSpan w:val="2"/>
          </w:tcPr>
          <w:p>
            <w:pPr>
              <w:spacing w:after="0"/>
              <w:rPr>
                <w:sz w:val="20"/>
                <w:szCs w:val="20"/>
                <w:color w:val="auto"/>
              </w:rPr>
            </w:pPr>
            <w:r>
              <w:rPr>
                <w:rFonts w:ascii="Arial" w:cs="Arial" w:eastAsia="Arial" w:hAnsi="Arial"/>
                <w:sz w:val="16"/>
                <w:szCs w:val="16"/>
                <w:color w:val="auto"/>
              </w:rPr>
              <w:t>U.S. government guaranteed collateralized mortgage</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6"/>
        </w:trPr>
        <w:tc>
          <w:tcPr>
            <w:tcW w:w="8260" w:type="dxa"/>
            <w:vAlign w:val="bottom"/>
            <w:gridSpan w:val="2"/>
          </w:tcPr>
          <w:p>
            <w:pPr>
              <w:ind w:left="280"/>
              <w:spacing w:after="0"/>
              <w:rPr>
                <w:sz w:val="20"/>
                <w:szCs w:val="20"/>
                <w:color w:val="auto"/>
              </w:rPr>
            </w:pPr>
            <w:r>
              <w:rPr>
                <w:rFonts w:ascii="Arial" w:cs="Arial" w:eastAsia="Arial" w:hAnsi="Arial"/>
                <w:sz w:val="16"/>
                <w:szCs w:val="16"/>
                <w:color w:val="auto"/>
              </w:rPr>
              <w:t>obligations</w:t>
            </w:r>
          </w:p>
        </w:tc>
        <w:tc>
          <w:tcPr>
            <w:tcW w:w="2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0.6</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6"/>
        </w:trPr>
        <w:tc>
          <w:tcPr>
            <w:tcW w:w="826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0C0C0"/>
          </w:tcPr>
          <w:p>
            <w:pPr>
              <w:spacing w:after="0"/>
              <w:rPr>
                <w:sz w:val="19"/>
                <w:szCs w:val="19"/>
                <w:color w:val="auto"/>
              </w:rPr>
            </w:pPr>
          </w:p>
        </w:tc>
        <w:tc>
          <w:tcPr>
            <w:tcW w:w="520" w:type="dxa"/>
            <w:vAlign w:val="bottom"/>
            <w:tcBorders>
              <w:bottom w:val="single" w:sz="8" w:color="auto"/>
            </w:tcBorders>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0C0C0"/>
          </w:tcPr>
          <w:p>
            <w:pPr>
              <w:spacing w:after="0"/>
              <w:rPr>
                <w:sz w:val="19"/>
                <w:szCs w:val="19"/>
                <w:color w:val="auto"/>
              </w:rPr>
            </w:pPr>
          </w:p>
        </w:tc>
        <w:tc>
          <w:tcPr>
            <w:tcW w:w="540" w:type="dxa"/>
            <w:vAlign w:val="bottom"/>
            <w:tcBorders>
              <w:bottom w:val="single" w:sz="8" w:color="auto"/>
            </w:tcBorders>
            <w:shd w:val="clear" w:color="auto" w:fill="C0C0C0"/>
          </w:tcPr>
          <w:p>
            <w:pPr>
              <w:spacing w:after="0"/>
              <w:rPr>
                <w:sz w:val="19"/>
                <w:szCs w:val="19"/>
                <w:color w:val="auto"/>
              </w:rPr>
            </w:pPr>
          </w:p>
        </w:tc>
      </w:tr>
      <w:tr>
        <w:trPr>
          <w:trHeight w:val="196"/>
        </w:trPr>
        <w:tc>
          <w:tcPr>
            <w:tcW w:w="8260" w:type="dxa"/>
            <w:vAlign w:val="bottom"/>
            <w:gridSpan w:val="2"/>
          </w:tcPr>
          <w:p>
            <w:pPr>
              <w:ind w:left="280"/>
              <w:spacing w:after="0"/>
              <w:rPr>
                <w:sz w:val="20"/>
                <w:szCs w:val="20"/>
                <w:color w:val="auto"/>
              </w:rPr>
            </w:pPr>
            <w:r>
              <w:rPr>
                <w:rFonts w:ascii="Arial" w:cs="Arial" w:eastAsia="Arial" w:hAnsi="Arial"/>
                <w:sz w:val="16"/>
                <w:szCs w:val="16"/>
                <w:color w:val="auto"/>
              </w:rPr>
              <w:t>Total unrestricted marketable securities</w:t>
            </w:r>
          </w:p>
        </w:tc>
        <w:tc>
          <w:tcPr>
            <w:tcW w:w="2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319.2</w:t>
            </w:r>
          </w:p>
        </w:tc>
        <w:tc>
          <w:tcPr>
            <w:tcW w:w="520" w:type="dxa"/>
            <w:vAlign w:val="bottom"/>
          </w:tcPr>
          <w:p>
            <w:pPr>
              <w:jc w:val="right"/>
              <w:spacing w:after="0"/>
              <w:rPr>
                <w:sz w:val="20"/>
                <w:szCs w:val="20"/>
                <w:color w:val="auto"/>
              </w:rPr>
            </w:pPr>
            <w:r>
              <w:rPr>
                <w:rFonts w:ascii="Arial" w:cs="Arial" w:eastAsia="Arial" w:hAnsi="Arial"/>
                <w:sz w:val="16"/>
                <w:szCs w:val="16"/>
                <w:color w:val="auto"/>
              </w:rPr>
              <w:t>98%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506.8</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33"/>
        </w:trPr>
        <w:tc>
          <w:tcPr>
            <w:tcW w:w="108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8"/>
        </w:trPr>
        <w:tc>
          <w:tcPr>
            <w:tcW w:w="8260" w:type="dxa"/>
            <w:vAlign w:val="bottom"/>
            <w:gridSpan w:val="2"/>
            <w:shd w:val="clear" w:color="auto" w:fill="C0C0C0"/>
          </w:tcPr>
          <w:p>
            <w:pPr>
              <w:spacing w:after="0"/>
              <w:rPr>
                <w:sz w:val="20"/>
                <w:szCs w:val="20"/>
                <w:color w:val="auto"/>
              </w:rPr>
            </w:pPr>
            <w:r>
              <w:rPr>
                <w:rFonts w:ascii="Arial" w:cs="Arial" w:eastAsia="Arial" w:hAnsi="Arial"/>
                <w:sz w:val="16"/>
                <w:szCs w:val="16"/>
                <w:i w:val="1"/>
                <w:iCs w:val="1"/>
                <w:color w:val="auto"/>
              </w:rPr>
              <w:t>Restricted</w:t>
            </w:r>
          </w:p>
        </w:tc>
        <w:tc>
          <w:tcPr>
            <w:tcW w:w="20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r>
      <w:tr>
        <w:trPr>
          <w:trHeight w:val="211"/>
        </w:trPr>
        <w:tc>
          <w:tcPr>
            <w:tcW w:w="8260" w:type="dxa"/>
            <w:vAlign w:val="bottom"/>
            <w:gridSpan w:val="2"/>
          </w:tcPr>
          <w:p>
            <w:pPr>
              <w:spacing w:after="0"/>
              <w:rPr>
                <w:sz w:val="20"/>
                <w:szCs w:val="20"/>
                <w:color w:val="auto"/>
              </w:rPr>
            </w:pPr>
            <w:r>
              <w:rPr>
                <w:rFonts w:ascii="Arial" w:cs="Arial" w:eastAsia="Arial" w:hAnsi="Arial"/>
                <w:sz w:val="16"/>
                <w:szCs w:val="16"/>
                <w:color w:val="auto"/>
              </w:rPr>
              <w:t>U.S. government obligations</w:t>
            </w:r>
          </w:p>
        </w:tc>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6.0</w:t>
            </w: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108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23"/>
        </w:trPr>
        <w:tc>
          <w:tcPr>
            <w:tcW w:w="8260" w:type="dxa"/>
            <w:vAlign w:val="bottom"/>
            <w:tcBorders>
              <w:bottom w:val="single" w:sz="8" w:color="C0C0C0"/>
            </w:tcBorders>
            <w:gridSpan w:val="2"/>
            <w:shd w:val="clear" w:color="auto" w:fill="C0C0C0"/>
          </w:tcPr>
          <w:p>
            <w:pPr>
              <w:ind w:left="280"/>
              <w:spacing w:after="0"/>
              <w:rPr>
                <w:sz w:val="20"/>
                <w:szCs w:val="20"/>
                <w:color w:val="auto"/>
              </w:rPr>
            </w:pPr>
            <w:r>
              <w:rPr>
                <w:rFonts w:ascii="Arial" w:cs="Arial" w:eastAsia="Arial" w:hAnsi="Arial"/>
                <w:sz w:val="16"/>
                <w:szCs w:val="16"/>
                <w:color w:val="auto"/>
              </w:rPr>
              <w:t>Total marketable securities</w:t>
            </w:r>
          </w:p>
        </w:tc>
        <w:tc>
          <w:tcPr>
            <w:tcW w:w="2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325.2</w:t>
            </w:r>
          </w:p>
        </w:tc>
        <w:tc>
          <w:tcPr>
            <w:tcW w:w="24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513.9</w:t>
            </w:r>
          </w:p>
        </w:tc>
        <w:tc>
          <w:tcPr>
            <w:tcW w:w="240" w:type="dxa"/>
            <w:vAlign w:val="bottom"/>
            <w:tcBorders>
              <w:bottom w:val="single" w:sz="8" w:color="C0C0C0"/>
            </w:tcBorders>
            <w:shd w:val="clear" w:color="auto" w:fill="C0C0C0"/>
          </w:tcPr>
          <w:p>
            <w:pPr>
              <w:spacing w:after="0"/>
              <w:rPr>
                <w:sz w:val="19"/>
                <w:szCs w:val="19"/>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28" w:lineRule="exact"/>
        <w:rPr>
          <w:sz w:val="20"/>
          <w:szCs w:val="20"/>
          <w:color w:val="auto"/>
        </w:rPr>
      </w:pPr>
    </w:p>
    <w:p>
      <w:pPr>
        <w:jc w:val="both"/>
        <w:ind w:right="20" w:firstLine="291"/>
        <w:spacing w:after="0" w:line="274" w:lineRule="auto"/>
        <w:rPr>
          <w:sz w:val="20"/>
          <w:szCs w:val="20"/>
          <w:color w:val="auto"/>
        </w:rPr>
      </w:pPr>
      <w:r>
        <w:rPr>
          <w:rFonts w:ascii="Arial" w:cs="Arial" w:eastAsia="Arial" w:hAnsi="Arial"/>
          <w:sz w:val="16"/>
          <w:szCs w:val="16"/>
          <w:color w:val="auto"/>
        </w:rPr>
        <w:t>In addition, at December 31, 2011 and 2010, we had $485.4 million and $113.0 million, respectively, of cash, cash equivalents, and restricted cash, primarily held in money market funds that invest in U.S. government securities.</w:t>
      </w:r>
    </w:p>
    <w:p>
      <w:pPr>
        <w:spacing w:after="0" w:line="187"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16"/>
          <w:szCs w:val="16"/>
          <w:color w:val="auto"/>
        </w:rPr>
        <w:t>We classify our investments using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Our methods for valuing our marketable securities are described in Note 6 to our financial statements included in this Annual Report on Form 10-K.</w:t>
      </w:r>
    </w:p>
    <w:p>
      <w:pPr>
        <w:spacing w:after="0" w:line="198" w:lineRule="exact"/>
        <w:rPr>
          <w:sz w:val="20"/>
          <w:szCs w:val="20"/>
          <w:color w:val="auto"/>
        </w:rPr>
      </w:pPr>
    </w:p>
    <w:p>
      <w:pPr>
        <w:jc w:val="both"/>
        <w:ind w:firstLine="328"/>
        <w:spacing w:after="0" w:line="257" w:lineRule="auto"/>
        <w:rPr>
          <w:sz w:val="20"/>
          <w:szCs w:val="20"/>
          <w:color w:val="auto"/>
        </w:rPr>
      </w:pPr>
      <w:r>
        <w:rPr>
          <w:rFonts w:ascii="Arial" w:cs="Arial" w:eastAsia="Arial" w:hAnsi="Arial"/>
          <w:sz w:val="16"/>
          <w:szCs w:val="16"/>
          <w:color w:val="auto"/>
        </w:rPr>
        <w:t>We held one Level 3 marketable security, which had no fair value at December 31, 2011 and 2010. This Level 3 security was valued using information provided by our investment advisors and other sources, including quoted bid prices which took into consideration the securities’ lack of liquidity. During the year ended December 31, 2009, we recorded charges for other-than-temporary impairment of this Level 3 marketable security totaling $0.1 million; therefore, as of December 31, 2009, the fair value of this security had been written down to zero. There were no purchases, sales, or maturities of Level 3 marketable securities and no unrealized gains or losses related to Level 3 marketable securities for the years ended December 31, 2011 and 2010. There were no transfers of marketable securities between Levels 1, 2, or 3 classifications during the years ended December 31, 2011 and 2010.</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Collaborations with Sanofi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ZALTRAP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(aflibercept)</w:t>
      </w:r>
    </w:p>
    <w:p>
      <w:pPr>
        <w:spacing w:after="0" w:line="147" w:lineRule="exact"/>
        <w:rPr>
          <w:sz w:val="20"/>
          <w:szCs w:val="20"/>
          <w:color w:val="auto"/>
        </w:rPr>
      </w:pPr>
    </w:p>
    <w:p>
      <w:pPr>
        <w:jc w:val="both"/>
        <w:ind w:right="20" w:firstLine="388"/>
        <w:spacing w:after="0" w:line="237" w:lineRule="auto"/>
        <w:rPr>
          <w:sz w:val="20"/>
          <w:szCs w:val="20"/>
          <w:color w:val="auto"/>
        </w:rPr>
      </w:pPr>
      <w:r>
        <w:rPr>
          <w:rFonts w:ascii="Arial" w:cs="Arial" w:eastAsia="Arial" w:hAnsi="Arial"/>
          <w:sz w:val="15"/>
          <w:szCs w:val="15"/>
          <w:color w:val="auto"/>
        </w:rPr>
        <w:t>In September 2003, we entered into a collaboration agreement with Aventis Pharmaceuticals Inc. (predecessor to Sanofi U.S.) to collaborate on the development and commercialization of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all countries other than Japan, where we retained the exclusive right to develop and commercialize ZALTRAP</w:t>
      </w:r>
      <w:r>
        <w:rPr>
          <w:rFonts w:ascii="Arial" w:cs="Arial" w:eastAsia="Arial" w:hAnsi="Arial"/>
          <w:sz w:val="25"/>
          <w:szCs w:val="25"/>
          <w:color w:val="auto"/>
          <w:vertAlign w:val="superscript"/>
        </w:rPr>
        <w:t>®</w:t>
      </w:r>
      <w:r>
        <w:rPr>
          <w:rFonts w:ascii="Arial" w:cs="Arial" w:eastAsia="Arial" w:hAnsi="Arial"/>
          <w:sz w:val="15"/>
          <w:szCs w:val="15"/>
          <w:color w:val="auto"/>
        </w:rPr>
        <w:t>. Sanofi made a non-refundable up-front payment of $80.0 million and purchased 2,799,552 newly issued unregistered shares of our Common Stock for $45.0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66" w:name="page67"/>
    <w:bookmarkEnd w:id="66"/>
    <w:p>
      <w:pPr>
        <w:jc w:val="both"/>
        <w:ind w:right="20" w:firstLine="267"/>
        <w:spacing w:after="0" w:line="223" w:lineRule="auto"/>
        <w:rPr>
          <w:sz w:val="20"/>
          <w:szCs w:val="20"/>
          <w:color w:val="auto"/>
        </w:rPr>
      </w:pPr>
      <w:r>
        <w:rPr>
          <w:rFonts w:ascii="Arial" w:cs="Arial" w:eastAsia="Arial" w:hAnsi="Arial"/>
          <w:sz w:val="15"/>
          <w:szCs w:val="15"/>
          <w:color w:val="auto"/>
        </w:rPr>
        <w:t>In January 2005, we and Sanofi amended the collaboration agreement to exclude, from the scope of the collaboration, the development and commercialization of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intraocular delivery to the eye. In connection with this amendment, Sanofi made a $25.0 million non-refundable payment to us.</w:t>
      </w:r>
    </w:p>
    <w:p>
      <w:pPr>
        <w:spacing w:after="0" w:line="192" w:lineRule="exact"/>
        <w:rPr>
          <w:sz w:val="20"/>
          <w:szCs w:val="20"/>
          <w:color w:val="auto"/>
        </w:rPr>
      </w:pPr>
    </w:p>
    <w:p>
      <w:pPr>
        <w:jc w:val="both"/>
        <w:ind w:firstLine="255"/>
        <w:spacing w:after="0" w:line="231" w:lineRule="auto"/>
        <w:rPr>
          <w:sz w:val="20"/>
          <w:szCs w:val="20"/>
          <w:color w:val="auto"/>
        </w:rPr>
      </w:pPr>
      <w:r>
        <w:rPr>
          <w:rFonts w:ascii="Arial" w:cs="Arial" w:eastAsia="Arial" w:hAnsi="Arial"/>
          <w:sz w:val="14"/>
          <w:szCs w:val="14"/>
          <w:color w:val="auto"/>
        </w:rPr>
        <w:t>In December 2005, we and Sanofi amended our collaboration agreement to expand the territory in which the companies are collaborating on the development of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include Japan. In connection with this amendment, Sanofi agreed to make a $25.0 million non-refundable up-front payment to us, which was received in January 2006. Under the collaboration agreement, as amended, we and Sanofi will share co-promotion rights and profits on sales, if any, of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of Japan for disease indications included in</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our collaboration. In Japan, we are entitled to a royalty of approximately 35% on annual sales of ZALTRAP</w:t>
      </w:r>
      <w:r>
        <w:rPr>
          <w:rFonts w:ascii="Arial" w:cs="Arial" w:eastAsia="Arial" w:hAnsi="Arial"/>
          <w:sz w:val="23"/>
          <w:szCs w:val="23"/>
          <w:color w:val="auto"/>
          <w:vertAlign w:val="superscript"/>
        </w:rPr>
        <w:t>®</w:t>
      </w:r>
      <w:r>
        <w:rPr>
          <w:rFonts w:ascii="Arial" w:cs="Arial" w:eastAsia="Arial" w:hAnsi="Arial"/>
          <w:sz w:val="14"/>
          <w:szCs w:val="14"/>
          <w:color w:val="auto"/>
        </w:rPr>
        <w:t>. We may also receive up to $400 million in substantive milestone payments upon receipt of specified marketing approvals, including up to $360 million in milestone payments related to the receipt of marketing approvals for up to eight</w:t>
      </w:r>
    </w:p>
    <w:p>
      <w:pPr>
        <w:spacing w:after="0" w:line="1"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oncology and other indications in the United States or the European Union and up to $40 million related to the receipt of marketing approvals for up to five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oncology indications in Japan.</w:t>
      </w:r>
    </w:p>
    <w:p>
      <w:pPr>
        <w:spacing w:after="0" w:line="84" w:lineRule="exact"/>
        <w:rPr>
          <w:sz w:val="20"/>
          <w:szCs w:val="20"/>
          <w:color w:val="auto"/>
        </w:rPr>
      </w:pPr>
    </w:p>
    <w:p>
      <w:pPr>
        <w:jc w:val="both"/>
        <w:ind w:right="20" w:firstLine="315"/>
        <w:spacing w:after="0" w:line="229" w:lineRule="auto"/>
        <w:rPr>
          <w:sz w:val="20"/>
          <w:szCs w:val="20"/>
          <w:color w:val="auto"/>
        </w:rPr>
      </w:pPr>
      <w:r>
        <w:rPr>
          <w:rFonts w:ascii="Arial" w:cs="Arial" w:eastAsia="Arial" w:hAnsi="Arial"/>
          <w:sz w:val="16"/>
          <w:szCs w:val="16"/>
          <w:color w:val="auto"/>
        </w:rPr>
        <w:t>We have agreed to manufacture clinical supplies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at our plant in Rensselaer, New York. Sanofi has agreed to be responsible for providing commercial scale manufacturing capacity for ZALTRAP</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Under the collaboration agreement, as amended, agreed-upon worldwide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development expenses incurred by both companies during the term of the agreement, including costs associated with the manufacture of clinical</w:t>
      </w:r>
    </w:p>
    <w:p>
      <w:pPr>
        <w:jc w:val="both"/>
        <w:ind w:right="20"/>
        <w:spacing w:after="0" w:line="247" w:lineRule="auto"/>
        <w:rPr>
          <w:sz w:val="20"/>
          <w:szCs w:val="20"/>
          <w:color w:val="auto"/>
        </w:rPr>
      </w:pPr>
      <w:r>
        <w:rPr>
          <w:rFonts w:ascii="Arial" w:cs="Arial" w:eastAsia="Arial" w:hAnsi="Arial"/>
          <w:sz w:val="11"/>
          <w:szCs w:val="11"/>
          <w:color w:val="auto"/>
        </w:rPr>
        <w:t>drug supply, will be funded by Sanofi. If the collaboration becomes profitable, we will be obligated to reimburse Sanofi for 50% of these development expenses in accordance with a formula based on the amount of development expenses and our share of the collaboration profits and Japan royalties, or at a faster rate at our option. Since inception of the collaboration agreement through December 31, 2011, we and Sanofi have incurred $763.4 million in agreed-</w:t>
      </w:r>
    </w:p>
    <w:p>
      <w:pPr>
        <w:jc w:val="both"/>
        <w:ind w:right="20"/>
        <w:spacing w:after="0" w:line="182" w:lineRule="auto"/>
        <w:rPr>
          <w:sz w:val="20"/>
          <w:szCs w:val="20"/>
          <w:color w:val="auto"/>
        </w:rPr>
      </w:pPr>
      <w:r>
        <w:rPr>
          <w:rFonts w:ascii="Arial" w:cs="Arial" w:eastAsia="Arial" w:hAnsi="Arial"/>
          <w:sz w:val="11"/>
          <w:szCs w:val="11"/>
          <w:color w:val="auto"/>
        </w:rPr>
        <w:t>upon development expenses related to ZALTRAP</w:t>
      </w:r>
      <w:r>
        <w:rPr>
          <w:rFonts w:ascii="Arial" w:cs="Arial" w:eastAsia="Arial" w:hAnsi="Arial"/>
          <w:sz w:val="18"/>
          <w:szCs w:val="18"/>
          <w:color w:val="auto"/>
          <w:vertAlign w:val="superscript"/>
        </w:rPr>
        <w:t>®</w:t>
      </w:r>
      <w:r>
        <w:rPr>
          <w:rFonts w:ascii="Arial" w:cs="Arial" w:eastAsia="Arial" w:hAnsi="Arial"/>
          <w:sz w:val="11"/>
          <w:szCs w:val="11"/>
          <w:color w:val="auto"/>
        </w:rPr>
        <w:t>. If the collaboration becomes profitable, we will also be obligated to reimburse Sanofi for 50% of the $25.0 million payment received in connection with the January 2005 amendment to our collaboration agreement. In addition, if the first commercial sale of an aflibercept product for intraocular delivery to the eye predates the first commercial sale of a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product under the collaboration by two years, we will begin reimbursing Sanofi for up to $7.5 million of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development expenses in accordance with a formula until the first commercial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sale under the collaboration occurs. As described above under Item 1.</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2"/>
          <w:szCs w:val="12"/>
          <w:color w:val="auto"/>
        </w:rPr>
        <w:t>“Business – Clinical Programs,” based upon the positive findings in the Phase 3 VELOUR study, Sanofi has submitted a regulatory application for marketing approval of ZALTRAP</w:t>
      </w:r>
      <w:r>
        <w:rPr>
          <w:rFonts w:ascii="Arial" w:cs="Arial" w:eastAsia="Arial" w:hAnsi="Arial"/>
          <w:sz w:val="20"/>
          <w:szCs w:val="20"/>
          <w:color w:val="auto"/>
          <w:vertAlign w:val="superscript"/>
        </w:rPr>
        <w:t>®</w:t>
      </w:r>
      <w:r>
        <w:rPr>
          <w:rFonts w:ascii="Arial" w:cs="Arial" w:eastAsia="Arial" w:hAnsi="Arial"/>
          <w:sz w:val="12"/>
          <w:szCs w:val="12"/>
          <w:color w:val="auto"/>
        </w:rPr>
        <w:t xml:space="preserve"> for the treatment of previously-treated mCRC patients to the EMA in the fourth quarter of 2011 and the FDA in February 2012. In addition, the Phase 3 VENICE study for the first-line treatment for hormone-refractory metastatic prostate cancer in combination with docetaxel/prednisone is ongoing.</w:t>
      </w:r>
    </w:p>
    <w:p>
      <w:pPr>
        <w:spacing w:after="0" w:line="178" w:lineRule="exact"/>
        <w:rPr>
          <w:sz w:val="20"/>
          <w:szCs w:val="20"/>
          <w:color w:val="auto"/>
        </w:rPr>
      </w:pPr>
    </w:p>
    <w:p>
      <w:pPr>
        <w:jc w:val="both"/>
        <w:ind w:firstLine="255"/>
        <w:spacing w:after="0" w:line="212" w:lineRule="auto"/>
        <w:rPr>
          <w:sz w:val="20"/>
          <w:szCs w:val="20"/>
          <w:color w:val="auto"/>
        </w:rPr>
      </w:pPr>
      <w:r>
        <w:rPr>
          <w:rFonts w:ascii="Arial" w:cs="Arial" w:eastAsia="Arial" w:hAnsi="Arial"/>
          <w:sz w:val="14"/>
          <w:szCs w:val="14"/>
          <w:color w:val="auto"/>
        </w:rPr>
        <w:t>Sanofi funded $16.9 million, $16.5 million, and $26.6 million, respectively, of our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costs in 2011, 2010, and 2009. In addition, in 2011, we and Sanofi began equally sharing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pre-launch commercialization expenses under the collaboration agreement; as a result, we funded $9.3 million of Sanofi’s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pre-launch commercialization expenses in 2011. At December 31, 2011, there was a net payable of $3.7 million to Sanofi in connection with the companies’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color w:val="auto"/>
        </w:rPr>
        <w:t>and at December 31, 2010 and 2009, amounts receivable from Sanofi in connection with the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collaboration were $3.9 million and $3.6 million, respectively. In addition, the up-front payments from Sanofi of $80.0 million in September 2003 and $25.0 million in January 2006 were recorded to deferred revenue and are being recognized as contract research and development revenue over the period during which we expect to perform services. In 2011, 2010, and 2009, we recognized $9.9 million per year of revenue, respectively, related to these up-front payments.</w:t>
      </w:r>
    </w:p>
    <w:p>
      <w:pPr>
        <w:spacing w:after="0" w:line="214" w:lineRule="exact"/>
        <w:rPr>
          <w:sz w:val="20"/>
          <w:szCs w:val="20"/>
          <w:color w:val="auto"/>
        </w:rPr>
      </w:pPr>
    </w:p>
    <w:p>
      <w:pPr>
        <w:jc w:val="both"/>
        <w:ind w:right="20" w:firstLine="291"/>
        <w:spacing w:after="0" w:line="284" w:lineRule="auto"/>
        <w:rPr>
          <w:sz w:val="20"/>
          <w:szCs w:val="20"/>
          <w:color w:val="auto"/>
        </w:rPr>
      </w:pPr>
      <w:r>
        <w:rPr>
          <w:rFonts w:ascii="Arial" w:cs="Arial" w:eastAsia="Arial" w:hAnsi="Arial"/>
          <w:sz w:val="16"/>
          <w:szCs w:val="16"/>
          <w:color w:val="auto"/>
        </w:rPr>
        <w:t>Sanofi has the right to terminate the agreement without cause with at least twelve months advance notice. Upon termination of the agreement for any reason, any remaining obligation to reimburse Sanofi for 50% of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development expenses will terminate and we will retain all rights to ZALTRAP</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Antibodies</w:t>
      </w:r>
    </w:p>
    <w:p>
      <w:pPr>
        <w:spacing w:after="0" w:line="229" w:lineRule="exact"/>
        <w:rPr>
          <w:sz w:val="20"/>
          <w:szCs w:val="20"/>
          <w:color w:val="auto"/>
        </w:rPr>
      </w:pPr>
    </w:p>
    <w:p>
      <w:pPr>
        <w:jc w:val="both"/>
        <w:ind w:right="20" w:firstLine="267"/>
        <w:spacing w:after="0" w:line="274" w:lineRule="auto"/>
        <w:rPr>
          <w:sz w:val="20"/>
          <w:szCs w:val="20"/>
          <w:color w:val="auto"/>
        </w:rPr>
      </w:pPr>
      <w:r>
        <w:rPr>
          <w:rFonts w:ascii="Arial" w:cs="Arial" w:eastAsia="Arial" w:hAnsi="Arial"/>
          <w:sz w:val="15"/>
          <w:szCs w:val="15"/>
          <w:color w:val="auto"/>
        </w:rPr>
        <w:t>In November 2007, we and Sanofi entered into a global, strategic collaboration to discover, develop, and commercialize fully human 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In November 2009, we and Sanofi amended these collaboration agreements to expand and extend our antibody collaboration. Under the amended discovery agreement, Sanofi agreed to fund up to $160 million per year of our antibody discovery activities in 2010 through 2017, subject to a one-time option for Sanofi to adjust the maximum reimbursement amount down to $120 million per year commencing in 2014 if over the prior two years certain specified criteria were not satisfied. In 2010, as we scaled up our capacity to conduct antibody discovery activities, Sanofi funded $137.7 million of our preclinical research under the amended discovery agreement. The balance between that amount and $160 million, or $22.3 million, has been added to the funding otherwise available to us in 2011-2012 under the amended discovery agreement. The amended discovery agreement will expire on December 31, 2017; however, Sanofi has an option to extend the agreement for up to an additional three years for further antibody development and preclinical activities.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67" w:name="page68"/>
    <w:bookmarkEnd w:id="67"/>
    <w:p>
      <w:pPr>
        <w:ind w:left="240"/>
        <w:spacing w:after="0"/>
        <w:rPr>
          <w:sz w:val="20"/>
          <w:szCs w:val="20"/>
          <w:color w:val="auto"/>
        </w:rPr>
      </w:pPr>
      <w:r>
        <w:rPr>
          <w:rFonts w:ascii="Arial" w:cs="Arial" w:eastAsia="Arial" w:hAnsi="Arial"/>
          <w:sz w:val="10"/>
          <w:szCs w:val="10"/>
          <w:color w:val="auto"/>
        </w:rPr>
        <w:t>For each drug candidate identified through discovery research under the discovery agreement, Sanofi has the option to license rights to the candidate under the license agreement. If it elects to do so, Sanofi will co-develop the drug</w:t>
      </w:r>
    </w:p>
    <w:p>
      <w:pPr>
        <w:spacing w:after="0" w:line="43"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candidate with us through product approval. Under certain defined circumstances, upon exercising its option to license rights to particular candidates, Sanofi must make a $10 million substantive milestone payment to us. 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(called Shared Phase 3 Trial Costs) are shared 80% by Sanofi and 20% by us. If the collaboration becomes profitable, we will be obligated to reimburse Sanofi for 50% of development expenses that were fully funded by Sanofi (or half of $582.3 million as of December 31, 2011) 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 for these development costs. If Sanofi does not exercise its option to license rights to a particular drug candidate under the license agreement, we retain the exclusive right to develop and commercialize such drug candidate, and Sanofi will receive a royalty on sales, if any.</w:t>
      </w:r>
    </w:p>
    <w:p>
      <w:pPr>
        <w:spacing w:after="0" w:line="199" w:lineRule="exact"/>
        <w:rPr>
          <w:sz w:val="20"/>
          <w:szCs w:val="20"/>
          <w:color w:val="auto"/>
        </w:rPr>
      </w:pPr>
    </w:p>
    <w:p>
      <w:pPr>
        <w:jc w:val="both"/>
        <w:ind w:right="20" w:firstLine="243"/>
        <w:spacing w:after="0" w:line="309" w:lineRule="auto"/>
        <w:rPr>
          <w:sz w:val="20"/>
          <w:szCs w:val="20"/>
          <w:color w:val="auto"/>
        </w:rPr>
      </w:pPr>
      <w:r>
        <w:rPr>
          <w:rFonts w:ascii="Arial" w:cs="Arial" w:eastAsia="Arial" w:hAnsi="Arial"/>
          <w:sz w:val="14"/>
          <w:szCs w:val="14"/>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losses outside the United States at 55% (Sanofi)/45% (us). In addition to profit sharing, we are entitled to receive up to $250 million in sales milestone payments, with milestone payments commencing only if and after aggregate annual sales outside the United States exceed $1.0 billion on a rolling 12-month basis.</w:t>
      </w:r>
    </w:p>
    <w:p>
      <w:pPr>
        <w:spacing w:after="0" w:line="166" w:lineRule="exact"/>
        <w:rPr>
          <w:sz w:val="20"/>
          <w:szCs w:val="20"/>
          <w:color w:val="auto"/>
        </w:rPr>
      </w:pPr>
    </w:p>
    <w:p>
      <w:pPr>
        <w:jc w:val="both"/>
        <w:ind w:right="20" w:firstLine="279"/>
        <w:spacing w:after="0" w:line="319" w:lineRule="auto"/>
        <w:rPr>
          <w:sz w:val="20"/>
          <w:szCs w:val="20"/>
          <w:color w:val="auto"/>
        </w:rPr>
      </w:pPr>
      <w:r>
        <w:rPr>
          <w:rFonts w:ascii="Arial" w:cs="Arial" w:eastAsia="Arial" w:hAnsi="Arial"/>
          <w:sz w:val="14"/>
          <w:szCs w:val="14"/>
          <w:color w:val="auto"/>
        </w:rPr>
        <w:t>We are obligated to use commercially reasonable efforts to supply clinical requirements of each drug candidate under the collaboration until commercial supplies of that drug candidate are being manufactured. In connection with the November 2009 amendment of the collaboration’s discovery agreement, Sanofi is funding up to $30 million of agreed-upon costs incurred by us to expand our manufacturing capacity at our Rensselaer, New York facilities, of which $28.2 million was received or receivable as of December 31, 2011.</w:t>
      </w:r>
    </w:p>
    <w:p>
      <w:pPr>
        <w:spacing w:after="0" w:line="159" w:lineRule="exact"/>
        <w:rPr>
          <w:sz w:val="20"/>
          <w:szCs w:val="20"/>
          <w:color w:val="auto"/>
        </w:rPr>
      </w:pPr>
    </w:p>
    <w:p>
      <w:pPr>
        <w:jc w:val="both"/>
        <w:ind w:right="20" w:firstLine="303"/>
        <w:spacing w:after="0" w:line="256" w:lineRule="auto"/>
        <w:rPr>
          <w:sz w:val="20"/>
          <w:szCs w:val="20"/>
          <w:color w:val="auto"/>
        </w:rPr>
      </w:pPr>
      <w:r>
        <w:rPr>
          <w:rFonts w:ascii="Arial" w:cs="Arial" w:eastAsia="Arial" w:hAnsi="Arial"/>
          <w:sz w:val="16"/>
          <w:szCs w:val="16"/>
          <w:color w:val="auto"/>
        </w:rPr>
        <w:t>In 2011, 2010, and 2009, Sanofi funded $161.9 million, $137.7 million, and $99.8 million, respectively, of our expenses under the collaboration’s discovery agreement and $137.4 million, $138.3 million, and $98.3 million, respectively, of our development costs under the license agreement. Of these amounts, $75.6 million, $73.4 million and $57.9 million were included in accounts receivable as of December 31, 2011, 2010, and 2009, respectively. The $85.0 million up-front payment received from Sanofi in December 2007 was recorded to deferred revenue and is being recognized as collaboration revenue over the period during which we expect to perform services. In addition, reimbursements by Sanofi of our costs to expand our manufacturing capacity are recorded to deferred revenue and recognized prospectively as collaboration revenue over the same period applicable to recognition of the $85.0 million up-front payment. In 2011, 2010, and 2009, we recognized $8.2 million, $7.3 million, and $9.9 million of revenue, respectively, related to these deferred payments.</w:t>
      </w:r>
    </w:p>
    <w:p>
      <w:pPr>
        <w:spacing w:after="0" w:line="183" w:lineRule="exact"/>
        <w:rPr>
          <w:sz w:val="20"/>
          <w:szCs w:val="20"/>
          <w:color w:val="auto"/>
        </w:rPr>
      </w:pPr>
    </w:p>
    <w:p>
      <w:pPr>
        <w:jc w:val="both"/>
        <w:ind w:right="20" w:firstLine="291"/>
        <w:spacing w:after="0" w:line="230" w:lineRule="auto"/>
        <w:rPr>
          <w:sz w:val="20"/>
          <w:szCs w:val="20"/>
          <w:color w:val="auto"/>
        </w:rPr>
      </w:pPr>
      <w:r>
        <w:rPr>
          <w:rFonts w:ascii="Arial" w:cs="Arial" w:eastAsia="Arial" w:hAnsi="Arial"/>
          <w:sz w:val="16"/>
          <w:szCs w:val="16"/>
          <w:color w:val="auto"/>
        </w:rPr>
        <w:t xml:space="preserve">In connection with the antibody collaboration, in August 2008, we entered into a separate agreement with Sanofi to use our proprietary </w:t>
      </w:r>
      <w:r>
        <w:rPr>
          <w:rFonts w:ascii="Arial" w:cs="Arial" w:eastAsia="Arial" w:hAnsi="Arial"/>
          <w:sz w:val="16"/>
          <w:szCs w:val="16"/>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platform to supply Sanofi with genetically modified mammalian models of gene function and disease. The agreement provides for minimum annual order quantities for the term of the agreement, which extends through December 2012, for which we expect to receive payments totaling a minimum of $21.5 million, of which $12.7 million had been received as of December 31, 2011.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604" w:right="219" w:bottom="1440" w:gutter="0" w:footer="0" w:header="0"/>
        </w:sectPr>
      </w:pPr>
    </w:p>
    <w:bookmarkStart w:id="68" w:name="page69"/>
    <w:bookmarkEnd w:id="68"/>
    <w:p>
      <w:pPr>
        <w:jc w:val="both"/>
        <w:ind w:right="20" w:firstLine="243"/>
        <w:spacing w:after="0" w:line="275" w:lineRule="auto"/>
        <w:rPr>
          <w:sz w:val="20"/>
          <w:szCs w:val="20"/>
          <w:color w:val="auto"/>
        </w:rPr>
      </w:pPr>
      <w:r>
        <w:rPr>
          <w:rFonts w:ascii="Arial" w:cs="Arial" w:eastAsia="Arial" w:hAnsi="Arial"/>
          <w:sz w:val="15"/>
          <w:szCs w:val="15"/>
          <w:color w:val="auto"/>
        </w:rPr>
        <w:t>With respect to each antibody product which enters development under the license agreement, Sanofi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 within thirty days of the date that Sanofi elects to jointly develop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us the full amount of unpaid research funding during the remaining term of the research agreement through December 31, 2017. Upon termination of the collaboration in its entirety, our obligation to reimburse Sanofi for development costs out of any future profits from collaboration products will terminate.</w:t>
      </w:r>
    </w:p>
    <w:p>
      <w:pPr>
        <w:spacing w:after="0" w:line="191" w:lineRule="exact"/>
        <w:rPr>
          <w:sz w:val="20"/>
          <w:szCs w:val="20"/>
          <w:color w:val="auto"/>
        </w:rPr>
      </w:pPr>
    </w:p>
    <w:p>
      <w:pPr>
        <w:jc w:val="both"/>
        <w:ind w:right="20" w:firstLine="243"/>
        <w:spacing w:after="0" w:line="260" w:lineRule="auto"/>
        <w:rPr>
          <w:sz w:val="20"/>
          <w:szCs w:val="20"/>
          <w:color w:val="auto"/>
        </w:rPr>
      </w:pPr>
      <w:r>
        <w:rPr>
          <w:rFonts w:ascii="Arial" w:cs="Arial" w:eastAsia="Arial" w:hAnsi="Arial"/>
          <w:sz w:val="16"/>
          <w:szCs w:val="16"/>
          <w:color w:val="auto"/>
        </w:rPr>
        <w:t>In December 2007, we sold Sanofi 12 million newly issued, unregistered shares of Common Stock at an aggregate cash price of $312.0 million, or $26.00 per share of Common Stock. As a condition to the closing of this transaction, Sanofi entered into an investor agreement with us. This agreement, which was amended in November 2009, contains certain demand rights, “stand-still provisions”, and other restrictions, which are more fully described in Note 13 to our Financial Statements. In addition, in October 2010, Sanofi purchased 1,017,401 shares of Common Stock in our underwritten public offering.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Collaboration with Bayer HealthCare</w:t>
      </w:r>
    </w:p>
    <w:p>
      <w:pPr>
        <w:spacing w:after="0" w:line="212" w:lineRule="exact"/>
        <w:rPr>
          <w:sz w:val="20"/>
          <w:szCs w:val="20"/>
          <w:color w:val="auto"/>
        </w:rPr>
      </w:pPr>
    </w:p>
    <w:p>
      <w:pPr>
        <w:jc w:val="both"/>
        <w:ind w:firstLine="234"/>
        <w:spacing w:after="0" w:line="200" w:lineRule="auto"/>
        <w:rPr>
          <w:sz w:val="20"/>
          <w:szCs w:val="20"/>
          <w:color w:val="auto"/>
        </w:rPr>
      </w:pPr>
      <w:r>
        <w:rPr>
          <w:rFonts w:ascii="Arial" w:cs="Arial" w:eastAsia="Arial" w:hAnsi="Arial"/>
          <w:sz w:val="11"/>
          <w:szCs w:val="11"/>
          <w:color w:val="auto"/>
        </w:rPr>
        <w:t>In October 2006, we entered into a license and collaboration agreement with Bayer HealthCare to globally develop, and commercialize outside the United States, EYLEA</w:t>
      </w:r>
      <w:r>
        <w:rPr>
          <w:rFonts w:ascii="Arial" w:cs="Arial" w:eastAsia="Arial" w:hAnsi="Arial"/>
          <w:sz w:val="18"/>
          <w:szCs w:val="18"/>
          <w:color w:val="auto"/>
          <w:vertAlign w:val="superscript"/>
        </w:rPr>
        <w:t>®</w:t>
      </w:r>
      <w:r>
        <w:rPr>
          <w:rFonts w:ascii="Arial" w:cs="Arial" w:eastAsia="Arial" w:hAnsi="Arial"/>
          <w:sz w:val="11"/>
          <w:szCs w:val="11"/>
          <w:color w:val="auto"/>
        </w:rPr>
        <w:t>. Under the terms of the agreement, Bayer HealthCare made a non-refundable up-front payment to us of $75.0 million. In August 2007, we received a $20.0 million milestone payment (which, for the purpose of revenue recognition, was not considered substantive) from Bayer HealthCare following dosing of the first patient in the VIEW 1 study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 wet AMD. In July 2009, we received a $20.0 million substantive performance milestone payment from Bayer HealthCare following dosing of the first patient in the COPERNICUS study of EYLEA</w:t>
      </w:r>
      <w:r>
        <w:rPr>
          <w:rFonts w:ascii="Arial" w:cs="Arial" w:eastAsia="Arial" w:hAnsi="Arial"/>
          <w:sz w:val="18"/>
          <w:szCs w:val="18"/>
          <w:color w:val="auto"/>
          <w:vertAlign w:val="superscript"/>
        </w:rPr>
        <w:t>®</w:t>
      </w:r>
      <w:r>
        <w:rPr>
          <w:rFonts w:ascii="Arial" w:cs="Arial" w:eastAsia="Arial" w:hAnsi="Arial"/>
          <w:sz w:val="11"/>
          <w:szCs w:val="11"/>
          <w:color w:val="auto"/>
        </w:rPr>
        <w:t xml:space="preserve"> in CRVO. In both December 2010 and January 2011, we received a $10.0 million substantive milestone payment (for a total of $20.0 million) from Bayer HealthCare for achieving positive 52-week results in the VIEW 1 study and positive 6-month results in the COPERNICUS study, respectively. We are eligible to receive up to $50 million in future substantive milestone payments related to marketing approvals of EYLEA</w:t>
      </w:r>
      <w:r>
        <w:rPr>
          <w:rFonts w:ascii="Arial" w:cs="Arial" w:eastAsia="Arial" w:hAnsi="Arial"/>
          <w:sz w:val="18"/>
          <w:szCs w:val="18"/>
          <w:color w:val="auto"/>
          <w:vertAlign w:val="superscript"/>
        </w:rPr>
        <w:t>®</w:t>
      </w:r>
    </w:p>
    <w:p>
      <w:pPr>
        <w:spacing w:after="0" w:line="2" w:lineRule="exact"/>
        <w:rPr>
          <w:sz w:val="20"/>
          <w:szCs w:val="20"/>
          <w:color w:val="auto"/>
        </w:rPr>
      </w:pPr>
    </w:p>
    <w:p>
      <w:pPr>
        <w:jc w:val="both"/>
        <w:ind w:right="20"/>
        <w:spacing w:after="0" w:line="200" w:lineRule="auto"/>
        <w:rPr>
          <w:sz w:val="20"/>
          <w:szCs w:val="20"/>
          <w:color w:val="auto"/>
        </w:rPr>
      </w:pPr>
      <w:r>
        <w:rPr>
          <w:rFonts w:ascii="Arial" w:cs="Arial" w:eastAsia="Arial" w:hAnsi="Arial"/>
          <w:sz w:val="12"/>
          <w:szCs w:val="12"/>
          <w:color w:val="auto"/>
        </w:rPr>
        <w:t>in major market countries outside the United States. We are also eligible to receive up to $135 million in sales milestone payments if total annual sales of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outside the United States achieve certain specified levels starting at $200 million.</w:t>
      </w:r>
    </w:p>
    <w:p>
      <w:pPr>
        <w:spacing w:after="0" w:line="178" w:lineRule="exact"/>
        <w:rPr>
          <w:sz w:val="20"/>
          <w:szCs w:val="20"/>
          <w:color w:val="auto"/>
        </w:rPr>
      </w:pPr>
    </w:p>
    <w:p>
      <w:pPr>
        <w:jc w:val="both"/>
        <w:ind w:right="20" w:firstLine="267"/>
        <w:spacing w:after="0" w:line="262" w:lineRule="auto"/>
        <w:rPr>
          <w:sz w:val="20"/>
          <w:szCs w:val="20"/>
          <w:color w:val="auto"/>
        </w:rPr>
      </w:pPr>
      <w:r>
        <w:rPr>
          <w:rFonts w:ascii="Arial" w:cs="Arial" w:eastAsia="Arial" w:hAnsi="Arial"/>
          <w:sz w:val="14"/>
          <w:szCs w:val="14"/>
          <w:color w:val="auto"/>
        </w:rPr>
        <w:t>We will share equally with Bayer HealthCare in any future profits arising from the commercialization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outside the United States. If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granted marketing authorization in a major market country outside the United States and the collaboration becomes profitable, we will be obligated to reimburse Bayer HealthCare out of our share of the collaboration profits for 50% of the agreed-upon development expenses that Bayer HealthCare has incurred (or half of $370.9 million at December 31, 2011) in accordance with a formula based on the amount of development expenses that Bayer HealthCare has incurred and our share of the collaboration profits, or at a faster rate at our option. Within the</w:t>
      </w:r>
    </w:p>
    <w:p>
      <w:pPr>
        <w:jc w:val="both"/>
        <w:ind w:right="20"/>
        <w:spacing w:after="0" w:line="212" w:lineRule="auto"/>
        <w:rPr>
          <w:sz w:val="20"/>
          <w:szCs w:val="20"/>
          <w:color w:val="auto"/>
        </w:rPr>
      </w:pPr>
      <w:r>
        <w:rPr>
          <w:rFonts w:ascii="Arial" w:cs="Arial" w:eastAsia="Arial" w:hAnsi="Arial"/>
          <w:sz w:val="14"/>
          <w:szCs w:val="14"/>
          <w:color w:val="auto"/>
        </w:rPr>
        <w:t>United States, we are responsible for any commercialization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retain exclusive rights to any future profits from such commercialization in the United States. In June 2011, Bayer HealthCare submitted regulatory applications for marketing approval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wet AMD in the European Union, Japan, and other countries. We and Bayer</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HealthCare continue to evaluate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certain Phase 3 programs in patients with wet AMD, and are evaluating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Phase 3 programs in patients with CRVO, DME, and CNV of the retina as a result of pathologic myopia. We are also obligated to use commercially reasonable efforts to supply clinical and commercial product requirements.</w:t>
      </w:r>
    </w:p>
    <w:p>
      <w:pPr>
        <w:spacing w:after="0" w:line="214" w:lineRule="exact"/>
        <w:rPr>
          <w:sz w:val="20"/>
          <w:szCs w:val="20"/>
          <w:color w:val="auto"/>
        </w:rPr>
      </w:pPr>
    </w:p>
    <w:p>
      <w:pPr>
        <w:jc w:val="both"/>
        <w:ind w:right="20" w:firstLine="303"/>
        <w:spacing w:after="0" w:line="283" w:lineRule="auto"/>
        <w:rPr>
          <w:sz w:val="20"/>
          <w:szCs w:val="20"/>
          <w:color w:val="auto"/>
        </w:rPr>
      </w:pPr>
      <w:r>
        <w:rPr>
          <w:rFonts w:ascii="Arial" w:cs="Arial" w:eastAsia="Arial" w:hAnsi="Arial"/>
          <w:sz w:val="15"/>
          <w:szCs w:val="15"/>
          <w:color w:val="auto"/>
        </w:rPr>
        <w:t>The $75.0 million up-front payment and the $20.0 million milestone payment received in August 2007 from Bayer HealthCare were recorded to deferred revenue. In 2011, 2010, and 2009, we recognized $9.4 million, $9.9 million, and $9.9 million, respectively, of revenue related to these payments. The $10.0 million substantive milestone payments received from Bayer HealthCare in each of December 2010 and January 2011 were recognized as collaboration revenue in 2010, and the $20.0 million substantive performance milestone payment received from Bayer HealthCare in July 2009 was recognized as collaboration revenue in 2009.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69" w:name="page70"/>
    <w:bookmarkEnd w:id="69"/>
    <w:p>
      <w:pPr>
        <w:jc w:val="both"/>
        <w:ind w:right="20" w:firstLine="243"/>
        <w:spacing w:after="0" w:line="232" w:lineRule="auto"/>
        <w:rPr>
          <w:sz w:val="20"/>
          <w:szCs w:val="20"/>
          <w:color w:val="auto"/>
        </w:rPr>
      </w:pPr>
      <w:r>
        <w:rPr>
          <w:rFonts w:ascii="Arial" w:cs="Arial" w:eastAsia="Arial" w:hAnsi="Arial"/>
          <w:sz w:val="12"/>
          <w:szCs w:val="12"/>
          <w:color w:val="auto"/>
        </w:rPr>
        <w:t>Under the terms of the agreement, in 2009 and thereafter, all agreed upon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development expenses incurred by both companies under a global development plan will be shared equally. Primarily in connection with sharing development expenses in 2011, 2010, and 2009, net amounts paid or payable to Bayer HealthCare were $8.3 million, $2.6 million, and $0.3 million, respectively. At December 31, 2011, $4.5 million was receivable from Bayer HealthCare, and at December 31, 2010, $2.3 million was payable to Bayer HealthCare, in connection with cost-sharing of EYLEA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expenses under the collaboration.</w:t>
      </w:r>
    </w:p>
    <w:p>
      <w:pPr>
        <w:spacing w:after="0" w:line="118" w:lineRule="exact"/>
        <w:rPr>
          <w:sz w:val="20"/>
          <w:szCs w:val="20"/>
          <w:color w:val="auto"/>
        </w:rPr>
      </w:pPr>
    </w:p>
    <w:p>
      <w:pPr>
        <w:jc w:val="both"/>
        <w:ind w:right="20" w:firstLine="279"/>
        <w:spacing w:after="0" w:line="284" w:lineRule="auto"/>
        <w:rPr>
          <w:sz w:val="20"/>
          <w:szCs w:val="20"/>
          <w:color w:val="auto"/>
        </w:rPr>
      </w:pPr>
      <w:r>
        <w:rPr>
          <w:rFonts w:ascii="Arial" w:cs="Arial" w:eastAsia="Arial" w:hAnsi="Arial"/>
          <w:sz w:val="16"/>
          <w:szCs w:val="16"/>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EYLEA</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Astellas</w:t>
      </w:r>
    </w:p>
    <w:p>
      <w:pPr>
        <w:spacing w:after="0" w:line="229" w:lineRule="exact"/>
        <w:rPr>
          <w:sz w:val="20"/>
          <w:szCs w:val="20"/>
          <w:color w:val="auto"/>
        </w:rPr>
      </w:pPr>
    </w:p>
    <w:p>
      <w:pPr>
        <w:jc w:val="both"/>
        <w:ind w:firstLine="303"/>
        <w:spacing w:after="0" w:line="291" w:lineRule="auto"/>
        <w:rPr>
          <w:sz w:val="20"/>
          <w:szCs w:val="20"/>
          <w:color w:val="auto"/>
        </w:rPr>
      </w:pPr>
      <w:r>
        <w:rPr>
          <w:rFonts w:ascii="Arial" w:cs="Arial" w:eastAsia="Arial" w:hAnsi="Arial"/>
          <w:sz w:val="14"/>
          <w:szCs w:val="14"/>
          <w:color w:val="auto"/>
        </w:rPr>
        <w:t>Under this non-exclusive license agreement, Astellas made a $20.0 million annual, non-refundable payment to us in each of 2010, 2009, 2008, and 2007.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w:t>
      </w:r>
    </w:p>
    <w:p>
      <w:pPr>
        <w:spacing w:after="0"/>
        <w:rPr>
          <w:sz w:val="20"/>
          <w:szCs w:val="20"/>
          <w:color w:val="auto"/>
        </w:rPr>
      </w:pP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AstraZeneca</w:t>
      </w:r>
    </w:p>
    <w:p>
      <w:pPr>
        <w:spacing w:after="0" w:line="229" w:lineRule="exact"/>
        <w:rPr>
          <w:sz w:val="20"/>
          <w:szCs w:val="20"/>
          <w:color w:val="auto"/>
        </w:rPr>
      </w:pPr>
    </w:p>
    <w:p>
      <w:pPr>
        <w:jc w:val="both"/>
        <w:ind w:right="20" w:firstLine="303"/>
        <w:spacing w:after="0" w:line="322" w:lineRule="auto"/>
        <w:rPr>
          <w:sz w:val="20"/>
          <w:szCs w:val="20"/>
          <w:color w:val="auto"/>
        </w:rPr>
      </w:pPr>
      <w:r>
        <w:rPr>
          <w:rFonts w:ascii="Arial" w:cs="Arial" w:eastAsia="Arial" w:hAnsi="Arial"/>
          <w:sz w:val="14"/>
          <w:szCs w:val="14"/>
          <w:color w:val="auto"/>
        </w:rPr>
        <w:t xml:space="preserve">Under this non-exclusive license agreement, AstraZeneca made a $20.0 million annual, non-refundable payment to us in each of 2010, 2009, 2008, and 2007. In November 2010, as permitted by the agreement, MedImmune Limited (as successor by novation from AstraZeneca) gave written notice of voluntary termination of the agreement, effective in February 2011. We remain entitled to receive mid-single digit royalties on any future sales of antibody products discovered by MedImmune using our </w:t>
      </w:r>
      <w:r>
        <w:rPr>
          <w:rFonts w:ascii="Arial" w:cs="Arial" w:eastAsia="Arial" w:hAnsi="Arial"/>
          <w:sz w:val="14"/>
          <w:szCs w:val="14"/>
          <w:i w:val="1"/>
          <w:iCs w:val="1"/>
          <w:color w:val="auto"/>
        </w:rPr>
        <w:t>VelocImmune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National Institutes of Health Grant</w:t>
      </w:r>
    </w:p>
    <w:p>
      <w:pPr>
        <w:spacing w:after="0" w:line="229" w:lineRule="exact"/>
        <w:rPr>
          <w:sz w:val="20"/>
          <w:szCs w:val="20"/>
          <w:color w:val="auto"/>
        </w:rPr>
      </w:pPr>
    </w:p>
    <w:p>
      <w:pPr>
        <w:jc w:val="both"/>
        <w:ind w:firstLine="243"/>
        <w:spacing w:after="0" w:line="309" w:lineRule="auto"/>
        <w:rPr>
          <w:sz w:val="20"/>
          <w:szCs w:val="20"/>
          <w:color w:val="auto"/>
        </w:rPr>
      </w:pPr>
      <w:r>
        <w:rPr>
          <w:rFonts w:ascii="Arial" w:cs="Arial" w:eastAsia="Arial" w:hAnsi="Arial"/>
          <w:sz w:val="14"/>
          <w:szCs w:val="14"/>
          <w:color w:val="auto"/>
        </w:rPr>
        <w:t>Under our five-year grant from the NIH, as amended, we were entitled to receive a minimum of $25.3 million over the five-year period beginning in September 2006, subject to compliance with the grant’s terms and annual funding approvals, including $1.5 million to optimize our existing C57BL/6 ES cell line and its proprietary growth medium. In 2011, 2010, and 2009, we earned $3.6 million, $4.6 million, and $5.5 million, respectively, of funding under the NIH Grant, of which $0.4 million and $1.0 million, respectively, was receivable at the end of 2011 and 2010. Other than the amount receivable at the end of 2011, no further funding will be received by us in connection with the NIH Grant.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Cellectis</w:t>
      </w:r>
    </w:p>
    <w:p>
      <w:pPr>
        <w:spacing w:after="0" w:line="229"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4"/>
          <w:szCs w:val="14"/>
          <w:color w:val="auto"/>
        </w:rPr>
        <w:t xml:space="preserve">In July 2008, we and Cellectis S.A. entered into an Amended and Restated Non-Exclusive License Agreement. The amended license agreement resolved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4"/>
          <w:szCs w:val="14"/>
          <w:i w:val="1"/>
          <w:iCs w:val="1"/>
          <w:color w:val="auto"/>
        </w:rPr>
        <w:t>VelociGene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w:t>
      </w:r>
      <w:r>
        <w:rPr>
          <w:rFonts w:ascii="Arial" w:cs="Arial" w:eastAsia="Arial" w:hAnsi="Arial"/>
          <w:sz w:val="14"/>
          <w:szCs w:val="14"/>
          <w:i w:val="1"/>
          <w:iCs w:val="1"/>
          <w:color w:val="auto"/>
        </w:rPr>
        <w:t>VelocImmune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products and services. No royalties are payable to Cellectis with respect to our </w:t>
      </w:r>
      <w:r>
        <w:rPr>
          <w:rFonts w:ascii="Arial" w:cs="Arial" w:eastAsia="Arial" w:hAnsi="Arial"/>
          <w:sz w:val="14"/>
          <w:szCs w:val="14"/>
          <w:i w:val="1"/>
          <w:iCs w:val="1"/>
          <w:color w:val="auto"/>
        </w:rPr>
        <w:t>VelocImmune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license agreements with AstraZeneca and Astellas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 xml:space="preserve">or our antibody collaboration with Sanofi. In addition, no royalties are payable to Cellectis on 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We are amortizing our $12.5 million payment to Cellectis in proportion to past and anticipated future revenues under our license agreements with AstraZeneca and Astellas and our antibody discovery agreement with Sanofi (as amended in November 2009).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76" w:right="2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License and Partial Settlement Agreement with Genentech</w:t>
      </w:r>
    </w:p>
    <w:p>
      <w:pPr>
        <w:spacing w:after="0" w:line="208" w:lineRule="exact"/>
        <w:rPr>
          <w:sz w:val="20"/>
          <w:szCs w:val="20"/>
          <w:color w:val="auto"/>
        </w:rPr>
      </w:pPr>
    </w:p>
    <w:p>
      <w:pPr>
        <w:jc w:val="both"/>
        <w:ind w:right="20" w:firstLine="279"/>
        <w:spacing w:after="0" w:line="244" w:lineRule="auto"/>
        <w:rPr>
          <w:sz w:val="20"/>
          <w:szCs w:val="20"/>
          <w:color w:val="auto"/>
        </w:rPr>
      </w:pPr>
      <w:r>
        <w:rPr>
          <w:rFonts w:ascii="Arial" w:cs="Arial" w:eastAsia="Arial" w:hAnsi="Arial"/>
          <w:sz w:val="15"/>
          <w:szCs w:val="15"/>
          <w:color w:val="auto"/>
        </w:rPr>
        <w:t>In December 2011, we and Genentech entered into a Non-Exclusive License and Partial Settlement Agreement relating to ophthalmic sales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the United States. Pursuant to the agreement, we received a non-exclusive license to certain patents relating to VEGF receptor proteins, known as the Davis-Smyth patents, and other technology patents. The Davis-Smyth patents are the subject of patent litigation between us and Genentech now pending in the United States District Court, Southern District of New York. Patent litigation is continuing with respect to matters not covered by the Genentech Agreement (see Item 3. “Legal Proceedings”).</w:t>
      </w:r>
    </w:p>
    <w:p>
      <w:pPr>
        <w:spacing w:after="0" w:line="189" w:lineRule="exact"/>
        <w:rPr>
          <w:sz w:val="20"/>
          <w:szCs w:val="20"/>
          <w:color w:val="auto"/>
        </w:rPr>
      </w:pPr>
    </w:p>
    <w:p>
      <w:pPr>
        <w:jc w:val="both"/>
        <w:ind w:right="20" w:firstLine="243"/>
        <w:spacing w:after="0" w:line="229" w:lineRule="auto"/>
        <w:rPr>
          <w:sz w:val="20"/>
          <w:szCs w:val="20"/>
          <w:color w:val="auto"/>
        </w:rPr>
      </w:pPr>
      <w:r>
        <w:rPr>
          <w:rFonts w:ascii="Arial" w:cs="Arial" w:eastAsia="Arial" w:hAnsi="Arial"/>
          <w:sz w:val="14"/>
          <w:szCs w:val="14"/>
          <w:color w:val="auto"/>
        </w:rPr>
        <w:t>Under the terms of the agreement with Genentech, we agreed to make payments to Genentech based on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commencing upon FDA approval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November 2011 through May 7, 2016. We will be required to make a one-time, non-refundable $60 million payment upon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reaching $400 million. In addition, we agreed to pay royalties of 4.75% on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between $400 million and $3 billion and 5.5% on any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over $3 billion. As we record net product sales of EYLEA</w:t>
      </w:r>
      <w:r>
        <w:rPr>
          <w:rFonts w:ascii="Arial" w:cs="Arial" w:eastAsia="Arial" w:hAnsi="Arial"/>
          <w:sz w:val="23"/>
          <w:szCs w:val="23"/>
          <w:color w:val="auto"/>
          <w:vertAlign w:val="superscript"/>
        </w:rPr>
        <w:t>®</w:t>
      </w:r>
      <w:r>
        <w:rPr>
          <w:rFonts w:ascii="Arial" w:cs="Arial" w:eastAsia="Arial" w:hAnsi="Arial"/>
          <w:sz w:val="14"/>
          <w:szCs w:val="14"/>
          <w:color w:val="auto"/>
        </w:rPr>
        <w:t>, we are recognizing expense in connection with the Genentech Agreement using a blended mid-single digit royalty rate that reflects both the $60 million payment and the royalties payable on cumulative sales and that is based upon our estimate of cumulative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sales through May 7, 2016.</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 Tarrytown, New York Facilities</w:t>
      </w:r>
    </w:p>
    <w:p>
      <w:pPr>
        <w:spacing w:after="0" w:line="229" w:lineRule="exact"/>
        <w:rPr>
          <w:sz w:val="20"/>
          <w:szCs w:val="20"/>
          <w:color w:val="auto"/>
        </w:rPr>
      </w:pPr>
    </w:p>
    <w:p>
      <w:pPr>
        <w:jc w:val="both"/>
        <w:ind w:right="20" w:firstLine="279"/>
        <w:spacing w:after="0" w:line="278" w:lineRule="auto"/>
        <w:rPr>
          <w:sz w:val="20"/>
          <w:szCs w:val="20"/>
          <w:color w:val="auto"/>
        </w:rPr>
      </w:pPr>
      <w:r>
        <w:rPr>
          <w:rFonts w:ascii="Arial" w:cs="Arial" w:eastAsia="Arial" w:hAnsi="Arial"/>
          <w:sz w:val="15"/>
          <w:szCs w:val="15"/>
          <w:color w:val="auto"/>
        </w:rPr>
        <w:t>We lease approximately 553,000 square feet of laboratory and office space at facilities in Tarrytown, New York, under a December 2006 lease agreement, as amended. These facilities include approximately 230,000 square feet of newly constructed space in two new buildings (Buildings A and B) that were completed during the third quarter of 2009 and approximately 131,000 square feet of additional new space in a third new building (Building C), that was completed in early 2011. The lease will expire in June 2024 and contains three renewal options to extend the term of the lease by five years each, as well as early termination options on approximately 323,000 square feet of space. The lease provides for monthly payments over its term and additional charges for utilities, taxes, and operating expenses. In connection with the lease, we have issued a $3.4 million letter of credit to our landlord, which is fully collateralized by cash and marketable securities.</w:t>
      </w:r>
    </w:p>
    <w:p>
      <w:pPr>
        <w:spacing w:after="0" w:line="185" w:lineRule="exact"/>
        <w:rPr>
          <w:sz w:val="20"/>
          <w:szCs w:val="20"/>
          <w:color w:val="auto"/>
        </w:rPr>
      </w:pPr>
    </w:p>
    <w:p>
      <w:pPr>
        <w:jc w:val="both"/>
        <w:ind w:right="20" w:firstLine="255"/>
        <w:spacing w:after="0" w:line="257" w:lineRule="auto"/>
        <w:rPr>
          <w:sz w:val="20"/>
          <w:szCs w:val="20"/>
          <w:color w:val="auto"/>
        </w:rPr>
      </w:pPr>
      <w:r>
        <w:rPr>
          <w:rFonts w:ascii="Arial" w:cs="Arial" w:eastAsia="Arial" w:hAnsi="Arial"/>
          <w:sz w:val="16"/>
          <w:szCs w:val="16"/>
          <w:color w:val="auto"/>
        </w:rPr>
        <w:t>Certain premises under the lease are accounted for as operating leases. However, for Buildings A, B, and C that we are leasing, we are deemed, in substance, to be the owner of the landlord’s buildings in accordance with the application of FASB authoritative guidance. As a result, we capitalized the landlord’s costs of constructing these new facilities and recognized a corresponding facility lease obligation. We also recognized, as additional facility lease obligation, reimbursements from our landlord for tenant improvement costs that we incurred since, under FASB authoritative guidance, such payments that we receive from our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w:t>
      </w:r>
    </w:p>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5"/>
          <w:szCs w:val="15"/>
          <w:color w:val="auto"/>
        </w:rPr>
        <w:t>As of December 31, 2010, we had capitalized the landlord’s costs of constructing Buildings A and B, which totaled $58.4 million, and of constructing Building C, which totaled $27.8 million. Reimbursements from our landlord for Buildings A and B tenant improvement costs totaled $56.9 million and were received by us during 2010 and 2009. Reimbursements for Building C tenant improvement costs totaled $14.2 million and were received by us during 2010. With respect to Buildings A and B, monthly lease payments commenced in August 2009, the buildings were placed in service by us in September 2009, and the imputed interest rate applicable to our facility lease obligation is approximately 11%. With respect to Building C, monthly lease payments commenced in January 2011, the building was placed in service by us in February 2011, and the imputed interest rate applicable to our facility lease obligation is approximately 9%. At December 31, 2011 and 2010, the Buildings A and B facility lease obligation balance was $113.0 million and $113.7 million, respectively, and the Building C facility lease obligation balance was $47.5 million and $46.4 million,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71" w:name="page72"/>
    <w:bookmarkEnd w:id="71"/>
    <w:p>
      <w:pPr>
        <w:ind w:left="3"/>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229" w:lineRule="exact"/>
        <w:rPr>
          <w:sz w:val="20"/>
          <w:szCs w:val="20"/>
          <w:color w:val="auto"/>
        </w:rPr>
      </w:pPr>
    </w:p>
    <w:p>
      <w:pPr>
        <w:jc w:val="both"/>
        <w:ind w:left="3" w:firstLine="243"/>
        <w:spacing w:after="0" w:line="283" w:lineRule="auto"/>
        <w:rPr>
          <w:sz w:val="20"/>
          <w:szCs w:val="20"/>
          <w:color w:val="auto"/>
        </w:rPr>
      </w:pPr>
      <w:r>
        <w:rPr>
          <w:rFonts w:ascii="Arial" w:cs="Arial" w:eastAsia="Arial" w:hAnsi="Arial"/>
          <w:sz w:val="15"/>
          <w:szCs w:val="15"/>
          <w:color w:val="auto"/>
        </w:rPr>
        <w:t>Our cash expenditures for property, plant, and equipment totaled $57.2 million in 2011, $99.7 million in 2010, and $97.3 million in 2009. We received $47.5 million in 2010 and $23.6 million in 2009 from our landlord in connection with tenant improvement costs in Buildings A, B, and C in Tarrytown, as described above. In addition, in connection with the companies’ antibody collaboration, Sanofi funded $4.8 million in 2011, $22.9 million in 2010, and $0.5 million in 2009 of agreed-upon capital expenditures incurred by us to expand our manufacturing capacity at our Rensselaer facilities, of which $1.7 million was receivable at December 31, 2011.</w:t>
      </w:r>
    </w:p>
    <w:p>
      <w:pPr>
        <w:spacing w:after="0" w:line="182" w:lineRule="exact"/>
        <w:rPr>
          <w:sz w:val="20"/>
          <w:szCs w:val="20"/>
          <w:color w:val="auto"/>
        </w:rPr>
      </w:pPr>
    </w:p>
    <w:p>
      <w:pPr>
        <w:jc w:val="both"/>
        <w:ind w:left="3" w:right="20" w:firstLine="315"/>
        <w:spacing w:after="0" w:line="264" w:lineRule="auto"/>
        <w:rPr>
          <w:sz w:val="20"/>
          <w:szCs w:val="20"/>
          <w:color w:val="auto"/>
        </w:rPr>
      </w:pPr>
      <w:r>
        <w:rPr>
          <w:rFonts w:ascii="Arial" w:cs="Arial" w:eastAsia="Arial" w:hAnsi="Arial"/>
          <w:sz w:val="16"/>
          <w:szCs w:val="16"/>
          <w:color w:val="auto"/>
        </w:rPr>
        <w:t>We expect to incur capital expenditures of approximately $50 to $70 million in 2012, primarily in connection with tenant improvements at our leased Tarrytown facilities, capital improvements at our Rensselaer, New York manufacturing facilities, and purchases of equipment. We expect to be reimbursed for a small portion of these capital expenditures for our Rensselaer facilities by Sanofi, with the remaining amount to be funded by our existing capital resources.</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Offering of Convertible Senior Notes</w:t>
      </w:r>
    </w:p>
    <w:p>
      <w:pPr>
        <w:spacing w:after="0" w:line="229" w:lineRule="exact"/>
        <w:rPr>
          <w:sz w:val="20"/>
          <w:szCs w:val="20"/>
          <w:color w:val="auto"/>
        </w:rPr>
      </w:pPr>
    </w:p>
    <w:p>
      <w:pPr>
        <w:jc w:val="both"/>
        <w:ind w:left="3" w:right="20" w:firstLine="243"/>
        <w:spacing w:after="0" w:line="274" w:lineRule="auto"/>
        <w:rPr>
          <w:sz w:val="20"/>
          <w:szCs w:val="20"/>
          <w:color w:val="auto"/>
        </w:rPr>
      </w:pPr>
      <w:r>
        <w:rPr>
          <w:rFonts w:ascii="Arial" w:cs="Arial" w:eastAsia="Arial" w:hAnsi="Arial"/>
          <w:sz w:val="16"/>
          <w:szCs w:val="16"/>
          <w:color w:val="auto"/>
        </w:rPr>
        <w:t>In October 2011, we issued $400.0 million aggregate principal amount of 1.875% convertible senior notes in a private placement. The notes were offered by the initial purchaser only to qualified institutional buyers pursuant to Rule 144A under the Securities Act of 1933.</w:t>
      </w:r>
    </w:p>
    <w:p>
      <w:pPr>
        <w:spacing w:after="0" w:line="187" w:lineRule="exact"/>
        <w:rPr>
          <w:sz w:val="20"/>
          <w:szCs w:val="20"/>
          <w:color w:val="auto"/>
        </w:rPr>
      </w:pPr>
    </w:p>
    <w:p>
      <w:pPr>
        <w:jc w:val="both"/>
        <w:ind w:left="3" w:firstLine="267"/>
        <w:spacing w:after="0" w:line="290" w:lineRule="auto"/>
        <w:rPr>
          <w:sz w:val="20"/>
          <w:szCs w:val="20"/>
          <w:color w:val="auto"/>
        </w:rPr>
      </w:pPr>
      <w:r>
        <w:rPr>
          <w:rFonts w:ascii="Arial" w:cs="Arial" w:eastAsia="Arial" w:hAnsi="Arial"/>
          <w:sz w:val="14"/>
          <w:szCs w:val="14"/>
          <w:color w:val="auto"/>
        </w:rPr>
        <w:t>The notes will pay interest semi-annually on April 1 and October 1, beginning April 1, 2012, and will mature on October 1, 2016, unless earlier converted or repurchased. The notes will be convertible, subject to certain conditions, into cash, shares of our Common Stock, or a combination of cash and shares of Common Stock, at our option. The initial conversion rate for the notes will be 11.9021 shares of Common Stock (subject to adjustment in certain circumstances) per $1,000 principal amount of the notes, which is equal to an initial conversion price of approximately $84.02 per share. A holder of the notes may surrender their notes at their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our Common Stock and the conversion rate on each such trading day;</w:t>
      </w:r>
    </w:p>
    <w:p>
      <w:pPr>
        <w:spacing w:after="0" w:line="3" w:lineRule="exact"/>
        <w:rPr>
          <w:sz w:val="20"/>
          <w:szCs w:val="20"/>
          <w:color w:val="auto"/>
        </w:rPr>
      </w:pPr>
    </w:p>
    <w:p>
      <w:pPr>
        <w:jc w:val="both"/>
        <w:ind w:left="3" w:right="20" w:hanging="3"/>
        <w:spacing w:after="0" w:line="274" w:lineRule="auto"/>
        <w:tabs>
          <w:tab w:leader="none" w:pos="279"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elect to issue to all or substantially all holders of our Common Stock any rights, options, or warrants (other than pursuant to a rights plan) entitling them for a period of not more than 60 calendar days after the record date for such issuance, to subscribe for or purchase shares of our Common Stock, at a price per share less than the average of the last reported sales prices of our Common Stock for the ten consecutive day period ending on, and including, the trading day immediately preceding the declaration date for such issuance; (iv) upon specified distributions to our shareholders; or (v) upon the occurrence of specified corporate transactions, such as a fundamental change (i.e., a change in control), or our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us to purchase from them all or a portion of their notes for 100% of the principal value plus any accrued and unpaid interest.</w:t>
      </w:r>
    </w:p>
    <w:p>
      <w:pPr>
        <w:spacing w:after="0" w:line="188" w:lineRule="exact"/>
        <w:rPr>
          <w:sz w:val="20"/>
          <w:szCs w:val="20"/>
          <w:color w:val="auto"/>
        </w:rPr>
      </w:pPr>
    </w:p>
    <w:p>
      <w:pPr>
        <w:jc w:val="both"/>
        <w:ind w:left="3" w:firstLine="328"/>
        <w:spacing w:after="0" w:line="280" w:lineRule="auto"/>
        <w:rPr>
          <w:sz w:val="20"/>
          <w:szCs w:val="20"/>
          <w:color w:val="auto"/>
        </w:rPr>
      </w:pPr>
      <w:r>
        <w:rPr>
          <w:rFonts w:ascii="Arial" w:cs="Arial" w:eastAsia="Arial" w:hAnsi="Arial"/>
          <w:sz w:val="15"/>
          <w:szCs w:val="15"/>
          <w:color w:val="auto"/>
        </w:rPr>
        <w:t>In connection with the offering of the convertible senior notes, we entered into convertible note hedge (call option) and warrant transactions with multiple counterparties, including an affiliate of the initial purchaser. The convertible note hedge transactions cover, subject to customary anti-dilution adjustments, the number of shares of our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warrant transactions have an initial strike price of approximately $103.41 per share, and may be settled in cash or shares of our Common Stock, at our option. The warrants expire at various dates during 2017.</w:t>
      </w:r>
    </w:p>
    <w:p>
      <w:pPr>
        <w:spacing w:after="0" w:line="15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28091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43" w:right="219" w:bottom="1440" w:gutter="0" w:footer="0" w:header="0"/>
        </w:sectPr>
      </w:pPr>
    </w:p>
    <w:bookmarkStart w:id="72" w:name="page73"/>
    <w:bookmarkEnd w:id="72"/>
    <w:p>
      <w:pPr>
        <w:jc w:val="both"/>
        <w:ind w:right="20" w:firstLine="243"/>
        <w:spacing w:after="0" w:line="264" w:lineRule="auto"/>
        <w:rPr>
          <w:sz w:val="20"/>
          <w:szCs w:val="20"/>
          <w:color w:val="auto"/>
        </w:rPr>
      </w:pPr>
      <w:r>
        <w:rPr>
          <w:rFonts w:ascii="Arial" w:cs="Arial" w:eastAsia="Arial" w:hAnsi="Arial"/>
          <w:sz w:val="16"/>
          <w:szCs w:val="16"/>
          <w:color w:val="auto"/>
        </w:rPr>
        <w:t>The net proceeds from the convertible senior notes offering were $391.1 million after deducting the initial purchaser's discount and issuance costs. In addition, the net cost of the convertible note hedge transactions, after taking into account the proceeds received by us from the warrant transactions, was $23.7 million. We intend to use the remaining net proceeds from the issuance of the notes for general corporate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229" w:lineRule="exact"/>
        <w:rPr>
          <w:sz w:val="20"/>
          <w:szCs w:val="20"/>
          <w:color w:val="auto"/>
        </w:rPr>
      </w:pPr>
    </w:p>
    <w:p>
      <w:pPr>
        <w:jc w:val="both"/>
        <w:ind w:right="20" w:firstLine="303"/>
        <w:spacing w:after="0" w:line="247" w:lineRule="auto"/>
        <w:rPr>
          <w:sz w:val="20"/>
          <w:szCs w:val="20"/>
          <w:color w:val="auto"/>
        </w:rPr>
      </w:pPr>
      <w:r>
        <w:rPr>
          <w:rFonts w:ascii="Arial" w:cs="Arial" w:eastAsia="Arial" w:hAnsi="Arial"/>
          <w:sz w:val="14"/>
          <w:szCs w:val="14"/>
          <w:color w:val="auto"/>
        </w:rPr>
        <w:t>We expect to continue to incur substantial funding requirements for our research and development activities (including preclinical and clinical testing). As described above, research and development expenses that we incur in connection with our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antibodies collaborations are generally funded by Sanofi. In addition, as described above,</w:t>
      </w:r>
    </w:p>
    <w:p>
      <w:pPr>
        <w:jc w:val="both"/>
        <w:spacing w:after="0" w:line="250" w:lineRule="auto"/>
        <w:rPr>
          <w:sz w:val="20"/>
          <w:szCs w:val="20"/>
          <w:color w:val="auto"/>
        </w:rPr>
      </w:pPr>
      <w:r>
        <w:rPr>
          <w:rFonts w:ascii="Arial" w:cs="Arial" w:eastAsia="Arial" w:hAnsi="Arial"/>
          <w:sz w:val="14"/>
          <w:szCs w:val="14"/>
          <w:color w:val="auto"/>
        </w:rPr>
        <w:t>we and Bayer HealthCare share agreed-upon development expenses that both companies incur in connection with our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 After taking into account anticipated reimbursements from our collaborators, we currently estimate that approximately 40-50% of our funding requirements for 2012 will be directed toward technology development, basic research and early preclinical activities, and the preclinical and clinical development of our product candidates. For 2012, we also currently estimate that approximately 20-</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25% of our funding requirements will be directed toward the planned commercialization of new indications for our marketed products and ZALTRAP</w:t>
      </w:r>
      <w:r>
        <w:rPr>
          <w:rFonts w:ascii="Arial" w:cs="Arial" w:eastAsia="Arial" w:hAnsi="Arial"/>
          <w:sz w:val="23"/>
          <w:szCs w:val="23"/>
          <w:color w:val="auto"/>
          <w:vertAlign w:val="superscript"/>
        </w:rPr>
        <w:t>®</w:t>
      </w:r>
      <w:r>
        <w:rPr>
          <w:rFonts w:ascii="Arial" w:cs="Arial" w:eastAsia="Arial" w:hAnsi="Arial"/>
          <w:sz w:val="14"/>
          <w:szCs w:val="14"/>
          <w:color w:val="auto"/>
        </w:rPr>
        <w:t>; approximately 15-20% of our funding requirements will be applied to capital expenditures (as described above); and the remainder of our funding requirements will be used for general corporate purposes.</w:t>
      </w:r>
    </w:p>
    <w:p>
      <w:pPr>
        <w:spacing w:after="0" w:line="213" w:lineRule="exact"/>
        <w:rPr>
          <w:sz w:val="20"/>
          <w:szCs w:val="20"/>
          <w:color w:val="auto"/>
        </w:rPr>
      </w:pPr>
    </w:p>
    <w:p>
      <w:pPr>
        <w:jc w:val="both"/>
        <w:ind w:right="20" w:firstLine="255"/>
        <w:spacing w:after="0" w:line="274"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2011. These obligations and commitments assume non-termination of agreements and represent expected payments based on current operating forecasts, which are subject to change: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8"/>
              </w:rPr>
              <w:t>Payments Due by Period</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Less than</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w w:val="90"/>
              </w:rPr>
              <w:t>Greater than</w:t>
            </w:r>
          </w:p>
        </w:tc>
        <w:tc>
          <w:tcPr>
            <w:tcW w:w="20" w:type="dxa"/>
            <w:vAlign w:val="bottom"/>
          </w:tcPr>
          <w:p>
            <w:pPr>
              <w:spacing w:after="0"/>
              <w:rPr>
                <w:sz w:val="17"/>
                <w:szCs w:val="17"/>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6"/>
                <w:szCs w:val="16"/>
                <w:b w:val="1"/>
                <w:bCs w:val="1"/>
                <w:color w:val="auto"/>
                <w:w w:val="99"/>
              </w:rPr>
              <w:t>Total</w:t>
            </w: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one year</w:t>
            </w:r>
          </w:p>
        </w:tc>
        <w:tc>
          <w:tcPr>
            <w:tcW w:w="24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rPr>
              <w:t>1 to 3 years</w:t>
            </w: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3 to 5 years</w:t>
            </w:r>
          </w:p>
        </w:tc>
        <w:tc>
          <w:tcPr>
            <w:tcW w:w="14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b w:val="1"/>
                <w:bCs w:val="1"/>
                <w:color w:val="auto"/>
              </w:rPr>
              <w:t>5 years</w:t>
            </w:r>
          </w:p>
        </w:tc>
      </w:tr>
      <w:tr>
        <w:trPr>
          <w:trHeight w:val="20"/>
        </w:trPr>
        <w:tc>
          <w:tcPr>
            <w:tcW w:w="66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6680" w:type="dxa"/>
            <w:vAlign w:val="bottom"/>
            <w:shd w:val="clear" w:color="auto" w:fill="C0C0C0"/>
          </w:tcPr>
          <w:p>
            <w:pPr>
              <w:spacing w:after="0"/>
              <w:rPr>
                <w:sz w:val="20"/>
                <w:szCs w:val="20"/>
                <w:color w:val="auto"/>
              </w:rPr>
            </w:pPr>
            <w:r>
              <w:rPr>
                <w:rFonts w:ascii="Arial" w:cs="Arial" w:eastAsia="Arial" w:hAnsi="Arial"/>
                <w:sz w:val="16"/>
                <w:szCs w:val="16"/>
                <w:color w:val="auto"/>
              </w:rPr>
              <w:t>Convertible senior notes (1)</w:t>
            </w:r>
          </w:p>
        </w:tc>
        <w:tc>
          <w:tcPr>
            <w:tcW w:w="24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w w:val="86"/>
              </w:rPr>
              <w:t>$ 437.0</w:t>
            </w:r>
          </w:p>
        </w:tc>
        <w:tc>
          <w:tcPr>
            <w:tcW w:w="20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414.9</w:t>
            </w: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920" w:type="dxa"/>
            <w:vAlign w:val="bottom"/>
            <w:gridSpan w:val="2"/>
          </w:tcPr>
          <w:p>
            <w:pPr>
              <w:spacing w:after="0"/>
              <w:rPr>
                <w:sz w:val="20"/>
                <w:szCs w:val="20"/>
                <w:color w:val="auto"/>
              </w:rPr>
            </w:pPr>
            <w:r>
              <w:rPr>
                <w:rFonts w:ascii="Arial" w:cs="Arial" w:eastAsia="Arial" w:hAnsi="Arial"/>
                <w:sz w:val="16"/>
                <w:szCs w:val="16"/>
                <w:color w:val="auto"/>
              </w:rPr>
              <w:t>Operating leases (2)</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97.2</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15.0</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59.6</w:t>
            </w:r>
          </w:p>
        </w:tc>
        <w:tc>
          <w:tcPr>
            <w:tcW w:w="20" w:type="dxa"/>
            <w:vAlign w:val="bottom"/>
          </w:tcPr>
          <w:p>
            <w:pPr>
              <w:spacing w:after="0"/>
              <w:rPr>
                <w:sz w:val="18"/>
                <w:szCs w:val="18"/>
                <w:color w:val="auto"/>
              </w:rPr>
            </w:pPr>
          </w:p>
        </w:tc>
      </w:tr>
      <w:tr>
        <w:trPr>
          <w:trHeight w:val="226"/>
        </w:trPr>
        <w:tc>
          <w:tcPr>
            <w:tcW w:w="69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Capital leases</w:t>
            </w:r>
          </w:p>
        </w:tc>
        <w:tc>
          <w:tcPr>
            <w:tcW w:w="72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0C0C0"/>
          </w:tcPr>
          <w:p>
            <w:pPr>
              <w:spacing w:after="0"/>
              <w:rPr>
                <w:sz w:val="19"/>
                <w:szCs w:val="19"/>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6920" w:type="dxa"/>
            <w:vAlign w:val="bottom"/>
            <w:gridSpan w:val="2"/>
          </w:tcPr>
          <w:p>
            <w:pPr>
              <w:spacing w:after="0"/>
              <w:rPr>
                <w:sz w:val="20"/>
                <w:szCs w:val="20"/>
                <w:color w:val="auto"/>
              </w:rPr>
            </w:pPr>
            <w:r>
              <w:rPr>
                <w:rFonts w:ascii="Arial" w:cs="Arial" w:eastAsia="Arial" w:hAnsi="Arial"/>
                <w:sz w:val="16"/>
                <w:szCs w:val="16"/>
                <w:color w:val="auto"/>
              </w:rPr>
              <w:t>Purchase obligations (3)</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148.0</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49.3</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692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Other long-term liabilities (4)</w:t>
            </w:r>
          </w:p>
        </w:tc>
        <w:tc>
          <w:tcPr>
            <w:tcW w:w="72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240.7</w:t>
            </w:r>
          </w:p>
        </w:tc>
        <w:tc>
          <w:tcPr>
            <w:tcW w:w="20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0C0C0"/>
          </w:tcPr>
          <w:p>
            <w:pPr>
              <w:spacing w:after="0"/>
              <w:rPr>
                <w:sz w:val="18"/>
                <w:szCs w:val="18"/>
                <w:color w:val="auto"/>
              </w:rPr>
            </w:pPr>
          </w:p>
        </w:tc>
        <w:tc>
          <w:tcPr>
            <w:tcW w:w="8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35.3</w:t>
            </w:r>
          </w:p>
        </w:tc>
        <w:tc>
          <w:tcPr>
            <w:tcW w:w="260" w:type="dxa"/>
            <w:vAlign w:val="bottom"/>
            <w:shd w:val="clear" w:color="auto" w:fill="C0C0C0"/>
          </w:tcPr>
          <w:p>
            <w:pPr>
              <w:spacing w:after="0"/>
              <w:rPr>
                <w:sz w:val="18"/>
                <w:szCs w:val="18"/>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36.8</w:t>
            </w: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152.9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6"/>
                <w:szCs w:val="16"/>
                <w:color w:val="auto"/>
              </w:rPr>
              <w:t>Total contractual obligations</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86"/>
              </w:rPr>
              <w:t>$ 925.4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115.9</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474.0</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212.5</w:t>
            </w:r>
          </w:p>
        </w:tc>
        <w:tc>
          <w:tcPr>
            <w:tcW w:w="20" w:type="dxa"/>
            <w:vAlign w:val="bottom"/>
          </w:tcPr>
          <w:p>
            <w:pPr>
              <w:spacing w:after="0"/>
              <w:rPr>
                <w:sz w:val="19"/>
                <w:szCs w:val="19"/>
                <w:color w:val="auto"/>
              </w:rPr>
            </w:pPr>
          </w:p>
        </w:tc>
      </w:tr>
      <w:tr>
        <w:trPr>
          <w:trHeight w:val="228"/>
        </w:trPr>
        <w:tc>
          <w:tcPr>
            <w:tcW w:w="6680" w:type="dxa"/>
            <w:vAlign w:val="bottom"/>
          </w:tcPr>
          <w:p>
            <w:pPr>
              <w:spacing w:after="0"/>
              <w:rPr>
                <w:sz w:val="20"/>
                <w:szCs w:val="20"/>
                <w:color w:val="auto"/>
              </w:rPr>
            </w:pPr>
            <w:r>
              <w:rPr>
                <w:rFonts w:ascii="Arial" w:cs="Arial" w:eastAsia="Arial" w:hAnsi="Arial"/>
                <w:sz w:val="19"/>
                <w:szCs w:val="19"/>
                <w:color w:val="auto"/>
              </w:rPr>
              <w:t>____________________</w:t>
            </w: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jc w:val="both"/>
        <w:ind w:left="680" w:right="20" w:hanging="440"/>
        <w:spacing w:after="0" w:line="255"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$400.0 million aggregate principal amount of 1.875% convertible senior notes that mature on October 1, 2016, unless earlier converted or repurchased. The amounts in the table above assume the payment of interest on our convertible senior notes through their maturity date and the payment of the principal amount of the notes at their maturity date. Interest on the notes is payable semi-annually. The convertible senior notes will be convertible, subject to certain conditions, into cash, shares of our Common Stock, or a combination of cash and shares of Common Stock, at our option.</w:t>
      </w:r>
    </w:p>
    <w:p>
      <w:pPr>
        <w:spacing w:after="0" w:line="1" w:lineRule="exact"/>
        <w:rPr>
          <w:rFonts w:ascii="Arial" w:cs="Arial" w:eastAsia="Arial" w:hAnsi="Arial"/>
          <w:sz w:val="16"/>
          <w:szCs w:val="16"/>
          <w:color w:val="auto"/>
        </w:rPr>
      </w:pPr>
    </w:p>
    <w:p>
      <w:pPr>
        <w:ind w:left="680" w:hanging="440"/>
        <w:spacing w:after="0"/>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future contingent costs for utilities, real estate taxes, and operating expenses. In 2011, these costs were $9.3 million. See Note 12(a) to our Financial Statements.</w:t>
      </w:r>
    </w:p>
    <w:p>
      <w:pPr>
        <w:spacing w:after="0" w:line="33" w:lineRule="exact"/>
        <w:rPr>
          <w:rFonts w:ascii="Arial" w:cs="Arial" w:eastAsia="Arial" w:hAnsi="Arial"/>
          <w:sz w:val="14"/>
          <w:szCs w:val="14"/>
          <w:color w:val="auto"/>
        </w:rPr>
      </w:pPr>
    </w:p>
    <w:p>
      <w:pPr>
        <w:jc w:val="both"/>
        <w:ind w:left="680" w:right="20" w:hanging="440"/>
        <w:spacing w:after="0" w:line="253"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ind w:left="680" w:right="20" w:hanging="440"/>
        <w:spacing w:after="0" w:line="266"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payments with respect to facility lease obligations in connection with our lease of facilities in Tarrytown, New York, as described above. See Note 12(a) to our Financial Statements.</w:t>
      </w:r>
    </w:p>
    <w:p>
      <w:pPr>
        <w:spacing w:after="0" w:line="17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4"/>
          <w:szCs w:val="14"/>
          <w:color w:val="auto"/>
        </w:rPr>
        <w:t>Under our collaboration with Bayer HealthCare, over the next several years we and Bayer HealthCare will share agreed-upon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development expenses incurred by both companies, under a global development plan, as described above. In addition, under our collaboration agreements with Sanofi and Bayer HealthCare, if the applicable collaboration becomes profitable, we have contingent contractual obligations to reimburse Sanofi and Bayer HealthCare for a defined percentage (generally 50%) of agreed-upon development expenses incurred by Sanofi and Bayer HealthCare, respectively. Profitability under each collaboration will be measured by calculating net sales less agreed-upon expenses. These</w:t>
      </w:r>
    </w:p>
    <w:p>
      <w:pPr>
        <w:jc w:val="both"/>
        <w:ind w:right="20"/>
        <w:spacing w:after="0" w:line="239" w:lineRule="auto"/>
        <w:rPr>
          <w:sz w:val="20"/>
          <w:szCs w:val="20"/>
          <w:color w:val="auto"/>
        </w:rPr>
      </w:pPr>
      <w:r>
        <w:rPr>
          <w:rFonts w:ascii="Arial" w:cs="Arial" w:eastAsia="Arial" w:hAnsi="Arial"/>
          <w:sz w:val="14"/>
          <w:szCs w:val="14"/>
          <w:color w:val="auto"/>
        </w:rPr>
        <w:t>reimbursements would be deducted from our share of the collaboration profits (and, for our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 with Sanofi, royalties on product sales in Japan) otherwise payable to us, unless, in some cases, we elect to reimburse these expenses at a faster rate. Given the uncertainties related to drug development (including the development of</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co-developed antibody candidates in collaboration with Sanofi and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 and Bayer HealthCare will become profitable.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73" w:name="page74"/>
    <w:bookmarkEnd w:id="73"/>
    <w:p>
      <w:pPr>
        <w:jc w:val="both"/>
        <w:ind w:firstLine="279"/>
        <w:spacing w:after="0" w:line="267" w:lineRule="auto"/>
        <w:rPr>
          <w:sz w:val="20"/>
          <w:szCs w:val="20"/>
          <w:color w:val="auto"/>
        </w:rPr>
      </w:pPr>
      <w:r>
        <w:rPr>
          <w:rFonts w:ascii="Arial" w:cs="Arial" w:eastAsia="Arial" w:hAnsi="Arial"/>
          <w:sz w:val="14"/>
          <w:szCs w:val="14"/>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new indications for our marketed products or our late-stage product candidates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product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and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CAPS. In the future, if we are able to successfully develop, market, and sell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w:t>
      </w:r>
    </w:p>
    <w:p>
      <w:pPr>
        <w:spacing w:after="0" w:line="1"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other indications, or certain of our product candidates, we may be required to pay royalties or share the profits from such sales pursuant to our license or collaboration agreements.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208" w:lineRule="exact"/>
        <w:rPr>
          <w:sz w:val="20"/>
          <w:szCs w:val="20"/>
          <w:color w:val="auto"/>
        </w:rPr>
      </w:pPr>
    </w:p>
    <w:p>
      <w:pPr>
        <w:jc w:val="both"/>
        <w:ind w:right="20" w:firstLine="340"/>
        <w:spacing w:after="0" w:line="277" w:lineRule="auto"/>
        <w:rPr>
          <w:sz w:val="20"/>
          <w:szCs w:val="20"/>
          <w:color w:val="auto"/>
        </w:rPr>
      </w:pPr>
      <w:r>
        <w:rPr>
          <w:rFonts w:ascii="Arial" w:cs="Arial" w:eastAsia="Arial" w:hAnsi="Arial"/>
          <w:sz w:val="14"/>
          <w:szCs w:val="14"/>
          <w:color w:val="auto"/>
        </w:rPr>
        <w:t>We believe that our existing capital resources, together with funds generated by anticipated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net product sales and funding we are entitled to receive under our collaboration agreements, will enable us to meet our projected operating needs. However, this is a forward-looking statement based on our current operating plan, and there may be a change in projected revenues or expenses that would lead to our capital being consumed significantly before such time. For example, in connection with preparing to commercialize and launch potential products that are not licensed to a third party, we could incur substantial pre-marketing and commercialization expenses that could lead us to consume our cash at a faster rate. If there is insufficient capital to fund all of our planned operations and activities, we anticipate that we would (i) seek sources of additional capital through collaborative arrangements and/or additional public or private financing, including debt and equity financing and/or (ii) prioritize available capital to fund selected preclinical and clinical development programs and/or preparations for the potential commercialization of our late-stage product candidates, or license selected products.</w:t>
      </w:r>
    </w:p>
    <w:p>
      <w:pPr>
        <w:spacing w:after="0" w:line="191" w:lineRule="exact"/>
        <w:rPr>
          <w:sz w:val="20"/>
          <w:szCs w:val="20"/>
          <w:color w:val="auto"/>
        </w:rPr>
      </w:pPr>
    </w:p>
    <w:p>
      <w:pPr>
        <w:jc w:val="both"/>
        <w:ind w:firstLine="340"/>
        <w:spacing w:after="0" w:line="296" w:lineRule="auto"/>
        <w:rPr>
          <w:sz w:val="20"/>
          <w:szCs w:val="20"/>
          <w:color w:val="auto"/>
        </w:rPr>
      </w:pPr>
      <w:r>
        <w:rPr>
          <w:rFonts w:ascii="Arial" w:cs="Arial" w:eastAsia="Arial" w:hAnsi="Arial"/>
          <w:sz w:val="14"/>
          <w:szCs w:val="14"/>
          <w:color w:val="auto"/>
        </w:rPr>
        <w:t>Other than letters of credits totaling $4.2 million, including the $3.4 million letter of credit issued in connection with our lease for facilities in Tarrytown, New York, as described above, we have no off-balance sheet arrangements. In addition, we do not guarantee the obligations of any other entity. As of December 31, 2011, we had no other established banking arrangements through which we could obtain short-term financing or a line of credit. In October 2011, we completed a private placement of convertible senior notes, as described above. In addition, in October 2010, we filed a shelf registration statement on Form S-3 registering the sale, in one or more offerings, of an indeterminate amount of equity or debt securities, together or separately, and our October 2010 public offering of approximately 6.3 million shares of Common Stock was completed under this shelf registration statement. There is no assurance, however,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Future Impact of Recently Issued Accounting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Fees paid to the federal government by pharmaceutical manufacturers</w:t>
      </w:r>
    </w:p>
    <w:p>
      <w:pPr>
        <w:spacing w:after="0" w:line="229" w:lineRule="exact"/>
        <w:rPr>
          <w:sz w:val="20"/>
          <w:szCs w:val="20"/>
          <w:color w:val="auto"/>
        </w:rPr>
      </w:pPr>
    </w:p>
    <w:p>
      <w:pPr>
        <w:jc w:val="both"/>
        <w:ind w:right="20" w:firstLine="340"/>
        <w:spacing w:after="0" w:line="265" w:lineRule="auto"/>
        <w:rPr>
          <w:sz w:val="20"/>
          <w:szCs w:val="20"/>
          <w:color w:val="auto"/>
        </w:rPr>
      </w:pPr>
      <w:r>
        <w:rPr>
          <w:rFonts w:ascii="Arial" w:cs="Arial" w:eastAsia="Arial" w:hAnsi="Arial"/>
          <w:sz w:val="14"/>
          <w:szCs w:val="14"/>
          <w:color w:val="auto"/>
        </w:rPr>
        <w:t>In December 2010, the FASB provided authoritative guidance on how pharmaceutical manufacturers should recognize and classify in their income statement annual fees mandated by the Patient Protection and Affordable Care Act as amended by the Health Care and Education Reconciliation Act. This guidance became effective for calendar years beginning after December 31, 2010. The adoption of this guidance did not have an impact on our financial statements for the year ended December 31, 2011, and we do not anticipate that this guidance will have a material impact on our financial statements for the year ended December 31, 2012, since (i)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CAPS, has</w:t>
      </w:r>
    </w:p>
    <w:p>
      <w:pPr>
        <w:spacing w:after="0" w:line="1" w:lineRule="exact"/>
        <w:rPr>
          <w:sz w:val="20"/>
          <w:szCs w:val="20"/>
          <w:color w:val="auto"/>
        </w:rPr>
      </w:pPr>
    </w:p>
    <w:p>
      <w:pPr>
        <w:jc w:val="both"/>
        <w:ind w:right="20"/>
        <w:spacing w:after="0" w:line="207" w:lineRule="auto"/>
        <w:rPr>
          <w:sz w:val="20"/>
          <w:szCs w:val="20"/>
          <w:color w:val="auto"/>
        </w:rPr>
      </w:pPr>
      <w:r>
        <w:rPr>
          <w:rFonts w:ascii="Arial" w:cs="Arial" w:eastAsia="Arial" w:hAnsi="Arial"/>
          <w:sz w:val="16"/>
          <w:szCs w:val="16"/>
          <w:color w:val="auto"/>
        </w:rPr>
        <w:t>been approved as an orphan drug and orphan drugs are not subject to this annual fee and (ii)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received regulatory approval from the FDA, and was launched, in November 2011.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Presentation of comprehensive income</w:t>
      </w:r>
    </w:p>
    <w:p>
      <w:pPr>
        <w:spacing w:after="0" w:line="229"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5"/>
          <w:szCs w:val="15"/>
          <w:color w:val="auto"/>
        </w:rPr>
        <w:t>In June 2011, the FASB amended its authoritative guidance on the presentation of comprehensive income. Under the amendment, an entity will have the option to present the total of comprehensive income, the components of net income, and the components of other comprehensive income either in a single continuous statement of comprehensive income or in two separate but consecutive statements. This amendment, therefore, eliminates the currently available option to present the components of other comprehensive income as part of the statement of changes in stockholders' equity. The amendment does not change the items that must be reported in other comprehensive income or when an item of other comprehensive income must be reclassified to net income. We will adopt this amended guidance for the fiscal year beginning January 1, 2012. As this guidance relates to presentation only, the adoption of this guidance will not have any other effect on our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29" w:lineRule="exact"/>
        <w:rPr>
          <w:sz w:val="20"/>
          <w:szCs w:val="20"/>
          <w:color w:val="auto"/>
        </w:rPr>
      </w:pPr>
    </w:p>
    <w:p>
      <w:pPr>
        <w:jc w:val="both"/>
        <w:ind w:right="20" w:firstLine="279"/>
        <w:spacing w:after="0" w:line="301" w:lineRule="auto"/>
        <w:rPr>
          <w:sz w:val="20"/>
          <w:szCs w:val="20"/>
          <w:color w:val="auto"/>
        </w:rPr>
      </w:pPr>
      <w:r>
        <w:rPr>
          <w:rFonts w:ascii="Arial" w:cs="Arial" w:eastAsia="Arial" w:hAnsi="Arial"/>
          <w:sz w:val="14"/>
          <w:szCs w:val="14"/>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$1.4 million and $5.9 million decrease in the fair value of our unrestricted investment portfolio at December 31, 2011 and 2010, respectively. The decrease in interest rate risk year over year is due primarily to lower balances of marketable debt securities with maturities in excess of one year that we held at December 31, 2011 compared to 2010.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Quality Risk</w:t>
      </w:r>
    </w:p>
    <w:p>
      <w:pPr>
        <w:spacing w:after="0" w:line="229" w:lineRule="exact"/>
        <w:rPr>
          <w:sz w:val="20"/>
          <w:szCs w:val="20"/>
          <w:color w:val="auto"/>
        </w:rPr>
      </w:pPr>
    </w:p>
    <w:p>
      <w:pPr>
        <w:jc w:val="both"/>
        <w:ind w:right="20" w:firstLine="267"/>
        <w:spacing w:after="0" w:line="260"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$0.1 million in 2010 and 2009. During 2011, we did not recognize any other-than-temporary impairment charges.</w:t>
      </w:r>
    </w:p>
    <w:p>
      <w:pPr>
        <w:spacing w:after="0" w:line="177" w:lineRule="exact"/>
        <w:rPr>
          <w:sz w:val="20"/>
          <w:szCs w:val="20"/>
          <w:color w:val="auto"/>
        </w:rPr>
      </w:pPr>
    </w:p>
    <w:p>
      <w:pPr>
        <w:jc w:val="both"/>
        <w:ind w:right="20" w:firstLine="267"/>
        <w:spacing w:after="0" w:line="244" w:lineRule="auto"/>
        <w:rPr>
          <w:sz w:val="20"/>
          <w:szCs w:val="20"/>
          <w:color w:val="auto"/>
        </w:rPr>
      </w:pPr>
      <w:r>
        <w:rPr>
          <w:rFonts w:ascii="Arial" w:cs="Arial" w:eastAsia="Arial" w:hAnsi="Arial"/>
          <w:sz w:val="15"/>
          <w:szCs w:val="15"/>
          <w:color w:val="auto"/>
        </w:rPr>
        <w:t>We are also subject to credit risk in connection with accounts receivable from our product sales of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ARCALYST</w:t>
      </w:r>
      <w:r>
        <w:rPr>
          <w:rFonts w:ascii="Arial" w:cs="Arial" w:eastAsia="Arial" w:hAnsi="Arial"/>
          <w:sz w:val="25"/>
          <w:szCs w:val="25"/>
          <w:color w:val="auto"/>
          <w:vertAlign w:val="superscript"/>
        </w:rPr>
        <w:t>®</w:t>
      </w:r>
      <w:r>
        <w:rPr>
          <w:rFonts w:ascii="Arial" w:cs="Arial" w:eastAsia="Arial" w:hAnsi="Arial"/>
          <w:sz w:val="15"/>
          <w:szCs w:val="15"/>
          <w:color w:val="auto"/>
        </w:rPr>
        <w:t>. Our marketed products are sold in the United States, and related accounts receivable are due from three distributors and several specialty pharmacies, who are our customers. We have contractual payment terms with each of our customers. We monitor our customers’ financial performance and credit worthiness so that we can properly assess and respond to any changes in their credit profile. During 2011, 2010, and 2009 we did not recognize any charges for write-offs of accounts receivable related to our marketed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33" w:lineRule="exact"/>
        <w:rPr>
          <w:sz w:val="20"/>
          <w:szCs w:val="20"/>
          <w:color w:val="auto"/>
        </w:rPr>
      </w:pPr>
    </w:p>
    <w:p>
      <w:pPr>
        <w:jc w:val="both"/>
        <w:ind w:right="20" w:firstLine="255"/>
        <w:spacing w:after="0" w:line="274" w:lineRule="auto"/>
        <w:rPr>
          <w:sz w:val="20"/>
          <w:szCs w:val="20"/>
          <w:color w:val="auto"/>
        </w:rPr>
      </w:pPr>
      <w:r>
        <w:rPr>
          <w:rFonts w:ascii="Arial" w:cs="Arial" w:eastAsia="Arial" w:hAnsi="Arial"/>
          <w:sz w:val="16"/>
          <w:szCs w:val="16"/>
          <w:color w:val="auto"/>
        </w:rPr>
        <w:t>The financial statements required by this Item are included on pages F-1 through F-38 of this report. The supplementary financial information required by this Item is included at page F-38 of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2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5"/>
          <w:szCs w:val="15"/>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Report on Internal Control over Financial Reporting</w:t>
      </w:r>
    </w:p>
    <w:p>
      <w:pPr>
        <w:spacing w:after="0" w:line="229" w:lineRule="exact"/>
        <w:rPr>
          <w:sz w:val="20"/>
          <w:szCs w:val="20"/>
          <w:color w:val="auto"/>
        </w:rPr>
      </w:pPr>
    </w:p>
    <w:p>
      <w:pPr>
        <w:jc w:val="both"/>
        <w:ind w:right="20" w:firstLine="303"/>
        <w:spacing w:after="0" w:line="280" w:lineRule="auto"/>
        <w:rPr>
          <w:sz w:val="20"/>
          <w:szCs w:val="20"/>
          <w:color w:val="auto"/>
        </w:rPr>
      </w:pPr>
      <w:r>
        <w:rPr>
          <w:rFonts w:ascii="Arial" w:cs="Arial" w:eastAsia="Arial" w:hAnsi="Arial"/>
          <w:sz w:val="15"/>
          <w:szCs w:val="15"/>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w:t>
      </w:r>
      <w:r>
        <w:rPr>
          <w:rFonts w:ascii="Arial" w:cs="Arial" w:eastAsia="Arial" w:hAnsi="Arial"/>
          <w:sz w:val="15"/>
          <w:szCs w:val="15"/>
          <w:color w:val="auto"/>
        </w:rPr>
        <w:t>issued by the Committee of Sponsoring Organizations of the Treadway Commission. Based on that evaluation, our management has concluded that our</w:t>
      </w:r>
      <w:r>
        <w:rPr>
          <w:rFonts w:ascii="Arial" w:cs="Arial" w:eastAsia="Arial" w:hAnsi="Arial"/>
          <w:sz w:val="15"/>
          <w:szCs w:val="15"/>
          <w:i w:val="1"/>
          <w:iCs w:val="1"/>
          <w:color w:val="auto"/>
        </w:rPr>
        <w:t xml:space="preserve"> </w:t>
      </w:r>
      <w:r>
        <w:rPr>
          <w:rFonts w:ascii="Arial" w:cs="Arial" w:eastAsia="Arial" w:hAnsi="Arial"/>
          <w:sz w:val="15"/>
          <w:szCs w:val="15"/>
          <w:color w:val="auto"/>
        </w:rPr>
        <w:t>internal control over financial reporting was effective as of December 31, 2011. The effectiveness of our internal control over financial reporting as of December 31, 2011 has been audited by PricewaterhouseCoopers LLP, an independent registered public accounting firm, as stated in their report which appears herein.</w:t>
      </w:r>
    </w:p>
    <w:p>
      <w:pPr>
        <w:spacing w:after="0" w:line="183" w:lineRule="exact"/>
        <w:rPr>
          <w:sz w:val="20"/>
          <w:szCs w:val="20"/>
          <w:color w:val="auto"/>
        </w:rPr>
      </w:pPr>
    </w:p>
    <w:p>
      <w:pPr>
        <w:jc w:val="both"/>
        <w:ind w:firstLine="303"/>
        <w:spacing w:after="0" w:line="2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29" w:lineRule="exact"/>
        <w:rPr>
          <w:sz w:val="20"/>
          <w:szCs w:val="20"/>
          <w:color w:val="auto"/>
        </w:rPr>
      </w:pPr>
    </w:p>
    <w:p>
      <w:pPr>
        <w:jc w:val="both"/>
        <w:ind w:right="20" w:firstLine="267"/>
        <w:spacing w:after="0" w:line="274"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December 31, 2011 that has materially affected, or is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76" w:name="page77"/>
    <w:bookmarkEnd w:id="76"/>
    <w:p>
      <w:pPr>
        <w:jc w:val="both"/>
        <w:ind w:firstLine="255"/>
        <w:spacing w:after="0" w:line="304" w:lineRule="auto"/>
        <w:rPr>
          <w:sz w:val="20"/>
          <w:szCs w:val="20"/>
          <w:color w:val="auto"/>
        </w:rPr>
      </w:pPr>
      <w:r>
        <w:rPr>
          <w:rFonts w:ascii="Arial" w:cs="Arial" w:eastAsia="Arial" w:hAnsi="Arial"/>
          <w:sz w:val="14"/>
          <w:szCs w:val="14"/>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PART III</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33"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10) will be included in our definitive proxy statement with respect to our 2012 Annual Meeting of Shareholders to be filed with the SEC, and is incorporated herein by reference.</w:t>
      </w:r>
    </w:p>
    <w:p>
      <w:pPr>
        <w:spacing w:after="0" w:line="187"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The full text of our code of business conduct and ethics can be found on our website (http://www.regeneron.com) under the “Investors”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3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The information called for by this item will be included in our definitive proxy statement with respect to our 2012 Annual Meeting of Shareholders to be filed with the SEC, and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3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The information called for by this item will be included in our definitive proxy statement with respect to our 2012 Annual Meeting of Shareholders to be filed with the SEC, and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33"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6"/>
          <w:szCs w:val="16"/>
          <w:color w:val="auto"/>
        </w:rPr>
        <w:t>The information required by this item will be included in our definitive proxy statement with respect to our 2012 Annual Meeting of Shareholders to be filed with the SEC, and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3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The information called for by this item will be included in our definitive proxy statement with respect to our 2012 Annual Meeting of Shareholders to be filed with the SEC, and is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33" w:lineRule="exact"/>
        <w:rPr>
          <w:sz w:val="20"/>
          <w:szCs w:val="20"/>
          <w:color w:val="auto"/>
        </w:rPr>
      </w:pPr>
    </w:p>
    <w:p>
      <w:pPr>
        <w:ind w:left="460" w:hanging="220"/>
        <w:spacing w:after="0"/>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1. Financial Statements</w:t>
      </w:r>
    </w:p>
    <w:p>
      <w:pPr>
        <w:spacing w:after="0" w:line="204" w:lineRule="exact"/>
        <w:rPr>
          <w:rFonts w:ascii="Arial" w:cs="Arial" w:eastAsia="Arial" w:hAnsi="Arial"/>
          <w:sz w:val="16"/>
          <w:szCs w:val="16"/>
          <w:i w:val="1"/>
          <w:iCs w:val="1"/>
          <w:color w:val="auto"/>
        </w:rPr>
      </w:pPr>
    </w:p>
    <w:p>
      <w:pPr>
        <w:ind w:left="480"/>
        <w:spacing w:after="0"/>
        <w:rPr>
          <w:rFonts w:ascii="Arial" w:cs="Arial" w:eastAsia="Arial" w:hAnsi="Arial"/>
          <w:sz w:val="16"/>
          <w:szCs w:val="16"/>
          <w:i w:val="1"/>
          <w:iCs w:val="1"/>
          <w:color w:val="auto"/>
        </w:rPr>
      </w:pPr>
      <w:r>
        <w:rPr>
          <w:rFonts w:ascii="Arial" w:cs="Arial" w:eastAsia="Arial" w:hAnsi="Arial"/>
          <w:sz w:val="16"/>
          <w:szCs w:val="16"/>
          <w:color w:val="auto"/>
        </w:rPr>
        <w:t>The financial statements filed as part of this report are listed on the Index to Financial Statements on page F-1.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78" w:name="page79"/>
    <w:bookmarkEnd w:id="78"/>
    <w:p>
      <w:pPr>
        <w:ind w:left="480"/>
        <w:spacing w:after="0"/>
        <w:rPr>
          <w:sz w:val="20"/>
          <w:szCs w:val="20"/>
          <w:color w:val="auto"/>
        </w:rPr>
      </w:pPr>
      <w:r>
        <w:rPr>
          <w:rFonts w:ascii="Arial" w:cs="Arial" w:eastAsia="Arial" w:hAnsi="Arial"/>
          <w:sz w:val="16"/>
          <w:szCs w:val="16"/>
          <w:i w:val="1"/>
          <w:iCs w:val="1"/>
          <w:color w:val="auto"/>
        </w:rPr>
        <w:t>2. Financial Statement Schedules</w:t>
      </w:r>
    </w:p>
    <w:p>
      <w:pPr>
        <w:spacing w:after="0" w:line="204" w:lineRule="exact"/>
        <w:rPr>
          <w:sz w:val="20"/>
          <w:szCs w:val="20"/>
          <w:color w:val="auto"/>
        </w:rPr>
      </w:pPr>
    </w:p>
    <w:p>
      <w:pPr>
        <w:ind w:left="480" w:right="40"/>
        <w:spacing w:after="0" w:line="274" w:lineRule="auto"/>
        <w:rPr>
          <w:sz w:val="20"/>
          <w:szCs w:val="20"/>
          <w:color w:val="auto"/>
        </w:rPr>
      </w:pPr>
      <w:r>
        <w:rPr>
          <w:rFonts w:ascii="Arial" w:cs="Arial" w:eastAsia="Arial" w:hAnsi="Arial"/>
          <w:sz w:val="16"/>
          <w:szCs w:val="16"/>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3.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w w:val="86"/>
              </w:rPr>
              <w:t>Description</w:t>
            </w:r>
          </w:p>
        </w:tc>
        <w:tc>
          <w:tcPr>
            <w:tcW w:w="9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5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0C0C0"/>
          </w:tcPr>
          <w:p>
            <w:pPr>
              <w:spacing w:after="0"/>
              <w:rPr>
                <w:sz w:val="18"/>
                <w:szCs w:val="18"/>
                <w:color w:val="auto"/>
              </w:rPr>
            </w:pPr>
          </w:p>
        </w:tc>
        <w:tc>
          <w:tcPr>
            <w:tcW w:w="3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6"/>
                <w:szCs w:val="16"/>
                <w:color w:val="auto"/>
              </w:rPr>
              <w:t>(m)</w:t>
            </w:r>
          </w:p>
        </w:tc>
        <w:tc>
          <w:tcPr>
            <w:tcW w:w="420" w:type="dxa"/>
            <w:vAlign w:val="bottom"/>
            <w:tcBorders>
              <w:top w:val="single" w:sz="8" w:color="auto"/>
            </w:tcBorders>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8"/>
                <w:szCs w:val="18"/>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Restated Certificate of Incorporation.</w:t>
            </w:r>
          </w:p>
        </w:tc>
        <w:tc>
          <w:tcPr>
            <w:tcW w:w="20" w:type="dxa"/>
            <w:vAlign w:val="bottom"/>
          </w:tcPr>
          <w:p>
            <w:pPr>
              <w:spacing w:after="0"/>
              <w:rPr>
                <w:sz w:val="18"/>
                <w:szCs w:val="18"/>
                <w:color w:val="auto"/>
              </w:rPr>
            </w:pPr>
          </w:p>
        </w:tc>
      </w:tr>
      <w:tr>
        <w:trPr>
          <w:trHeight w:val="211"/>
        </w:trPr>
        <w:tc>
          <w:tcPr>
            <w:tcW w:w="560" w:type="dxa"/>
            <w:vAlign w:val="bottom"/>
          </w:tcPr>
          <w:p>
            <w:pPr>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(a)</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By-Laws, as amended.</w:t>
            </w:r>
          </w:p>
        </w:tc>
        <w:tc>
          <w:tcPr>
            <w:tcW w:w="20" w:type="dxa"/>
            <w:vAlign w:val="bottom"/>
          </w:tcPr>
          <w:p>
            <w:pPr>
              <w:spacing w:after="0"/>
              <w:rPr>
                <w:sz w:val="18"/>
                <w:szCs w:val="18"/>
                <w:color w:val="auto"/>
              </w:rPr>
            </w:pPr>
          </w:p>
        </w:tc>
      </w:tr>
      <w:tr>
        <w:trPr>
          <w:trHeight w:val="226"/>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(z)</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9"/>
                <w:szCs w:val="19"/>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8"/>
              </w:rPr>
              <w:t>Indenture, dated as of October 21, 2011, between Regeneron Pharmaceuticals, Inc. and Wells Fargo Bank, National Association, as Trustee.</w:t>
            </w:r>
          </w:p>
        </w:tc>
        <w:tc>
          <w:tcPr>
            <w:tcW w:w="20" w:type="dxa"/>
            <w:vAlign w:val="bottom"/>
          </w:tcPr>
          <w:p>
            <w:pPr>
              <w:spacing w:after="0"/>
              <w:rPr>
                <w:sz w:val="19"/>
                <w:szCs w:val="19"/>
                <w:color w:val="auto"/>
              </w:rPr>
            </w:pPr>
          </w:p>
        </w:tc>
      </w:tr>
      <w:tr>
        <w:trPr>
          <w:trHeight w:val="211"/>
        </w:trPr>
        <w:tc>
          <w:tcPr>
            <w:tcW w:w="560" w:type="dxa"/>
            <w:vAlign w:val="bottom"/>
          </w:tcPr>
          <w:p>
            <w:pPr>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(z)</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Form of 1.875% Convertible Senior Note due October 1, 2016.</w:t>
            </w:r>
          </w:p>
        </w:tc>
        <w:tc>
          <w:tcPr>
            <w:tcW w:w="20" w:type="dxa"/>
            <w:vAlign w:val="bottom"/>
          </w:tcPr>
          <w:p>
            <w:pPr>
              <w:spacing w:after="0"/>
              <w:rPr>
                <w:sz w:val="18"/>
                <w:szCs w:val="18"/>
                <w:color w:val="auto"/>
              </w:rPr>
            </w:pPr>
          </w:p>
        </w:tc>
      </w:tr>
      <w:tr>
        <w:trPr>
          <w:trHeight w:val="226"/>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10.1+</w:t>
            </w: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(y)</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9"/>
                <w:szCs w:val="19"/>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The Second Amended and Restated 2000 Long-Term Incentive Plan.</w:t>
            </w:r>
          </w:p>
        </w:tc>
        <w:tc>
          <w:tcPr>
            <w:tcW w:w="20" w:type="dxa"/>
            <w:vAlign w:val="bottom"/>
          </w:tcPr>
          <w:p>
            <w:pPr>
              <w:spacing w:after="0"/>
              <w:rPr>
                <w:sz w:val="19"/>
                <w:szCs w:val="19"/>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10.1.1+</w:t>
            </w:r>
          </w:p>
        </w:tc>
        <w:tc>
          <w:tcPr>
            <w:tcW w:w="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(b)</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89"/>
              </w:rPr>
              <w:t>Form of option agreement and related notice of grant for use in connection with the grant of options to the Registrant’s non-employee directors and named</w:t>
            </w:r>
          </w:p>
        </w:tc>
        <w:tc>
          <w:tcPr>
            <w:tcW w:w="20" w:type="dxa"/>
            <w:vAlign w:val="bottom"/>
          </w:tcPr>
          <w:p>
            <w:pPr>
              <w:spacing w:after="0"/>
              <w:rPr>
                <w:sz w:val="17"/>
                <w:szCs w:val="17"/>
                <w:color w:val="auto"/>
              </w:rPr>
            </w:pPr>
          </w:p>
        </w:tc>
      </w:tr>
      <w:tr>
        <w:trPr>
          <w:trHeight w:val="226"/>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executive officers.</w:t>
            </w:r>
          </w:p>
        </w:tc>
        <w:tc>
          <w:tcPr>
            <w:tcW w:w="20" w:type="dxa"/>
            <w:vAlign w:val="bottom"/>
          </w:tcPr>
          <w:p>
            <w:pPr>
              <w:spacing w:after="0"/>
              <w:rPr>
                <w:sz w:val="19"/>
                <w:szCs w:val="19"/>
                <w:color w:val="auto"/>
              </w:rPr>
            </w:pPr>
          </w:p>
        </w:tc>
      </w:tr>
      <w:tr>
        <w:trPr>
          <w:trHeight w:val="211"/>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10.1.2+</w:t>
            </w:r>
          </w:p>
        </w:tc>
        <w:tc>
          <w:tcPr>
            <w:tcW w:w="2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(b)</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8"/>
                <w:szCs w:val="18"/>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1"/>
              </w:rPr>
              <w:t>Form of option agreement and related notice of grant for use in connection with the grant of options to the Registrant’s executive officers other than the</w:t>
            </w:r>
          </w:p>
        </w:tc>
        <w:tc>
          <w:tcPr>
            <w:tcW w:w="20" w:type="dxa"/>
            <w:vAlign w:val="bottom"/>
          </w:tcPr>
          <w:p>
            <w:pPr>
              <w:spacing w:after="0"/>
              <w:rPr>
                <w:sz w:val="18"/>
                <w:szCs w:val="18"/>
                <w:color w:val="auto"/>
              </w:rPr>
            </w:pPr>
          </w:p>
        </w:tc>
      </w:tr>
      <w:tr>
        <w:trPr>
          <w:trHeight w:val="233"/>
        </w:trPr>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named executive officers.</w:t>
            </w:r>
          </w:p>
        </w:tc>
        <w:tc>
          <w:tcPr>
            <w:tcW w:w="20" w:type="dxa"/>
            <w:vAlign w:val="bottom"/>
          </w:tcPr>
          <w:p>
            <w:pPr>
              <w:spacing w:after="0"/>
              <w:rPr>
                <w:sz w:val="20"/>
                <w:szCs w:val="20"/>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10.1.3+</w:t>
            </w:r>
          </w:p>
        </w:tc>
        <w:tc>
          <w:tcPr>
            <w:tcW w:w="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(c)</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92"/>
              </w:rPr>
              <w:t>Form of restricted stock award agreement and related notice of grant for use in connection with the grant of restricted stock awards to the Registrant’s</w:t>
            </w:r>
          </w:p>
        </w:tc>
        <w:tc>
          <w:tcPr>
            <w:tcW w:w="20" w:type="dxa"/>
            <w:vAlign w:val="bottom"/>
          </w:tcPr>
          <w:p>
            <w:pPr>
              <w:spacing w:after="0"/>
              <w:rPr>
                <w:sz w:val="17"/>
                <w:szCs w:val="17"/>
                <w:color w:val="auto"/>
              </w:rPr>
            </w:pPr>
          </w:p>
        </w:tc>
      </w:tr>
      <w:tr>
        <w:trPr>
          <w:trHeight w:val="226"/>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executive officers.</w:t>
            </w:r>
          </w:p>
        </w:tc>
        <w:tc>
          <w:tcPr>
            <w:tcW w:w="20" w:type="dxa"/>
            <w:vAlign w:val="bottom"/>
          </w:tcPr>
          <w:p>
            <w:pPr>
              <w:spacing w:after="0"/>
              <w:rPr>
                <w:sz w:val="19"/>
                <w:szCs w:val="19"/>
                <w:color w:val="auto"/>
              </w:rPr>
            </w:pPr>
          </w:p>
        </w:tc>
      </w:tr>
      <w:tr>
        <w:trPr>
          <w:trHeight w:val="211"/>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10.1.4+</w:t>
            </w:r>
          </w:p>
        </w:tc>
        <w:tc>
          <w:tcPr>
            <w:tcW w:w="2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(c)</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8"/>
                <w:szCs w:val="18"/>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1"/>
              </w:rPr>
              <w:t>Form of option agreement and related notice of grant for use in connection with the grant of stock options to certain of the Registrant’s executive officers</w:t>
            </w:r>
          </w:p>
        </w:tc>
        <w:tc>
          <w:tcPr>
            <w:tcW w:w="20" w:type="dxa"/>
            <w:vAlign w:val="bottom"/>
          </w:tcPr>
          <w:p>
            <w:pPr>
              <w:spacing w:after="0"/>
              <w:rPr>
                <w:sz w:val="18"/>
                <w:szCs w:val="18"/>
                <w:color w:val="auto"/>
              </w:rPr>
            </w:pPr>
          </w:p>
        </w:tc>
      </w:tr>
      <w:tr>
        <w:trPr>
          <w:trHeight w:val="233"/>
        </w:trPr>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in connection with a January 2005 Option Exchange Program.</w:t>
            </w:r>
          </w:p>
        </w:tc>
        <w:tc>
          <w:tcPr>
            <w:tcW w:w="20" w:type="dxa"/>
            <w:vAlign w:val="bottom"/>
          </w:tcPr>
          <w:p>
            <w:pPr>
              <w:spacing w:after="0"/>
              <w:rPr>
                <w:sz w:val="20"/>
                <w:szCs w:val="20"/>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10.1.5+</w:t>
            </w:r>
          </w:p>
        </w:tc>
        <w:tc>
          <w:tcPr>
            <w:tcW w:w="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(q)</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93"/>
              </w:rPr>
              <w:t>Form of option agreement and related notice of grant for use in connection with the grant of time based vesting stock options to the Registrant's non-</w:t>
            </w:r>
          </w:p>
        </w:tc>
        <w:tc>
          <w:tcPr>
            <w:tcW w:w="20" w:type="dxa"/>
            <w:vAlign w:val="bottom"/>
          </w:tcPr>
          <w:p>
            <w:pPr>
              <w:spacing w:after="0"/>
              <w:rPr>
                <w:sz w:val="17"/>
                <w:szCs w:val="17"/>
                <w:color w:val="auto"/>
              </w:rPr>
            </w:pPr>
          </w:p>
        </w:tc>
      </w:tr>
      <w:tr>
        <w:trPr>
          <w:trHeight w:val="226"/>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employee directors and executive officers.</w:t>
            </w:r>
          </w:p>
        </w:tc>
        <w:tc>
          <w:tcPr>
            <w:tcW w:w="20" w:type="dxa"/>
            <w:vAlign w:val="bottom"/>
          </w:tcPr>
          <w:p>
            <w:pPr>
              <w:spacing w:after="0"/>
              <w:rPr>
                <w:sz w:val="19"/>
                <w:szCs w:val="19"/>
                <w:color w:val="auto"/>
              </w:rPr>
            </w:pPr>
          </w:p>
        </w:tc>
      </w:tr>
      <w:tr>
        <w:trPr>
          <w:trHeight w:val="211"/>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10.1.6+</w:t>
            </w:r>
          </w:p>
        </w:tc>
        <w:tc>
          <w:tcPr>
            <w:tcW w:w="2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(q)</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8"/>
                <w:szCs w:val="18"/>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1"/>
              </w:rPr>
              <w:t>Form of option agreement and related notice of grant for use in connection with the grant of performance based vesting stock options to the Registrant's</w:t>
            </w:r>
          </w:p>
        </w:tc>
        <w:tc>
          <w:tcPr>
            <w:tcW w:w="20" w:type="dxa"/>
            <w:vAlign w:val="bottom"/>
          </w:tcPr>
          <w:p>
            <w:pPr>
              <w:spacing w:after="0"/>
              <w:rPr>
                <w:sz w:val="18"/>
                <w:szCs w:val="18"/>
                <w:color w:val="auto"/>
              </w:rPr>
            </w:pPr>
          </w:p>
        </w:tc>
      </w:tr>
      <w:tr>
        <w:trPr>
          <w:trHeight w:val="233"/>
        </w:trPr>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executive officers.</w:t>
            </w:r>
          </w:p>
        </w:tc>
        <w:tc>
          <w:tcPr>
            <w:tcW w:w="20" w:type="dxa"/>
            <w:vAlign w:val="bottom"/>
          </w:tcPr>
          <w:p>
            <w:pPr>
              <w:spacing w:after="0"/>
              <w:rPr>
                <w:sz w:val="20"/>
                <w:szCs w:val="20"/>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10.1.7+</w:t>
            </w:r>
          </w:p>
        </w:tc>
        <w:tc>
          <w:tcPr>
            <w:tcW w:w="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(x)</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92"/>
              </w:rPr>
              <w:t>Form of restricted stock award agreement and related notice of grant for use in connection with the grant of restricted stock awards to the Registrant's</w:t>
            </w:r>
          </w:p>
        </w:tc>
        <w:tc>
          <w:tcPr>
            <w:tcW w:w="20" w:type="dxa"/>
            <w:vAlign w:val="bottom"/>
          </w:tcPr>
          <w:p>
            <w:pPr>
              <w:spacing w:after="0"/>
              <w:rPr>
                <w:sz w:val="17"/>
                <w:szCs w:val="17"/>
                <w:color w:val="auto"/>
              </w:rPr>
            </w:pPr>
          </w:p>
        </w:tc>
      </w:tr>
      <w:tr>
        <w:trPr>
          <w:trHeight w:val="226"/>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executive officers (revised).</w:t>
            </w:r>
          </w:p>
        </w:tc>
        <w:tc>
          <w:tcPr>
            <w:tcW w:w="20" w:type="dxa"/>
            <w:vAlign w:val="bottom"/>
          </w:tcPr>
          <w:p>
            <w:pPr>
              <w:spacing w:after="0"/>
              <w:rPr>
                <w:sz w:val="19"/>
                <w:szCs w:val="19"/>
                <w:color w:val="auto"/>
              </w:rPr>
            </w:pPr>
          </w:p>
        </w:tc>
      </w:tr>
      <w:tr>
        <w:trPr>
          <w:trHeight w:val="211"/>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10.1.8+</w:t>
            </w:r>
          </w:p>
        </w:tc>
        <w:tc>
          <w:tcPr>
            <w:tcW w:w="2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(x)</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8"/>
                <w:szCs w:val="18"/>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1"/>
              </w:rPr>
              <w:t>Form of option agreement and related notice of grant for use in connection with the grant of performance based vesting stock options to the Registrant's</w:t>
            </w:r>
          </w:p>
        </w:tc>
        <w:tc>
          <w:tcPr>
            <w:tcW w:w="20" w:type="dxa"/>
            <w:vAlign w:val="bottom"/>
          </w:tcPr>
          <w:p>
            <w:pPr>
              <w:spacing w:after="0"/>
              <w:rPr>
                <w:sz w:val="18"/>
                <w:szCs w:val="18"/>
                <w:color w:val="auto"/>
              </w:rPr>
            </w:pPr>
          </w:p>
        </w:tc>
      </w:tr>
      <w:tr>
        <w:trPr>
          <w:trHeight w:val="233"/>
        </w:trPr>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executive officers (revised).</w:t>
            </w:r>
          </w:p>
        </w:tc>
        <w:tc>
          <w:tcPr>
            <w:tcW w:w="20" w:type="dxa"/>
            <w:vAlign w:val="bottom"/>
          </w:tcPr>
          <w:p>
            <w:pPr>
              <w:spacing w:after="0"/>
              <w:rPr>
                <w:sz w:val="20"/>
                <w:szCs w:val="20"/>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10.1.9+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93"/>
              </w:rPr>
              <w:t>Form of option agreement and related notice of grant for use in connection with the grant of time based vesting stock options to the Registrant's non-</w:t>
            </w:r>
          </w:p>
        </w:tc>
        <w:tc>
          <w:tcPr>
            <w:tcW w:w="20" w:type="dxa"/>
            <w:vAlign w:val="bottom"/>
          </w:tcPr>
          <w:p>
            <w:pPr>
              <w:spacing w:after="0"/>
              <w:rPr>
                <w:sz w:val="17"/>
                <w:szCs w:val="17"/>
                <w:color w:val="auto"/>
              </w:rPr>
            </w:pPr>
          </w:p>
        </w:tc>
      </w:tr>
      <w:tr>
        <w:trPr>
          <w:trHeight w:val="226"/>
        </w:trPr>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employee directors (revised).</w:t>
            </w:r>
          </w:p>
        </w:tc>
        <w:tc>
          <w:tcPr>
            <w:tcW w:w="20" w:type="dxa"/>
            <w:vAlign w:val="bottom"/>
          </w:tcPr>
          <w:p>
            <w:pPr>
              <w:spacing w:after="0"/>
              <w:rPr>
                <w:sz w:val="19"/>
                <w:szCs w:val="19"/>
                <w:color w:val="auto"/>
              </w:rPr>
            </w:pPr>
          </w:p>
        </w:tc>
      </w:tr>
      <w:tr>
        <w:trPr>
          <w:trHeight w:val="226"/>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10.2+</w:t>
            </w: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(p)</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9"/>
                <w:szCs w:val="19"/>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5"/>
              </w:rPr>
              <w:t>Amended and Restated Employment Agreement, dated as of November 14, 2008, between the Registrant and Leonard S. Schleifer, M.D., Ph.D.</w:t>
            </w:r>
          </w:p>
        </w:tc>
        <w:tc>
          <w:tcPr>
            <w:tcW w:w="20" w:type="dxa"/>
            <w:vAlign w:val="bottom"/>
          </w:tcPr>
          <w:p>
            <w:pPr>
              <w:spacing w:after="0"/>
              <w:rPr>
                <w:sz w:val="19"/>
                <w:szCs w:val="19"/>
                <w:color w:val="auto"/>
              </w:rPr>
            </w:pPr>
          </w:p>
        </w:tc>
      </w:tr>
      <w:tr>
        <w:trPr>
          <w:trHeight w:val="211"/>
        </w:trPr>
        <w:tc>
          <w:tcPr>
            <w:tcW w:w="560" w:type="dxa"/>
            <w:vAlign w:val="bottom"/>
          </w:tcPr>
          <w:p>
            <w:pPr>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(d)</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Employment Agreement, dated as of December 31, 1998, between the Registrant and P. Roy Vagelos, M.D.</w:t>
            </w:r>
          </w:p>
        </w:tc>
        <w:tc>
          <w:tcPr>
            <w:tcW w:w="20" w:type="dxa"/>
            <w:vAlign w:val="bottom"/>
          </w:tcPr>
          <w:p>
            <w:pPr>
              <w:spacing w:after="0"/>
              <w:rPr>
                <w:sz w:val="18"/>
                <w:szCs w:val="18"/>
                <w:color w:val="auto"/>
              </w:rPr>
            </w:pPr>
          </w:p>
        </w:tc>
      </w:tr>
      <w:tr>
        <w:trPr>
          <w:trHeight w:val="226"/>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(p)</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9"/>
                <w:szCs w:val="19"/>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Regeneron Pharmaceuticals, Inc. Change in Control Severance Plan, amended and restated effective as of November 14, 2008.</w:t>
            </w:r>
          </w:p>
        </w:tc>
        <w:tc>
          <w:tcPr>
            <w:tcW w:w="20" w:type="dxa"/>
            <w:vAlign w:val="bottom"/>
          </w:tcPr>
          <w:p>
            <w:pPr>
              <w:spacing w:after="0"/>
              <w:rPr>
                <w:sz w:val="19"/>
                <w:szCs w:val="19"/>
                <w:color w:val="auto"/>
              </w:rPr>
            </w:pPr>
          </w:p>
        </w:tc>
      </w:tr>
      <w:tr>
        <w:trPr>
          <w:trHeight w:val="211"/>
        </w:trPr>
        <w:tc>
          <w:tcPr>
            <w:tcW w:w="560" w:type="dxa"/>
            <w:vAlign w:val="bottom"/>
          </w:tcPr>
          <w:p>
            <w:pPr>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(e)</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rPr>
              <w:t>IL-1 License Agreement, dated June 26, 2002, by and among the Registrant, Immunex Corporation, and Amgen Inc.</w:t>
            </w:r>
          </w:p>
        </w:tc>
        <w:tc>
          <w:tcPr>
            <w:tcW w:w="20" w:type="dxa"/>
            <w:vAlign w:val="bottom"/>
          </w:tcPr>
          <w:p>
            <w:pPr>
              <w:spacing w:after="0"/>
              <w:rPr>
                <w:sz w:val="18"/>
                <w:szCs w:val="18"/>
                <w:color w:val="auto"/>
              </w:rPr>
            </w:pPr>
          </w:p>
        </w:tc>
      </w:tr>
      <w:tr>
        <w:trPr>
          <w:trHeight w:val="211"/>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10.6*</w:t>
            </w:r>
          </w:p>
        </w:tc>
        <w:tc>
          <w:tcPr>
            <w:tcW w:w="26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(r)</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8"/>
                <w:szCs w:val="18"/>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89"/>
              </w:rPr>
              <w:t>IL-1 Antibody Termination Agreement by and between Novartis Pharma AG, Novartis Pharmaceuticals Corporation and the Registrant, dated as of June 8,</w:t>
            </w:r>
          </w:p>
        </w:tc>
        <w:tc>
          <w:tcPr>
            <w:tcW w:w="20" w:type="dxa"/>
            <w:vAlign w:val="bottom"/>
          </w:tcPr>
          <w:p>
            <w:pPr>
              <w:spacing w:after="0"/>
              <w:rPr>
                <w:sz w:val="18"/>
                <w:szCs w:val="18"/>
                <w:color w:val="auto"/>
              </w:rPr>
            </w:pPr>
          </w:p>
        </w:tc>
      </w:tr>
      <w:tr>
        <w:trPr>
          <w:trHeight w:val="233"/>
        </w:trPr>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2009.</w:t>
            </w:r>
          </w:p>
        </w:tc>
        <w:tc>
          <w:tcPr>
            <w:tcW w:w="20" w:type="dxa"/>
            <w:vAlign w:val="bottom"/>
          </w:tcPr>
          <w:p>
            <w:pPr>
              <w:spacing w:after="0"/>
              <w:rPr>
                <w:sz w:val="20"/>
                <w:szCs w:val="20"/>
                <w:color w:val="auto"/>
              </w:rPr>
            </w:pPr>
          </w:p>
        </w:tc>
      </w:tr>
      <w:tr>
        <w:trPr>
          <w:trHeight w:val="211"/>
        </w:trPr>
        <w:tc>
          <w:tcPr>
            <w:tcW w:w="560" w:type="dxa"/>
            <w:vAlign w:val="bottom"/>
          </w:tcPr>
          <w:p>
            <w:pPr>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(r)</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89"/>
              </w:rPr>
              <w:t>Trap-2 Termination Agreement by and between Novartis Pharma AG, Novartis Pharmaceuticals Corporation and the Registrant, dated as of June 8, 2009.</w:t>
            </w:r>
          </w:p>
        </w:tc>
        <w:tc>
          <w:tcPr>
            <w:tcW w:w="20" w:type="dxa"/>
            <w:vAlign w:val="bottom"/>
          </w:tcPr>
          <w:p>
            <w:pPr>
              <w:spacing w:after="0"/>
              <w:rPr>
                <w:sz w:val="18"/>
                <w:szCs w:val="18"/>
                <w:color w:val="auto"/>
              </w:rPr>
            </w:pPr>
          </w:p>
        </w:tc>
      </w:tr>
      <w:tr>
        <w:trPr>
          <w:trHeight w:val="226"/>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(f)</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9"/>
                <w:szCs w:val="19"/>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rPr>
              <w:t>Collaboration Agreement, dated as of September 5, 2003, by and between Aventis Pharmaceuticals Inc. and the Registrant.</w:t>
            </w:r>
          </w:p>
        </w:tc>
        <w:tc>
          <w:tcPr>
            <w:tcW w:w="20" w:type="dxa"/>
            <w:vAlign w:val="bottom"/>
          </w:tcPr>
          <w:p>
            <w:pPr>
              <w:spacing w:after="0"/>
              <w:rPr>
                <w:sz w:val="19"/>
                <w:szCs w:val="19"/>
                <w:color w:val="auto"/>
              </w:rPr>
            </w:pPr>
          </w:p>
        </w:tc>
      </w:tr>
      <w:tr>
        <w:trPr>
          <w:trHeight w:val="211"/>
        </w:trPr>
        <w:tc>
          <w:tcPr>
            <w:tcW w:w="560" w:type="dxa"/>
            <w:vAlign w:val="bottom"/>
          </w:tcPr>
          <w:p>
            <w:pPr>
              <w:spacing w:after="0"/>
              <w:rPr>
                <w:sz w:val="20"/>
                <w:szCs w:val="20"/>
                <w:color w:val="auto"/>
              </w:rPr>
            </w:pPr>
            <w:r>
              <w:rPr>
                <w:rFonts w:ascii="Arial" w:cs="Arial" w:eastAsia="Arial" w:hAnsi="Arial"/>
                <w:sz w:val="16"/>
                <w:szCs w:val="16"/>
                <w:color w:val="auto"/>
              </w:rPr>
              <w:t>10.8.1*</w:t>
            </w:r>
          </w:p>
        </w:tc>
        <w:tc>
          <w:tcPr>
            <w:tcW w:w="2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(d)</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Arial" w:cs="Arial" w:eastAsia="Arial" w:hAnsi="Arial"/>
                <w:sz w:val="16"/>
                <w:szCs w:val="16"/>
                <w:color w:val="auto"/>
                <w:w w:val="93"/>
              </w:rPr>
              <w:t>Amendment No. 1 to Collaboration Agreement, by and between Aventis Pharmaceuticals Inc. and the Registrant, effective as of December 31, 2004</w:t>
            </w:r>
          </w:p>
        </w:tc>
        <w:tc>
          <w:tcPr>
            <w:tcW w:w="20" w:type="dxa"/>
            <w:vAlign w:val="bottom"/>
          </w:tcPr>
          <w:p>
            <w:pPr>
              <w:spacing w:after="0"/>
              <w:rPr>
                <w:sz w:val="18"/>
                <w:szCs w:val="18"/>
                <w:color w:val="auto"/>
              </w:rPr>
            </w:pPr>
          </w:p>
        </w:tc>
      </w:tr>
      <w:tr>
        <w:trPr>
          <w:trHeight w:val="226"/>
        </w:trPr>
        <w:tc>
          <w:tcPr>
            <w:tcW w:w="560" w:type="dxa"/>
            <w:vAlign w:val="bottom"/>
            <w:shd w:val="clear" w:color="auto" w:fill="C0C0C0"/>
          </w:tcPr>
          <w:p>
            <w:pPr>
              <w:spacing w:after="0"/>
              <w:rPr>
                <w:sz w:val="20"/>
                <w:szCs w:val="20"/>
                <w:color w:val="auto"/>
              </w:rPr>
            </w:pPr>
            <w:r>
              <w:rPr>
                <w:rFonts w:ascii="Arial" w:cs="Arial" w:eastAsia="Arial" w:hAnsi="Arial"/>
                <w:sz w:val="16"/>
                <w:szCs w:val="16"/>
                <w:color w:val="auto"/>
              </w:rPr>
              <w:t>10.8.2</w:t>
            </w:r>
          </w:p>
        </w:tc>
        <w:tc>
          <w:tcPr>
            <w:tcW w:w="2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20"/>
                <w:szCs w:val="20"/>
                <w:color w:val="auto"/>
              </w:rPr>
            </w:pPr>
            <w:r>
              <w:rPr>
                <w:rFonts w:ascii="Arial" w:cs="Arial" w:eastAsia="Arial" w:hAnsi="Arial"/>
                <w:sz w:val="16"/>
                <w:szCs w:val="16"/>
                <w:color w:val="auto"/>
              </w:rPr>
              <w:t>(g)</w:t>
            </w:r>
          </w:p>
        </w:tc>
        <w:tc>
          <w:tcPr>
            <w:tcW w:w="420" w:type="dxa"/>
            <w:vAlign w:val="bottom"/>
            <w:shd w:val="clear" w:color="auto" w:fill="C0C0C0"/>
          </w:tcPr>
          <w:p>
            <w:pPr>
              <w:jc w:val="right"/>
              <w:ind w:right="161"/>
              <w:spacing w:after="0"/>
              <w:rPr>
                <w:sz w:val="20"/>
                <w:szCs w:val="20"/>
                <w:color w:val="auto"/>
              </w:rPr>
            </w:pPr>
            <w:r>
              <w:rPr>
                <w:rFonts w:ascii="Arial" w:cs="Arial" w:eastAsia="Arial" w:hAnsi="Arial"/>
                <w:sz w:val="16"/>
                <w:szCs w:val="16"/>
                <w:color w:val="auto"/>
              </w:rPr>
              <w:t>-</w:t>
            </w:r>
          </w:p>
        </w:tc>
        <w:tc>
          <w:tcPr>
            <w:tcW w:w="20" w:type="dxa"/>
            <w:vAlign w:val="bottom"/>
            <w:shd w:val="clear" w:color="auto" w:fill="C0C0C0"/>
          </w:tcPr>
          <w:p>
            <w:pPr>
              <w:spacing w:after="0"/>
              <w:rPr>
                <w:sz w:val="19"/>
                <w:szCs w:val="19"/>
                <w:color w:val="auto"/>
              </w:rPr>
            </w:pPr>
          </w:p>
        </w:tc>
        <w:tc>
          <w:tcPr>
            <w:tcW w:w="9840" w:type="dxa"/>
            <w:vAlign w:val="bottom"/>
            <w:shd w:val="clear" w:color="auto" w:fill="C0C0C0"/>
          </w:tcPr>
          <w:p>
            <w:pPr>
              <w:ind w:left="20"/>
              <w:spacing w:after="0"/>
              <w:rPr>
                <w:sz w:val="20"/>
                <w:szCs w:val="20"/>
                <w:color w:val="auto"/>
              </w:rPr>
            </w:pPr>
            <w:r>
              <w:rPr>
                <w:rFonts w:ascii="Arial" w:cs="Arial" w:eastAsia="Arial" w:hAnsi="Arial"/>
                <w:sz w:val="16"/>
                <w:szCs w:val="16"/>
                <w:color w:val="auto"/>
                <w:w w:val="95"/>
              </w:rPr>
              <w:t>Amendment No. 2 to Collaboration Agreement, by and between Aventis Pharmaceuticals Inc. and the Registrant, effective as of January 7, 2005.</w:t>
            </w:r>
          </w:p>
        </w:tc>
        <w:tc>
          <w:tcPr>
            <w:tcW w:w="20" w:type="dxa"/>
            <w:vAlign w:val="bottom"/>
          </w:tcPr>
          <w:p>
            <w:pPr>
              <w:spacing w:after="0"/>
              <w:rPr>
                <w:sz w:val="19"/>
                <w:szCs w:val="19"/>
                <w:color w:val="auto"/>
              </w:rPr>
            </w:pPr>
          </w:p>
        </w:tc>
      </w:tr>
      <w:tr>
        <w:trPr>
          <w:trHeight w:val="604"/>
        </w:trPr>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Pr>
          <w:p>
            <w:pPr>
              <w:ind w:left="4040"/>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4"/>
                <w:szCs w:val="24"/>
                <w:color w:val="auto"/>
              </w:rPr>
            </w:pPr>
          </w:p>
        </w:tc>
      </w:tr>
      <w:tr>
        <w:trPr>
          <w:trHeight w:val="205"/>
        </w:trPr>
        <w:tc>
          <w:tcPr>
            <w:tcW w:w="5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98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7" w:right="1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8"/>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10.8.3*</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(h)</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2"/>
              </w:rPr>
              <w:t>Amendment No. 3 to Collaboration Agreement, by and between Aventis Pharmaceuticals Inc. and the Registrant, effective as of December 21, 2005.</w:t>
            </w:r>
          </w:p>
        </w:tc>
        <w:tc>
          <w:tcPr>
            <w:tcW w:w="20" w:type="dxa"/>
            <w:vAlign w:val="bottom"/>
          </w:tcPr>
          <w:p>
            <w:pPr>
              <w:spacing w:after="0"/>
              <w:rPr>
                <w:sz w:val="18"/>
                <w:szCs w:val="18"/>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6"/>
                <w:szCs w:val="16"/>
                <w:color w:val="auto"/>
              </w:rPr>
              <w:t>10.8.4*</w:t>
            </w:r>
          </w:p>
        </w:tc>
        <w:tc>
          <w:tcPr>
            <w:tcW w:w="480" w:type="dxa"/>
            <w:vAlign w:val="bottom"/>
          </w:tcPr>
          <w:p>
            <w:pPr>
              <w:ind w:left="120"/>
              <w:spacing w:after="0"/>
              <w:rPr>
                <w:sz w:val="20"/>
                <w:szCs w:val="20"/>
                <w:color w:val="auto"/>
              </w:rPr>
            </w:pPr>
            <w:r>
              <w:rPr>
                <w:rFonts w:ascii="Arial" w:cs="Arial" w:eastAsia="Arial" w:hAnsi="Arial"/>
                <w:sz w:val="16"/>
                <w:szCs w:val="16"/>
                <w:color w:val="auto"/>
              </w:rPr>
              <w:t>(h)</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90"/>
              </w:rPr>
              <w:t>Amendment No. 4 to Collaboration Agreement, by and between sanofi-aventis U.S., LLC (successor in interest to Aventis Pharmaceuticals, Inc.) and the</w:t>
            </w:r>
          </w:p>
        </w:tc>
        <w:tc>
          <w:tcPr>
            <w:tcW w:w="20" w:type="dxa"/>
            <w:vAlign w:val="bottom"/>
          </w:tcPr>
          <w:p>
            <w:pPr>
              <w:spacing w:after="0"/>
              <w:rPr>
                <w:sz w:val="17"/>
                <w:szCs w:val="17"/>
                <w:color w:val="auto"/>
              </w:rPr>
            </w:pPr>
          </w:p>
        </w:tc>
      </w:tr>
      <w:tr>
        <w:trPr>
          <w:trHeight w:val="226"/>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6"/>
                <w:szCs w:val="16"/>
                <w:color w:val="auto"/>
              </w:rPr>
              <w:t>Registrant, effective as of January 31, 2006.</w:t>
            </w:r>
          </w:p>
        </w:tc>
        <w:tc>
          <w:tcPr>
            <w:tcW w:w="20" w:type="dxa"/>
            <w:vAlign w:val="bottom"/>
          </w:tcPr>
          <w:p>
            <w:pPr>
              <w:spacing w:after="0"/>
              <w:rPr>
                <w:sz w:val="19"/>
                <w:szCs w:val="19"/>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10.9*</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(i)</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License and Collaboration Agreement, dated as of October 18, 2006, by and between Bayer HealthCare LLC and the Registrant.</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10.10</w:t>
            </w:r>
          </w:p>
        </w:tc>
        <w:tc>
          <w:tcPr>
            <w:tcW w:w="480" w:type="dxa"/>
            <w:vAlign w:val="bottom"/>
          </w:tcPr>
          <w:p>
            <w:pPr>
              <w:ind w:left="120"/>
              <w:spacing w:after="0"/>
              <w:rPr>
                <w:sz w:val="20"/>
                <w:szCs w:val="20"/>
                <w:color w:val="auto"/>
              </w:rPr>
            </w:pPr>
            <w:r>
              <w:rPr>
                <w:rFonts w:ascii="Arial" w:cs="Arial" w:eastAsia="Arial" w:hAnsi="Arial"/>
                <w:sz w:val="16"/>
                <w:szCs w:val="16"/>
                <w:color w:val="auto"/>
              </w:rPr>
              <w:t>(k)</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Lease, dated as of December 21, 2006, by and between BMR-Landmark at Eastview LLC and the Registrant.</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10.10.1*</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(l)</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First Amendment to Lease, by and between BMR-Landmark at Eastview LLC and the Registrant, effective as of October 24, 2007.</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10.10.2</w:t>
            </w:r>
          </w:p>
        </w:tc>
        <w:tc>
          <w:tcPr>
            <w:tcW w:w="480" w:type="dxa"/>
            <w:vAlign w:val="bottom"/>
          </w:tcPr>
          <w:p>
            <w:pPr>
              <w:ind w:left="120"/>
              <w:spacing w:after="0"/>
              <w:rPr>
                <w:sz w:val="20"/>
                <w:szCs w:val="20"/>
                <w:color w:val="auto"/>
              </w:rPr>
            </w:pPr>
            <w:r>
              <w:rPr>
                <w:rFonts w:ascii="Arial" w:cs="Arial" w:eastAsia="Arial" w:hAnsi="Arial"/>
                <w:sz w:val="16"/>
                <w:szCs w:val="16"/>
                <w:color w:val="auto"/>
              </w:rPr>
              <w:t>(o)</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Second Amendment to Lease, by and between BMR-Landmark at Eastview LLC and the Registrant, effective as of September 30, 2008.</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10.10.3</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(q)</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Third Amendment to lease, by and between BMR-Landmark at Eastview LLC and the Registrant, entered into as of April 29, 2009.</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10.10.4</w:t>
            </w:r>
          </w:p>
        </w:tc>
        <w:tc>
          <w:tcPr>
            <w:tcW w:w="480" w:type="dxa"/>
            <w:vAlign w:val="bottom"/>
          </w:tcPr>
          <w:p>
            <w:pPr>
              <w:ind w:left="120"/>
              <w:spacing w:after="0"/>
              <w:rPr>
                <w:sz w:val="20"/>
                <w:szCs w:val="20"/>
                <w:color w:val="auto"/>
              </w:rPr>
            </w:pPr>
            <w:r>
              <w:rPr>
                <w:rFonts w:ascii="Arial" w:cs="Arial" w:eastAsia="Arial" w:hAnsi="Arial"/>
                <w:sz w:val="16"/>
                <w:szCs w:val="16"/>
                <w:color w:val="auto"/>
              </w:rPr>
              <w:t>(s)</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Fourth Amendment to Lease, by and between BMR-Landmark at Eastview LLC and the Registrant, effective as of December 3, 2009.</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10.10.5</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(t)</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Fifth Amendment to Lease, by and between BMR-Landmark at Eastview LLC and the Registrant, entered into as of February 11, 2010.</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10.10.6</w:t>
            </w:r>
          </w:p>
        </w:tc>
        <w:tc>
          <w:tcPr>
            <w:tcW w:w="480" w:type="dxa"/>
            <w:vAlign w:val="bottom"/>
          </w:tcPr>
          <w:p>
            <w:pPr>
              <w:ind w:left="120"/>
              <w:spacing w:after="0"/>
              <w:rPr>
                <w:sz w:val="20"/>
                <w:szCs w:val="20"/>
                <w:color w:val="auto"/>
              </w:rPr>
            </w:pPr>
            <w:r>
              <w:rPr>
                <w:rFonts w:ascii="Arial" w:cs="Arial" w:eastAsia="Arial" w:hAnsi="Arial"/>
                <w:sz w:val="16"/>
                <w:szCs w:val="16"/>
                <w:color w:val="auto"/>
              </w:rPr>
              <w:t>(v)</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Sixth Amendment to Lease, by and between BMR-Landmark at Eastview LLC and the Registrant, entered into as of June 4, 2010.</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10.10.7</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(x)</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8"/>
              </w:rPr>
              <w:t>Seventh Amendment to Lease, by and between BMR-Landmark at Eastview LLC and the Registrant, entered into as of December 22, 2010.</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10.10.8</w:t>
            </w:r>
          </w:p>
        </w:tc>
        <w:tc>
          <w:tcPr>
            <w:tcW w:w="480" w:type="dxa"/>
            <w:vAlign w:val="bottom"/>
          </w:tcPr>
          <w:p>
            <w:pPr>
              <w:ind w:left="120"/>
              <w:spacing w:after="0"/>
              <w:rPr>
                <w:sz w:val="20"/>
                <w:szCs w:val="20"/>
                <w:color w:val="auto"/>
              </w:rPr>
            </w:pPr>
            <w:r>
              <w:rPr>
                <w:rFonts w:ascii="Arial" w:cs="Arial" w:eastAsia="Arial" w:hAnsi="Arial"/>
                <w:sz w:val="16"/>
                <w:szCs w:val="16"/>
                <w:color w:val="auto"/>
              </w:rPr>
              <w:t>(aa)</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Eighth Amendment to Lease, by and between BMR-Landmark at Eastview LLC and the Registrant, entered into as of August 1, 2011.</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10.10.9</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(aa)</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Ninth Amendment to Lease, by and between BMR-Landmark at Eastview LLC and the Registrant, entered into as of September 30, 2011.</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10.11*</w:t>
            </w:r>
          </w:p>
        </w:tc>
        <w:tc>
          <w:tcPr>
            <w:tcW w:w="480" w:type="dxa"/>
            <w:vAlign w:val="bottom"/>
          </w:tcPr>
          <w:p>
            <w:pPr>
              <w:ind w:left="120"/>
              <w:spacing w:after="0"/>
              <w:rPr>
                <w:sz w:val="20"/>
                <w:szCs w:val="20"/>
                <w:color w:val="auto"/>
              </w:rPr>
            </w:pPr>
            <w:r>
              <w:rPr>
                <w:rFonts w:ascii="Arial" w:cs="Arial" w:eastAsia="Arial" w:hAnsi="Arial"/>
                <w:sz w:val="16"/>
                <w:szCs w:val="16"/>
                <w:color w:val="auto"/>
              </w:rPr>
              <w:t>(k)</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96"/>
              </w:rPr>
              <w:t>Non Exclusive License and Material Transfer Agreement, dated as of March 30, 2007, by and between Astellas Pharma Inc. and the Registrant.</w:t>
            </w:r>
          </w:p>
        </w:tc>
        <w:tc>
          <w:tcPr>
            <w:tcW w:w="20" w:type="dxa"/>
            <w:vAlign w:val="bottom"/>
          </w:tcPr>
          <w:p>
            <w:pPr>
              <w:spacing w:after="0"/>
              <w:rPr>
                <w:sz w:val="18"/>
                <w:szCs w:val="18"/>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10.11.1*</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(w)</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1"/>
              </w:rPr>
              <w:t>Amendment to the Non Exclusive License and Material Transfer Agreement, dated as of March 30, 2007 by and between Astellas Pharma Inc. and the</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Registrant, dated as of July 28, 2010.</w:t>
            </w:r>
          </w:p>
        </w:tc>
        <w:tc>
          <w:tcPr>
            <w:tcW w:w="20" w:type="dxa"/>
            <w:vAlign w:val="bottom"/>
          </w:tcPr>
          <w:p>
            <w:pPr>
              <w:spacing w:after="0"/>
              <w:rPr>
                <w:sz w:val="20"/>
                <w:szCs w:val="20"/>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6"/>
                <w:szCs w:val="16"/>
                <w:color w:val="auto"/>
              </w:rPr>
              <w:t>10.12*</w:t>
            </w:r>
          </w:p>
        </w:tc>
        <w:tc>
          <w:tcPr>
            <w:tcW w:w="480" w:type="dxa"/>
            <w:vAlign w:val="bottom"/>
          </w:tcPr>
          <w:p>
            <w:pPr>
              <w:ind w:left="120"/>
              <w:spacing w:after="0"/>
              <w:rPr>
                <w:sz w:val="20"/>
                <w:szCs w:val="20"/>
                <w:color w:val="auto"/>
              </w:rPr>
            </w:pPr>
            <w:r>
              <w:rPr>
                <w:rFonts w:ascii="Arial" w:cs="Arial" w:eastAsia="Arial" w:hAnsi="Arial"/>
                <w:sz w:val="16"/>
                <w:szCs w:val="16"/>
                <w:color w:val="auto"/>
              </w:rPr>
              <w:t>(u)</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89"/>
              </w:rPr>
              <w:t>Amended and Restated Discovery and Preclinical Development Agreement, dated as of November 10, 2009, by and between Aventis Pharmaceuticals Inc.</w:t>
            </w:r>
          </w:p>
        </w:tc>
        <w:tc>
          <w:tcPr>
            <w:tcW w:w="20" w:type="dxa"/>
            <w:vAlign w:val="bottom"/>
          </w:tcPr>
          <w:p>
            <w:pPr>
              <w:spacing w:after="0"/>
              <w:rPr>
                <w:sz w:val="17"/>
                <w:szCs w:val="17"/>
                <w:color w:val="auto"/>
              </w:rPr>
            </w:pPr>
          </w:p>
        </w:tc>
      </w:tr>
      <w:tr>
        <w:trPr>
          <w:trHeight w:val="226"/>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6"/>
                <w:szCs w:val="16"/>
                <w:color w:val="auto"/>
              </w:rPr>
              <w:t>and the Registrant.</w:t>
            </w:r>
          </w:p>
        </w:tc>
        <w:tc>
          <w:tcPr>
            <w:tcW w:w="20" w:type="dxa"/>
            <w:vAlign w:val="bottom"/>
          </w:tcPr>
          <w:p>
            <w:pPr>
              <w:spacing w:after="0"/>
              <w:rPr>
                <w:sz w:val="19"/>
                <w:szCs w:val="19"/>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10.13*</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(u)</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88"/>
              </w:rPr>
              <w:t>Amended and Restated License and Collaboration Agreement, dated as of November 10, 2009, by and among Aventis Pharmaceuticals Inc., sanofi-aventis</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Amerique Du Nord, and the Registrant.</w:t>
            </w:r>
          </w:p>
        </w:tc>
        <w:tc>
          <w:tcPr>
            <w:tcW w:w="20" w:type="dxa"/>
            <w:vAlign w:val="bottom"/>
          </w:tcPr>
          <w:p>
            <w:pPr>
              <w:spacing w:after="0"/>
              <w:rPr>
                <w:sz w:val="20"/>
                <w:szCs w:val="20"/>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10.14</w:t>
            </w:r>
          </w:p>
        </w:tc>
        <w:tc>
          <w:tcPr>
            <w:tcW w:w="480" w:type="dxa"/>
            <w:vAlign w:val="bottom"/>
          </w:tcPr>
          <w:p>
            <w:pPr>
              <w:ind w:left="120"/>
              <w:spacing w:after="0"/>
              <w:rPr>
                <w:sz w:val="20"/>
                <w:szCs w:val="20"/>
                <w:color w:val="auto"/>
              </w:rPr>
            </w:pPr>
            <w:r>
              <w:rPr>
                <w:rFonts w:ascii="Arial" w:cs="Arial" w:eastAsia="Arial" w:hAnsi="Arial"/>
                <w:sz w:val="16"/>
                <w:szCs w:val="16"/>
                <w:color w:val="auto"/>
              </w:rPr>
              <w:t>(m)</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89"/>
              </w:rPr>
              <w:t>Stock Purchase Agreement, dated as of November 28, 2007, by and among sanofi-aventis Amerique Du Nord, sanofi-aventis US LLC, and the Registrant.</w:t>
            </w:r>
          </w:p>
        </w:tc>
        <w:tc>
          <w:tcPr>
            <w:tcW w:w="20" w:type="dxa"/>
            <w:vAlign w:val="bottom"/>
          </w:tcPr>
          <w:p>
            <w:pPr>
              <w:spacing w:after="0"/>
              <w:rPr>
                <w:sz w:val="18"/>
                <w:szCs w:val="18"/>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10.15</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(m)</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0"/>
              </w:rPr>
              <w:t>Investor Agreement, dated as of December 20, 2007, by and among sanofi-aventis, sanofi-aventis US LLC, Aventis Pharmaceuticals Inc., sanofi-aventis</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Amerique du Nord, and the Registrant.</w:t>
            </w:r>
          </w:p>
        </w:tc>
        <w:tc>
          <w:tcPr>
            <w:tcW w:w="20" w:type="dxa"/>
            <w:vAlign w:val="bottom"/>
          </w:tcPr>
          <w:p>
            <w:pPr>
              <w:spacing w:after="0"/>
              <w:rPr>
                <w:sz w:val="20"/>
                <w:szCs w:val="20"/>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6"/>
                <w:szCs w:val="16"/>
                <w:color w:val="auto"/>
              </w:rPr>
              <w:t>10.15.1</w:t>
            </w:r>
          </w:p>
        </w:tc>
        <w:tc>
          <w:tcPr>
            <w:tcW w:w="480" w:type="dxa"/>
            <w:vAlign w:val="bottom"/>
          </w:tcPr>
          <w:p>
            <w:pPr>
              <w:ind w:left="120"/>
              <w:spacing w:after="0"/>
              <w:rPr>
                <w:sz w:val="20"/>
                <w:szCs w:val="20"/>
                <w:color w:val="auto"/>
              </w:rPr>
            </w:pPr>
            <w:r>
              <w:rPr>
                <w:rFonts w:ascii="Arial" w:cs="Arial" w:eastAsia="Arial" w:hAnsi="Arial"/>
                <w:sz w:val="16"/>
                <w:szCs w:val="16"/>
                <w:color w:val="auto"/>
              </w:rPr>
              <w:t>(u)</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95"/>
              </w:rPr>
              <w:t>First Amendment to the December 20, 2007 Investor Agreement, dated as of November 10, 2009, by and among sanofi-aventis US LLC, Aventis</w:t>
            </w:r>
          </w:p>
        </w:tc>
        <w:tc>
          <w:tcPr>
            <w:tcW w:w="20" w:type="dxa"/>
            <w:vAlign w:val="bottom"/>
          </w:tcPr>
          <w:p>
            <w:pPr>
              <w:spacing w:after="0"/>
              <w:rPr>
                <w:sz w:val="17"/>
                <w:szCs w:val="17"/>
                <w:color w:val="auto"/>
              </w:rPr>
            </w:pPr>
          </w:p>
        </w:tc>
      </w:tr>
      <w:tr>
        <w:trPr>
          <w:trHeight w:val="226"/>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6"/>
                <w:szCs w:val="16"/>
                <w:color w:val="auto"/>
              </w:rPr>
              <w:t>Pharmaceuticals, Inc., sanofi-aventis Amerique du Nord, and the Registrant.</w:t>
            </w:r>
          </w:p>
        </w:tc>
        <w:tc>
          <w:tcPr>
            <w:tcW w:w="20" w:type="dxa"/>
            <w:vAlign w:val="bottom"/>
          </w:tcPr>
          <w:p>
            <w:pPr>
              <w:spacing w:after="0"/>
              <w:rPr>
                <w:sz w:val="19"/>
                <w:szCs w:val="19"/>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10.16*</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(n)</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Amended and Restated Non-Exclusive License Agreement, dated as of July 1, 2008 by and between Cellectis, S.A. and the Registrant.</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10.17</w:t>
            </w:r>
          </w:p>
        </w:tc>
        <w:tc>
          <w:tcPr>
            <w:tcW w:w="480" w:type="dxa"/>
            <w:vAlign w:val="bottom"/>
          </w:tcPr>
          <w:p>
            <w:pPr>
              <w:ind w:left="120"/>
              <w:spacing w:after="0"/>
              <w:rPr>
                <w:sz w:val="20"/>
                <w:szCs w:val="20"/>
                <w:color w:val="auto"/>
              </w:rPr>
            </w:pPr>
            <w:r>
              <w:rPr>
                <w:rFonts w:ascii="Arial" w:cs="Arial" w:eastAsia="Arial" w:hAnsi="Arial"/>
                <w:sz w:val="16"/>
                <w:szCs w:val="16"/>
                <w:color w:val="auto"/>
              </w:rPr>
              <w:t>(z)</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Purchase Agreement, dated as of October 18, 2011, between Regeneron Pharmaceuticals, Inc. and Goldman, Sachs &amp; Co.</w:t>
            </w:r>
          </w:p>
        </w:tc>
        <w:tc>
          <w:tcPr>
            <w:tcW w:w="20" w:type="dxa"/>
            <w:vAlign w:val="bottom"/>
          </w:tcPr>
          <w:p>
            <w:pPr>
              <w:spacing w:after="0"/>
              <w:rPr>
                <w:sz w:val="18"/>
                <w:szCs w:val="18"/>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10.18</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(z)</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3"/>
              </w:rPr>
              <w:t>Master Terms and Conditions for Convertible Note Hedging Transactions, dated October 18, 2011, between Goldman, Sachs &amp; Co. and Regeneron</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Pharmaceuticals, Inc.</w:t>
            </w:r>
          </w:p>
        </w:tc>
        <w:tc>
          <w:tcPr>
            <w:tcW w:w="20" w:type="dxa"/>
            <w:vAlign w:val="bottom"/>
          </w:tcPr>
          <w:p>
            <w:pPr>
              <w:spacing w:after="0"/>
              <w:rPr>
                <w:sz w:val="20"/>
                <w:szCs w:val="20"/>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10.19</w:t>
            </w:r>
          </w:p>
        </w:tc>
        <w:tc>
          <w:tcPr>
            <w:tcW w:w="480" w:type="dxa"/>
            <w:vAlign w:val="bottom"/>
          </w:tcPr>
          <w:p>
            <w:pPr>
              <w:ind w:left="120"/>
              <w:spacing w:after="0"/>
              <w:rPr>
                <w:sz w:val="20"/>
                <w:szCs w:val="20"/>
                <w:color w:val="auto"/>
              </w:rPr>
            </w:pPr>
            <w:r>
              <w:rPr>
                <w:rFonts w:ascii="Arial" w:cs="Arial" w:eastAsia="Arial" w:hAnsi="Arial"/>
                <w:sz w:val="16"/>
                <w:szCs w:val="16"/>
                <w:color w:val="auto"/>
              </w:rPr>
              <w:t>(z)</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95"/>
              </w:rPr>
              <w:t>Master Terms and Conditions for Base Warrants, dated October 18, 2011, between Goldman, Sachs &amp; Co. and Regeneron Pharmaceuticals, Inc.</w:t>
            </w:r>
          </w:p>
        </w:tc>
        <w:tc>
          <w:tcPr>
            <w:tcW w:w="20" w:type="dxa"/>
            <w:vAlign w:val="bottom"/>
          </w:tcPr>
          <w:p>
            <w:pPr>
              <w:spacing w:after="0"/>
              <w:rPr>
                <w:sz w:val="18"/>
                <w:szCs w:val="18"/>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10.20</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(z)</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9"/>
              </w:rPr>
              <w:t>Master Terms and Conditions for Convertible Note Hedging Transactions, dated October 18, 2011, between Citibank, N.A. and Regeneron</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Pharmaceuticals, Inc.</w:t>
            </w:r>
          </w:p>
        </w:tc>
        <w:tc>
          <w:tcPr>
            <w:tcW w:w="20" w:type="dxa"/>
            <w:vAlign w:val="bottom"/>
          </w:tcPr>
          <w:p>
            <w:pPr>
              <w:spacing w:after="0"/>
              <w:rPr>
                <w:sz w:val="20"/>
                <w:szCs w:val="20"/>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10.21</w:t>
            </w:r>
          </w:p>
        </w:tc>
        <w:tc>
          <w:tcPr>
            <w:tcW w:w="480" w:type="dxa"/>
            <w:vAlign w:val="bottom"/>
          </w:tcPr>
          <w:p>
            <w:pPr>
              <w:ind w:left="120"/>
              <w:spacing w:after="0"/>
              <w:rPr>
                <w:sz w:val="20"/>
                <w:szCs w:val="20"/>
                <w:color w:val="auto"/>
              </w:rPr>
            </w:pPr>
            <w:r>
              <w:rPr>
                <w:rFonts w:ascii="Arial" w:cs="Arial" w:eastAsia="Arial" w:hAnsi="Arial"/>
                <w:sz w:val="16"/>
                <w:szCs w:val="16"/>
                <w:color w:val="auto"/>
              </w:rPr>
              <w:t>(z)</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Master Terms and Conditions for Base Warrants, dated October 18, 2011, between Citibank, N.A. and Regeneron Pharmaceuticals, Inc.</w:t>
            </w:r>
          </w:p>
        </w:tc>
        <w:tc>
          <w:tcPr>
            <w:tcW w:w="20" w:type="dxa"/>
            <w:vAlign w:val="bottom"/>
          </w:tcPr>
          <w:p>
            <w:pPr>
              <w:spacing w:after="0"/>
              <w:rPr>
                <w:sz w:val="18"/>
                <w:szCs w:val="18"/>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10.22</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(z)</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1"/>
              </w:rPr>
              <w:t>Master Terms and Conditions for Convertible Note Hedging Transactions, dated October 18, 2011, between Credit Suisse International and Regeneron</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Pharmaceuticals, Inc.</w:t>
            </w:r>
          </w:p>
        </w:tc>
        <w:tc>
          <w:tcPr>
            <w:tcW w:w="20" w:type="dxa"/>
            <w:vAlign w:val="bottom"/>
          </w:tcPr>
          <w:p>
            <w:pPr>
              <w:spacing w:after="0"/>
              <w:rPr>
                <w:sz w:val="20"/>
                <w:szCs w:val="20"/>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10.23</w:t>
            </w:r>
          </w:p>
        </w:tc>
        <w:tc>
          <w:tcPr>
            <w:tcW w:w="480" w:type="dxa"/>
            <w:vAlign w:val="bottom"/>
          </w:tcPr>
          <w:p>
            <w:pPr>
              <w:ind w:left="120"/>
              <w:spacing w:after="0"/>
              <w:rPr>
                <w:sz w:val="20"/>
                <w:szCs w:val="20"/>
                <w:color w:val="auto"/>
              </w:rPr>
            </w:pPr>
            <w:r>
              <w:rPr>
                <w:rFonts w:ascii="Arial" w:cs="Arial" w:eastAsia="Arial" w:hAnsi="Arial"/>
                <w:sz w:val="16"/>
                <w:szCs w:val="16"/>
                <w:color w:val="auto"/>
              </w:rPr>
              <w:t>(z)</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92"/>
              </w:rPr>
              <w:t>Master Terms and Conditions for Base Warrants, dated October 18, 2011, between Credit Suisse International and Regeneron Pharmaceuticals, Inc.</w:t>
            </w:r>
          </w:p>
        </w:tc>
        <w:tc>
          <w:tcPr>
            <w:tcW w:w="20" w:type="dxa"/>
            <w:vAlign w:val="bottom"/>
          </w:tcPr>
          <w:p>
            <w:pPr>
              <w:spacing w:after="0"/>
              <w:rPr>
                <w:sz w:val="18"/>
                <w:szCs w:val="18"/>
                <w:color w:val="auto"/>
              </w:rPr>
            </w:pPr>
          </w:p>
        </w:tc>
      </w:tr>
      <w:tr>
        <w:trPr>
          <w:trHeight w:val="211"/>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10.24</w:t>
            </w:r>
          </w:p>
        </w:tc>
        <w:tc>
          <w:tcPr>
            <w:tcW w:w="480" w:type="dxa"/>
            <w:vAlign w:val="bottom"/>
            <w:shd w:val="clear" w:color="auto" w:fill="C0C0C0"/>
          </w:tcPr>
          <w:p>
            <w:pPr>
              <w:ind w:left="120"/>
              <w:spacing w:after="0"/>
              <w:rPr>
                <w:sz w:val="20"/>
                <w:szCs w:val="20"/>
                <w:color w:val="auto"/>
              </w:rPr>
            </w:pPr>
            <w:r>
              <w:rPr>
                <w:rFonts w:ascii="Arial" w:cs="Arial" w:eastAsia="Arial" w:hAnsi="Arial"/>
                <w:sz w:val="16"/>
                <w:szCs w:val="16"/>
                <w:color w:val="auto"/>
              </w:rPr>
              <w:t>(z)</w:t>
            </w: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w w:val="91"/>
              </w:rPr>
              <w:t>Master Terms and Conditions for Convertible Note Hedging Transactions, dated October 18, 2011, between Morgan Stanley &amp; Co. International plc and</w:t>
            </w:r>
          </w:p>
        </w:tc>
        <w:tc>
          <w:tcPr>
            <w:tcW w:w="20" w:type="dxa"/>
            <w:vAlign w:val="bottom"/>
          </w:tcPr>
          <w:p>
            <w:pPr>
              <w:spacing w:after="0"/>
              <w:rPr>
                <w:sz w:val="18"/>
                <w:szCs w:val="18"/>
                <w:color w:val="auto"/>
              </w:rPr>
            </w:pPr>
          </w:p>
        </w:tc>
      </w:tr>
      <w:tr>
        <w:trPr>
          <w:trHeight w:val="233"/>
        </w:trPr>
        <w:tc>
          <w:tcPr>
            <w:tcW w:w="68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Regeneron Pharmaceuticals, Inc.</w:t>
            </w:r>
          </w:p>
        </w:tc>
        <w:tc>
          <w:tcPr>
            <w:tcW w:w="20" w:type="dxa"/>
            <w:vAlign w:val="bottom"/>
          </w:tcPr>
          <w:p>
            <w:pPr>
              <w:spacing w:after="0"/>
              <w:rPr>
                <w:sz w:val="20"/>
                <w:szCs w:val="20"/>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6"/>
                <w:szCs w:val="16"/>
                <w:color w:val="auto"/>
              </w:rPr>
              <w:t>10.25</w:t>
            </w:r>
          </w:p>
        </w:tc>
        <w:tc>
          <w:tcPr>
            <w:tcW w:w="480" w:type="dxa"/>
            <w:vAlign w:val="bottom"/>
          </w:tcPr>
          <w:p>
            <w:pPr>
              <w:ind w:left="120"/>
              <w:spacing w:after="0"/>
              <w:rPr>
                <w:sz w:val="20"/>
                <w:szCs w:val="20"/>
                <w:color w:val="auto"/>
              </w:rPr>
            </w:pPr>
            <w:r>
              <w:rPr>
                <w:rFonts w:ascii="Arial" w:cs="Arial" w:eastAsia="Arial" w:hAnsi="Arial"/>
                <w:sz w:val="16"/>
                <w:szCs w:val="16"/>
                <w:color w:val="auto"/>
              </w:rPr>
              <w:t>(z)</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w w:val="99"/>
              </w:rPr>
              <w:t>Master Terms and Conditions for Base Warrants, dated October 18, 2011, between Morgan Stanley &amp; Co. International plc and Regeneron</w:t>
            </w:r>
          </w:p>
        </w:tc>
        <w:tc>
          <w:tcPr>
            <w:tcW w:w="20" w:type="dxa"/>
            <w:vAlign w:val="bottom"/>
          </w:tcPr>
          <w:p>
            <w:pPr>
              <w:spacing w:after="0"/>
              <w:rPr>
                <w:sz w:val="17"/>
                <w:szCs w:val="17"/>
                <w:color w:val="auto"/>
              </w:rPr>
            </w:pPr>
          </w:p>
        </w:tc>
      </w:tr>
      <w:tr>
        <w:trPr>
          <w:trHeight w:val="226"/>
        </w:trPr>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6"/>
                <w:szCs w:val="16"/>
                <w:color w:val="auto"/>
              </w:rPr>
              <w:t>Pharmaceuticals, Inc.</w:t>
            </w:r>
          </w:p>
        </w:tc>
        <w:tc>
          <w:tcPr>
            <w:tcW w:w="20" w:type="dxa"/>
            <w:vAlign w:val="bottom"/>
          </w:tcPr>
          <w:p>
            <w:pPr>
              <w:spacing w:after="0"/>
              <w:rPr>
                <w:sz w:val="19"/>
                <w:szCs w:val="19"/>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10.26**</w:t>
            </w:r>
          </w:p>
        </w:tc>
        <w:tc>
          <w:tcPr>
            <w:tcW w:w="480" w:type="dxa"/>
            <w:vAlign w:val="bottom"/>
            <w:shd w:val="clear" w:color="auto" w:fill="C0C0C0"/>
          </w:tcPr>
          <w:p>
            <w:pPr>
              <w:spacing w:after="0"/>
              <w:rPr>
                <w:sz w:val="19"/>
                <w:szCs w:val="19"/>
                <w:color w:val="auto"/>
              </w:rPr>
            </w:pP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Non-exclusive License and Partial Settlement Agreement with Genentech, Inc.</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23.1</w:t>
            </w:r>
          </w:p>
        </w:tc>
        <w:tc>
          <w:tcPr>
            <w:tcW w:w="480" w:type="dxa"/>
            <w:vAlign w:val="bottom"/>
          </w:tcPr>
          <w:p>
            <w:pPr>
              <w:spacing w:after="0"/>
              <w:rPr>
                <w:sz w:val="18"/>
                <w:szCs w:val="18"/>
                <w:color w:val="auto"/>
              </w:rPr>
            </w:pP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Consent of PricewaterhouseCoopers LLP, Independent Registered Public Accounting Firm.</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24.1</w:t>
            </w:r>
          </w:p>
        </w:tc>
        <w:tc>
          <w:tcPr>
            <w:tcW w:w="480" w:type="dxa"/>
            <w:vAlign w:val="bottom"/>
            <w:shd w:val="clear" w:color="auto" w:fill="C0C0C0"/>
          </w:tcPr>
          <w:p>
            <w:pPr>
              <w:spacing w:after="0"/>
              <w:rPr>
                <w:sz w:val="19"/>
                <w:szCs w:val="19"/>
                <w:color w:val="auto"/>
              </w:rPr>
            </w:pP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Power of Attorney (included on the signature page of this Annual Report on Form 10-K).</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31.1</w:t>
            </w:r>
          </w:p>
        </w:tc>
        <w:tc>
          <w:tcPr>
            <w:tcW w:w="480" w:type="dxa"/>
            <w:vAlign w:val="bottom"/>
          </w:tcPr>
          <w:p>
            <w:pPr>
              <w:spacing w:after="0"/>
              <w:rPr>
                <w:sz w:val="18"/>
                <w:szCs w:val="18"/>
                <w:color w:val="auto"/>
              </w:rPr>
            </w:pP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Certification of CEO pursuant to Rule 13a-14(a) under the Securities Exchange Act of 1934.</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31.2</w:t>
            </w:r>
          </w:p>
        </w:tc>
        <w:tc>
          <w:tcPr>
            <w:tcW w:w="480" w:type="dxa"/>
            <w:vAlign w:val="bottom"/>
            <w:shd w:val="clear" w:color="auto" w:fill="C0C0C0"/>
          </w:tcPr>
          <w:p>
            <w:pPr>
              <w:spacing w:after="0"/>
              <w:rPr>
                <w:sz w:val="19"/>
                <w:szCs w:val="19"/>
                <w:color w:val="auto"/>
              </w:rPr>
            </w:pP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Certification of CFO pursuant to Rule 13a-14(a) under the Securities Exchange Act of 1934.</w:t>
            </w:r>
          </w:p>
        </w:tc>
        <w:tc>
          <w:tcPr>
            <w:tcW w:w="20" w:type="dxa"/>
            <w:vAlign w:val="bottom"/>
          </w:tcPr>
          <w:p>
            <w:pPr>
              <w:spacing w:after="0"/>
              <w:rPr>
                <w:sz w:val="19"/>
                <w:szCs w:val="19"/>
                <w:color w:val="auto"/>
              </w:rPr>
            </w:pPr>
          </w:p>
        </w:tc>
      </w:tr>
      <w:tr>
        <w:trPr>
          <w:trHeight w:val="211"/>
        </w:trPr>
        <w:tc>
          <w:tcPr>
            <w:tcW w:w="680" w:type="dxa"/>
            <w:vAlign w:val="bottom"/>
          </w:tcPr>
          <w:p>
            <w:pPr>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18"/>
                <w:szCs w:val="18"/>
                <w:color w:val="auto"/>
              </w:rPr>
            </w:pP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tcPr>
          <w:p>
            <w:pPr>
              <w:ind w:left="140"/>
              <w:spacing w:after="0"/>
              <w:rPr>
                <w:sz w:val="20"/>
                <w:szCs w:val="20"/>
                <w:color w:val="auto"/>
              </w:rPr>
            </w:pPr>
            <w:r>
              <w:rPr>
                <w:rFonts w:ascii="Arial" w:cs="Arial" w:eastAsia="Arial" w:hAnsi="Arial"/>
                <w:sz w:val="16"/>
                <w:szCs w:val="16"/>
                <w:color w:val="auto"/>
              </w:rPr>
              <w:t>Certification of CEO and CFO pursuant to 18 U.S.C. Section 1350.</w:t>
            </w:r>
          </w:p>
        </w:tc>
        <w:tc>
          <w:tcPr>
            <w:tcW w:w="20" w:type="dxa"/>
            <w:vAlign w:val="bottom"/>
          </w:tcPr>
          <w:p>
            <w:pPr>
              <w:spacing w:after="0"/>
              <w:rPr>
                <w:sz w:val="18"/>
                <w:szCs w:val="18"/>
                <w:color w:val="auto"/>
              </w:rPr>
            </w:pPr>
          </w:p>
        </w:tc>
      </w:tr>
      <w:tr>
        <w:trPr>
          <w:trHeight w:val="226"/>
        </w:trPr>
        <w:tc>
          <w:tcPr>
            <w:tcW w:w="680" w:type="dxa"/>
            <w:vAlign w:val="bottom"/>
            <w:shd w:val="clear" w:color="auto" w:fill="C0C0C0"/>
          </w:tcPr>
          <w:p>
            <w:pPr>
              <w:spacing w:after="0"/>
              <w:rPr>
                <w:sz w:val="20"/>
                <w:szCs w:val="20"/>
                <w:color w:val="auto"/>
              </w:rPr>
            </w:pPr>
            <w:r>
              <w:rPr>
                <w:rFonts w:ascii="Arial" w:cs="Arial" w:eastAsia="Arial" w:hAnsi="Arial"/>
                <w:sz w:val="16"/>
                <w:szCs w:val="16"/>
                <w:color w:val="auto"/>
              </w:rPr>
              <w:t>101</w:t>
            </w:r>
          </w:p>
        </w:tc>
        <w:tc>
          <w:tcPr>
            <w:tcW w:w="480" w:type="dxa"/>
            <w:vAlign w:val="bottom"/>
            <w:shd w:val="clear" w:color="auto" w:fill="C0C0C0"/>
          </w:tcPr>
          <w:p>
            <w:pPr>
              <w:spacing w:after="0"/>
              <w:rPr>
                <w:sz w:val="19"/>
                <w:szCs w:val="19"/>
                <w:color w:val="auto"/>
              </w:rPr>
            </w:pPr>
          </w:p>
        </w:tc>
        <w:tc>
          <w:tcPr>
            <w:tcW w:w="340" w:type="dxa"/>
            <w:vAlign w:val="bottom"/>
            <w:shd w:val="clear" w:color="auto" w:fill="C0C0C0"/>
          </w:tcPr>
          <w:p>
            <w:pPr>
              <w:jc w:val="right"/>
              <w:ind w:right="81"/>
              <w:spacing w:after="0"/>
              <w:rPr>
                <w:sz w:val="20"/>
                <w:szCs w:val="20"/>
                <w:color w:val="auto"/>
              </w:rPr>
            </w:pPr>
            <w:r>
              <w:rPr>
                <w:rFonts w:ascii="Arial" w:cs="Arial" w:eastAsia="Arial" w:hAnsi="Arial"/>
                <w:sz w:val="16"/>
                <w:szCs w:val="16"/>
                <w:color w:val="auto"/>
              </w:rPr>
              <w:t>-</w:t>
            </w:r>
          </w:p>
        </w:tc>
        <w:tc>
          <w:tcPr>
            <w:tcW w:w="9940" w:type="dxa"/>
            <w:vAlign w:val="bottom"/>
            <w:shd w:val="clear" w:color="auto" w:fill="C0C0C0"/>
          </w:tcPr>
          <w:p>
            <w:pPr>
              <w:ind w:left="140"/>
              <w:spacing w:after="0"/>
              <w:rPr>
                <w:sz w:val="20"/>
                <w:szCs w:val="20"/>
                <w:color w:val="auto"/>
              </w:rPr>
            </w:pPr>
            <w:r>
              <w:rPr>
                <w:rFonts w:ascii="Arial" w:cs="Arial" w:eastAsia="Arial" w:hAnsi="Arial"/>
                <w:sz w:val="16"/>
                <w:szCs w:val="16"/>
                <w:color w:val="auto"/>
              </w:rPr>
              <w:t>Interactive Data File</w:t>
            </w:r>
          </w:p>
        </w:tc>
        <w:tc>
          <w:tcPr>
            <w:tcW w:w="20" w:type="dxa"/>
            <w:vAlign w:val="bottom"/>
          </w:tcPr>
          <w:p>
            <w:pPr>
              <w:spacing w:after="0"/>
              <w:rPr>
                <w:sz w:val="19"/>
                <w:szCs w:val="19"/>
                <w:color w:val="auto"/>
              </w:rPr>
            </w:pPr>
          </w:p>
        </w:tc>
      </w:tr>
      <w:tr>
        <w:trPr>
          <w:trHeight w:val="410"/>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4"/>
                <w:szCs w:val="24"/>
                <w:color w:val="auto"/>
              </w:rPr>
            </w:pPr>
          </w:p>
        </w:tc>
      </w:tr>
      <w:tr>
        <w:trPr>
          <w:trHeight w:val="326"/>
        </w:trPr>
        <w:tc>
          <w:tcPr>
            <w:tcW w:w="6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358" w:right="1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8"/>
        </w:trPr>
        <w:tc>
          <w:tcPr>
            <w:tcW w:w="1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101.INS</w:t>
            </w:r>
          </w:p>
        </w:tc>
        <w:tc>
          <w:tcPr>
            <w:tcW w:w="10380" w:type="dxa"/>
            <w:vAlign w:val="bottom"/>
            <w:shd w:val="clear" w:color="auto" w:fill="C0C0C0"/>
          </w:tcPr>
          <w:p>
            <w:pPr>
              <w:ind w:left="200"/>
              <w:spacing w:after="0"/>
              <w:rPr>
                <w:sz w:val="20"/>
                <w:szCs w:val="20"/>
                <w:color w:val="auto"/>
              </w:rPr>
            </w:pPr>
            <w:r>
              <w:rPr>
                <w:rFonts w:ascii="Arial" w:cs="Arial" w:eastAsia="Arial" w:hAnsi="Arial"/>
                <w:sz w:val="16"/>
                <w:szCs w:val="16"/>
                <w:color w:val="auto"/>
                <w:w w:val="91"/>
              </w:rPr>
              <w:t>-XBRL Instance Document</w:t>
            </w:r>
          </w:p>
        </w:tc>
      </w:tr>
      <w:tr>
        <w:trPr>
          <w:trHeight w:val="211"/>
        </w:trPr>
        <w:tc>
          <w:tcPr>
            <w:tcW w:w="1060" w:type="dxa"/>
            <w:vAlign w:val="bottom"/>
          </w:tcPr>
          <w:p>
            <w:pPr>
              <w:ind w:left="280"/>
              <w:spacing w:after="0"/>
              <w:rPr>
                <w:sz w:val="20"/>
                <w:szCs w:val="20"/>
                <w:color w:val="auto"/>
              </w:rPr>
            </w:pPr>
            <w:r>
              <w:rPr>
                <w:rFonts w:ascii="Arial" w:cs="Arial" w:eastAsia="Arial" w:hAnsi="Arial"/>
                <w:sz w:val="16"/>
                <w:szCs w:val="16"/>
                <w:color w:val="auto"/>
              </w:rPr>
              <w:t>101.SCH</w:t>
            </w:r>
          </w:p>
        </w:tc>
        <w:tc>
          <w:tcPr>
            <w:tcW w:w="10380" w:type="dxa"/>
            <w:vAlign w:val="bottom"/>
          </w:tcPr>
          <w:p>
            <w:pPr>
              <w:ind w:left="200"/>
              <w:spacing w:after="0"/>
              <w:rPr>
                <w:sz w:val="20"/>
                <w:szCs w:val="20"/>
                <w:color w:val="auto"/>
              </w:rPr>
            </w:pPr>
            <w:r>
              <w:rPr>
                <w:rFonts w:ascii="Arial" w:cs="Arial" w:eastAsia="Arial" w:hAnsi="Arial"/>
                <w:sz w:val="16"/>
                <w:szCs w:val="16"/>
                <w:color w:val="auto"/>
                <w:w w:val="90"/>
              </w:rPr>
              <w:t>-XBRL Taxonomy Extension Schema</w:t>
            </w:r>
          </w:p>
        </w:tc>
      </w:tr>
      <w:tr>
        <w:trPr>
          <w:trHeight w:val="226"/>
        </w:trPr>
        <w:tc>
          <w:tcPr>
            <w:tcW w:w="1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101.CAL</w:t>
            </w:r>
          </w:p>
        </w:tc>
        <w:tc>
          <w:tcPr>
            <w:tcW w:w="10380" w:type="dxa"/>
            <w:vAlign w:val="bottom"/>
            <w:shd w:val="clear" w:color="auto" w:fill="C0C0C0"/>
          </w:tcPr>
          <w:p>
            <w:pPr>
              <w:ind w:left="200"/>
              <w:spacing w:after="0"/>
              <w:rPr>
                <w:sz w:val="20"/>
                <w:szCs w:val="20"/>
                <w:color w:val="auto"/>
              </w:rPr>
            </w:pPr>
            <w:r>
              <w:rPr>
                <w:rFonts w:ascii="Arial" w:cs="Arial" w:eastAsia="Arial" w:hAnsi="Arial"/>
                <w:sz w:val="16"/>
                <w:szCs w:val="16"/>
                <w:color w:val="auto"/>
                <w:w w:val="91"/>
              </w:rPr>
              <w:t>-XBRL Taxonomy Extension Calculation Linkbase</w:t>
            </w:r>
          </w:p>
        </w:tc>
      </w:tr>
      <w:tr>
        <w:trPr>
          <w:trHeight w:val="211"/>
        </w:trPr>
        <w:tc>
          <w:tcPr>
            <w:tcW w:w="1060" w:type="dxa"/>
            <w:vAlign w:val="bottom"/>
          </w:tcPr>
          <w:p>
            <w:pPr>
              <w:ind w:left="280"/>
              <w:spacing w:after="0"/>
              <w:rPr>
                <w:sz w:val="20"/>
                <w:szCs w:val="20"/>
                <w:color w:val="auto"/>
              </w:rPr>
            </w:pPr>
            <w:r>
              <w:rPr>
                <w:rFonts w:ascii="Arial" w:cs="Arial" w:eastAsia="Arial" w:hAnsi="Arial"/>
                <w:sz w:val="16"/>
                <w:szCs w:val="16"/>
                <w:color w:val="auto"/>
              </w:rPr>
              <w:t>101.LAB</w:t>
            </w:r>
          </w:p>
        </w:tc>
        <w:tc>
          <w:tcPr>
            <w:tcW w:w="10380" w:type="dxa"/>
            <w:vAlign w:val="bottom"/>
          </w:tcPr>
          <w:p>
            <w:pPr>
              <w:ind w:left="200"/>
              <w:spacing w:after="0"/>
              <w:rPr>
                <w:sz w:val="20"/>
                <w:szCs w:val="20"/>
                <w:color w:val="auto"/>
              </w:rPr>
            </w:pPr>
            <w:r>
              <w:rPr>
                <w:rFonts w:ascii="Arial" w:cs="Arial" w:eastAsia="Arial" w:hAnsi="Arial"/>
                <w:sz w:val="16"/>
                <w:szCs w:val="16"/>
                <w:color w:val="auto"/>
                <w:w w:val="91"/>
              </w:rPr>
              <w:t>-XBRL Taxonomy Extension Label Linkbase</w:t>
            </w:r>
          </w:p>
        </w:tc>
      </w:tr>
      <w:tr>
        <w:trPr>
          <w:trHeight w:val="226"/>
        </w:trPr>
        <w:tc>
          <w:tcPr>
            <w:tcW w:w="1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101.PRE</w:t>
            </w:r>
          </w:p>
        </w:tc>
        <w:tc>
          <w:tcPr>
            <w:tcW w:w="10380" w:type="dxa"/>
            <w:vAlign w:val="bottom"/>
            <w:shd w:val="clear" w:color="auto" w:fill="C0C0C0"/>
          </w:tcPr>
          <w:p>
            <w:pPr>
              <w:ind w:left="200"/>
              <w:spacing w:after="0"/>
              <w:rPr>
                <w:sz w:val="20"/>
                <w:szCs w:val="20"/>
                <w:color w:val="auto"/>
              </w:rPr>
            </w:pPr>
            <w:r>
              <w:rPr>
                <w:rFonts w:ascii="Arial" w:cs="Arial" w:eastAsia="Arial" w:hAnsi="Arial"/>
                <w:sz w:val="16"/>
                <w:szCs w:val="16"/>
                <w:color w:val="auto"/>
                <w:w w:val="90"/>
              </w:rPr>
              <w:t>-XBRL Taxonomy Extension Presentation Linkbase</w:t>
            </w:r>
          </w:p>
        </w:tc>
      </w:tr>
      <w:tr>
        <w:trPr>
          <w:trHeight w:val="204"/>
        </w:trPr>
        <w:tc>
          <w:tcPr>
            <w:tcW w:w="1060" w:type="dxa"/>
            <w:vAlign w:val="bottom"/>
          </w:tcPr>
          <w:p>
            <w:pPr>
              <w:ind w:left="280"/>
              <w:spacing w:after="0"/>
              <w:rPr>
                <w:sz w:val="20"/>
                <w:szCs w:val="20"/>
                <w:color w:val="auto"/>
              </w:rPr>
            </w:pPr>
            <w:r>
              <w:rPr>
                <w:rFonts w:ascii="Arial" w:cs="Arial" w:eastAsia="Arial" w:hAnsi="Arial"/>
                <w:sz w:val="16"/>
                <w:szCs w:val="16"/>
                <w:color w:val="auto"/>
              </w:rPr>
              <w:t>101.DEF</w:t>
            </w:r>
          </w:p>
        </w:tc>
        <w:tc>
          <w:tcPr>
            <w:tcW w:w="10380" w:type="dxa"/>
            <w:vAlign w:val="bottom"/>
          </w:tcPr>
          <w:p>
            <w:pPr>
              <w:ind w:left="200"/>
              <w:spacing w:after="0"/>
              <w:rPr>
                <w:sz w:val="20"/>
                <w:szCs w:val="20"/>
                <w:color w:val="auto"/>
              </w:rPr>
            </w:pPr>
            <w:r>
              <w:rPr>
                <w:rFonts w:ascii="Arial" w:cs="Arial" w:eastAsia="Arial" w:hAnsi="Arial"/>
                <w:sz w:val="16"/>
                <w:szCs w:val="16"/>
                <w:color w:val="auto"/>
                <w:w w:val="92"/>
              </w:rPr>
              <w:t>-XBRL Taxonomy Extension Definition Document</w:t>
            </w:r>
          </w:p>
        </w:tc>
      </w:tr>
    </w:tbl>
    <w:p>
      <w:pPr>
        <w:spacing w:after="0"/>
        <w:rPr>
          <w:sz w:val="20"/>
          <w:szCs w:val="20"/>
          <w:color w:val="auto"/>
        </w:rPr>
      </w:pPr>
      <w:r>
        <w:rPr>
          <w:rFonts w:ascii="Arial" w:cs="Arial" w:eastAsia="Arial" w:hAnsi="Arial"/>
          <w:sz w:val="19"/>
          <w:szCs w:val="19"/>
          <w:color w:val="auto"/>
        </w:rPr>
        <w:t>____________________</w:t>
      </w:r>
    </w:p>
    <w:p>
      <w:pPr>
        <w:spacing w:after="0" w:line="224" w:lineRule="exact"/>
        <w:rPr>
          <w:sz w:val="20"/>
          <w:szCs w:val="20"/>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November 13, 2007.</w:t>
      </w:r>
    </w:p>
    <w:p>
      <w:pPr>
        <w:spacing w:after="0" w:line="252"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December 16, 2005.</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December 13, 2004.</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2004, filed March 11, 2005.</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2003, filed November 12, 2003.</w:t>
      </w:r>
    </w:p>
    <w:p>
      <w:pPr>
        <w:spacing w:after="0" w:line="240" w:lineRule="exact"/>
        <w:rPr>
          <w:rFonts w:ascii="Arial" w:cs="Arial" w:eastAsia="Arial" w:hAnsi="Arial"/>
          <w:sz w:val="15"/>
          <w:szCs w:val="15"/>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January 11, 2005.</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2005, filed February 28, 2006.</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2006, filed November 6, 2006.</w:t>
      </w:r>
    </w:p>
    <w:p>
      <w:pPr>
        <w:spacing w:after="0" w:line="240" w:lineRule="exact"/>
        <w:rPr>
          <w:rFonts w:ascii="Arial" w:cs="Arial" w:eastAsia="Arial" w:hAnsi="Arial"/>
          <w:sz w:val="15"/>
          <w:szCs w:val="15"/>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2006, filed March 12, 2007.</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2007, filed May 4, 2007.</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2007, filed November 7, 2007.</w:t>
      </w:r>
    </w:p>
    <w:p>
      <w:pPr>
        <w:spacing w:after="0" w:line="240" w:lineRule="exact"/>
        <w:rPr>
          <w:rFonts w:ascii="Arial" w:cs="Arial" w:eastAsia="Arial" w:hAnsi="Arial"/>
          <w:sz w:val="15"/>
          <w:szCs w:val="15"/>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2007, filed February 27, 2008.</w:t>
      </w:r>
    </w:p>
    <w:p>
      <w:pPr>
        <w:spacing w:after="0" w:line="228" w:lineRule="exact"/>
        <w:rPr>
          <w:rFonts w:ascii="Arial" w:cs="Arial" w:eastAsia="Arial" w:hAnsi="Arial"/>
          <w:sz w:val="16"/>
          <w:szCs w:val="16"/>
          <w:color w:val="auto"/>
        </w:rPr>
      </w:pPr>
    </w:p>
    <w:p>
      <w:pPr>
        <w:ind w:left="720" w:hanging="480"/>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2008, filed August 1, 2008.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81" w:name="page82"/>
    <w:bookmarkEnd w:id="81"/>
    <w:p>
      <w:pPr>
        <w:ind w:left="740" w:hanging="500"/>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2008, filed November 5, 2008.</w:t>
      </w:r>
    </w:p>
    <w:p>
      <w:pPr>
        <w:spacing w:after="0" w:line="264" w:lineRule="exact"/>
        <w:rPr>
          <w:rFonts w:ascii="Arial" w:cs="Arial" w:eastAsia="Arial" w:hAnsi="Arial"/>
          <w:sz w:val="15"/>
          <w:szCs w:val="15"/>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2008, filed February 26, 2009.</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2009, filed April 30, 2009.</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2009, filed August 4, 2009.</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December 8, 2009.</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February 16, 2010.</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2009, filed February 18, 2010.</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2010, filed July 28, 2010.</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2010, filed October 28, 2010.</w:t>
      </w:r>
    </w:p>
    <w:p>
      <w:pPr>
        <w:spacing w:after="0" w:line="240" w:lineRule="exact"/>
        <w:rPr>
          <w:rFonts w:ascii="Arial" w:cs="Arial" w:eastAsia="Arial" w:hAnsi="Arial"/>
          <w:sz w:val="15"/>
          <w:szCs w:val="15"/>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2010, filed February 17, 2011.</w:t>
      </w:r>
    </w:p>
    <w:p>
      <w:pPr>
        <w:spacing w:after="0" w:line="21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2"/>
          <w:szCs w:val="12"/>
          <w:color w:val="auto"/>
        </w:rPr>
        <w:t>Incorporated by reference from the Registration Statement on Form S-8 for Regeneron Pharmaceuticals, Inc.</w:t>
      </w:r>
      <w:r>
        <w:rPr>
          <w:rFonts w:ascii="Arial" w:cs="Arial" w:eastAsia="Arial" w:hAnsi="Arial"/>
          <w:sz w:val="19"/>
          <w:szCs w:val="19"/>
          <w:color w:val="auto"/>
        </w:rPr>
        <w:t>,</w:t>
      </w:r>
      <w:r>
        <w:rPr>
          <w:rFonts w:ascii="Arial" w:cs="Arial" w:eastAsia="Arial" w:hAnsi="Arial"/>
          <w:sz w:val="12"/>
          <w:szCs w:val="12"/>
          <w:color w:val="auto"/>
        </w:rPr>
        <w:t xml:space="preserve"> </w:t>
      </w:r>
      <w:r>
        <w:rPr>
          <w:rFonts w:ascii="Arial" w:cs="Arial" w:eastAsia="Arial" w:hAnsi="Arial"/>
          <w:sz w:val="15"/>
          <w:szCs w:val="15"/>
          <w:color w:val="auto"/>
        </w:rPr>
        <w:t>filed June 13, 2011.</w:t>
      </w:r>
    </w:p>
    <w:p>
      <w:pPr>
        <w:spacing w:after="0" w:line="228" w:lineRule="exact"/>
        <w:rPr>
          <w:rFonts w:ascii="Arial" w:cs="Arial" w:eastAsia="Arial" w:hAnsi="Arial"/>
          <w:sz w:val="16"/>
          <w:szCs w:val="16"/>
          <w:color w:val="auto"/>
        </w:rPr>
      </w:pPr>
    </w:p>
    <w:p>
      <w:pPr>
        <w:ind w:left="740" w:hanging="500"/>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8-K for Regeneron Pharmaceuticals, Inc., filed October 24, 2011.</w:t>
      </w:r>
    </w:p>
    <w:p>
      <w:pPr>
        <w:spacing w:after="0" w:line="253" w:lineRule="exact"/>
        <w:rPr>
          <w:sz w:val="20"/>
          <w:szCs w:val="20"/>
          <w:color w:val="auto"/>
        </w:rPr>
      </w:pPr>
    </w:p>
    <w:p>
      <w:pPr>
        <w:ind w:left="740" w:hanging="500"/>
        <w:spacing w:after="0"/>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2011, filed October 27, 2011.</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w:t>
      </w:r>
    </w:p>
    <w:p>
      <w:pPr>
        <w:spacing w:after="0" w:line="229" w:lineRule="exact"/>
        <w:rPr>
          <w:sz w:val="20"/>
          <w:szCs w:val="20"/>
          <w:color w:val="auto"/>
        </w:rPr>
      </w:pPr>
    </w:p>
    <w:p>
      <w:pPr>
        <w:ind w:left="900" w:hanging="326"/>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Portions of this document have been omitted and filed separately with the Commission pursuant to requests for confidential treatment pursuant to Rule 24b-2.</w:t>
      </w:r>
    </w:p>
    <w:p>
      <w:pPr>
        <w:spacing w:after="0" w:line="264" w:lineRule="exact"/>
        <w:rPr>
          <w:sz w:val="20"/>
          <w:szCs w:val="20"/>
          <w:color w:val="auto"/>
        </w:rPr>
      </w:pPr>
    </w:p>
    <w:p>
      <w:pPr>
        <w:ind w:left="900" w:hanging="369"/>
        <w:spacing w:after="0" w:line="209" w:lineRule="auto"/>
        <w:tabs>
          <w:tab w:leader="none" w:pos="900"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The Company has requested confidential treatment of certain information contained in this exhibit. Such information has been filed separately with the Commission pursuant to the Company’s application for confidential treatment</w:t>
      </w:r>
      <w:r>
        <w:rPr>
          <w:rFonts w:ascii="Arial" w:cs="Arial" w:eastAsia="Arial" w:hAnsi="Arial"/>
          <w:sz w:val="19"/>
          <w:szCs w:val="19"/>
          <w:color w:val="auto"/>
        </w:rPr>
        <w:t>.</w:t>
      </w:r>
    </w:p>
    <w:p>
      <w:pPr>
        <w:spacing w:after="0" w:line="201" w:lineRule="exact"/>
        <w:rPr>
          <w:sz w:val="20"/>
          <w:szCs w:val="20"/>
          <w:color w:val="auto"/>
        </w:rPr>
      </w:pPr>
    </w:p>
    <w:p>
      <w:pPr>
        <w:ind w:left="900" w:hanging="33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233" w:lineRule="exact"/>
        <w:rPr>
          <w:sz w:val="20"/>
          <w:szCs w:val="20"/>
          <w:color w:val="auto"/>
        </w:rPr>
      </w:pPr>
    </w:p>
    <w:p>
      <w:pPr>
        <w:jc w:val="both"/>
        <w:ind w:right="40" w:firstLine="340"/>
        <w:spacing w:after="0" w:line="27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460"/>
        <w:spacing w:after="0"/>
        <w:rPr>
          <w:sz w:val="20"/>
          <w:szCs w:val="20"/>
          <w:color w:val="auto"/>
        </w:rPr>
      </w:pPr>
      <w:r>
        <w:rPr>
          <w:rFonts w:ascii="Arial" w:cs="Arial" w:eastAsia="Arial" w:hAnsi="Arial"/>
          <w:sz w:val="16"/>
          <w:szCs w:val="16"/>
          <w:u w:val="single" w:color="auto"/>
          <w:color w:val="auto"/>
        </w:rPr>
        <w:t>REGENERON PHARMACEUTICALS, INC.</w:t>
      </w:r>
    </w:p>
    <w:p>
      <w:pPr>
        <w:spacing w:after="0" w:line="265" w:lineRule="exact"/>
        <w:rPr>
          <w:sz w:val="20"/>
          <w:szCs w:val="20"/>
          <w:color w:val="auto"/>
        </w:rPr>
      </w:pPr>
    </w:p>
    <w:p>
      <w:pPr>
        <w:ind w:left="6460"/>
        <w:spacing w:after="0"/>
        <w:tabs>
          <w:tab w:leader="none" w:pos="6880" w:val="left"/>
        </w:tabs>
        <w:rPr>
          <w:sz w:val="20"/>
          <w:szCs w:val="20"/>
          <w:color w:val="auto"/>
        </w:rPr>
      </w:pPr>
      <w:r>
        <w:rPr>
          <w:rFonts w:ascii="Arial" w:cs="Arial" w:eastAsia="Arial" w:hAnsi="Arial"/>
          <w:sz w:val="16"/>
          <w:szCs w:val="16"/>
          <w:color w:val="auto"/>
        </w:rPr>
        <w:t>By:</w:t>
        <w:tab/>
        <w:t>/s/ L</w:t>
      </w:r>
      <w:r>
        <w:rPr>
          <w:rFonts w:ascii="Arial" w:cs="Arial" w:eastAsia="Arial" w:hAnsi="Arial"/>
          <w:sz w:val="12"/>
          <w:szCs w:val="12"/>
          <w:color w:val="auto"/>
        </w:rPr>
        <w:t>EONARD</w:t>
      </w:r>
      <w:r>
        <w:rPr>
          <w:rFonts w:ascii="Arial" w:cs="Arial" w:eastAsia="Arial" w:hAnsi="Arial"/>
          <w:sz w:val="16"/>
          <w:szCs w:val="16"/>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27305</wp:posOffset>
            </wp:positionV>
            <wp:extent cx="157988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79880" cy="7620"/>
                    </a:xfrm>
                    <a:prstGeom prst="rect">
                      <a:avLst/>
                    </a:prstGeom>
                    <a:noFill/>
                  </pic:spPr>
                </pic:pic>
              </a:graphicData>
            </a:graphic>
          </wp:anchor>
        </w:drawing>
      </w:r>
    </w:p>
    <w:p>
      <w:pPr>
        <w:spacing w:after="0" w:line="39"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Leonard S. Schleifer, M.D., Ph.D.</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President and Chief Executive Officer</w:t>
      </w:r>
    </w:p>
    <w:p>
      <w:pPr>
        <w:spacing w:after="0" w:line="25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4"/>
          <w:szCs w:val="14"/>
          <w:color w:val="auto"/>
        </w:rPr>
        <w:t>Tarrytown, New York</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February 21, 2012</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POWER OF ATTORNEY</w:t>
      </w:r>
    </w:p>
    <w:p>
      <w:pPr>
        <w:spacing w:after="0" w:line="233" w:lineRule="exact"/>
        <w:rPr>
          <w:sz w:val="20"/>
          <w:szCs w:val="20"/>
          <w:color w:val="auto"/>
        </w:rPr>
      </w:pPr>
    </w:p>
    <w:p>
      <w:pPr>
        <w:jc w:val="both"/>
        <w:ind w:right="40" w:firstLine="243"/>
        <w:spacing w:after="0" w:line="27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89" w:lineRule="exact"/>
        <w:rPr>
          <w:sz w:val="20"/>
          <w:szCs w:val="20"/>
          <w:color w:val="auto"/>
        </w:rPr>
      </w:pPr>
    </w:p>
    <w:p>
      <w:pPr>
        <w:jc w:val="both"/>
        <w:ind w:right="40" w:firstLine="243"/>
        <w:spacing w:after="0" w:line="27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ind w:left="2120"/>
              <w:spacing w:after="0"/>
              <w:rPr>
                <w:sz w:val="20"/>
                <w:szCs w:val="20"/>
                <w:color w:val="auto"/>
              </w:rPr>
            </w:pPr>
            <w:r>
              <w:rPr>
                <w:rFonts w:ascii="Arial" w:cs="Arial" w:eastAsia="Arial" w:hAnsi="Arial"/>
                <w:sz w:val="16"/>
                <w:szCs w:val="16"/>
                <w:b w:val="1"/>
                <w:bCs w:val="1"/>
                <w:color w:val="auto"/>
              </w:rPr>
              <w:t>Signature</w:t>
            </w:r>
          </w:p>
        </w:tc>
        <w:tc>
          <w:tcPr>
            <w:tcW w:w="142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27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8"/>
                <w:szCs w:val="18"/>
                <w:color w:val="auto"/>
              </w:rPr>
            </w:pPr>
          </w:p>
        </w:tc>
      </w:tr>
      <w:tr>
        <w:trPr>
          <w:trHeight w:val="210"/>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w:t>
            </w:r>
            <w:r>
              <w:rPr>
                <w:rFonts w:ascii="Arial" w:cs="Arial" w:eastAsia="Arial" w:hAnsi="Arial"/>
                <w:sz w:val="10"/>
                <w:szCs w:val="10"/>
                <w:color w:val="auto"/>
              </w:rPr>
              <w:t>EONARD</w:t>
            </w:r>
            <w:r>
              <w:rPr>
                <w:rFonts w:ascii="Arial" w:cs="Arial" w:eastAsia="Arial" w:hAnsi="Arial"/>
                <w:sz w:val="16"/>
                <w:szCs w:val="16"/>
                <w:color w:val="auto"/>
              </w:rPr>
              <w:t xml:space="preserve"> S. S</w:t>
            </w:r>
            <w:r>
              <w:rPr>
                <w:rFonts w:ascii="Arial" w:cs="Arial" w:eastAsia="Arial" w:hAnsi="Arial"/>
                <w:sz w:val="10"/>
                <w:szCs w:val="10"/>
                <w:color w:val="auto"/>
              </w:rPr>
              <w:t>CHLEIFER</w:t>
            </w:r>
          </w:p>
        </w:tc>
        <w:tc>
          <w:tcPr>
            <w:tcW w:w="1420" w:type="dxa"/>
            <w:vAlign w:val="bottom"/>
            <w:tcBorders>
              <w:bottom w:val="single" w:sz="8" w:color="auto"/>
            </w:tcBorders>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President, Chief Executive Officer, and</w:t>
            </w:r>
          </w:p>
        </w:tc>
        <w:tc>
          <w:tcPr>
            <w:tcW w:w="20" w:type="dxa"/>
            <w:vAlign w:val="bottom"/>
          </w:tcPr>
          <w:p>
            <w:pPr>
              <w:spacing w:after="0"/>
              <w:rPr>
                <w:sz w:val="18"/>
                <w:szCs w:val="18"/>
                <w:color w:val="auto"/>
              </w:rPr>
            </w:pPr>
          </w:p>
        </w:tc>
      </w:tr>
      <w:tr>
        <w:trPr>
          <w:trHeight w:val="204"/>
        </w:trPr>
        <w:tc>
          <w:tcPr>
            <w:tcW w:w="48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Leonard S. Schleifer, M.D., Ph.D.</w:t>
            </w:r>
          </w:p>
        </w:tc>
        <w:tc>
          <w:tcPr>
            <w:tcW w:w="1420" w:type="dxa"/>
            <w:vAlign w:val="bottom"/>
          </w:tcPr>
          <w:p>
            <w:pPr>
              <w:spacing w:after="0"/>
              <w:rPr>
                <w:sz w:val="17"/>
                <w:szCs w:val="17"/>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Director (Principal Executive Officer)</w:t>
            </w:r>
          </w:p>
        </w:tc>
        <w:tc>
          <w:tcPr>
            <w:tcW w:w="2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URRAY</w:t>
            </w:r>
            <w:r>
              <w:rPr>
                <w:rFonts w:ascii="Arial" w:cs="Arial" w:eastAsia="Arial" w:hAnsi="Arial"/>
                <w:sz w:val="16"/>
                <w:szCs w:val="16"/>
                <w:color w:val="auto"/>
              </w:rPr>
              <w:t xml:space="preserve"> A. G</w:t>
            </w:r>
            <w:r>
              <w:rPr>
                <w:rFonts w:ascii="Arial" w:cs="Arial" w:eastAsia="Arial" w:hAnsi="Arial"/>
                <w:sz w:val="10"/>
                <w:szCs w:val="10"/>
                <w:color w:val="auto"/>
              </w:rPr>
              <w:t>OLDBERG</w:t>
            </w:r>
          </w:p>
        </w:tc>
        <w:tc>
          <w:tcPr>
            <w:tcW w:w="1420" w:type="dxa"/>
            <w:vAlign w:val="bottom"/>
            <w:tcBorders>
              <w:bottom w:val="single" w:sz="8" w:color="auto"/>
            </w:tcBorders>
          </w:tcPr>
          <w:p>
            <w:pPr>
              <w:spacing w:after="0"/>
              <w:rPr>
                <w:sz w:val="24"/>
                <w:szCs w:val="24"/>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Senior Vice President, Finance &amp;</w:t>
            </w:r>
          </w:p>
        </w:tc>
        <w:tc>
          <w:tcPr>
            <w:tcW w:w="20" w:type="dxa"/>
            <w:vAlign w:val="bottom"/>
          </w:tcPr>
          <w:p>
            <w:pPr>
              <w:spacing w:after="0"/>
              <w:rPr>
                <w:sz w:val="24"/>
                <w:szCs w:val="24"/>
                <w:color w:val="auto"/>
              </w:rPr>
            </w:pPr>
          </w:p>
        </w:tc>
      </w:tr>
      <w:tr>
        <w:trPr>
          <w:trHeight w:val="204"/>
        </w:trPr>
        <w:tc>
          <w:tcPr>
            <w:tcW w:w="48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Murray A. Goldberg</w:t>
            </w:r>
          </w:p>
        </w:tc>
        <w:tc>
          <w:tcPr>
            <w:tcW w:w="1420" w:type="dxa"/>
            <w:vAlign w:val="bottom"/>
          </w:tcPr>
          <w:p>
            <w:pPr>
              <w:spacing w:after="0"/>
              <w:rPr>
                <w:sz w:val="17"/>
                <w:szCs w:val="17"/>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Administration, Chief Financial Officer,</w:t>
            </w:r>
          </w:p>
        </w:tc>
        <w:tc>
          <w:tcPr>
            <w:tcW w:w="20" w:type="dxa"/>
            <w:vAlign w:val="bottom"/>
          </w:tcPr>
          <w:p>
            <w:pPr>
              <w:spacing w:after="0"/>
              <w:rPr>
                <w:sz w:val="17"/>
                <w:szCs w:val="17"/>
                <w:color w:val="auto"/>
              </w:rPr>
            </w:pPr>
          </w:p>
        </w:tc>
      </w:tr>
      <w:tr>
        <w:trPr>
          <w:trHeight w:val="218"/>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Treasurer, and Assistant Secretary</w:t>
            </w:r>
          </w:p>
        </w:tc>
        <w:tc>
          <w:tcPr>
            <w:tcW w:w="20" w:type="dxa"/>
            <w:vAlign w:val="bottom"/>
          </w:tcPr>
          <w:p>
            <w:pPr>
              <w:spacing w:after="0"/>
              <w:rPr>
                <w:sz w:val="18"/>
                <w:szCs w:val="18"/>
                <w:color w:val="auto"/>
              </w:rPr>
            </w:pPr>
          </w:p>
        </w:tc>
      </w:tr>
      <w:tr>
        <w:trPr>
          <w:trHeight w:val="218"/>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(Principal Financial Officer)</w:t>
            </w:r>
          </w:p>
        </w:tc>
        <w:tc>
          <w:tcPr>
            <w:tcW w:w="20" w:type="dxa"/>
            <w:vAlign w:val="bottom"/>
          </w:tcPr>
          <w:p>
            <w:pPr>
              <w:spacing w:after="0"/>
              <w:rPr>
                <w:sz w:val="18"/>
                <w:szCs w:val="18"/>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OUGLAS</w:t>
            </w:r>
            <w:r>
              <w:rPr>
                <w:rFonts w:ascii="Arial" w:cs="Arial" w:eastAsia="Arial" w:hAnsi="Arial"/>
                <w:sz w:val="16"/>
                <w:szCs w:val="16"/>
                <w:color w:val="auto"/>
              </w:rPr>
              <w:t xml:space="preserve"> S. M</w:t>
            </w:r>
            <w:r>
              <w:rPr>
                <w:rFonts w:ascii="Arial" w:cs="Arial" w:eastAsia="Arial" w:hAnsi="Arial"/>
                <w:sz w:val="10"/>
                <w:szCs w:val="10"/>
                <w:color w:val="auto"/>
              </w:rPr>
              <w:t>C</w:t>
            </w:r>
            <w:r>
              <w:rPr>
                <w:rFonts w:ascii="Arial" w:cs="Arial" w:eastAsia="Arial" w:hAnsi="Arial"/>
                <w:sz w:val="16"/>
                <w:szCs w:val="16"/>
                <w:color w:val="auto"/>
              </w:rPr>
              <w:t>C</w:t>
            </w:r>
            <w:r>
              <w:rPr>
                <w:rFonts w:ascii="Arial" w:cs="Arial" w:eastAsia="Arial" w:hAnsi="Arial"/>
                <w:sz w:val="10"/>
                <w:szCs w:val="10"/>
                <w:color w:val="auto"/>
              </w:rPr>
              <w:t>ORKLE</w:t>
            </w:r>
          </w:p>
        </w:tc>
        <w:tc>
          <w:tcPr>
            <w:tcW w:w="1420" w:type="dxa"/>
            <w:vAlign w:val="bottom"/>
            <w:tcBorders>
              <w:bottom w:val="single" w:sz="8" w:color="auto"/>
            </w:tcBorders>
          </w:tcPr>
          <w:p>
            <w:pPr>
              <w:spacing w:after="0"/>
              <w:rPr>
                <w:sz w:val="24"/>
                <w:szCs w:val="24"/>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Vice President, Controller, and</w:t>
            </w:r>
          </w:p>
        </w:tc>
        <w:tc>
          <w:tcPr>
            <w:tcW w:w="20" w:type="dxa"/>
            <w:vAlign w:val="bottom"/>
          </w:tcPr>
          <w:p>
            <w:pPr>
              <w:spacing w:after="0"/>
              <w:rPr>
                <w:sz w:val="24"/>
                <w:szCs w:val="24"/>
                <w:color w:val="auto"/>
              </w:rPr>
            </w:pPr>
          </w:p>
        </w:tc>
      </w:tr>
      <w:tr>
        <w:trPr>
          <w:trHeight w:val="204"/>
        </w:trPr>
        <w:tc>
          <w:tcPr>
            <w:tcW w:w="48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Douglas S. McCorkle</w:t>
            </w:r>
          </w:p>
        </w:tc>
        <w:tc>
          <w:tcPr>
            <w:tcW w:w="1420" w:type="dxa"/>
            <w:vAlign w:val="bottom"/>
          </w:tcPr>
          <w:p>
            <w:pPr>
              <w:spacing w:after="0"/>
              <w:rPr>
                <w:sz w:val="17"/>
                <w:szCs w:val="17"/>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Assistant Treasurer</w:t>
            </w:r>
          </w:p>
        </w:tc>
        <w:tc>
          <w:tcPr>
            <w:tcW w:w="20" w:type="dxa"/>
            <w:vAlign w:val="bottom"/>
          </w:tcPr>
          <w:p>
            <w:pPr>
              <w:spacing w:after="0"/>
              <w:rPr>
                <w:sz w:val="17"/>
                <w:szCs w:val="17"/>
                <w:color w:val="auto"/>
              </w:rPr>
            </w:pPr>
          </w:p>
        </w:tc>
      </w:tr>
      <w:tr>
        <w:trPr>
          <w:trHeight w:val="218"/>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(Principal Accounting Officer)</w:t>
            </w:r>
          </w:p>
        </w:tc>
        <w:tc>
          <w:tcPr>
            <w:tcW w:w="20" w:type="dxa"/>
            <w:vAlign w:val="bottom"/>
          </w:tcPr>
          <w:p>
            <w:pPr>
              <w:spacing w:after="0"/>
              <w:rPr>
                <w:sz w:val="18"/>
                <w:szCs w:val="18"/>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w:t>
            </w:r>
            <w:r>
              <w:rPr>
                <w:rFonts w:ascii="Arial" w:cs="Arial" w:eastAsia="Arial" w:hAnsi="Arial"/>
                <w:sz w:val="10"/>
                <w:szCs w:val="10"/>
                <w:color w:val="auto"/>
              </w:rPr>
              <w:t>EORGE</w:t>
            </w:r>
            <w:r>
              <w:rPr>
                <w:rFonts w:ascii="Arial" w:cs="Arial" w:eastAsia="Arial" w:hAnsi="Arial"/>
                <w:sz w:val="16"/>
                <w:szCs w:val="16"/>
                <w:color w:val="auto"/>
              </w:rPr>
              <w:t xml:space="preserve"> D. Y</w:t>
            </w:r>
            <w:r>
              <w:rPr>
                <w:rFonts w:ascii="Arial" w:cs="Arial" w:eastAsia="Arial" w:hAnsi="Arial"/>
                <w:sz w:val="10"/>
                <w:szCs w:val="10"/>
                <w:color w:val="auto"/>
              </w:rPr>
              <w:t>ANCOPOULOS</w:t>
            </w:r>
          </w:p>
        </w:tc>
        <w:tc>
          <w:tcPr>
            <w:tcW w:w="1420" w:type="dxa"/>
            <w:vAlign w:val="bottom"/>
            <w:tcBorders>
              <w:bottom w:val="single" w:sz="8" w:color="auto"/>
            </w:tcBorders>
          </w:tcPr>
          <w:p>
            <w:pPr>
              <w:spacing w:after="0"/>
              <w:rPr>
                <w:sz w:val="24"/>
                <w:szCs w:val="24"/>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Executive Vice President, Chief Scientific</w:t>
            </w:r>
          </w:p>
        </w:tc>
        <w:tc>
          <w:tcPr>
            <w:tcW w:w="20" w:type="dxa"/>
            <w:vAlign w:val="bottom"/>
          </w:tcPr>
          <w:p>
            <w:pPr>
              <w:spacing w:after="0"/>
              <w:rPr>
                <w:sz w:val="24"/>
                <w:szCs w:val="24"/>
                <w:color w:val="auto"/>
              </w:rPr>
            </w:pPr>
          </w:p>
        </w:tc>
      </w:tr>
      <w:tr>
        <w:trPr>
          <w:trHeight w:val="204"/>
        </w:trPr>
        <w:tc>
          <w:tcPr>
            <w:tcW w:w="48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George D. Yancopoulos, M.D., Ph.D.</w:t>
            </w:r>
          </w:p>
        </w:tc>
        <w:tc>
          <w:tcPr>
            <w:tcW w:w="1420" w:type="dxa"/>
            <w:vAlign w:val="bottom"/>
          </w:tcPr>
          <w:p>
            <w:pPr>
              <w:spacing w:after="0"/>
              <w:rPr>
                <w:sz w:val="17"/>
                <w:szCs w:val="17"/>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Officer, President, Regeneron Research</w:t>
            </w:r>
          </w:p>
        </w:tc>
        <w:tc>
          <w:tcPr>
            <w:tcW w:w="20" w:type="dxa"/>
            <w:vAlign w:val="bottom"/>
          </w:tcPr>
          <w:p>
            <w:pPr>
              <w:spacing w:after="0"/>
              <w:rPr>
                <w:sz w:val="17"/>
                <w:szCs w:val="17"/>
                <w:color w:val="auto"/>
              </w:rPr>
            </w:pPr>
          </w:p>
        </w:tc>
      </w:tr>
      <w:tr>
        <w:trPr>
          <w:trHeight w:val="218"/>
        </w:trPr>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Laboratories, and Director</w:t>
            </w:r>
          </w:p>
        </w:tc>
        <w:tc>
          <w:tcPr>
            <w:tcW w:w="20" w:type="dxa"/>
            <w:vAlign w:val="bottom"/>
          </w:tcPr>
          <w:p>
            <w:pPr>
              <w:spacing w:after="0"/>
              <w:rPr>
                <w:sz w:val="18"/>
                <w:szCs w:val="18"/>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 R</w:t>
            </w:r>
            <w:r>
              <w:rPr>
                <w:rFonts w:ascii="Arial" w:cs="Arial" w:eastAsia="Arial" w:hAnsi="Arial"/>
                <w:sz w:val="10"/>
                <w:szCs w:val="10"/>
                <w:color w:val="auto"/>
              </w:rPr>
              <w:t>OY</w:t>
            </w:r>
            <w:r>
              <w:rPr>
                <w:rFonts w:ascii="Arial" w:cs="Arial" w:eastAsia="Arial" w:hAnsi="Arial"/>
                <w:sz w:val="16"/>
                <w:szCs w:val="16"/>
                <w:color w:val="auto"/>
              </w:rPr>
              <w:t xml:space="preserve"> V</w:t>
            </w:r>
            <w:r>
              <w:rPr>
                <w:rFonts w:ascii="Arial" w:cs="Arial" w:eastAsia="Arial" w:hAnsi="Arial"/>
                <w:sz w:val="10"/>
                <w:szCs w:val="10"/>
                <w:color w:val="auto"/>
              </w:rPr>
              <w:t>AGELOS</w:t>
            </w:r>
          </w:p>
        </w:tc>
        <w:tc>
          <w:tcPr>
            <w:tcW w:w="1420" w:type="dxa"/>
            <w:vAlign w:val="bottom"/>
            <w:tcBorders>
              <w:bottom w:val="single" w:sz="8" w:color="auto"/>
            </w:tcBorders>
          </w:tcPr>
          <w:p>
            <w:pPr>
              <w:spacing w:after="0"/>
              <w:rPr>
                <w:sz w:val="24"/>
                <w:szCs w:val="24"/>
                <w:color w:val="auto"/>
              </w:rPr>
            </w:pPr>
          </w:p>
        </w:tc>
        <w:tc>
          <w:tcPr>
            <w:tcW w:w="5580" w:type="dxa"/>
            <w:vAlign w:val="bottom"/>
          </w:tcPr>
          <w:p>
            <w:pPr>
              <w:ind w:left="240"/>
              <w:spacing w:after="0"/>
              <w:rPr>
                <w:sz w:val="20"/>
                <w:szCs w:val="20"/>
                <w:color w:val="auto"/>
              </w:rPr>
            </w:pPr>
            <w:r>
              <w:rPr>
                <w:rFonts w:ascii="Arial" w:cs="Arial" w:eastAsia="Arial" w:hAnsi="Arial"/>
                <w:sz w:val="16"/>
                <w:szCs w:val="16"/>
                <w:color w:val="auto"/>
              </w:rPr>
              <w:t>Chairman of the Board</w:t>
            </w:r>
          </w:p>
        </w:tc>
        <w:tc>
          <w:tcPr>
            <w:tcW w:w="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P. Roy Vagelos, M.D.</w:t>
            </w:r>
          </w:p>
        </w:tc>
        <w:tc>
          <w:tcPr>
            <w:tcW w:w="14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9"/>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w:t>
            </w: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80" w:type="dxa"/>
            <w:vAlign w:val="bottom"/>
            <w:tcBorders>
              <w:bottom w:val="single" w:sz="8" w:color="808080"/>
            </w:tcBorders>
          </w:tcPr>
          <w:p>
            <w:pPr>
              <w:spacing w:after="0"/>
              <w:rPr>
                <w:sz w:val="17"/>
                <w:szCs w:val="17"/>
                <w:color w:val="auto"/>
              </w:rPr>
            </w:pPr>
          </w:p>
        </w:tc>
        <w:tc>
          <w:tcPr>
            <w:tcW w:w="396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55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8"/>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HARLES</w:t>
            </w:r>
            <w:r>
              <w:rPr>
                <w:rFonts w:ascii="Arial" w:cs="Arial" w:eastAsia="Arial" w:hAnsi="Arial"/>
                <w:sz w:val="16"/>
                <w:szCs w:val="16"/>
                <w:color w:val="auto"/>
              </w:rPr>
              <w:t xml:space="preserve"> A. B</w:t>
            </w:r>
            <w:r>
              <w:rPr>
                <w:rFonts w:ascii="Arial" w:cs="Arial" w:eastAsia="Arial" w:hAnsi="Arial"/>
                <w:sz w:val="10"/>
                <w:szCs w:val="10"/>
                <w:color w:val="auto"/>
              </w:rPr>
              <w:t>AKER</w:t>
            </w:r>
          </w:p>
        </w:tc>
        <w:tc>
          <w:tcPr>
            <w:tcW w:w="1880" w:type="dxa"/>
            <w:vAlign w:val="bottom"/>
            <w:tcBorders>
              <w:bottom w:val="single" w:sz="8" w:color="auto"/>
            </w:tcBorders>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Charles A. Baker</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ICHAEL</w:t>
            </w:r>
            <w:r>
              <w:rPr>
                <w:rFonts w:ascii="Arial" w:cs="Arial" w:eastAsia="Arial" w:hAnsi="Arial"/>
                <w:sz w:val="16"/>
                <w:szCs w:val="16"/>
                <w:color w:val="auto"/>
              </w:rPr>
              <w:t xml:space="preserve"> S. B</w:t>
            </w:r>
            <w:r>
              <w:rPr>
                <w:rFonts w:ascii="Arial" w:cs="Arial" w:eastAsia="Arial" w:hAnsi="Arial"/>
                <w:sz w:val="10"/>
                <w:szCs w:val="10"/>
                <w:color w:val="auto"/>
              </w:rPr>
              <w:t>ROWN</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Michael S. Brown, M.D.</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w:t>
            </w:r>
            <w:r>
              <w:rPr>
                <w:rFonts w:ascii="Arial" w:cs="Arial" w:eastAsia="Arial" w:hAnsi="Arial"/>
                <w:sz w:val="10"/>
                <w:szCs w:val="10"/>
                <w:color w:val="auto"/>
              </w:rPr>
              <w:t>LFRED</w:t>
            </w:r>
            <w:r>
              <w:rPr>
                <w:rFonts w:ascii="Arial" w:cs="Arial" w:eastAsia="Arial" w:hAnsi="Arial"/>
                <w:sz w:val="16"/>
                <w:szCs w:val="16"/>
                <w:color w:val="auto"/>
              </w:rPr>
              <w:t xml:space="preserve"> G. G</w:t>
            </w:r>
            <w:r>
              <w:rPr>
                <w:rFonts w:ascii="Arial" w:cs="Arial" w:eastAsia="Arial" w:hAnsi="Arial"/>
                <w:sz w:val="10"/>
                <w:szCs w:val="10"/>
                <w:color w:val="auto"/>
              </w:rPr>
              <w:t>ILMAN</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Alfred G. Gilman, M.D., Ph.D.</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w:t>
            </w:r>
            <w:r>
              <w:rPr>
                <w:rFonts w:ascii="Arial" w:cs="Arial" w:eastAsia="Arial" w:hAnsi="Arial"/>
                <w:sz w:val="10"/>
                <w:szCs w:val="10"/>
                <w:color w:val="auto"/>
              </w:rPr>
              <w:t>OSEPH</w:t>
            </w:r>
            <w:r>
              <w:rPr>
                <w:rFonts w:ascii="Arial" w:cs="Arial" w:eastAsia="Arial" w:hAnsi="Arial"/>
                <w:sz w:val="16"/>
                <w:szCs w:val="16"/>
                <w:color w:val="auto"/>
              </w:rPr>
              <w:t xml:space="preserve"> L. G</w:t>
            </w:r>
            <w:r>
              <w:rPr>
                <w:rFonts w:ascii="Arial" w:cs="Arial" w:eastAsia="Arial" w:hAnsi="Arial"/>
                <w:sz w:val="10"/>
                <w:szCs w:val="10"/>
                <w:color w:val="auto"/>
              </w:rPr>
              <w:t>OLDSTEIN</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Joseph L. Goldstein, M.D.</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HRISTINE</w:t>
            </w:r>
            <w:r>
              <w:rPr>
                <w:rFonts w:ascii="Arial" w:cs="Arial" w:eastAsia="Arial" w:hAnsi="Arial"/>
                <w:sz w:val="16"/>
                <w:szCs w:val="16"/>
                <w:color w:val="auto"/>
              </w:rPr>
              <w:t xml:space="preserve"> A. P</w:t>
            </w:r>
            <w:r>
              <w:rPr>
                <w:rFonts w:ascii="Arial" w:cs="Arial" w:eastAsia="Arial" w:hAnsi="Arial"/>
                <w:sz w:val="10"/>
                <w:szCs w:val="10"/>
                <w:color w:val="auto"/>
              </w:rPr>
              <w:t>OON</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Christine A. Poon</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w:t>
            </w:r>
            <w:r>
              <w:rPr>
                <w:rFonts w:ascii="Arial" w:cs="Arial" w:eastAsia="Arial" w:hAnsi="Arial"/>
                <w:sz w:val="10"/>
                <w:szCs w:val="10"/>
                <w:color w:val="auto"/>
              </w:rPr>
              <w:t>RTHUR</w:t>
            </w:r>
            <w:r>
              <w:rPr>
                <w:rFonts w:ascii="Arial" w:cs="Arial" w:eastAsia="Arial" w:hAnsi="Arial"/>
                <w:sz w:val="16"/>
                <w:szCs w:val="16"/>
                <w:color w:val="auto"/>
              </w:rPr>
              <w:t xml:space="preserve"> F. R</w:t>
            </w:r>
            <w:r>
              <w:rPr>
                <w:rFonts w:ascii="Arial" w:cs="Arial" w:eastAsia="Arial" w:hAnsi="Arial"/>
                <w:sz w:val="10"/>
                <w:szCs w:val="10"/>
                <w:color w:val="auto"/>
              </w:rPr>
              <w:t>YAN</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Arthur F. Ryan</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w:t>
            </w:r>
            <w:r>
              <w:rPr>
                <w:rFonts w:ascii="Arial" w:cs="Arial" w:eastAsia="Arial" w:hAnsi="Arial"/>
                <w:sz w:val="10"/>
                <w:szCs w:val="10"/>
                <w:color w:val="auto"/>
              </w:rPr>
              <w:t>RIC</w:t>
            </w:r>
            <w:r>
              <w:rPr>
                <w:rFonts w:ascii="Arial" w:cs="Arial" w:eastAsia="Arial" w:hAnsi="Arial"/>
                <w:sz w:val="16"/>
                <w:szCs w:val="16"/>
                <w:color w:val="auto"/>
              </w:rPr>
              <w:t xml:space="preserve"> M. S</w:t>
            </w:r>
            <w:r>
              <w:rPr>
                <w:rFonts w:ascii="Arial" w:cs="Arial" w:eastAsia="Arial" w:hAnsi="Arial"/>
                <w:sz w:val="10"/>
                <w:szCs w:val="10"/>
                <w:color w:val="auto"/>
              </w:rPr>
              <w:t>HOOTER</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Eric M. Shooter, Ph.D.</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w:t>
            </w:r>
            <w:r>
              <w:rPr>
                <w:rFonts w:ascii="Arial" w:cs="Arial" w:eastAsia="Arial" w:hAnsi="Arial"/>
                <w:sz w:val="10"/>
                <w:szCs w:val="10"/>
                <w:color w:val="auto"/>
              </w:rPr>
              <w:t>EORGE</w:t>
            </w:r>
            <w:r>
              <w:rPr>
                <w:rFonts w:ascii="Arial" w:cs="Arial" w:eastAsia="Arial" w:hAnsi="Arial"/>
                <w:sz w:val="16"/>
                <w:szCs w:val="16"/>
                <w:color w:val="auto"/>
              </w:rPr>
              <w:t xml:space="preserve"> L. S</w:t>
            </w:r>
            <w:r>
              <w:rPr>
                <w:rFonts w:ascii="Arial" w:cs="Arial" w:eastAsia="Arial" w:hAnsi="Arial"/>
                <w:sz w:val="10"/>
                <w:szCs w:val="10"/>
                <w:color w:val="auto"/>
              </w:rPr>
              <w:t>ING</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George L. Sing</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44"/>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w:t>
            </w: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ARC</w:t>
            </w:r>
            <w:r>
              <w:rPr>
                <w:rFonts w:ascii="Arial" w:cs="Arial" w:eastAsia="Arial" w:hAnsi="Arial"/>
                <w:sz w:val="16"/>
                <w:szCs w:val="16"/>
                <w:color w:val="auto"/>
              </w:rPr>
              <w:t xml:space="preserve"> T</w:t>
            </w:r>
            <w:r>
              <w:rPr>
                <w:rFonts w:ascii="Arial" w:cs="Arial" w:eastAsia="Arial" w:hAnsi="Arial"/>
                <w:sz w:val="10"/>
                <w:szCs w:val="10"/>
                <w:color w:val="auto"/>
              </w:rPr>
              <w:t>ESSIER</w:t>
            </w:r>
            <w:r>
              <w:rPr>
                <w:rFonts w:ascii="Arial" w:cs="Arial" w:eastAsia="Arial" w:hAnsi="Arial"/>
                <w:sz w:val="16"/>
                <w:szCs w:val="16"/>
                <w:color w:val="auto"/>
              </w:rPr>
              <w:t>-L</w:t>
            </w:r>
            <w:r>
              <w:rPr>
                <w:rFonts w:ascii="Arial" w:cs="Arial" w:eastAsia="Arial" w:hAnsi="Arial"/>
                <w:sz w:val="10"/>
                <w:szCs w:val="10"/>
                <w:color w:val="auto"/>
              </w:rPr>
              <w:t>AVIGNE</w:t>
            </w:r>
          </w:p>
        </w:tc>
        <w:tc>
          <w:tcPr>
            <w:tcW w:w="1880" w:type="dxa"/>
            <w:vAlign w:val="bottom"/>
            <w:tcBorders>
              <w:bottom w:val="single" w:sz="8" w:color="auto"/>
            </w:tcBorders>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3"/>
        </w:trPr>
        <w:tc>
          <w:tcPr>
            <w:tcW w:w="48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Marc Tessier-Lavigne, Ph.D.</w:t>
            </w:r>
          </w:p>
        </w:tc>
        <w:tc>
          <w:tcPr>
            <w:tcW w:w="188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619"/>
        </w:trPr>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jc w:val="right"/>
              <w:ind w:right="81"/>
              <w:spacing w:after="0"/>
              <w:rPr>
                <w:sz w:val="20"/>
                <w:szCs w:val="20"/>
                <w:color w:val="auto"/>
              </w:rPr>
            </w:pPr>
            <w:r>
              <w:rPr>
                <w:rFonts w:ascii="Arial" w:cs="Arial" w:eastAsia="Arial" w:hAnsi="Arial"/>
                <w:sz w:val="16"/>
                <w:szCs w:val="16"/>
                <w:color w:val="auto"/>
              </w:rPr>
              <w:t>84</w:t>
            </w:r>
          </w:p>
        </w:tc>
        <w:tc>
          <w:tcPr>
            <w:tcW w:w="5500" w:type="dxa"/>
            <w:vAlign w:val="bottom"/>
          </w:tcPr>
          <w:p>
            <w:pPr>
              <w:spacing w:after="0"/>
              <w:rPr>
                <w:sz w:val="24"/>
                <w:szCs w:val="24"/>
                <w:color w:val="auto"/>
              </w:rPr>
            </w:pPr>
          </w:p>
        </w:tc>
      </w:tr>
      <w:tr>
        <w:trPr>
          <w:trHeight w:val="205"/>
        </w:trPr>
        <w:tc>
          <w:tcPr>
            <w:tcW w:w="480" w:type="dxa"/>
            <w:vAlign w:val="bottom"/>
            <w:tcBorders>
              <w:bottom w:val="single" w:sz="8" w:color="808080"/>
            </w:tcBorders>
          </w:tcPr>
          <w:p>
            <w:pPr>
              <w:spacing w:after="0"/>
              <w:rPr>
                <w:sz w:val="17"/>
                <w:szCs w:val="17"/>
                <w:color w:val="auto"/>
              </w:rPr>
            </w:pPr>
          </w:p>
        </w:tc>
        <w:tc>
          <w:tcPr>
            <w:tcW w:w="3600" w:type="dxa"/>
            <w:vAlign w:val="bottom"/>
            <w:tcBorders>
              <w:bottom w:val="single" w:sz="8" w:color="808080"/>
            </w:tcBorders>
          </w:tcPr>
          <w:p>
            <w:pPr>
              <w:spacing w:after="0"/>
              <w:rPr>
                <w:sz w:val="17"/>
                <w:szCs w:val="17"/>
                <w:color w:val="auto"/>
              </w:rPr>
            </w:pPr>
          </w:p>
        </w:tc>
        <w:tc>
          <w:tcPr>
            <w:tcW w:w="1880" w:type="dxa"/>
            <w:vAlign w:val="bottom"/>
            <w:tcBorders>
              <w:bottom w:val="single" w:sz="8" w:color="808080"/>
            </w:tcBorders>
          </w:tcPr>
          <w:p>
            <w:pPr>
              <w:spacing w:after="0"/>
              <w:rPr>
                <w:sz w:val="17"/>
                <w:szCs w:val="17"/>
                <w:color w:val="auto"/>
              </w:rPr>
            </w:pPr>
          </w:p>
        </w:tc>
        <w:tc>
          <w:tcPr>
            <w:tcW w:w="55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361"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5"/>
        </w:trPr>
        <w:tc>
          <w:tcPr>
            <w:tcW w:w="8980" w:type="dxa"/>
            <w:vAlign w:val="bottom"/>
          </w:tcPr>
          <w:p>
            <w:pPr>
              <w:jc w:val="center"/>
              <w:ind w:left="2361"/>
              <w:spacing w:after="0"/>
              <w:rPr>
                <w:sz w:val="20"/>
                <w:szCs w:val="20"/>
                <w:color w:val="auto"/>
              </w:rPr>
            </w:pPr>
            <w:r>
              <w:rPr>
                <w:rFonts w:ascii="Arial" w:cs="Arial" w:eastAsia="Arial" w:hAnsi="Arial"/>
                <w:sz w:val="16"/>
                <w:szCs w:val="16"/>
                <w:b w:val="1"/>
                <w:bCs w:val="1"/>
                <w:color w:val="auto"/>
                <w:w w:val="99"/>
              </w:rPr>
              <w:t>REGENERON PHARMACEUTICALS, INC.</w:t>
            </w: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8"/>
        </w:trPr>
        <w:tc>
          <w:tcPr>
            <w:tcW w:w="8980" w:type="dxa"/>
            <w:vAlign w:val="bottom"/>
          </w:tcPr>
          <w:p>
            <w:pPr>
              <w:jc w:val="center"/>
              <w:ind w:left="2361"/>
              <w:spacing w:after="0"/>
              <w:rPr>
                <w:sz w:val="20"/>
                <w:szCs w:val="20"/>
                <w:color w:val="auto"/>
              </w:rPr>
            </w:pPr>
            <w:r>
              <w:rPr>
                <w:rFonts w:ascii="Arial" w:cs="Arial" w:eastAsia="Arial" w:hAnsi="Arial"/>
                <w:sz w:val="16"/>
                <w:szCs w:val="16"/>
                <w:b w:val="1"/>
                <w:bCs w:val="1"/>
                <w:color w:val="auto"/>
                <w:w w:val="99"/>
              </w:rPr>
              <w:t>INDEX TO FINANCIAL STATEMENTS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1"/>
        </w:trPr>
        <w:tc>
          <w:tcPr>
            <w:tcW w:w="8980" w:type="dxa"/>
            <w:vAlign w:val="bottom"/>
          </w:tcPr>
          <w:p>
            <w:pPr>
              <w:spacing w:after="0"/>
              <w:rPr>
                <w:sz w:val="24"/>
                <w:szCs w:val="24"/>
                <w:color w:val="auto"/>
              </w:rPr>
            </w:pPr>
          </w:p>
        </w:tc>
        <w:tc>
          <w:tcPr>
            <w:tcW w:w="2460" w:type="dxa"/>
            <w:vAlign w:val="bottom"/>
          </w:tcPr>
          <w:p>
            <w:pPr>
              <w:jc w:val="center"/>
              <w:ind w:left="1641"/>
              <w:spacing w:after="0"/>
              <w:rPr>
                <w:sz w:val="20"/>
                <w:szCs w:val="20"/>
                <w:color w:val="auto"/>
              </w:rPr>
            </w:pPr>
            <w:r>
              <w:rPr>
                <w:rFonts w:ascii="Arial" w:cs="Arial" w:eastAsia="Arial" w:hAnsi="Arial"/>
                <w:sz w:val="16"/>
                <w:szCs w:val="16"/>
                <w:color w:val="auto"/>
                <w:w w:val="80"/>
              </w:rPr>
              <w:t>Page</w:t>
            </w:r>
          </w:p>
        </w:tc>
        <w:tc>
          <w:tcPr>
            <w:tcW w:w="20" w:type="dxa"/>
            <w:vAlign w:val="bottom"/>
          </w:tcPr>
          <w:p>
            <w:pPr>
              <w:spacing w:after="0"/>
              <w:rPr>
                <w:sz w:val="24"/>
                <w:szCs w:val="24"/>
                <w:color w:val="auto"/>
              </w:rPr>
            </w:pPr>
          </w:p>
        </w:tc>
      </w:tr>
      <w:tr>
        <w:trPr>
          <w:trHeight w:val="226"/>
        </w:trPr>
        <w:tc>
          <w:tcPr>
            <w:tcW w:w="8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REGENERON PHARMACEUTICALS, INC.</w:t>
            </w:r>
          </w:p>
        </w:tc>
        <w:tc>
          <w:tcPr>
            <w:tcW w:w="2460" w:type="dxa"/>
            <w:vAlign w:val="bottom"/>
            <w:tcBorders>
              <w:bottom w:val="single" w:sz="8" w:color="auto"/>
            </w:tcBorders>
          </w:tcPr>
          <w:p>
            <w:pPr>
              <w:jc w:val="center"/>
              <w:ind w:left="1641"/>
              <w:spacing w:after="0"/>
              <w:rPr>
                <w:sz w:val="20"/>
                <w:szCs w:val="20"/>
                <w:color w:val="auto"/>
              </w:rPr>
            </w:pPr>
            <w:r>
              <w:rPr>
                <w:rFonts w:ascii="Arial" w:cs="Arial" w:eastAsia="Arial" w:hAnsi="Arial"/>
                <w:sz w:val="16"/>
                <w:szCs w:val="16"/>
                <w:color w:val="auto"/>
                <w:w w:val="89"/>
              </w:rPr>
              <w:t>Numbers</w:t>
            </w:r>
          </w:p>
        </w:tc>
        <w:tc>
          <w:tcPr>
            <w:tcW w:w="20" w:type="dxa"/>
            <w:vAlign w:val="bottom"/>
          </w:tcPr>
          <w:p>
            <w:pPr>
              <w:spacing w:after="0"/>
              <w:rPr>
                <w:sz w:val="19"/>
                <w:szCs w:val="19"/>
                <w:color w:val="auto"/>
              </w:rPr>
            </w:pPr>
          </w:p>
        </w:tc>
      </w:tr>
      <w:tr>
        <w:trPr>
          <w:trHeight w:val="218"/>
        </w:trPr>
        <w:tc>
          <w:tcPr>
            <w:tcW w:w="89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Report of Independent Registered Public Accounting Firm</w:t>
            </w:r>
          </w:p>
        </w:tc>
        <w:tc>
          <w:tcPr>
            <w:tcW w:w="2460" w:type="dxa"/>
            <w:vAlign w:val="bottom"/>
            <w:shd w:val="clear" w:color="auto" w:fill="C0C0C0"/>
          </w:tcPr>
          <w:p>
            <w:pPr>
              <w:jc w:val="center"/>
              <w:ind w:left="1641"/>
              <w:spacing w:after="0"/>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8"/>
                <w:szCs w:val="18"/>
                <w:color w:val="auto"/>
              </w:rPr>
            </w:pPr>
          </w:p>
        </w:tc>
      </w:tr>
      <w:tr>
        <w:trPr>
          <w:trHeight w:val="211"/>
        </w:trPr>
        <w:tc>
          <w:tcPr>
            <w:tcW w:w="8980" w:type="dxa"/>
            <w:vAlign w:val="bottom"/>
          </w:tcPr>
          <w:p>
            <w:pPr>
              <w:ind w:left="280"/>
              <w:spacing w:after="0"/>
              <w:rPr>
                <w:sz w:val="20"/>
                <w:szCs w:val="20"/>
                <w:color w:val="auto"/>
              </w:rPr>
            </w:pPr>
            <w:r>
              <w:rPr>
                <w:rFonts w:ascii="Arial" w:cs="Arial" w:eastAsia="Arial" w:hAnsi="Arial"/>
                <w:sz w:val="16"/>
                <w:szCs w:val="16"/>
                <w:color w:val="auto"/>
              </w:rPr>
              <w:t>Balance Sheets at December 31, 2011 and 2010</w:t>
            </w:r>
          </w:p>
        </w:tc>
        <w:tc>
          <w:tcPr>
            <w:tcW w:w="2460" w:type="dxa"/>
            <w:vAlign w:val="bottom"/>
          </w:tcPr>
          <w:p>
            <w:pPr>
              <w:jc w:val="center"/>
              <w:ind w:left="1641"/>
              <w:spacing w:after="0"/>
              <w:rPr>
                <w:sz w:val="20"/>
                <w:szCs w:val="20"/>
                <w:color w:val="auto"/>
              </w:rPr>
            </w:pPr>
            <w:r>
              <w:rPr>
                <w:rFonts w:ascii="Arial" w:cs="Arial" w:eastAsia="Arial" w:hAnsi="Arial"/>
                <w:sz w:val="16"/>
                <w:szCs w:val="16"/>
                <w:color w:val="auto"/>
                <w:w w:val="91"/>
              </w:rPr>
              <w:t>F-3</w:t>
            </w:r>
          </w:p>
        </w:tc>
        <w:tc>
          <w:tcPr>
            <w:tcW w:w="20" w:type="dxa"/>
            <w:vAlign w:val="bottom"/>
          </w:tcPr>
          <w:p>
            <w:pPr>
              <w:spacing w:after="0"/>
              <w:rPr>
                <w:sz w:val="18"/>
                <w:szCs w:val="18"/>
                <w:color w:val="auto"/>
              </w:rPr>
            </w:pPr>
          </w:p>
        </w:tc>
      </w:tr>
      <w:tr>
        <w:trPr>
          <w:trHeight w:val="226"/>
        </w:trPr>
        <w:tc>
          <w:tcPr>
            <w:tcW w:w="89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Statements of Operations for the years ended December 31, 2011, 2010, and 2009</w:t>
            </w:r>
          </w:p>
        </w:tc>
        <w:tc>
          <w:tcPr>
            <w:tcW w:w="2460" w:type="dxa"/>
            <w:vAlign w:val="bottom"/>
            <w:shd w:val="clear" w:color="auto" w:fill="C0C0C0"/>
          </w:tcPr>
          <w:p>
            <w:pPr>
              <w:jc w:val="center"/>
              <w:ind w:left="1641"/>
              <w:spacing w:after="0"/>
              <w:rPr>
                <w:sz w:val="20"/>
                <w:szCs w:val="20"/>
                <w:color w:val="auto"/>
              </w:rPr>
            </w:pPr>
            <w:r>
              <w:rPr>
                <w:rFonts w:ascii="Arial" w:cs="Arial" w:eastAsia="Arial" w:hAnsi="Arial"/>
                <w:sz w:val="16"/>
                <w:szCs w:val="16"/>
                <w:color w:val="auto"/>
                <w:w w:val="91"/>
              </w:rPr>
              <w:t>F-4</w:t>
            </w:r>
          </w:p>
        </w:tc>
        <w:tc>
          <w:tcPr>
            <w:tcW w:w="20" w:type="dxa"/>
            <w:vAlign w:val="bottom"/>
          </w:tcPr>
          <w:p>
            <w:pPr>
              <w:spacing w:after="0"/>
              <w:rPr>
                <w:sz w:val="19"/>
                <w:szCs w:val="19"/>
                <w:color w:val="auto"/>
              </w:rPr>
            </w:pPr>
          </w:p>
        </w:tc>
      </w:tr>
      <w:tr>
        <w:trPr>
          <w:trHeight w:val="211"/>
        </w:trPr>
        <w:tc>
          <w:tcPr>
            <w:tcW w:w="8980" w:type="dxa"/>
            <w:vAlign w:val="bottom"/>
          </w:tcPr>
          <w:p>
            <w:pPr>
              <w:ind w:left="280"/>
              <w:spacing w:after="0"/>
              <w:rPr>
                <w:sz w:val="20"/>
                <w:szCs w:val="20"/>
                <w:color w:val="auto"/>
              </w:rPr>
            </w:pPr>
            <w:r>
              <w:rPr>
                <w:rFonts w:ascii="Arial" w:cs="Arial" w:eastAsia="Arial" w:hAnsi="Arial"/>
                <w:sz w:val="16"/>
                <w:szCs w:val="16"/>
                <w:color w:val="auto"/>
              </w:rPr>
              <w:t>Statements of Stockholders' Equity for the years ended December 31, 2011, 2010, and 2009</w:t>
            </w:r>
          </w:p>
        </w:tc>
        <w:tc>
          <w:tcPr>
            <w:tcW w:w="2460" w:type="dxa"/>
            <w:vAlign w:val="bottom"/>
          </w:tcPr>
          <w:p>
            <w:pPr>
              <w:jc w:val="center"/>
              <w:ind w:left="1641"/>
              <w:spacing w:after="0"/>
              <w:rPr>
                <w:sz w:val="20"/>
                <w:szCs w:val="20"/>
                <w:color w:val="auto"/>
              </w:rPr>
            </w:pPr>
            <w:r>
              <w:rPr>
                <w:rFonts w:ascii="Arial" w:cs="Arial" w:eastAsia="Arial" w:hAnsi="Arial"/>
                <w:sz w:val="16"/>
                <w:szCs w:val="16"/>
                <w:color w:val="auto"/>
                <w:w w:val="91"/>
              </w:rPr>
              <w:t>F-5</w:t>
            </w:r>
          </w:p>
        </w:tc>
        <w:tc>
          <w:tcPr>
            <w:tcW w:w="20" w:type="dxa"/>
            <w:vAlign w:val="bottom"/>
          </w:tcPr>
          <w:p>
            <w:pPr>
              <w:spacing w:after="0"/>
              <w:rPr>
                <w:sz w:val="18"/>
                <w:szCs w:val="18"/>
                <w:color w:val="auto"/>
              </w:rPr>
            </w:pPr>
          </w:p>
        </w:tc>
      </w:tr>
      <w:tr>
        <w:trPr>
          <w:trHeight w:val="226"/>
        </w:trPr>
        <w:tc>
          <w:tcPr>
            <w:tcW w:w="89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Statements of Cash Flows for the years ended December 31, 2011, 2010, and 2009</w:t>
            </w:r>
          </w:p>
        </w:tc>
        <w:tc>
          <w:tcPr>
            <w:tcW w:w="2460" w:type="dxa"/>
            <w:vAlign w:val="bottom"/>
            <w:shd w:val="clear" w:color="auto" w:fill="C0C0C0"/>
          </w:tcPr>
          <w:p>
            <w:pPr>
              <w:jc w:val="center"/>
              <w:ind w:left="1641"/>
              <w:spacing w:after="0"/>
              <w:rPr>
                <w:sz w:val="20"/>
                <w:szCs w:val="20"/>
                <w:color w:val="auto"/>
              </w:rPr>
            </w:pPr>
            <w:r>
              <w:rPr>
                <w:rFonts w:ascii="Arial" w:cs="Arial" w:eastAsia="Arial" w:hAnsi="Arial"/>
                <w:sz w:val="16"/>
                <w:szCs w:val="16"/>
                <w:color w:val="auto"/>
                <w:w w:val="91"/>
              </w:rPr>
              <w:t>F-6</w:t>
            </w:r>
          </w:p>
        </w:tc>
        <w:tc>
          <w:tcPr>
            <w:tcW w:w="20" w:type="dxa"/>
            <w:vAlign w:val="bottom"/>
          </w:tcPr>
          <w:p>
            <w:pPr>
              <w:spacing w:after="0"/>
              <w:rPr>
                <w:sz w:val="19"/>
                <w:szCs w:val="19"/>
                <w:color w:val="auto"/>
              </w:rPr>
            </w:pPr>
          </w:p>
        </w:tc>
      </w:tr>
      <w:tr>
        <w:trPr>
          <w:trHeight w:val="204"/>
        </w:trPr>
        <w:tc>
          <w:tcPr>
            <w:tcW w:w="8980" w:type="dxa"/>
            <w:vAlign w:val="bottom"/>
          </w:tcPr>
          <w:p>
            <w:pPr>
              <w:ind w:left="280"/>
              <w:spacing w:after="0"/>
              <w:rPr>
                <w:sz w:val="20"/>
                <w:szCs w:val="20"/>
                <w:color w:val="auto"/>
              </w:rPr>
            </w:pPr>
            <w:r>
              <w:rPr>
                <w:rFonts w:ascii="Arial" w:cs="Arial" w:eastAsia="Arial" w:hAnsi="Arial"/>
                <w:sz w:val="16"/>
                <w:szCs w:val="16"/>
                <w:color w:val="auto"/>
              </w:rPr>
              <w:t>Notes to Financial Statements</w:t>
            </w:r>
          </w:p>
        </w:tc>
        <w:tc>
          <w:tcPr>
            <w:tcW w:w="2460" w:type="dxa"/>
            <w:vAlign w:val="bottom"/>
          </w:tcPr>
          <w:p>
            <w:pPr>
              <w:jc w:val="center"/>
              <w:ind w:left="1621"/>
              <w:spacing w:after="0"/>
              <w:rPr>
                <w:sz w:val="20"/>
                <w:szCs w:val="20"/>
                <w:color w:val="auto"/>
              </w:rPr>
            </w:pPr>
            <w:r>
              <w:rPr>
                <w:rFonts w:ascii="Arial" w:cs="Arial" w:eastAsia="Arial" w:hAnsi="Arial"/>
                <w:sz w:val="16"/>
                <w:szCs w:val="16"/>
                <w:color w:val="auto"/>
                <w:w w:val="90"/>
              </w:rPr>
              <w:t>F-7 to F-38</w:t>
            </w:r>
          </w:p>
        </w:tc>
        <w:tc>
          <w:tcPr>
            <w:tcW w:w="20" w:type="dxa"/>
            <w:vAlign w:val="bottom"/>
          </w:tcPr>
          <w:p>
            <w:pPr>
              <w:spacing w:after="0"/>
              <w:rPr>
                <w:sz w:val="17"/>
                <w:szCs w:val="17"/>
                <w:color w:val="auto"/>
              </w:rPr>
            </w:pPr>
          </w:p>
        </w:tc>
      </w:tr>
      <w:tr>
        <w:trPr>
          <w:trHeight w:val="619"/>
        </w:trPr>
        <w:tc>
          <w:tcPr>
            <w:tcW w:w="8980" w:type="dxa"/>
            <w:vAlign w:val="bottom"/>
          </w:tcPr>
          <w:p>
            <w:pPr>
              <w:jc w:val="center"/>
              <w:ind w:left="2361"/>
              <w:spacing w:after="0"/>
              <w:rPr>
                <w:sz w:val="20"/>
                <w:szCs w:val="20"/>
                <w:color w:val="auto"/>
              </w:rPr>
            </w:pPr>
            <w:r>
              <w:rPr>
                <w:rFonts w:ascii="Arial" w:cs="Arial" w:eastAsia="Arial" w:hAnsi="Arial"/>
                <w:sz w:val="16"/>
                <w:szCs w:val="16"/>
                <w:color w:val="auto"/>
                <w:w w:val="91"/>
              </w:rPr>
              <w:t>F-1</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898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Regeneron Pharmaceuticals, Inc.:</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 xml:space="preserve">In our opinion, the accompanying balance sheets and the related statements of operations, stockholders' equity and cash flows present fairly, in all material respects, the financial position of Regeneron Pharmaceuticals, Inc., (the “Company”), at December 31, 2011 and December 31, 2010, and the results of its operations and its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issued by the Committee of Sponsoring Organizations of the Treadway Commission (COSO). The Company's management is responsible for these financial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2011 and 2010</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2010</w:t>
            </w:r>
          </w:p>
        </w:tc>
      </w:tr>
      <w:tr>
        <w:trPr>
          <w:trHeight w:val="199"/>
        </w:trPr>
        <w:tc>
          <w:tcPr>
            <w:tcW w:w="912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6"/>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r>
      <w:tr>
        <w:trPr>
          <w:trHeight w:val="211"/>
        </w:trPr>
        <w:tc>
          <w:tcPr>
            <w:tcW w:w="91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483,610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112,572</w:t>
            </w:r>
          </w:p>
        </w:tc>
      </w:tr>
      <w:tr>
        <w:trPr>
          <w:trHeight w:val="226"/>
        </w:trPr>
        <w:tc>
          <w:tcPr>
            <w:tcW w:w="91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Marketable securities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43,332</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136,796</w:t>
            </w:r>
          </w:p>
        </w:tc>
      </w:tr>
      <w:tr>
        <w:trPr>
          <w:trHeight w:val="211"/>
        </w:trPr>
        <w:tc>
          <w:tcPr>
            <w:tcW w:w="9120" w:type="dxa"/>
            <w:vAlign w:val="bottom"/>
          </w:tcPr>
          <w:p>
            <w:pPr>
              <w:ind w:left="260"/>
              <w:spacing w:after="0"/>
              <w:rPr>
                <w:sz w:val="20"/>
                <w:szCs w:val="20"/>
                <w:color w:val="auto"/>
              </w:rPr>
            </w:pPr>
            <w:r>
              <w:rPr>
                <w:rFonts w:ascii="Arial" w:cs="Arial" w:eastAsia="Arial" w:hAnsi="Arial"/>
                <w:sz w:val="16"/>
                <w:szCs w:val="16"/>
                <w:color w:val="auto"/>
              </w:rPr>
              <w:t>Accounts receivable from Sanofi</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74,781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79,603</w:t>
            </w:r>
          </w:p>
        </w:tc>
      </w:tr>
      <w:tr>
        <w:trPr>
          <w:trHeight w:val="226"/>
        </w:trPr>
        <w:tc>
          <w:tcPr>
            <w:tcW w:w="91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Accounts receivable - trade, net</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28,254</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2,314</w:t>
            </w:r>
          </w:p>
        </w:tc>
      </w:tr>
      <w:tr>
        <w:trPr>
          <w:trHeight w:val="211"/>
        </w:trPr>
        <w:tc>
          <w:tcPr>
            <w:tcW w:w="912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22,898</w:t>
            </w:r>
          </w:p>
        </w:tc>
        <w:tc>
          <w:tcPr>
            <w:tcW w:w="24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26,337</w:t>
            </w:r>
          </w:p>
        </w:tc>
      </w:tr>
      <w:tr>
        <w:trPr>
          <w:trHeight w:val="218"/>
        </w:trPr>
        <w:tc>
          <w:tcPr>
            <w:tcW w:w="91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652,875</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357,622</w:t>
            </w:r>
          </w:p>
        </w:tc>
      </w:tr>
      <w:tr>
        <w:trPr>
          <w:trHeight w:val="218"/>
        </w:trPr>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Restricted cash and marketable securities</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7,721</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7,518</w:t>
            </w:r>
          </w:p>
        </w:tc>
      </w:tr>
      <w:tr>
        <w:trPr>
          <w:trHeight w:val="211"/>
        </w:trPr>
        <w:tc>
          <w:tcPr>
            <w:tcW w:w="9120" w:type="dxa"/>
            <w:vAlign w:val="bottom"/>
          </w:tcPr>
          <w:p>
            <w:pPr>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275,887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370,053</w:t>
            </w:r>
          </w:p>
        </w:tc>
      </w:tr>
      <w:tr>
        <w:trPr>
          <w:trHeight w:val="211"/>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Property, plant, and equipment, at cost, net of accumulated</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r>
      <w:tr>
        <w:trPr>
          <w:trHeight w:val="233"/>
        </w:trPr>
        <w:tc>
          <w:tcPr>
            <w:tcW w:w="91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367,955</w:t>
            </w:r>
          </w:p>
        </w:tc>
        <w:tc>
          <w:tcPr>
            <w:tcW w:w="2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347,450</w:t>
            </w:r>
          </w:p>
        </w:tc>
      </w:tr>
      <w:tr>
        <w:trPr>
          <w:trHeight w:val="211"/>
        </w:trPr>
        <w:tc>
          <w:tcPr>
            <w:tcW w:w="91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19,145</w:t>
            </w:r>
          </w:p>
        </w:tc>
        <w:tc>
          <w:tcPr>
            <w:tcW w:w="24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6,789</w:t>
            </w:r>
          </w:p>
        </w:tc>
      </w:tr>
      <w:tr>
        <w:trPr>
          <w:trHeight w:val="237"/>
        </w:trPr>
        <w:tc>
          <w:tcPr>
            <w:tcW w:w="91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Total assets</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95"/>
              </w:rPr>
              <w:t>1,323,583</w:t>
            </w:r>
          </w:p>
        </w:tc>
        <w:tc>
          <w:tcPr>
            <w:tcW w:w="24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92"/>
              </w:rPr>
              <w:t>1,089,432</w:t>
            </w:r>
          </w:p>
        </w:tc>
      </w:tr>
      <w:tr>
        <w:trPr>
          <w:trHeight w:val="403"/>
        </w:trPr>
        <w:tc>
          <w:tcPr>
            <w:tcW w:w="9120" w:type="dxa"/>
            <w:vAlign w:val="bottom"/>
            <w:tcBorders>
              <w:top w:val="single" w:sz="8" w:color="C0C0C0"/>
            </w:tcBorders>
          </w:tcPr>
          <w:p>
            <w:pPr>
              <w:ind w:left="40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26"/>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r>
      <w:tr>
        <w:trPr>
          <w:trHeight w:val="211"/>
        </w:trPr>
        <w:tc>
          <w:tcPr>
            <w:tcW w:w="912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95,625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53,658</w:t>
            </w:r>
          </w:p>
        </w:tc>
      </w:tr>
      <w:tr>
        <w:trPr>
          <w:trHeight w:val="226"/>
        </w:trPr>
        <w:tc>
          <w:tcPr>
            <w:tcW w:w="91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Deferred revenue from Sanofi, current portion</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20,011</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19,506</w:t>
            </w:r>
          </w:p>
        </w:tc>
      </w:tr>
      <w:tr>
        <w:trPr>
          <w:trHeight w:val="211"/>
        </w:trPr>
        <w:tc>
          <w:tcPr>
            <w:tcW w:w="9120" w:type="dxa"/>
            <w:vAlign w:val="bottom"/>
          </w:tcPr>
          <w:p>
            <w:pPr>
              <w:ind w:left="280"/>
              <w:spacing w:after="0"/>
              <w:rPr>
                <w:sz w:val="20"/>
                <w:szCs w:val="20"/>
                <w:color w:val="auto"/>
              </w:rPr>
            </w:pPr>
            <w:r>
              <w:rPr>
                <w:rFonts w:ascii="Arial" w:cs="Arial" w:eastAsia="Arial" w:hAnsi="Arial"/>
                <w:sz w:val="16"/>
                <w:szCs w:val="16"/>
                <w:color w:val="auto"/>
              </w:rPr>
              <w:t>Deferred revenue - other, current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31,629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35,217</w:t>
            </w:r>
          </w:p>
        </w:tc>
      </w:tr>
      <w:tr>
        <w:trPr>
          <w:trHeight w:val="226"/>
        </w:trPr>
        <w:tc>
          <w:tcPr>
            <w:tcW w:w="91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Facility lease obligations, current portion</w:t>
            </w:r>
          </w:p>
        </w:tc>
        <w:tc>
          <w:tcPr>
            <w:tcW w:w="24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82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1,006</w:t>
            </w:r>
          </w:p>
        </w:tc>
        <w:tc>
          <w:tcPr>
            <w:tcW w:w="240" w:type="dxa"/>
            <w:vAlign w:val="bottom"/>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675</w:t>
            </w:r>
          </w:p>
        </w:tc>
      </w:tr>
      <w:tr>
        <w:trPr>
          <w:trHeight w:val="196"/>
        </w:trPr>
        <w:tc>
          <w:tcPr>
            <w:tcW w:w="9120" w:type="dxa"/>
            <w:vAlign w:val="bottom"/>
          </w:tcPr>
          <w:p>
            <w:pPr>
              <w:ind w:left="5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148,271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109,056</w:t>
            </w:r>
          </w:p>
        </w:tc>
      </w:tr>
      <w:tr>
        <w:trPr>
          <w:trHeight w:val="233"/>
        </w:trPr>
        <w:tc>
          <w:tcPr>
            <w:tcW w:w="9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8"/>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Deferred revenue from Sanofi</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86,017</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97,081</w:t>
            </w:r>
          </w:p>
        </w:tc>
      </w:tr>
      <w:tr>
        <w:trPr>
          <w:trHeight w:val="211"/>
        </w:trPr>
        <w:tc>
          <w:tcPr>
            <w:tcW w:w="9120" w:type="dxa"/>
            <w:vAlign w:val="bottom"/>
          </w:tcPr>
          <w:p>
            <w:pPr>
              <w:spacing w:after="0"/>
              <w:rPr>
                <w:sz w:val="20"/>
                <w:szCs w:val="20"/>
                <w:color w:val="auto"/>
              </w:rPr>
            </w:pPr>
            <w:r>
              <w:rPr>
                <w:rFonts w:ascii="Arial" w:cs="Arial" w:eastAsia="Arial" w:hAnsi="Arial"/>
                <w:sz w:val="16"/>
                <w:szCs w:val="16"/>
                <w:color w:val="auto"/>
              </w:rPr>
              <w:t>Deferred revenue - 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162,593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188,775</w:t>
            </w:r>
          </w:p>
        </w:tc>
      </w:tr>
      <w:tr>
        <w:trPr>
          <w:trHeight w:val="226"/>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Facility lease obligations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159,508</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159,355</w:t>
            </w:r>
          </w:p>
        </w:tc>
      </w:tr>
      <w:tr>
        <w:trPr>
          <w:trHeight w:val="211"/>
        </w:trPr>
        <w:tc>
          <w:tcPr>
            <w:tcW w:w="9120" w:type="dxa"/>
            <w:vAlign w:val="bottom"/>
          </w:tcPr>
          <w:p>
            <w:pPr>
              <w:spacing w:after="0"/>
              <w:rPr>
                <w:sz w:val="20"/>
                <w:szCs w:val="20"/>
                <w:color w:val="auto"/>
              </w:rPr>
            </w:pPr>
            <w:r>
              <w:rPr>
                <w:rFonts w:ascii="Arial" w:cs="Arial" w:eastAsia="Arial" w:hAnsi="Arial"/>
                <w:sz w:val="16"/>
                <w:szCs w:val="16"/>
                <w:color w:val="auto"/>
              </w:rPr>
              <w:t>Convertible senior notes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275,019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6"/>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Other long term liabilities</w:t>
            </w:r>
          </w:p>
        </w:tc>
        <w:tc>
          <w:tcPr>
            <w:tcW w:w="24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82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6,443</w:t>
            </w:r>
          </w:p>
        </w:tc>
        <w:tc>
          <w:tcPr>
            <w:tcW w:w="240" w:type="dxa"/>
            <w:vAlign w:val="bottom"/>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rPr>
              <w:t>7,350</w:t>
            </w:r>
          </w:p>
        </w:tc>
      </w:tr>
      <w:tr>
        <w:trPr>
          <w:trHeight w:val="203"/>
        </w:trPr>
        <w:tc>
          <w:tcPr>
            <w:tcW w:w="9120" w:type="dxa"/>
            <w:vAlign w:val="bottom"/>
          </w:tcPr>
          <w:p>
            <w:pPr>
              <w:ind w:left="54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837,851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561,617</w:t>
            </w:r>
          </w:p>
        </w:tc>
      </w:tr>
      <w:tr>
        <w:trPr>
          <w:trHeight w:val="206"/>
        </w:trPr>
        <w:tc>
          <w:tcPr>
            <w:tcW w:w="9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8"/>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Commitments and contingencies (Note 12)</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r>
      <w:tr>
        <w:trPr>
          <w:trHeight w:val="218"/>
        </w:trPr>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9120" w:type="dxa"/>
            <w:vAlign w:val="bottom"/>
            <w:shd w:val="clear" w:color="auto" w:fill="C0C0C0"/>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r>
      <w:tr>
        <w:trPr>
          <w:trHeight w:val="211"/>
        </w:trPr>
        <w:tc>
          <w:tcPr>
            <w:tcW w:w="9120" w:type="dxa"/>
            <w:vAlign w:val="bottom"/>
          </w:tcPr>
          <w:p>
            <w:pPr>
              <w:ind w:left="280"/>
              <w:spacing w:after="0"/>
              <w:rPr>
                <w:sz w:val="20"/>
                <w:szCs w:val="20"/>
                <w:color w:val="auto"/>
              </w:rPr>
            </w:pPr>
            <w:r>
              <w:rPr>
                <w:rFonts w:ascii="Arial" w:cs="Arial" w:eastAsia="Arial" w:hAnsi="Arial"/>
                <w:sz w:val="16"/>
                <w:szCs w:val="16"/>
                <w:color w:val="auto"/>
              </w:rPr>
              <w:t>Preferred stock, $.01 par value; 30,000,000 shares authorized; issued and outstanding - none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91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Class A Stock, convertible, $.001 par value: 40,000,000 shares authorized;</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r>
      <w:tr>
        <w:trPr>
          <w:trHeight w:val="233"/>
        </w:trPr>
        <w:tc>
          <w:tcPr>
            <w:tcW w:w="91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shares issued and outstanding - 2,109,512 in 2011 and 2,182,036 in 2010</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2</w:t>
            </w:r>
          </w:p>
        </w:tc>
        <w:tc>
          <w:tcPr>
            <w:tcW w:w="2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2</w:t>
            </w:r>
          </w:p>
        </w:tc>
      </w:tr>
      <w:tr>
        <w:trPr>
          <w:trHeight w:val="204"/>
        </w:trPr>
        <w:tc>
          <w:tcPr>
            <w:tcW w:w="9120" w:type="dxa"/>
            <w:vAlign w:val="bottom"/>
          </w:tcPr>
          <w:p>
            <w:pPr>
              <w:ind w:left="280"/>
              <w:spacing w:after="0"/>
              <w:rPr>
                <w:sz w:val="20"/>
                <w:szCs w:val="20"/>
                <w:color w:val="auto"/>
              </w:rPr>
            </w:pPr>
            <w:r>
              <w:rPr>
                <w:rFonts w:ascii="Arial" w:cs="Arial" w:eastAsia="Arial" w:hAnsi="Arial"/>
                <w:sz w:val="16"/>
                <w:szCs w:val="16"/>
                <w:color w:val="auto"/>
              </w:rPr>
              <w:t>Common Stock, $.001 par value; 160,000,000 shares authorized;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6"/>
        </w:trPr>
        <w:tc>
          <w:tcPr>
            <w:tcW w:w="9120" w:type="dxa"/>
            <w:vAlign w:val="bottom"/>
          </w:tcPr>
          <w:p>
            <w:pPr>
              <w:ind w:left="540"/>
              <w:spacing w:after="0"/>
              <w:rPr>
                <w:sz w:val="20"/>
                <w:szCs w:val="20"/>
                <w:color w:val="auto"/>
              </w:rPr>
            </w:pPr>
            <w:r>
              <w:rPr>
                <w:rFonts w:ascii="Arial" w:cs="Arial" w:eastAsia="Arial" w:hAnsi="Arial"/>
                <w:sz w:val="16"/>
                <w:szCs w:val="16"/>
                <w:color w:val="auto"/>
              </w:rPr>
              <w:t>shares issued and outstanding - 90,692,071 in 2011 and 87,238,301 in 2010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87</w:t>
            </w:r>
          </w:p>
        </w:tc>
      </w:tr>
      <w:tr>
        <w:trPr>
          <w:trHeight w:val="226"/>
        </w:trPr>
        <w:tc>
          <w:tcPr>
            <w:tcW w:w="91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95"/>
              </w:rPr>
              <w:t>1,754,824</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92"/>
              </w:rPr>
              <w:t>1,575,780</w:t>
            </w:r>
          </w:p>
        </w:tc>
      </w:tr>
      <w:tr>
        <w:trPr>
          <w:trHeight w:val="211"/>
        </w:trPr>
        <w:tc>
          <w:tcPr>
            <w:tcW w:w="91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(1,267,323)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(1,045,563)</w:t>
            </w:r>
          </w:p>
        </w:tc>
      </w:tr>
      <w:tr>
        <w:trPr>
          <w:trHeight w:val="226"/>
        </w:trPr>
        <w:tc>
          <w:tcPr>
            <w:tcW w:w="91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(1,862)</w:t>
            </w:r>
          </w:p>
        </w:tc>
        <w:tc>
          <w:tcPr>
            <w:tcW w:w="240" w:type="dxa"/>
            <w:vAlign w:val="bottom"/>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(2,491)</w:t>
            </w:r>
          </w:p>
        </w:tc>
      </w:tr>
      <w:tr>
        <w:trPr>
          <w:trHeight w:val="203"/>
        </w:trPr>
        <w:tc>
          <w:tcPr>
            <w:tcW w:w="9120" w:type="dxa"/>
            <w:vAlign w:val="bottom"/>
            <w:tcBorders>
              <w:bottom w:val="single" w:sz="8" w:color="C0C0C0"/>
            </w:tcBorders>
          </w:tcPr>
          <w:p>
            <w:pPr>
              <w:ind w:left="5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485,732</w:t>
            </w:r>
          </w:p>
        </w:tc>
        <w:tc>
          <w:tcPr>
            <w:tcW w:w="240" w:type="dxa"/>
            <w:vAlign w:val="bottom"/>
            <w:tcBorders>
              <w:bottom w:val="single" w:sz="8" w:color="C0C0C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527,815</w:t>
            </w:r>
          </w:p>
        </w:tc>
      </w:tr>
      <w:tr>
        <w:trPr>
          <w:trHeight w:val="222"/>
        </w:trPr>
        <w:tc>
          <w:tcPr>
            <w:tcW w:w="9120" w:type="dxa"/>
            <w:vAlign w:val="bottom"/>
            <w:tcBorders>
              <w:bottom w:val="single" w:sz="8" w:color="C0C0C0"/>
            </w:tcBorders>
            <w:shd w:val="clear" w:color="auto" w:fill="C0C0C0"/>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w w:val="95"/>
              </w:rPr>
              <w:t>1,323,583</w:t>
            </w:r>
          </w:p>
        </w:tc>
        <w:tc>
          <w:tcPr>
            <w:tcW w:w="2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w w:val="92"/>
              </w:rPr>
              <w:t>1,089,432</w:t>
            </w:r>
          </w:p>
        </w:tc>
      </w:tr>
    </w:tbl>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OPERATIONS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2011, 2010, and 2009</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Borders>
              <w:bottom w:val="single" w:sz="8" w:color="C0C0C0"/>
            </w:tcBorders>
          </w:tcPr>
          <w:p>
            <w:pPr>
              <w:spacing w:after="0"/>
              <w:rPr>
                <w:sz w:val="18"/>
                <w:szCs w:val="18"/>
                <w:color w:val="auto"/>
              </w:rPr>
            </w:pPr>
          </w:p>
        </w:tc>
        <w:tc>
          <w:tcPr>
            <w:tcW w:w="25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2011</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2010</w:t>
            </w:r>
          </w:p>
        </w:tc>
        <w:tc>
          <w:tcPr>
            <w:tcW w:w="26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2009</w:t>
            </w:r>
          </w:p>
        </w:tc>
      </w:tr>
      <w:tr>
        <w:trPr>
          <w:trHeight w:val="206"/>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Revenues</w:t>
            </w:r>
          </w:p>
        </w:tc>
        <w:tc>
          <w:tcPr>
            <w:tcW w:w="2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r>
      <w:tr>
        <w:trPr>
          <w:trHeight w:val="211"/>
        </w:trPr>
        <w:tc>
          <w:tcPr>
            <w:tcW w:w="6060" w:type="dxa"/>
            <w:vAlign w:val="bottom"/>
          </w:tcPr>
          <w:p>
            <w:pPr>
              <w:ind w:left="280"/>
              <w:spacing w:after="0"/>
              <w:rPr>
                <w:sz w:val="20"/>
                <w:szCs w:val="20"/>
                <w:color w:val="auto"/>
              </w:rPr>
            </w:pPr>
            <w:r>
              <w:rPr>
                <w:rFonts w:ascii="Arial" w:cs="Arial" w:eastAsia="Arial" w:hAnsi="Arial"/>
                <w:sz w:val="16"/>
                <w:szCs w:val="16"/>
                <w:color w:val="auto"/>
              </w:rPr>
              <w:t>Sanofi collaboration revenue</w:t>
            </w:r>
          </w:p>
        </w:tc>
        <w:tc>
          <w:tcPr>
            <w:tcW w:w="2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w w:val="96"/>
              </w:rPr>
              <w:t>326,609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311,332</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89"/>
              </w:rPr>
              <w:t>247,140</w:t>
            </w:r>
          </w:p>
        </w:tc>
      </w:tr>
      <w:tr>
        <w:trPr>
          <w:trHeight w:val="226"/>
        </w:trPr>
        <w:tc>
          <w:tcPr>
            <w:tcW w:w="6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Other collaboration revenue</w:t>
            </w:r>
          </w:p>
        </w:tc>
        <w:tc>
          <w:tcPr>
            <w:tcW w:w="25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43,072</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75,393</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67,317</w:t>
            </w:r>
          </w:p>
        </w:tc>
      </w:tr>
      <w:tr>
        <w:trPr>
          <w:trHeight w:val="211"/>
        </w:trPr>
        <w:tc>
          <w:tcPr>
            <w:tcW w:w="6060" w:type="dxa"/>
            <w:vAlign w:val="bottom"/>
          </w:tcPr>
          <w:p>
            <w:pPr>
              <w:ind w:left="280"/>
              <w:spacing w:after="0"/>
              <w:rPr>
                <w:sz w:val="20"/>
                <w:szCs w:val="20"/>
                <w:color w:val="auto"/>
              </w:rPr>
            </w:pPr>
            <w:r>
              <w:rPr>
                <w:rFonts w:ascii="Arial" w:cs="Arial" w:eastAsia="Arial" w:hAnsi="Arial"/>
                <w:sz w:val="16"/>
                <w:szCs w:val="16"/>
                <w:color w:val="auto"/>
              </w:rPr>
              <w:t>Net product sales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44,686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25,254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18,364</w:t>
            </w:r>
          </w:p>
        </w:tc>
      </w:tr>
      <w:tr>
        <w:trPr>
          <w:trHeight w:val="226"/>
        </w:trPr>
        <w:tc>
          <w:tcPr>
            <w:tcW w:w="6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Technology licensing</w:t>
            </w:r>
          </w:p>
        </w:tc>
        <w:tc>
          <w:tcPr>
            <w:tcW w:w="25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24,858</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40,150</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40,013</w:t>
            </w:r>
          </w:p>
        </w:tc>
      </w:tr>
      <w:tr>
        <w:trPr>
          <w:trHeight w:val="211"/>
        </w:trPr>
        <w:tc>
          <w:tcPr>
            <w:tcW w:w="60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Contract research and other</w:t>
            </w:r>
          </w:p>
        </w:tc>
        <w:tc>
          <w:tcPr>
            <w:tcW w:w="25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6,599</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6,945</w:t>
            </w:r>
          </w:p>
        </w:tc>
        <w:tc>
          <w:tcPr>
            <w:tcW w:w="26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6,434</w:t>
            </w:r>
          </w:p>
        </w:tc>
      </w:tr>
      <w:tr>
        <w:trPr>
          <w:trHeight w:val="211"/>
        </w:trPr>
        <w:tc>
          <w:tcPr>
            <w:tcW w:w="6060" w:type="dxa"/>
            <w:vAlign w:val="bottom"/>
            <w:shd w:val="clear" w:color="auto" w:fill="C0C0C0"/>
          </w:tcPr>
          <w:p>
            <w:pPr>
              <w:spacing w:after="0"/>
              <w:rPr>
                <w:sz w:val="18"/>
                <w:szCs w:val="18"/>
                <w:color w:val="auto"/>
              </w:rPr>
            </w:pPr>
          </w:p>
        </w:tc>
        <w:tc>
          <w:tcPr>
            <w:tcW w:w="25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70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w w:val="96"/>
              </w:rPr>
              <w:t>445,824</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459,074</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w w:val="89"/>
              </w:rPr>
              <w:t>379,268</w:t>
            </w:r>
          </w:p>
        </w:tc>
      </w:tr>
      <w:tr>
        <w:trPr>
          <w:trHeight w:val="206"/>
        </w:trPr>
        <w:tc>
          <w:tcPr>
            <w:tcW w:w="6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8"/>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Expenses</w:t>
            </w:r>
          </w:p>
        </w:tc>
        <w:tc>
          <w:tcPr>
            <w:tcW w:w="25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60" w:type="dxa"/>
            <w:vAlign w:val="bottom"/>
            <w:shd w:val="clear" w:color="auto" w:fill="C0C0C0"/>
          </w:tcPr>
          <w:p>
            <w:pPr>
              <w:spacing w:after="0"/>
              <w:rPr>
                <w:sz w:val="18"/>
                <w:szCs w:val="18"/>
                <w:color w:val="auto"/>
              </w:rPr>
            </w:pPr>
          </w:p>
        </w:tc>
      </w:tr>
      <w:tr>
        <w:trPr>
          <w:trHeight w:val="211"/>
        </w:trPr>
        <w:tc>
          <w:tcPr>
            <w:tcW w:w="60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w w:val="96"/>
              </w:rPr>
              <w:t>529,506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489,252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w w:val="89"/>
              </w:rPr>
              <w:t>398,762</w:t>
            </w:r>
          </w:p>
        </w:tc>
      </w:tr>
      <w:tr>
        <w:trPr>
          <w:trHeight w:val="226"/>
        </w:trPr>
        <w:tc>
          <w:tcPr>
            <w:tcW w:w="6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Selling, general, and administrative</w:t>
            </w:r>
          </w:p>
        </w:tc>
        <w:tc>
          <w:tcPr>
            <w:tcW w:w="25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w w:val="96"/>
              </w:rPr>
              <w:t>117,261</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65,201</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52,923</w:t>
            </w:r>
          </w:p>
        </w:tc>
      </w:tr>
      <w:tr>
        <w:trPr>
          <w:trHeight w:val="211"/>
        </w:trPr>
        <w:tc>
          <w:tcPr>
            <w:tcW w:w="60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Cost of goods sold</w:t>
            </w:r>
          </w:p>
        </w:tc>
        <w:tc>
          <w:tcPr>
            <w:tcW w:w="25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4,216</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2,093</w:t>
            </w:r>
          </w:p>
        </w:tc>
        <w:tc>
          <w:tcPr>
            <w:tcW w:w="26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1,686</w:t>
            </w:r>
          </w:p>
        </w:tc>
      </w:tr>
      <w:tr>
        <w:trPr>
          <w:trHeight w:val="211"/>
        </w:trPr>
        <w:tc>
          <w:tcPr>
            <w:tcW w:w="6060" w:type="dxa"/>
            <w:vAlign w:val="bottom"/>
            <w:shd w:val="clear" w:color="auto" w:fill="C0C0C0"/>
          </w:tcPr>
          <w:p>
            <w:pPr>
              <w:spacing w:after="0"/>
              <w:rPr>
                <w:sz w:val="18"/>
                <w:szCs w:val="18"/>
                <w:color w:val="auto"/>
              </w:rPr>
            </w:pPr>
          </w:p>
        </w:tc>
        <w:tc>
          <w:tcPr>
            <w:tcW w:w="25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70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w w:val="96"/>
              </w:rPr>
              <w:t>650,983</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556,546</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jc w:val="right"/>
              <w:ind w:right="41"/>
              <w:spacing w:after="0"/>
              <w:rPr>
                <w:sz w:val="20"/>
                <w:szCs w:val="20"/>
                <w:color w:val="auto"/>
              </w:rPr>
            </w:pPr>
            <w:r>
              <w:rPr>
                <w:rFonts w:ascii="Arial" w:cs="Arial" w:eastAsia="Arial" w:hAnsi="Arial"/>
                <w:sz w:val="16"/>
                <w:szCs w:val="16"/>
                <w:color w:val="auto"/>
                <w:w w:val="89"/>
              </w:rPr>
              <w:t>453,371</w:t>
            </w:r>
          </w:p>
        </w:tc>
      </w:tr>
      <w:tr>
        <w:trPr>
          <w:trHeight w:val="206"/>
        </w:trPr>
        <w:tc>
          <w:tcPr>
            <w:tcW w:w="6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1"/>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Loss from operations</w:t>
            </w:r>
          </w:p>
        </w:tc>
        <w:tc>
          <w:tcPr>
            <w:tcW w:w="25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0"/>
              </w:rPr>
              <w:t>(205,159)</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(97,472)</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7"/>
              </w:rPr>
              <w:t>(74,103)</w:t>
            </w:r>
          </w:p>
        </w:tc>
      </w:tr>
      <w:tr>
        <w:trPr>
          <w:trHeight w:val="206"/>
        </w:trPr>
        <w:tc>
          <w:tcPr>
            <w:tcW w:w="6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8"/>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Other income (expense)</w:t>
            </w:r>
          </w:p>
        </w:tc>
        <w:tc>
          <w:tcPr>
            <w:tcW w:w="25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60" w:type="dxa"/>
            <w:vAlign w:val="bottom"/>
            <w:shd w:val="clear" w:color="auto" w:fill="C0C0C0"/>
          </w:tcPr>
          <w:p>
            <w:pPr>
              <w:spacing w:after="0"/>
              <w:rPr>
                <w:sz w:val="18"/>
                <w:szCs w:val="18"/>
                <w:color w:val="auto"/>
              </w:rPr>
            </w:pPr>
          </w:p>
        </w:tc>
      </w:tr>
      <w:tr>
        <w:trPr>
          <w:trHeight w:val="211"/>
        </w:trPr>
        <w:tc>
          <w:tcPr>
            <w:tcW w:w="6060" w:type="dxa"/>
            <w:vAlign w:val="bottom"/>
          </w:tcPr>
          <w:p>
            <w:pPr>
              <w:ind w:left="280"/>
              <w:spacing w:after="0"/>
              <w:rPr>
                <w:sz w:val="20"/>
                <w:szCs w:val="20"/>
                <w:color w:val="auto"/>
              </w:rPr>
            </w:pPr>
            <w:r>
              <w:rPr>
                <w:rFonts w:ascii="Arial" w:cs="Arial" w:eastAsia="Arial" w:hAnsi="Arial"/>
                <w:sz w:val="16"/>
                <w:szCs w:val="16"/>
                <w:color w:val="auto"/>
              </w:rPr>
              <w:t>Investment income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2,122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4,488</w:t>
            </w:r>
          </w:p>
        </w:tc>
      </w:tr>
      <w:tr>
        <w:trPr>
          <w:trHeight w:val="218"/>
        </w:trPr>
        <w:tc>
          <w:tcPr>
            <w:tcW w:w="60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Interest expense</w:t>
            </w:r>
          </w:p>
        </w:tc>
        <w:tc>
          <w:tcPr>
            <w:tcW w:w="25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(21,282)</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(9,118)</w:t>
            </w: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(2,337)</w:t>
            </w:r>
          </w:p>
        </w:tc>
      </w:tr>
      <w:tr>
        <w:trPr>
          <w:trHeight w:val="211"/>
        </w:trPr>
        <w:tc>
          <w:tcPr>
            <w:tcW w:w="6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(6,996)</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2,151</w:t>
            </w:r>
          </w:p>
        </w:tc>
      </w:tr>
      <w:tr>
        <w:trPr>
          <w:trHeight w:val="206"/>
        </w:trPr>
        <w:tc>
          <w:tcPr>
            <w:tcW w:w="6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8"/>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Net loss before income tax benefit</w:t>
            </w:r>
          </w:p>
        </w:tc>
        <w:tc>
          <w:tcPr>
            <w:tcW w:w="25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(222,892)</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(104,468)</w:t>
            </w: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7"/>
              </w:rPr>
              <w:t>(71,952)</w:t>
            </w:r>
          </w:p>
        </w:tc>
      </w:tr>
      <w:tr>
        <w:trPr>
          <w:trHeight w:val="218"/>
        </w:trPr>
        <w:tc>
          <w:tcPr>
            <w:tcW w:w="6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1"/>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Income tax benefit</w:t>
            </w:r>
          </w:p>
        </w:tc>
        <w:tc>
          <w:tcPr>
            <w:tcW w:w="256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(1,132)</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(4,122)</w:t>
            </w:r>
          </w:p>
        </w:tc>
      </w:tr>
      <w:tr>
        <w:trPr>
          <w:trHeight w:val="206"/>
        </w:trPr>
        <w:tc>
          <w:tcPr>
            <w:tcW w:w="6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3"/>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Net loss</w:t>
            </w:r>
          </w:p>
        </w:tc>
        <w:tc>
          <w:tcPr>
            <w:tcW w:w="266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(221,760)</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(104,468)</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7"/>
              </w:rPr>
              <w:t>(67,830)</w:t>
            </w:r>
          </w:p>
        </w:tc>
      </w:tr>
      <w:tr>
        <w:trPr>
          <w:trHeight w:val="206"/>
        </w:trPr>
        <w:tc>
          <w:tcPr>
            <w:tcW w:w="6060" w:type="dxa"/>
            <w:vAlign w:val="bottom"/>
            <w:tcBorders>
              <w:top w:val="single" w:sz="8" w:color="C0C0C0"/>
            </w:tcBorders>
          </w:tcPr>
          <w:p>
            <w:pPr>
              <w:spacing w:after="0"/>
              <w:rPr>
                <w:sz w:val="17"/>
                <w:szCs w:val="17"/>
                <w:color w:val="auto"/>
              </w:rPr>
            </w:pPr>
          </w:p>
        </w:tc>
        <w:tc>
          <w:tcPr>
            <w:tcW w:w="256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Borders>
              <w:top w:val="single" w:sz="8" w:color="C0C0C0"/>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8"/>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Net loss per share, basic and diluted</w:t>
            </w:r>
          </w:p>
        </w:tc>
        <w:tc>
          <w:tcPr>
            <w:tcW w:w="266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(2.45)</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(1.26)</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(0.85)</w:t>
            </w:r>
          </w:p>
        </w:tc>
      </w:tr>
      <w:tr>
        <w:trPr>
          <w:trHeight w:val="218"/>
        </w:trPr>
        <w:tc>
          <w:tcPr>
            <w:tcW w:w="6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8"/>
        </w:trPr>
        <w:tc>
          <w:tcPr>
            <w:tcW w:w="6060" w:type="dxa"/>
            <w:vAlign w:val="bottom"/>
            <w:shd w:val="clear" w:color="auto" w:fill="C0C0C0"/>
          </w:tcPr>
          <w:p>
            <w:pPr>
              <w:spacing w:after="0"/>
              <w:rPr>
                <w:sz w:val="20"/>
                <w:szCs w:val="20"/>
                <w:color w:val="auto"/>
              </w:rPr>
            </w:pPr>
            <w:r>
              <w:rPr>
                <w:rFonts w:ascii="Arial" w:cs="Arial" w:eastAsia="Arial" w:hAnsi="Arial"/>
                <w:sz w:val="16"/>
                <w:szCs w:val="16"/>
                <w:color w:val="auto"/>
              </w:rPr>
              <w:t>Weighted average shares outstanding, basic and diluted</w:t>
            </w:r>
          </w:p>
        </w:tc>
        <w:tc>
          <w:tcPr>
            <w:tcW w:w="25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90,610</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82,926</w:t>
            </w: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66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79,782</w:t>
            </w:r>
          </w:p>
        </w:tc>
      </w:tr>
    </w:tbl>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88" w:name="page89"/>
    <w:bookmarkEnd w:id="88"/>
    <w:p>
      <w:pPr>
        <w:jc w:val="center"/>
        <w:ind w:right="10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STATEMENTS OF STOCKHOLDERS' EQUITY</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For the Years Ended December 31, 2011, 2010, and 2009</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8"/>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Total</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8"/>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66"/>
              <w:spacing w:after="0"/>
              <w:rPr>
                <w:sz w:val="20"/>
                <w:szCs w:val="20"/>
                <w:color w:val="auto"/>
              </w:rPr>
            </w:pPr>
            <w:r>
              <w:rPr>
                <w:rFonts w:ascii="Arial" w:cs="Arial" w:eastAsia="Arial" w:hAnsi="Arial"/>
                <w:sz w:val="12"/>
                <w:szCs w:val="12"/>
                <w:b w:val="1"/>
                <w:bCs w:val="1"/>
                <w:color w:val="auto"/>
              </w:rPr>
              <w:t>Class A Stock</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Paid-in</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w w:val="95"/>
              </w:rPr>
              <w:t>Accumulated</w:t>
            </w:r>
          </w:p>
        </w:tc>
        <w:tc>
          <w:tcPr>
            <w:tcW w:w="3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Comprehensive</w:t>
            </w:r>
          </w:p>
        </w:tc>
        <w:tc>
          <w:tcPr>
            <w:tcW w:w="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Stockholders'</w:t>
            </w: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w w:val="88"/>
              </w:rPr>
              <w:t>Comprehensive</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74"/>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5"/>
                <w:szCs w:val="15"/>
                <w:color w:val="auto"/>
              </w:rPr>
            </w:pPr>
          </w:p>
        </w:tc>
        <w:tc>
          <w:tcPr>
            <w:tcW w:w="660" w:type="dxa"/>
            <w:vAlign w:val="bottom"/>
          </w:tcPr>
          <w:p>
            <w:pPr>
              <w:jc w:val="right"/>
              <w:ind w:right="159"/>
              <w:spacing w:after="0"/>
              <w:rPr>
                <w:sz w:val="20"/>
                <w:szCs w:val="20"/>
                <w:color w:val="auto"/>
              </w:rPr>
            </w:pPr>
            <w:r>
              <w:rPr>
                <w:rFonts w:ascii="Arial" w:cs="Arial" w:eastAsia="Arial" w:hAnsi="Arial"/>
                <w:sz w:val="12"/>
                <w:szCs w:val="12"/>
                <w:b w:val="1"/>
                <w:bCs w:val="1"/>
                <w:color w:val="auto"/>
              </w:rPr>
              <w:t>Deficit</w:t>
            </w:r>
          </w:p>
        </w:tc>
        <w:tc>
          <w:tcPr>
            <w:tcW w:w="3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Income (Loss)</w:t>
            </w:r>
          </w:p>
        </w:tc>
        <w:tc>
          <w:tcPr>
            <w:tcW w:w="8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Equity</w:t>
            </w:r>
          </w:p>
        </w:tc>
        <w:tc>
          <w:tcPr>
            <w:tcW w:w="180" w:type="dxa"/>
            <w:vAlign w:val="bottom"/>
          </w:tcPr>
          <w:p>
            <w:pPr>
              <w:spacing w:after="0"/>
              <w:rPr>
                <w:sz w:val="15"/>
                <w:szCs w:val="15"/>
                <w:color w:val="auto"/>
              </w:rPr>
            </w:pPr>
          </w:p>
        </w:tc>
        <w:tc>
          <w:tcPr>
            <w:tcW w:w="660" w:type="dxa"/>
            <w:vAlign w:val="bottom"/>
          </w:tcPr>
          <w:p>
            <w:pPr>
              <w:jc w:val="right"/>
              <w:ind w:right="239"/>
              <w:spacing w:after="0"/>
              <w:rPr>
                <w:sz w:val="20"/>
                <w:szCs w:val="20"/>
                <w:color w:val="auto"/>
              </w:rPr>
            </w:pPr>
            <w:r>
              <w:rPr>
                <w:rFonts w:ascii="Arial" w:cs="Arial" w:eastAsia="Arial" w:hAnsi="Arial"/>
                <w:sz w:val="12"/>
                <w:szCs w:val="12"/>
                <w:b w:val="1"/>
                <w:bCs w:val="1"/>
                <w:color w:val="auto"/>
              </w:rPr>
              <w:t>Loss</w:t>
            </w:r>
          </w:p>
        </w:tc>
      </w:tr>
      <w:tr>
        <w:trPr>
          <w:trHeight w:val="37"/>
        </w:trPr>
        <w:tc>
          <w:tcPr>
            <w:tcW w:w="3280" w:type="dxa"/>
            <w:vAlign w:val="bottom"/>
            <w:tcBorders>
              <w:bottom w:val="single" w:sz="8" w:color="C0C0C0"/>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1"/>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b w:val="1"/>
                <w:bCs w:val="1"/>
                <w:color w:val="auto"/>
              </w:rPr>
              <w:t>Balance, December 31, 2008</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2,249</w:t>
            </w:r>
          </w:p>
        </w:tc>
        <w:tc>
          <w:tcPr>
            <w:tcW w:w="240" w:type="dxa"/>
            <w:vAlign w:val="bottom"/>
            <w:tcBorders>
              <w:bottom w:val="single" w:sz="8" w:color="C0C0C0"/>
            </w:tcBorders>
            <w:shd w:val="clear" w:color="auto" w:fill="C0C0C0"/>
          </w:tcPr>
          <w:p>
            <w:pPr>
              <w:spacing w:after="0"/>
              <w:rPr>
                <w:sz w:val="16"/>
                <w:szCs w:val="16"/>
                <w:color w:val="auto"/>
              </w:rPr>
            </w:pPr>
          </w:p>
        </w:tc>
        <w:tc>
          <w:tcPr>
            <w:tcW w:w="480" w:type="dxa"/>
            <w:vAlign w:val="bottom"/>
            <w:tcBorders>
              <w:bottom w:val="single" w:sz="8" w:color="C0C0C0"/>
            </w:tcBorders>
            <w:shd w:val="clear" w:color="auto" w:fill="C0C0C0"/>
          </w:tcPr>
          <w:p>
            <w:pPr>
              <w:jc w:val="right"/>
              <w:ind w:right="366"/>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C0C0C0"/>
            </w:tcBorders>
            <w:gridSpan w:val="2"/>
            <w:shd w:val="clear" w:color="auto" w:fill="C0C0C0"/>
          </w:tcPr>
          <w:p>
            <w:pPr>
              <w:jc w:val="right"/>
              <w:ind w:right="240"/>
              <w:spacing w:after="0"/>
              <w:rPr>
                <w:sz w:val="20"/>
                <w:szCs w:val="20"/>
                <w:color w:val="auto"/>
              </w:rPr>
            </w:pPr>
            <w:r>
              <w:rPr>
                <w:rFonts w:ascii="Arial" w:cs="Arial" w:eastAsia="Arial" w:hAnsi="Arial"/>
                <w:sz w:val="10"/>
                <w:szCs w:val="10"/>
                <w:color w:val="auto"/>
                <w:w w:val="71"/>
              </w:rPr>
              <w:t>2</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77,642</w:t>
            </w:r>
          </w:p>
        </w:tc>
        <w:tc>
          <w:tcPr>
            <w:tcW w:w="540" w:type="dxa"/>
            <w:vAlign w:val="bottom"/>
            <w:tcBorders>
              <w:bottom w:val="single" w:sz="8" w:color="C0C0C0"/>
            </w:tcBorders>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78</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$1,294,813</w:t>
            </w:r>
          </w:p>
        </w:tc>
        <w:tc>
          <w:tcPr>
            <w:tcW w:w="240" w:type="dxa"/>
            <w:vAlign w:val="bottom"/>
            <w:tcBorders>
              <w:bottom w:val="single" w:sz="8" w:color="C0C0C0"/>
            </w:tcBorders>
            <w:shd w:val="clear" w:color="auto" w:fill="C0C0C0"/>
          </w:tcPr>
          <w:p>
            <w:pPr>
              <w:spacing w:after="0"/>
              <w:rPr>
                <w:sz w:val="16"/>
                <w:szCs w:val="16"/>
                <w:color w:val="auto"/>
              </w:rPr>
            </w:pPr>
          </w:p>
        </w:tc>
        <w:tc>
          <w:tcPr>
            <w:tcW w:w="140" w:type="dxa"/>
            <w:vAlign w:val="bottom"/>
            <w:tcBorders>
              <w:bottom w:val="single" w:sz="8" w:color="C0C0C0"/>
            </w:tcBorders>
            <w:shd w:val="clear" w:color="auto" w:fill="C0C0C0"/>
          </w:tcPr>
          <w:p>
            <w:pPr>
              <w:jc w:val="right"/>
              <w:ind w:right="26"/>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(873,265)</w:t>
            </w:r>
          </w:p>
        </w:tc>
        <w:tc>
          <w:tcPr>
            <w:tcW w:w="300" w:type="dxa"/>
            <w:vAlign w:val="bottom"/>
            <w:tcBorders>
              <w:bottom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(114)</w:t>
            </w:r>
          </w:p>
        </w:tc>
        <w:tc>
          <w:tcPr>
            <w:tcW w:w="240" w:type="dxa"/>
            <w:vAlign w:val="bottom"/>
            <w:tcBorders>
              <w:bottom w:val="single" w:sz="8" w:color="C0C0C0"/>
            </w:tcBorders>
            <w:shd w:val="clear" w:color="auto" w:fill="C0C0C0"/>
          </w:tcPr>
          <w:p>
            <w:pPr>
              <w:spacing w:after="0"/>
              <w:rPr>
                <w:sz w:val="16"/>
                <w:szCs w:val="16"/>
                <w:color w:val="auto"/>
              </w:rPr>
            </w:pPr>
          </w:p>
        </w:tc>
        <w:tc>
          <w:tcPr>
            <w:tcW w:w="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421,514</w:t>
            </w:r>
          </w:p>
        </w:tc>
        <w:tc>
          <w:tcPr>
            <w:tcW w:w="240" w:type="dxa"/>
            <w:vAlign w:val="bottom"/>
            <w:tcBorders>
              <w:bottom w:val="single" w:sz="8" w:color="C0C0C0"/>
            </w:tcBorders>
            <w:shd w:val="clear" w:color="auto" w:fill="C0C0C0"/>
          </w:tcPr>
          <w:p>
            <w:pPr>
              <w:spacing w:after="0"/>
              <w:rPr>
                <w:sz w:val="16"/>
                <w:szCs w:val="16"/>
                <w:color w:val="auto"/>
              </w:rPr>
            </w:pPr>
          </w:p>
        </w:tc>
        <w:tc>
          <w:tcPr>
            <w:tcW w:w="180" w:type="dxa"/>
            <w:vAlign w:val="bottom"/>
            <w:tcBorders>
              <w:bottom w:val="single" w:sz="8" w:color="C0C0C0"/>
            </w:tcBorders>
            <w:shd w:val="clear" w:color="auto" w:fill="C0C0C0"/>
          </w:tcPr>
          <w:p>
            <w:pPr>
              <w:spacing w:after="0"/>
              <w:rPr>
                <w:sz w:val="16"/>
                <w:szCs w:val="16"/>
                <w:color w:val="auto"/>
              </w:rPr>
            </w:pPr>
          </w:p>
        </w:tc>
        <w:tc>
          <w:tcPr>
            <w:tcW w:w="660" w:type="dxa"/>
            <w:vAlign w:val="bottom"/>
            <w:tcBorders>
              <w:bottom w:val="single" w:sz="8" w:color="C0C0C0"/>
            </w:tcBorders>
            <w:shd w:val="clear" w:color="auto" w:fill="C0C0C0"/>
          </w:tcPr>
          <w:p>
            <w:pPr>
              <w:spacing w:after="0"/>
              <w:rPr>
                <w:sz w:val="16"/>
                <w:szCs w:val="16"/>
                <w:color w:val="auto"/>
              </w:rPr>
            </w:pPr>
          </w:p>
        </w:tc>
      </w:tr>
      <w:tr>
        <w:trPr>
          <w:trHeight w:val="218"/>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rPr>
              <w:t>Issuance of Common Stock in connection with</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exercise of stock options, net of shares tendered</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1,134</w:t>
            </w: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1</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9,269</w:t>
            </w: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9,270</w:t>
            </w: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Issuance of Common Stock in connection with</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Company 401(k) Savings Plan contribution</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1,391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rPr>
              <w:t>Conversion of Class A Stock to Common Stock</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(4)</w:t>
            </w: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4</w:t>
            </w:r>
          </w:p>
        </w:tc>
        <w:tc>
          <w:tcPr>
            <w:tcW w:w="24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right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82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Stock-based compensation charges</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31,259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31,259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rPr>
              <w:t>Net loss, 2009</w:t>
            </w: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(67,830)</w:t>
            </w:r>
          </w:p>
        </w:tc>
        <w:tc>
          <w:tcPr>
            <w:tcW w:w="300" w:type="dxa"/>
            <w:vAlign w:val="bottom"/>
            <w:tcBorders>
              <w:bottom w:val="single" w:sz="8" w:color="C0C0C0"/>
              <w:right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(67,830)</w:t>
            </w:r>
          </w:p>
        </w:tc>
        <w:tc>
          <w:tcPr>
            <w:tcW w:w="2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(67,830)</w:t>
            </w: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Change in net unrealized gain (loss) on marketable</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securities, net of tax effect of $0.7 million</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1,158</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b w:val="1"/>
                <w:bCs w:val="1"/>
                <w:color w:val="auto"/>
              </w:rPr>
              <w:t>Balance, December 31, 2009</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2,245</w:t>
            </w:r>
          </w:p>
        </w:tc>
        <w:tc>
          <w:tcPr>
            <w:tcW w:w="24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gridSpan w:val="2"/>
            <w:shd w:val="clear" w:color="auto" w:fill="C0C0C0"/>
          </w:tcPr>
          <w:p>
            <w:pPr>
              <w:jc w:val="right"/>
              <w:ind w:right="240"/>
              <w:spacing w:after="0"/>
              <w:rPr>
                <w:sz w:val="20"/>
                <w:szCs w:val="20"/>
                <w:color w:val="auto"/>
              </w:rPr>
            </w:pPr>
            <w:r>
              <w:rPr>
                <w:rFonts w:ascii="Arial" w:cs="Arial" w:eastAsia="Arial" w:hAnsi="Arial"/>
                <w:sz w:val="10"/>
                <w:szCs w:val="10"/>
                <w:color w:val="auto"/>
                <w:w w:val="71"/>
              </w:rPr>
              <w:t>2</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78,861</w:t>
            </w:r>
          </w:p>
        </w:tc>
        <w:tc>
          <w:tcPr>
            <w:tcW w:w="24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79</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1,336,732</w:t>
            </w:r>
          </w:p>
        </w:tc>
        <w:tc>
          <w:tcPr>
            <w:tcW w:w="2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(941,095)</w:t>
            </w:r>
          </w:p>
        </w:tc>
        <w:tc>
          <w:tcPr>
            <w:tcW w:w="300" w:type="dxa"/>
            <w:vAlign w:val="bottom"/>
            <w:tcBorders>
              <w:bottom w:val="single" w:sz="8" w:color="C0C0C0"/>
              <w:right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1,044</w:t>
            </w:r>
          </w:p>
        </w:tc>
        <w:tc>
          <w:tcPr>
            <w:tcW w:w="2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396,762</w:t>
            </w:r>
          </w:p>
        </w:tc>
        <w:tc>
          <w:tcPr>
            <w:tcW w:w="24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(66,672)</w:t>
            </w:r>
          </w:p>
        </w:tc>
      </w:tr>
      <w:tr>
        <w:trPr>
          <w:trHeight w:val="206"/>
        </w:trPr>
        <w:tc>
          <w:tcPr>
            <w:tcW w:w="328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48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4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60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300" w:type="dxa"/>
            <w:vAlign w:val="bottom"/>
            <w:tcBorders>
              <w:top w:val="single" w:sz="8" w:color="C0C0C0"/>
            </w:tcBorders>
          </w:tcPr>
          <w:p>
            <w:pPr>
              <w:spacing w:after="0"/>
              <w:rPr>
                <w:sz w:val="17"/>
                <w:szCs w:val="17"/>
                <w:color w:val="auto"/>
              </w:rPr>
            </w:pPr>
          </w:p>
        </w:tc>
        <w:tc>
          <w:tcPr>
            <w:tcW w:w="20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60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60" w:type="dxa"/>
            <w:vAlign w:val="bottom"/>
            <w:tcBorders>
              <w:top w:val="single" w:sz="8" w:color="C0C0C0"/>
            </w:tcBorders>
          </w:tcPr>
          <w:p>
            <w:pPr>
              <w:spacing w:after="0"/>
              <w:rPr>
                <w:sz w:val="17"/>
                <w:szCs w:val="17"/>
                <w:color w:val="auto"/>
              </w:rPr>
            </w:pPr>
          </w:p>
        </w:tc>
        <w:tc>
          <w:tcPr>
            <w:tcW w:w="300" w:type="dxa"/>
            <w:vAlign w:val="bottom"/>
            <w:tcBorders>
              <w:top w:val="single" w:sz="8" w:color="C0C0C0"/>
            </w:tcBorders>
          </w:tcPr>
          <w:p>
            <w:pPr>
              <w:spacing w:after="0"/>
              <w:rPr>
                <w:sz w:val="17"/>
                <w:szCs w:val="17"/>
                <w:color w:val="auto"/>
              </w:rPr>
            </w:pPr>
          </w:p>
        </w:tc>
        <w:tc>
          <w:tcPr>
            <w:tcW w:w="76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82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rPr>
              <w:t>Issuance of Common Stock in a public offering, net of</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issuance costs</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6,325</w:t>
            </w: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6</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174,822</w:t>
            </w: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174,828</w:t>
            </w: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Issuance of Common Stock in connection with</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exercise of stock options, net of shares tendered</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21,462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rPr>
              <w:t>Issuance of Common Stock in connection with</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Company 401(k) Savings Plan contribution</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111</w:t>
            </w: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2,867</w:t>
            </w: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2,867</w:t>
            </w: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Issuance of restricted Common Stock under</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Long-Term Incentive Plan</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rPr>
              <w:t>Conversion of Class A Stock to Common Stock</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(63)</w:t>
            </w: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63</w:t>
            </w:r>
          </w:p>
        </w:tc>
        <w:tc>
          <w:tcPr>
            <w:tcW w:w="24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right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82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Stock-based compensation charges</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39,897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39,897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rPr>
              <w:t>Net loss, 2010</w:t>
            </w: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(104,468)</w:t>
            </w:r>
          </w:p>
        </w:tc>
        <w:tc>
          <w:tcPr>
            <w:tcW w:w="300" w:type="dxa"/>
            <w:vAlign w:val="bottom"/>
            <w:tcBorders>
              <w:bottom w:val="single" w:sz="8" w:color="C0C0C0"/>
              <w:right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(104,468)</w:t>
            </w:r>
          </w:p>
        </w:tc>
        <w:tc>
          <w:tcPr>
            <w:tcW w:w="2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(104,468)</w:t>
            </w: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Change in net unrealized gain (loss) on marketable</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securities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(3,535)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(3,535)</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b w:val="1"/>
                <w:bCs w:val="1"/>
                <w:color w:val="auto"/>
              </w:rPr>
              <w:t>Balance, December 31, 2010</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2,182</w:t>
            </w:r>
          </w:p>
        </w:tc>
        <w:tc>
          <w:tcPr>
            <w:tcW w:w="240" w:type="dxa"/>
            <w:vAlign w:val="bottom"/>
            <w:tcBorders>
              <w:bottom w:val="single" w:sz="8" w:color="C0C0C0"/>
            </w:tcBorders>
            <w:shd w:val="clear" w:color="auto" w:fill="C0C0C0"/>
          </w:tcPr>
          <w:p>
            <w:pPr>
              <w:spacing w:after="0"/>
              <w:rPr>
                <w:sz w:val="19"/>
                <w:szCs w:val="19"/>
                <w:color w:val="auto"/>
              </w:rPr>
            </w:pPr>
          </w:p>
        </w:tc>
        <w:tc>
          <w:tcPr>
            <w:tcW w:w="48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gridSpan w:val="2"/>
            <w:shd w:val="clear" w:color="auto" w:fill="C0C0C0"/>
          </w:tcPr>
          <w:p>
            <w:pPr>
              <w:jc w:val="right"/>
              <w:ind w:right="240"/>
              <w:spacing w:after="0"/>
              <w:rPr>
                <w:sz w:val="20"/>
                <w:szCs w:val="20"/>
                <w:color w:val="auto"/>
              </w:rPr>
            </w:pPr>
            <w:r>
              <w:rPr>
                <w:rFonts w:ascii="Arial" w:cs="Arial" w:eastAsia="Arial" w:hAnsi="Arial"/>
                <w:sz w:val="10"/>
                <w:szCs w:val="10"/>
                <w:color w:val="auto"/>
                <w:w w:val="71"/>
              </w:rPr>
              <w:t>2</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87,238</w:t>
            </w:r>
          </w:p>
        </w:tc>
        <w:tc>
          <w:tcPr>
            <w:tcW w:w="24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87</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1,575,780</w:t>
            </w:r>
          </w:p>
        </w:tc>
        <w:tc>
          <w:tcPr>
            <w:tcW w:w="2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(1,045,563)</w:t>
            </w:r>
          </w:p>
        </w:tc>
        <w:tc>
          <w:tcPr>
            <w:tcW w:w="300" w:type="dxa"/>
            <w:vAlign w:val="bottom"/>
            <w:tcBorders>
              <w:bottom w:val="single" w:sz="8" w:color="C0C0C0"/>
              <w:right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(2,491)</w:t>
            </w:r>
          </w:p>
        </w:tc>
        <w:tc>
          <w:tcPr>
            <w:tcW w:w="2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527,815</w:t>
            </w:r>
          </w:p>
        </w:tc>
        <w:tc>
          <w:tcPr>
            <w:tcW w:w="24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(108,003)</w:t>
            </w:r>
          </w:p>
        </w:tc>
      </w:tr>
      <w:tr>
        <w:trPr>
          <w:trHeight w:val="206"/>
        </w:trPr>
        <w:tc>
          <w:tcPr>
            <w:tcW w:w="328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48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480" w:type="dxa"/>
            <w:vAlign w:val="bottom"/>
            <w:tcBorders>
              <w:top w:val="single" w:sz="8" w:color="C0C0C0"/>
            </w:tcBorders>
          </w:tcPr>
          <w:p>
            <w:pPr>
              <w:spacing w:after="0"/>
              <w:rPr>
                <w:sz w:val="17"/>
                <w:szCs w:val="17"/>
                <w:color w:val="auto"/>
              </w:rPr>
            </w:pPr>
          </w:p>
        </w:tc>
        <w:tc>
          <w:tcPr>
            <w:tcW w:w="6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60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300" w:type="dxa"/>
            <w:vAlign w:val="bottom"/>
            <w:tcBorders>
              <w:top w:val="single" w:sz="8" w:color="C0C0C0"/>
            </w:tcBorders>
          </w:tcPr>
          <w:p>
            <w:pPr>
              <w:spacing w:after="0"/>
              <w:rPr>
                <w:sz w:val="17"/>
                <w:szCs w:val="17"/>
                <w:color w:val="auto"/>
              </w:rPr>
            </w:pPr>
          </w:p>
        </w:tc>
        <w:tc>
          <w:tcPr>
            <w:tcW w:w="20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120" w:type="dxa"/>
            <w:vAlign w:val="bottom"/>
            <w:tcBorders>
              <w:top w:val="single" w:sz="8" w:color="C0C0C0"/>
            </w:tcBorders>
          </w:tcPr>
          <w:p>
            <w:pPr>
              <w:spacing w:after="0"/>
              <w:rPr>
                <w:sz w:val="17"/>
                <w:szCs w:val="17"/>
                <w:color w:val="auto"/>
              </w:rPr>
            </w:pPr>
          </w:p>
        </w:tc>
        <w:tc>
          <w:tcPr>
            <w:tcW w:w="60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40" w:type="dxa"/>
            <w:vAlign w:val="bottom"/>
            <w:tcBorders>
              <w:top w:val="single" w:sz="8" w:color="C0C0C0"/>
            </w:tcBorders>
          </w:tcPr>
          <w:p>
            <w:pPr>
              <w:spacing w:after="0"/>
              <w:rPr>
                <w:sz w:val="17"/>
                <w:szCs w:val="17"/>
                <w:color w:val="auto"/>
              </w:rPr>
            </w:pPr>
          </w:p>
        </w:tc>
        <w:tc>
          <w:tcPr>
            <w:tcW w:w="660" w:type="dxa"/>
            <w:vAlign w:val="bottom"/>
            <w:tcBorders>
              <w:top w:val="single" w:sz="8" w:color="C0C0C0"/>
            </w:tcBorders>
          </w:tcPr>
          <w:p>
            <w:pPr>
              <w:spacing w:after="0"/>
              <w:rPr>
                <w:sz w:val="17"/>
                <w:szCs w:val="17"/>
                <w:color w:val="auto"/>
              </w:rPr>
            </w:pPr>
          </w:p>
        </w:tc>
        <w:tc>
          <w:tcPr>
            <w:tcW w:w="300" w:type="dxa"/>
            <w:vAlign w:val="bottom"/>
            <w:tcBorders>
              <w:top w:val="single" w:sz="8" w:color="C0C0C0"/>
            </w:tcBorders>
          </w:tcPr>
          <w:p>
            <w:pPr>
              <w:spacing w:after="0"/>
              <w:rPr>
                <w:sz w:val="17"/>
                <w:szCs w:val="17"/>
                <w:color w:val="auto"/>
              </w:rPr>
            </w:pPr>
          </w:p>
        </w:tc>
        <w:tc>
          <w:tcPr>
            <w:tcW w:w="76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80" w:type="dxa"/>
            <w:vAlign w:val="bottom"/>
            <w:tcBorders>
              <w:top w:val="single" w:sz="8" w:color="C0C0C0"/>
            </w:tcBorders>
          </w:tcPr>
          <w:p>
            <w:pPr>
              <w:spacing w:after="0"/>
              <w:rPr>
                <w:sz w:val="17"/>
                <w:szCs w:val="17"/>
                <w:color w:val="auto"/>
              </w:rPr>
            </w:pPr>
          </w:p>
        </w:tc>
        <w:tc>
          <w:tcPr>
            <w:tcW w:w="82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rPr>
              <w:t>Issuance of Common Stock in connection with</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exercise of stock options, net of shares tendered</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3,324</w:t>
            </w: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32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2"/>
                <w:szCs w:val="12"/>
                <w:color w:val="auto"/>
              </w:rPr>
              <w:t>4</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21,171</w:t>
            </w: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21,175</w:t>
            </w: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Issuance of Common Stock in connection with</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Company 401(k) Savings Plan contribution</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6,979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6,979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rPr>
              <w:t>Issuance of restricted Common Stock under</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Long-Term Incentive Plan</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16</w:t>
            </w: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Restricted Common Stock tendered upon vesting in</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8"/>
        </w:trPr>
        <w:tc>
          <w:tcPr>
            <w:tcW w:w="3280" w:type="dxa"/>
            <w:vAlign w:val="bottom"/>
          </w:tcPr>
          <w:p>
            <w:pPr>
              <w:ind w:left="200"/>
              <w:spacing w:after="0"/>
              <w:rPr>
                <w:sz w:val="20"/>
                <w:szCs w:val="20"/>
                <w:color w:val="auto"/>
              </w:rPr>
            </w:pPr>
            <w:r>
              <w:rPr>
                <w:rFonts w:ascii="Arial" w:cs="Arial" w:eastAsia="Arial" w:hAnsi="Arial"/>
                <w:sz w:val="12"/>
                <w:szCs w:val="12"/>
                <w:color w:val="auto"/>
              </w:rPr>
              <w:t>connection with employee tax obligations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(2,638)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rPr>
              <w:t>Conversion of Class A Stock to Common Stock</w:t>
            </w: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(73)</w:t>
            </w: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73</w:t>
            </w:r>
          </w:p>
        </w:tc>
        <w:tc>
          <w:tcPr>
            <w:tcW w:w="24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right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82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Stock-based compensation charges</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56,609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56,609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98"/>
        </w:trPr>
        <w:tc>
          <w:tcPr>
            <w:tcW w:w="3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2"/>
                <w:szCs w:val="12"/>
                <w:color w:val="auto"/>
                <w:w w:val="91"/>
              </w:rPr>
              <w:t>Equity component of convertible senior notes, net of issuance costs</w:t>
            </w: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480" w:type="dxa"/>
            <w:vAlign w:val="bottom"/>
            <w:tcBorders>
              <w:bottom w:val="single" w:sz="8" w:color="C0C0C0"/>
            </w:tcBorders>
            <w:shd w:val="clear" w:color="auto" w:fill="C0C0C0"/>
          </w:tcPr>
          <w:p>
            <w:pPr>
              <w:spacing w:after="0"/>
              <w:rPr>
                <w:sz w:val="17"/>
                <w:szCs w:val="17"/>
                <w:color w:val="auto"/>
              </w:rPr>
            </w:pPr>
          </w:p>
        </w:tc>
        <w:tc>
          <w:tcPr>
            <w:tcW w:w="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60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spacing w:after="0"/>
              <w:rPr>
                <w:sz w:val="17"/>
                <w:szCs w:val="17"/>
                <w:color w:val="auto"/>
              </w:rPr>
            </w:pP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120,623</w:t>
            </w:r>
          </w:p>
        </w:tc>
        <w:tc>
          <w:tcPr>
            <w:tcW w:w="240" w:type="dxa"/>
            <w:vAlign w:val="bottom"/>
            <w:tcBorders>
              <w:bottom w:val="single" w:sz="8" w:color="C0C0C0"/>
            </w:tcBorders>
            <w:shd w:val="clear" w:color="auto" w:fill="C0C0C0"/>
          </w:tcPr>
          <w:p>
            <w:pPr>
              <w:spacing w:after="0"/>
              <w:rPr>
                <w:sz w:val="17"/>
                <w:szCs w:val="17"/>
                <w:color w:val="auto"/>
              </w:rPr>
            </w:pPr>
          </w:p>
        </w:tc>
        <w:tc>
          <w:tcPr>
            <w:tcW w:w="14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c>
          <w:tcPr>
            <w:tcW w:w="300" w:type="dxa"/>
            <w:vAlign w:val="bottom"/>
            <w:tcBorders>
              <w:bottom w:val="single" w:sz="8" w:color="C0C0C0"/>
              <w:right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80" w:type="dxa"/>
            <w:vAlign w:val="bottom"/>
            <w:tcBorders>
              <w:bottom w:val="single" w:sz="8" w:color="C0C0C0"/>
            </w:tcBorders>
            <w:shd w:val="clear" w:color="auto" w:fill="C0C0C0"/>
          </w:tcPr>
          <w:p>
            <w:pPr>
              <w:spacing w:after="0"/>
              <w:rPr>
                <w:sz w:val="17"/>
                <w:szCs w:val="17"/>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120,623</w:t>
            </w:r>
          </w:p>
        </w:tc>
        <w:tc>
          <w:tcPr>
            <w:tcW w:w="240" w:type="dxa"/>
            <w:vAlign w:val="bottom"/>
            <w:tcBorders>
              <w:bottom w:val="single" w:sz="8" w:color="C0C0C0"/>
            </w:tcBorders>
            <w:shd w:val="clear" w:color="auto" w:fill="C0C0C0"/>
          </w:tcPr>
          <w:p>
            <w:pPr>
              <w:spacing w:after="0"/>
              <w:rPr>
                <w:sz w:val="17"/>
                <w:szCs w:val="17"/>
                <w:color w:val="auto"/>
              </w:rPr>
            </w:pPr>
          </w:p>
        </w:tc>
        <w:tc>
          <w:tcPr>
            <w:tcW w:w="180" w:type="dxa"/>
            <w:vAlign w:val="bottom"/>
            <w:tcBorders>
              <w:bottom w:val="single" w:sz="8" w:color="C0C0C0"/>
            </w:tcBorders>
            <w:shd w:val="clear" w:color="auto" w:fill="C0C0C0"/>
          </w:tcPr>
          <w:p>
            <w:pPr>
              <w:spacing w:after="0"/>
              <w:rPr>
                <w:sz w:val="17"/>
                <w:szCs w:val="17"/>
                <w:color w:val="auto"/>
              </w:rPr>
            </w:pPr>
          </w:p>
        </w:tc>
        <w:tc>
          <w:tcPr>
            <w:tcW w:w="660" w:type="dxa"/>
            <w:vAlign w:val="bottom"/>
            <w:tcBorders>
              <w:bottom w:val="single" w:sz="8" w:color="C0C0C0"/>
            </w:tcBorders>
            <w:shd w:val="clear" w:color="auto" w:fill="C0C0C0"/>
          </w:tcPr>
          <w:p>
            <w:pPr>
              <w:spacing w:after="0"/>
              <w:rPr>
                <w:sz w:val="17"/>
                <w:szCs w:val="17"/>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Purchase of convertible note hedges</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(117,500)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(117,500)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w w:val="97"/>
              </w:rPr>
              <w:t>Issuance of warrants in connection with issuance of convertible</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senior notes</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2"/>
                <w:szCs w:val="12"/>
                <w:color w:val="auto"/>
              </w:rPr>
              <w:t>93,800</w:t>
            </w: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93,800</w:t>
            </w: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2"/>
                <w:szCs w:val="12"/>
                <w:color w:val="auto"/>
              </w:rPr>
              <w:t>Net loss, 2011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(221,760)</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(221,760)</w:t>
            </w:r>
          </w:p>
        </w:tc>
        <w:tc>
          <w:tcPr>
            <w:tcW w:w="24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(221,760)</w:t>
            </w:r>
          </w:p>
        </w:tc>
      </w:tr>
      <w:tr>
        <w:trPr>
          <w:trHeight w:val="37"/>
        </w:trPr>
        <w:tc>
          <w:tcPr>
            <w:tcW w:w="3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2"/>
        </w:trPr>
        <w:tc>
          <w:tcPr>
            <w:tcW w:w="3280" w:type="dxa"/>
            <w:vAlign w:val="bottom"/>
            <w:shd w:val="clear" w:color="auto" w:fill="C0C0C0"/>
          </w:tcPr>
          <w:p>
            <w:pPr>
              <w:spacing w:after="0"/>
              <w:rPr>
                <w:sz w:val="20"/>
                <w:szCs w:val="20"/>
                <w:color w:val="auto"/>
              </w:rPr>
            </w:pPr>
            <w:r>
              <w:rPr>
                <w:rFonts w:ascii="Arial" w:cs="Arial" w:eastAsia="Arial" w:hAnsi="Arial"/>
                <w:sz w:val="12"/>
                <w:szCs w:val="12"/>
                <w:color w:val="auto"/>
              </w:rPr>
              <w:t>Change in net unrealized gain (loss) on marketable</w:t>
            </w: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60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c>
          <w:tcPr>
            <w:tcW w:w="300" w:type="dxa"/>
            <w:vAlign w:val="bottom"/>
            <w:tcBorders>
              <w:right w:val="single" w:sz="8" w:color="C0C0C0"/>
            </w:tcBorders>
            <w:shd w:val="clear" w:color="auto" w:fill="C0C0C0"/>
          </w:tcPr>
          <w:p>
            <w:pPr>
              <w:spacing w:after="0"/>
              <w:rPr>
                <w:sz w:val="15"/>
                <w:szCs w:val="15"/>
                <w:color w:val="auto"/>
              </w:rPr>
            </w:pPr>
          </w:p>
        </w:tc>
        <w:tc>
          <w:tcPr>
            <w:tcW w:w="76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8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660" w:type="dxa"/>
            <w:vAlign w:val="bottom"/>
            <w:shd w:val="clear" w:color="auto" w:fill="C0C0C0"/>
          </w:tcPr>
          <w:p>
            <w:pPr>
              <w:spacing w:after="0"/>
              <w:rPr>
                <w:sz w:val="15"/>
                <w:szCs w:val="15"/>
                <w:color w:val="auto"/>
              </w:rPr>
            </w:pPr>
          </w:p>
        </w:tc>
      </w:tr>
      <w:tr>
        <w:trPr>
          <w:trHeight w:val="235"/>
        </w:trPr>
        <w:tc>
          <w:tcPr>
            <w:tcW w:w="328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2"/>
                <w:szCs w:val="12"/>
                <w:color w:val="auto"/>
              </w:rPr>
              <w:t>securities, net of tax effect of $0.4 million</w:t>
            </w: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48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300" w:type="dxa"/>
            <w:vAlign w:val="bottom"/>
            <w:tcBorders>
              <w:bottom w:val="single" w:sz="8" w:color="C0C0C0"/>
              <w:right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629</w:t>
            </w:r>
          </w:p>
        </w:tc>
        <w:tc>
          <w:tcPr>
            <w:tcW w:w="24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629</w:t>
            </w:r>
          </w:p>
        </w:tc>
        <w:tc>
          <w:tcPr>
            <w:tcW w:w="2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2"/>
                <w:szCs w:val="12"/>
                <w:color w:val="auto"/>
              </w:rPr>
              <w:t>629</w:t>
            </w:r>
          </w:p>
        </w:tc>
      </w:tr>
      <w:tr>
        <w:trPr>
          <w:trHeight w:val="20"/>
        </w:trPr>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392"/>
        </w:trPr>
        <w:tc>
          <w:tcPr>
            <w:tcW w:w="3280" w:type="dxa"/>
            <w:vAlign w:val="bottom"/>
          </w:tcPr>
          <w:p>
            <w:pPr>
              <w:spacing w:after="0"/>
              <w:rPr>
                <w:sz w:val="20"/>
                <w:szCs w:val="20"/>
                <w:color w:val="auto"/>
              </w:rPr>
            </w:pPr>
            <w:r>
              <w:rPr>
                <w:rFonts w:ascii="Arial" w:cs="Arial" w:eastAsia="Arial" w:hAnsi="Arial"/>
                <w:sz w:val="12"/>
                <w:szCs w:val="12"/>
                <w:b w:val="1"/>
                <w:bCs w:val="1"/>
                <w:color w:val="auto"/>
              </w:rPr>
              <w:t>Balance, December 31, 2011</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2,109</w:t>
            </w:r>
          </w:p>
        </w:tc>
        <w:tc>
          <w:tcPr>
            <w:tcW w:w="240" w:type="dxa"/>
            <w:vAlign w:val="bottom"/>
          </w:tcPr>
          <w:p>
            <w:pPr>
              <w:spacing w:after="0"/>
              <w:rPr>
                <w:sz w:val="24"/>
                <w:szCs w:val="24"/>
                <w:color w:val="auto"/>
              </w:rPr>
            </w:pPr>
          </w:p>
        </w:tc>
        <w:tc>
          <w:tcPr>
            <w:tcW w:w="480" w:type="dxa"/>
            <w:vAlign w:val="bottom"/>
          </w:tcPr>
          <w:p>
            <w:pPr>
              <w:jc w:val="right"/>
              <w:ind w:right="366"/>
              <w:spacing w:after="0"/>
              <w:rPr>
                <w:sz w:val="20"/>
                <w:szCs w:val="20"/>
                <w:color w:val="auto"/>
              </w:rPr>
            </w:pPr>
            <w:r>
              <w:rPr>
                <w:rFonts w:ascii="Arial" w:cs="Arial" w:eastAsia="Arial" w:hAnsi="Arial"/>
                <w:sz w:val="10"/>
                <w:szCs w:val="10"/>
                <w:color w:val="auto"/>
                <w:w w:val="71"/>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90,692</w:t>
            </w:r>
          </w:p>
        </w:tc>
        <w:tc>
          <w:tcPr>
            <w:tcW w:w="540" w:type="dxa"/>
            <w:vAlign w:val="bottom"/>
            <w:gridSpan w:val="2"/>
          </w:tcPr>
          <w:p>
            <w:pPr>
              <w:jc w:val="right"/>
              <w:ind w:right="179"/>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91</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$1,754,824</w:t>
            </w:r>
          </w:p>
        </w:tc>
        <w:tc>
          <w:tcPr>
            <w:tcW w:w="240" w:type="dxa"/>
            <w:vAlign w:val="bottom"/>
          </w:tcPr>
          <w:p>
            <w:pPr>
              <w:spacing w:after="0"/>
              <w:rPr>
                <w:sz w:val="24"/>
                <w:szCs w:val="24"/>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(1,267,323)</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(1,862)</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485,732</w:t>
            </w:r>
          </w:p>
        </w:tc>
        <w:tc>
          <w:tcPr>
            <w:tcW w:w="240" w:type="dxa"/>
            <w:vAlign w:val="bottom"/>
          </w:tcPr>
          <w:p>
            <w:pPr>
              <w:spacing w:after="0"/>
              <w:rPr>
                <w:sz w:val="24"/>
                <w:szCs w:val="2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(221,131)</w:t>
            </w:r>
          </w:p>
        </w:tc>
      </w:tr>
      <w:tr>
        <w:trPr>
          <w:trHeight w:val="29"/>
        </w:trPr>
        <w:tc>
          <w:tcPr>
            <w:tcW w:w="3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520"/>
          </w:cols>
          <w:pgMar w:left="240" w:top="539" w:right="13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2011, 2010, and 2009</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2011</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2010</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2009</w:t>
            </w:r>
          </w:p>
        </w:tc>
      </w:tr>
      <w:tr>
        <w:trPr>
          <w:trHeight w:val="206"/>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r>
      <w:tr>
        <w:trPr>
          <w:trHeight w:val="211"/>
        </w:trPr>
        <w:tc>
          <w:tcPr>
            <w:tcW w:w="83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7"/>
              </w:rPr>
              <w:t>(221,760)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(104,468)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(67,830)</w:t>
            </w:r>
          </w:p>
        </w:tc>
      </w:tr>
      <w:tr>
        <w:trPr>
          <w:trHeight w:val="191"/>
        </w:trPr>
        <w:tc>
          <w:tcPr>
            <w:tcW w:w="8380" w:type="dxa"/>
            <w:vAlign w:val="bottom"/>
            <w:tcBorders>
              <w:top w:val="single" w:sz="8" w:color="C0C0C0"/>
            </w:tcBorders>
            <w:shd w:val="clear" w:color="auto" w:fill="C0C0C0"/>
          </w:tcPr>
          <w:p>
            <w:pPr>
              <w:ind w:left="260"/>
              <w:spacing w:after="0"/>
              <w:rPr>
                <w:sz w:val="20"/>
                <w:szCs w:val="20"/>
                <w:color w:val="auto"/>
              </w:rPr>
            </w:pPr>
            <w:r>
              <w:rPr>
                <w:rFonts w:ascii="Arial" w:cs="Arial" w:eastAsia="Arial" w:hAnsi="Arial"/>
                <w:sz w:val="16"/>
                <w:szCs w:val="16"/>
                <w:color w:val="auto"/>
              </w:rPr>
              <w:t>Adjustments to reconcile net loss to net cash (used in)</w:t>
            </w:r>
          </w:p>
        </w:tc>
        <w:tc>
          <w:tcPr>
            <w:tcW w:w="24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680" w:type="dxa"/>
            <w:vAlign w:val="bottom"/>
            <w:tcBorders>
              <w:top w:val="single" w:sz="8" w:color="auto"/>
            </w:tcBorders>
            <w:shd w:val="clear" w:color="auto" w:fill="C0C0C0"/>
          </w:tcPr>
          <w:p>
            <w:pPr>
              <w:spacing w:after="0"/>
              <w:rPr>
                <w:sz w:val="16"/>
                <w:szCs w:val="16"/>
                <w:color w:val="auto"/>
              </w:rPr>
            </w:pPr>
          </w:p>
        </w:tc>
        <w:tc>
          <w:tcPr>
            <w:tcW w:w="24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680" w:type="dxa"/>
            <w:vAlign w:val="bottom"/>
            <w:tcBorders>
              <w:top w:val="single" w:sz="8" w:color="auto"/>
            </w:tcBorders>
            <w:shd w:val="clear" w:color="auto" w:fill="C0C0C0"/>
          </w:tcPr>
          <w:p>
            <w:pPr>
              <w:spacing w:after="0"/>
              <w:rPr>
                <w:sz w:val="16"/>
                <w:szCs w:val="16"/>
                <w:color w:val="auto"/>
              </w:rPr>
            </w:pPr>
          </w:p>
        </w:tc>
        <w:tc>
          <w:tcPr>
            <w:tcW w:w="240" w:type="dxa"/>
            <w:vAlign w:val="bottom"/>
            <w:tcBorders>
              <w:top w:val="single" w:sz="8" w:color="C0C0C0"/>
            </w:tcBorders>
            <w:shd w:val="clear" w:color="auto" w:fill="C0C0C0"/>
          </w:tcPr>
          <w:p>
            <w:pPr>
              <w:spacing w:after="0"/>
              <w:rPr>
                <w:sz w:val="16"/>
                <w:szCs w:val="16"/>
                <w:color w:val="auto"/>
              </w:rPr>
            </w:pPr>
          </w:p>
        </w:tc>
        <w:tc>
          <w:tcPr>
            <w:tcW w:w="100" w:type="dxa"/>
            <w:vAlign w:val="bottom"/>
            <w:tcBorders>
              <w:top w:val="single" w:sz="8" w:color="auto"/>
            </w:tcBorders>
            <w:shd w:val="clear" w:color="auto" w:fill="C0C0C0"/>
          </w:tcPr>
          <w:p>
            <w:pPr>
              <w:spacing w:after="0"/>
              <w:rPr>
                <w:sz w:val="16"/>
                <w:szCs w:val="16"/>
                <w:color w:val="auto"/>
              </w:rPr>
            </w:pPr>
          </w:p>
        </w:tc>
        <w:tc>
          <w:tcPr>
            <w:tcW w:w="680" w:type="dxa"/>
            <w:vAlign w:val="bottom"/>
            <w:tcBorders>
              <w:top w:val="single" w:sz="8" w:color="auto"/>
            </w:tcBorders>
            <w:shd w:val="clear" w:color="auto" w:fill="C0C0C0"/>
          </w:tcPr>
          <w:p>
            <w:pPr>
              <w:spacing w:after="0"/>
              <w:rPr>
                <w:sz w:val="16"/>
                <w:szCs w:val="16"/>
                <w:color w:val="auto"/>
              </w:rPr>
            </w:pPr>
          </w:p>
        </w:tc>
      </w:tr>
      <w:tr>
        <w:trPr>
          <w:trHeight w:val="233"/>
        </w:trPr>
        <w:tc>
          <w:tcPr>
            <w:tcW w:w="8380" w:type="dxa"/>
            <w:vAlign w:val="bottom"/>
            <w:shd w:val="clear" w:color="auto" w:fill="C0C0C0"/>
          </w:tcPr>
          <w:p>
            <w:pPr>
              <w:ind w:left="540"/>
              <w:spacing w:after="0"/>
              <w:rPr>
                <w:sz w:val="20"/>
                <w:szCs w:val="20"/>
                <w:color w:val="auto"/>
              </w:rPr>
            </w:pPr>
            <w:r>
              <w:rPr>
                <w:rFonts w:ascii="Arial" w:cs="Arial" w:eastAsia="Arial" w:hAnsi="Arial"/>
                <w:sz w:val="16"/>
                <w:szCs w:val="16"/>
                <w:color w:val="auto"/>
              </w:rPr>
              <w:t>provided by operating activities</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11"/>
        </w:trPr>
        <w:tc>
          <w:tcPr>
            <w:tcW w:w="838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31,082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19,687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14,247</w:t>
            </w:r>
          </w:p>
        </w:tc>
      </w:tr>
      <w:tr>
        <w:trPr>
          <w:trHeight w:val="226"/>
        </w:trPr>
        <w:tc>
          <w:tcPr>
            <w:tcW w:w="8380" w:type="dxa"/>
            <w:vAlign w:val="bottom"/>
            <w:shd w:val="clear" w:color="auto" w:fill="C0C0C0"/>
          </w:tcPr>
          <w:p>
            <w:pPr>
              <w:ind w:left="820"/>
              <w:spacing w:after="0"/>
              <w:rPr>
                <w:sz w:val="20"/>
                <w:szCs w:val="20"/>
                <w:color w:val="auto"/>
              </w:rPr>
            </w:pPr>
            <w:r>
              <w:rPr>
                <w:rFonts w:ascii="Arial" w:cs="Arial" w:eastAsia="Arial" w:hAnsi="Arial"/>
                <w:sz w:val="16"/>
                <w:szCs w:val="16"/>
                <w:color w:val="auto"/>
              </w:rPr>
              <w:t>Non-cash compensation expense</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56,094</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39,897</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31,259</w:t>
            </w:r>
          </w:p>
        </w:tc>
      </w:tr>
      <w:tr>
        <w:trPr>
          <w:trHeight w:val="211"/>
        </w:trPr>
        <w:tc>
          <w:tcPr>
            <w:tcW w:w="8380" w:type="dxa"/>
            <w:vAlign w:val="bottom"/>
          </w:tcPr>
          <w:p>
            <w:pPr>
              <w:ind w:left="820"/>
              <w:spacing w:after="0"/>
              <w:rPr>
                <w:sz w:val="20"/>
                <w:szCs w:val="20"/>
                <w:color w:val="auto"/>
              </w:rPr>
            </w:pPr>
            <w:r>
              <w:rPr>
                <w:rFonts w:ascii="Arial" w:cs="Arial" w:eastAsia="Arial" w:hAnsi="Arial"/>
                <w:sz w:val="16"/>
                <w:szCs w:val="16"/>
                <w:color w:val="auto"/>
              </w:rPr>
              <w:t>Other non-cash charges and expenses,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10,366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2,238</w:t>
            </w:r>
          </w:p>
        </w:tc>
      </w:tr>
      <w:tr>
        <w:trPr>
          <w:trHeight w:val="226"/>
        </w:trPr>
        <w:tc>
          <w:tcPr>
            <w:tcW w:w="8380" w:type="dxa"/>
            <w:vAlign w:val="bottom"/>
            <w:shd w:val="clear" w:color="auto" w:fill="C0C0C0"/>
          </w:tcPr>
          <w:p>
            <w:pPr>
              <w:ind w:left="82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r>
      <w:tr>
        <w:trPr>
          <w:trHeight w:val="211"/>
        </w:trPr>
        <w:tc>
          <w:tcPr>
            <w:tcW w:w="8380" w:type="dxa"/>
            <w:vAlign w:val="bottom"/>
          </w:tcPr>
          <w:p>
            <w:pPr>
              <w:ind w:left="1100"/>
              <w:spacing w:after="0"/>
              <w:rPr>
                <w:sz w:val="20"/>
                <w:szCs w:val="20"/>
                <w:color w:val="auto"/>
              </w:rPr>
            </w:pPr>
            <w:r>
              <w:rPr>
                <w:rFonts w:ascii="Arial" w:cs="Arial" w:eastAsia="Arial" w:hAnsi="Arial"/>
                <w:sz w:val="16"/>
                <w:szCs w:val="16"/>
                <w:color w:val="auto"/>
              </w:rPr>
              <w:t>Increase in Sanofi and trade 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(30,494)</w:t>
            </w:r>
          </w:p>
        </w:tc>
      </w:tr>
      <w:tr>
        <w:trPr>
          <w:trHeight w:val="226"/>
        </w:trPr>
        <w:tc>
          <w:tcPr>
            <w:tcW w:w="8380" w:type="dxa"/>
            <w:vAlign w:val="bottom"/>
            <w:shd w:val="clear" w:color="auto" w:fill="C0C0C0"/>
          </w:tcPr>
          <w:p>
            <w:pPr>
              <w:ind w:left="1100"/>
              <w:spacing w:after="0"/>
              <w:rPr>
                <w:sz w:val="20"/>
                <w:szCs w:val="20"/>
                <w:color w:val="auto"/>
              </w:rPr>
            </w:pPr>
            <w:r>
              <w:rPr>
                <w:rFonts w:ascii="Arial" w:cs="Arial" w:eastAsia="Arial" w:hAnsi="Arial"/>
                <w:sz w:val="16"/>
                <w:szCs w:val="16"/>
                <w:color w:val="auto"/>
              </w:rPr>
              <w:t>Increase in prepaid expenses and other assets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(6,033)</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(7,303)</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(4,436)</w:t>
            </w:r>
          </w:p>
        </w:tc>
      </w:tr>
      <w:tr>
        <w:trPr>
          <w:trHeight w:val="211"/>
        </w:trPr>
        <w:tc>
          <w:tcPr>
            <w:tcW w:w="8380" w:type="dxa"/>
            <w:vAlign w:val="bottom"/>
          </w:tcPr>
          <w:p>
            <w:pPr>
              <w:ind w:left="1100"/>
              <w:spacing w:after="0"/>
              <w:rPr>
                <w:sz w:val="20"/>
                <w:szCs w:val="20"/>
                <w:color w:val="auto"/>
              </w:rPr>
            </w:pPr>
            <w:r>
              <w:rPr>
                <w:rFonts w:ascii="Arial" w:cs="Arial" w:eastAsia="Arial" w:hAnsi="Arial"/>
                <w:sz w:val="16"/>
                <w:szCs w:val="16"/>
                <w:color w:val="auto"/>
              </w:rPr>
              <w:t>(Decrease) increase in 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158,151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(27,497)</w:t>
            </w:r>
          </w:p>
        </w:tc>
      </w:tr>
      <w:tr>
        <w:trPr>
          <w:trHeight w:val="211"/>
        </w:trPr>
        <w:tc>
          <w:tcPr>
            <w:tcW w:w="8380" w:type="dxa"/>
            <w:vAlign w:val="bottom"/>
            <w:shd w:val="clear" w:color="auto" w:fill="C0C0C0"/>
          </w:tcPr>
          <w:p>
            <w:pPr>
              <w:ind w:left="1100"/>
              <w:spacing w:after="0"/>
              <w:rPr>
                <w:sz w:val="20"/>
                <w:szCs w:val="20"/>
                <w:color w:val="auto"/>
              </w:rPr>
            </w:pPr>
            <w:r>
              <w:rPr>
                <w:rFonts w:ascii="Arial" w:cs="Arial" w:eastAsia="Arial" w:hAnsi="Arial"/>
                <w:sz w:val="16"/>
                <w:szCs w:val="16"/>
                <w:color w:val="auto"/>
              </w:rPr>
              <w:t>Increase in accounts payable, accrued expenses,</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33"/>
        </w:trPr>
        <w:tc>
          <w:tcPr>
            <w:tcW w:w="8380" w:type="dxa"/>
            <w:vAlign w:val="bottom"/>
            <w:shd w:val="clear" w:color="auto" w:fill="C0C0C0"/>
          </w:tcPr>
          <w:p>
            <w:pPr>
              <w:ind w:left="1380"/>
              <w:spacing w:after="0"/>
              <w:rPr>
                <w:sz w:val="20"/>
                <w:szCs w:val="20"/>
                <w:color w:val="auto"/>
              </w:rPr>
            </w:pPr>
            <w:r>
              <w:rPr>
                <w:rFonts w:ascii="Arial" w:cs="Arial" w:eastAsia="Arial" w:hAnsi="Arial"/>
                <w:sz w:val="16"/>
                <w:szCs w:val="16"/>
                <w:color w:val="auto"/>
              </w:rPr>
              <w:t>and other liabilities</w:t>
            </w:r>
          </w:p>
        </w:tc>
        <w:tc>
          <w:tcPr>
            <w:tcW w:w="2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50,016</w:t>
            </w:r>
          </w:p>
        </w:tc>
        <w:tc>
          <w:tcPr>
            <w:tcW w:w="2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7,605</w:t>
            </w:r>
          </w:p>
        </w:tc>
        <w:tc>
          <w:tcPr>
            <w:tcW w:w="2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12,577</w:t>
            </w:r>
          </w:p>
        </w:tc>
      </w:tr>
      <w:tr>
        <w:trPr>
          <w:trHeight w:val="203"/>
        </w:trPr>
        <w:tc>
          <w:tcPr>
            <w:tcW w:w="8380" w:type="dxa"/>
            <w:vAlign w:val="bottom"/>
            <w:tcBorders>
              <w:bottom w:val="single" w:sz="8" w:color="C0C0C0"/>
            </w:tcBorders>
          </w:tcPr>
          <w:p>
            <w:pPr>
              <w:ind w:left="1660"/>
              <w:spacing w:after="0"/>
              <w:rPr>
                <w:sz w:val="20"/>
                <w:szCs w:val="20"/>
                <w:color w:val="auto"/>
              </w:rPr>
            </w:pPr>
            <w:r>
              <w:rPr>
                <w:rFonts w:ascii="Arial" w:cs="Arial" w:eastAsia="Arial" w:hAnsi="Arial"/>
                <w:sz w:val="16"/>
                <w:szCs w:val="16"/>
                <w:color w:val="auto"/>
              </w:rPr>
              <w:t>Total adjustments</w:t>
            </w:r>
          </w:p>
        </w:tc>
        <w:tc>
          <w:tcPr>
            <w:tcW w:w="24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80,078</w:t>
            </w:r>
          </w:p>
        </w:tc>
        <w:tc>
          <w:tcPr>
            <w:tcW w:w="24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6"/>
              </w:rPr>
              <w:t>203,690</w:t>
            </w:r>
          </w:p>
        </w:tc>
        <w:tc>
          <w:tcPr>
            <w:tcW w:w="240" w:type="dxa"/>
            <w:vAlign w:val="bottom"/>
            <w:tcBorders>
              <w:bottom w:val="single" w:sz="8" w:color="C0C0C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r>
      <w:tr>
        <w:trPr>
          <w:trHeight w:val="211"/>
        </w:trPr>
        <w:tc>
          <w:tcPr>
            <w:tcW w:w="8380" w:type="dxa"/>
            <w:vAlign w:val="bottom"/>
            <w:shd w:val="clear" w:color="auto" w:fill="C0C0C0"/>
          </w:tcPr>
          <w:p>
            <w:pPr>
              <w:ind w:left="1660"/>
              <w:spacing w:after="0"/>
              <w:rPr>
                <w:sz w:val="20"/>
                <w:szCs w:val="20"/>
                <w:color w:val="auto"/>
              </w:rPr>
            </w:pPr>
            <w:r>
              <w:rPr>
                <w:rFonts w:ascii="Arial" w:cs="Arial" w:eastAsia="Arial" w:hAnsi="Arial"/>
                <w:sz w:val="16"/>
                <w:szCs w:val="16"/>
                <w:color w:val="auto"/>
              </w:rPr>
              <w:t>Net cash (used in) provided by operating activities</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87"/>
              </w:rPr>
              <w:t>(141,682)</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99,222</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(69,936)</w:t>
            </w:r>
          </w:p>
        </w:tc>
      </w:tr>
      <w:tr>
        <w:trPr>
          <w:trHeight w:val="206"/>
        </w:trPr>
        <w:tc>
          <w:tcPr>
            <w:tcW w:w="8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8"/>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11"/>
        </w:trPr>
        <w:tc>
          <w:tcPr>
            <w:tcW w:w="8380" w:type="dxa"/>
            <w:vAlign w:val="bottom"/>
          </w:tcPr>
          <w:p>
            <w:pPr>
              <w:ind w:left="280"/>
              <w:spacing w:after="0"/>
              <w:rPr>
                <w:sz w:val="20"/>
                <w:szCs w:val="20"/>
                <w:color w:val="auto"/>
              </w:rPr>
            </w:pPr>
            <w:r>
              <w:rPr>
                <w:rFonts w:ascii="Arial" w:cs="Arial" w:eastAsia="Arial" w:hAnsi="Arial"/>
                <w:sz w:val="16"/>
                <w:szCs w:val="16"/>
                <w:color w:val="auto"/>
              </w:rPr>
              <w:t>Purchases of 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(240,391)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(605,124)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(199,997)</w:t>
            </w:r>
          </w:p>
        </w:tc>
      </w:tr>
      <w:tr>
        <w:trPr>
          <w:trHeight w:val="226"/>
        </w:trPr>
        <w:tc>
          <w:tcPr>
            <w:tcW w:w="83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Sales or maturities of marketable securities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426,356</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273,723</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295,117</w:t>
            </w:r>
          </w:p>
        </w:tc>
      </w:tr>
      <w:tr>
        <w:trPr>
          <w:trHeight w:val="211"/>
        </w:trPr>
        <w:tc>
          <w:tcPr>
            <w:tcW w:w="8380" w:type="dxa"/>
            <w:vAlign w:val="bottom"/>
          </w:tcPr>
          <w:p>
            <w:pPr>
              <w:ind w:left="280"/>
              <w:spacing w:after="0"/>
              <w:rPr>
                <w:sz w:val="20"/>
                <w:szCs w:val="20"/>
                <w:color w:val="auto"/>
              </w:rPr>
            </w:pPr>
            <w:r>
              <w:rPr>
                <w:rFonts w:ascii="Arial" w:cs="Arial" w:eastAsia="Arial" w:hAnsi="Arial"/>
                <w:sz w:val="16"/>
                <w:szCs w:val="16"/>
                <w:color w:val="auto"/>
              </w:rPr>
              <w:t>(Increase) decrease in restricted cash and 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50</w:t>
            </w:r>
          </w:p>
        </w:tc>
      </w:tr>
      <w:tr>
        <w:trPr>
          <w:trHeight w:val="226"/>
        </w:trPr>
        <w:tc>
          <w:tcPr>
            <w:tcW w:w="83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(57,217)</w:t>
            </w:r>
          </w:p>
        </w:tc>
        <w:tc>
          <w:tcPr>
            <w:tcW w:w="24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(99,689)</w:t>
            </w:r>
          </w:p>
        </w:tc>
        <w:tc>
          <w:tcPr>
            <w:tcW w:w="24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(97,318)</w:t>
            </w:r>
          </w:p>
        </w:tc>
      </w:tr>
      <w:tr>
        <w:trPr>
          <w:trHeight w:val="203"/>
        </w:trPr>
        <w:tc>
          <w:tcPr>
            <w:tcW w:w="8380" w:type="dxa"/>
            <w:vAlign w:val="bottom"/>
          </w:tcPr>
          <w:p>
            <w:pPr>
              <w:ind w:left="166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6"/>
              </w:rPr>
              <w:t>128,471</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(437,031)</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w:t>
            </w:r>
          </w:p>
        </w:tc>
      </w:tr>
      <w:tr>
        <w:trPr>
          <w:trHeight w:val="206"/>
        </w:trPr>
        <w:tc>
          <w:tcPr>
            <w:tcW w:w="8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8"/>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11"/>
        </w:trPr>
        <w:tc>
          <w:tcPr>
            <w:tcW w:w="8380" w:type="dxa"/>
            <w:vAlign w:val="bottom"/>
          </w:tcPr>
          <w:p>
            <w:pPr>
              <w:ind w:left="280"/>
              <w:spacing w:after="0"/>
              <w:rPr>
                <w:sz w:val="20"/>
                <w:szCs w:val="20"/>
                <w:color w:val="auto"/>
              </w:rPr>
            </w:pPr>
            <w:r>
              <w:rPr>
                <w:rFonts w:ascii="Arial" w:cs="Arial" w:eastAsia="Arial" w:hAnsi="Arial"/>
                <w:sz w:val="16"/>
                <w:szCs w:val="16"/>
                <w:color w:val="auto"/>
              </w:rPr>
              <w:t>Proceeds in connection with facility lease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47,544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23,640</w:t>
            </w:r>
          </w:p>
        </w:tc>
      </w:tr>
      <w:tr>
        <w:trPr>
          <w:trHeight w:val="226"/>
        </w:trPr>
        <w:tc>
          <w:tcPr>
            <w:tcW w:w="83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Payments in connection with facility lease obligation</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(674)</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(924)</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(875)</w:t>
            </w:r>
          </w:p>
        </w:tc>
      </w:tr>
      <w:tr>
        <w:trPr>
          <w:trHeight w:val="211"/>
        </w:trPr>
        <w:tc>
          <w:tcPr>
            <w:tcW w:w="8380" w:type="dxa"/>
            <w:vAlign w:val="bottom"/>
          </w:tcPr>
          <w:p>
            <w:pPr>
              <w:ind w:left="280"/>
              <w:spacing w:after="0"/>
              <w:rPr>
                <w:sz w:val="20"/>
                <w:szCs w:val="20"/>
                <w:color w:val="auto"/>
              </w:rPr>
            </w:pPr>
            <w:r>
              <w:rPr>
                <w:rFonts w:ascii="Arial" w:cs="Arial" w:eastAsia="Arial" w:hAnsi="Arial"/>
                <w:sz w:val="16"/>
                <w:szCs w:val="16"/>
                <w:color w:val="auto"/>
              </w:rPr>
              <w:t>Payments in connection with capital lease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6"/>
        </w:trPr>
        <w:tc>
          <w:tcPr>
            <w:tcW w:w="83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Proceeds in connection with issuance of convertible notes, net of debt issuance costs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391,107</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r>
      <w:tr>
        <w:trPr>
          <w:trHeight w:val="211"/>
        </w:trPr>
        <w:tc>
          <w:tcPr>
            <w:tcW w:w="8380" w:type="dxa"/>
            <w:vAlign w:val="bottom"/>
          </w:tcPr>
          <w:p>
            <w:pPr>
              <w:ind w:left="280"/>
              <w:spacing w:after="0"/>
              <w:rPr>
                <w:sz w:val="20"/>
                <w:szCs w:val="20"/>
                <w:color w:val="auto"/>
              </w:rPr>
            </w:pPr>
            <w:r>
              <w:rPr>
                <w:rFonts w:ascii="Arial" w:cs="Arial" w:eastAsia="Arial" w:hAnsi="Arial"/>
                <w:sz w:val="16"/>
                <w:szCs w:val="16"/>
                <w:color w:val="auto"/>
              </w:rPr>
              <w:t>Proceeds in connection with issuance of warrants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93,800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6"/>
        </w:trPr>
        <w:tc>
          <w:tcPr>
            <w:tcW w:w="8380" w:type="dxa"/>
            <w:vAlign w:val="bottom"/>
            <w:shd w:val="clear" w:color="auto" w:fill="C0C0C0"/>
          </w:tcPr>
          <w:p>
            <w:pPr>
              <w:ind w:left="280"/>
              <w:spacing w:after="0"/>
              <w:rPr>
                <w:sz w:val="20"/>
                <w:szCs w:val="20"/>
                <w:color w:val="auto"/>
              </w:rPr>
            </w:pPr>
            <w:r>
              <w:rPr>
                <w:rFonts w:ascii="Arial" w:cs="Arial" w:eastAsia="Arial" w:hAnsi="Arial"/>
                <w:sz w:val="16"/>
                <w:szCs w:val="16"/>
                <w:color w:val="auto"/>
              </w:rPr>
              <w:t>Payment in connection with purchase of convertible note hedges</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7"/>
              </w:rPr>
              <w:t>(117,500)</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r>
      <w:tr>
        <w:trPr>
          <w:trHeight w:val="211"/>
        </w:trPr>
        <w:tc>
          <w:tcPr>
            <w:tcW w:w="838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Net proceeds in connection with issuances of Common Stock</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18,509</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6"/>
              </w:rPr>
              <w:t>196,790</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8,598</w:t>
            </w:r>
          </w:p>
        </w:tc>
      </w:tr>
      <w:tr>
        <w:trPr>
          <w:trHeight w:val="211"/>
        </w:trPr>
        <w:tc>
          <w:tcPr>
            <w:tcW w:w="8380" w:type="dxa"/>
            <w:vAlign w:val="bottom"/>
            <w:shd w:val="clear" w:color="auto" w:fill="C0C0C0"/>
          </w:tcPr>
          <w:p>
            <w:pPr>
              <w:ind w:left="166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384,249</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243,306</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31,363</w:t>
            </w:r>
          </w:p>
        </w:tc>
      </w:tr>
      <w:tr>
        <w:trPr>
          <w:trHeight w:val="206"/>
        </w:trPr>
        <w:tc>
          <w:tcPr>
            <w:tcW w:w="8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8"/>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371,038</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(94,503)</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(40,721)</w:t>
            </w:r>
          </w:p>
        </w:tc>
      </w:tr>
      <w:tr>
        <w:trPr>
          <w:trHeight w:val="218"/>
        </w:trPr>
        <w:tc>
          <w:tcPr>
            <w:tcW w:w="8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1"/>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112,572</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207,075</w:t>
            </w:r>
          </w:p>
        </w:tc>
        <w:tc>
          <w:tcPr>
            <w:tcW w:w="24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6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w w:val="96"/>
              </w:rPr>
              <w:t>247,796</w:t>
            </w:r>
          </w:p>
        </w:tc>
      </w:tr>
      <w:tr>
        <w:trPr>
          <w:trHeight w:val="206"/>
        </w:trPr>
        <w:tc>
          <w:tcPr>
            <w:tcW w:w="8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483,610</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112,572</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6"/>
              </w:rPr>
              <w:t>207,075</w:t>
            </w:r>
          </w:p>
        </w:tc>
      </w:tr>
      <w:tr>
        <w:trPr>
          <w:trHeight w:val="206"/>
        </w:trPr>
        <w:tc>
          <w:tcPr>
            <w:tcW w:w="8380" w:type="dxa"/>
            <w:vAlign w:val="bottom"/>
            <w:tcBorders>
              <w:top w:val="single" w:sz="8" w:color="C0C0C0"/>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8"/>
        </w:trPr>
        <w:tc>
          <w:tcPr>
            <w:tcW w:w="8380" w:type="dxa"/>
            <w:vAlign w:val="bottom"/>
            <w:shd w:val="clear" w:color="auto" w:fill="C0C0C0"/>
          </w:tcPr>
          <w:p>
            <w:pPr>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r>
      <w:tr>
        <w:trPr>
          <w:trHeight w:val="204"/>
        </w:trPr>
        <w:tc>
          <w:tcPr>
            <w:tcW w:w="8380" w:type="dxa"/>
            <w:vAlign w:val="bottom"/>
          </w:tcPr>
          <w:p>
            <w:pPr>
              <w:ind w:left="280"/>
              <w:spacing w:after="0"/>
              <w:rPr>
                <w:sz w:val="20"/>
                <w:szCs w:val="20"/>
                <w:color w:val="auto"/>
              </w:rPr>
            </w:pPr>
            <w:r>
              <w:rPr>
                <w:rFonts w:ascii="Arial" w:cs="Arial" w:eastAsia="Arial" w:hAnsi="Arial"/>
                <w:sz w:val="16"/>
                <w:szCs w:val="16"/>
                <w:color w:val="auto"/>
              </w:rPr>
              <w:t>Cash paid for interest</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14,725</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12,737</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2,525</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2011, 2010, and 2009</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Business</w:t>
      </w:r>
    </w:p>
    <w:p>
      <w:pPr>
        <w:spacing w:after="0" w:line="233"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4"/>
          <w:szCs w:val="14"/>
          <w:color w:val="auto"/>
        </w:rPr>
        <w:t>Regeneron Pharmaceuticals, Inc. (the “Company” or “Regeneron”) was incorporated in January 1988 in the State of New York. The Company is a fully integrated biopharmaceutical company that discovers, invents, develops, manufactures, and commercializes medicines for the treatment of serious medical conditions. In 2008, the Company</w:t>
      </w:r>
    </w:p>
    <w:p>
      <w:pPr>
        <w:jc w:val="both"/>
        <w:ind w:right="20"/>
        <w:spacing w:after="0" w:line="239" w:lineRule="auto"/>
        <w:rPr>
          <w:sz w:val="20"/>
          <w:szCs w:val="20"/>
          <w:color w:val="auto"/>
        </w:rPr>
      </w:pPr>
      <w:r>
        <w:rPr>
          <w:rFonts w:ascii="Arial" w:cs="Arial" w:eastAsia="Arial" w:hAnsi="Arial"/>
          <w:sz w:val="14"/>
          <w:szCs w:val="14"/>
          <w:color w:val="auto"/>
        </w:rPr>
        <w:t>received marketing approval from the U.S. Food and Drug Administration (“FDA”) for the Company’s first commercial drug product,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(rilonacept) Injection for Subcutaneous Use for the treatment of Cryopyrin-Associated Periodic Syndromes (“CAPS”). In November 2011, the Company received marketing approval from the FDA for</w:t>
      </w:r>
    </w:p>
    <w:p>
      <w:pPr>
        <w:spacing w:after="0" w:line="1" w:lineRule="exact"/>
        <w:rPr>
          <w:sz w:val="20"/>
          <w:szCs w:val="20"/>
          <w:color w:val="auto"/>
        </w:rPr>
      </w:pPr>
    </w:p>
    <w:p>
      <w:pPr>
        <w:jc w:val="both"/>
        <w:ind w:right="20"/>
        <w:spacing w:after="0" w:line="222" w:lineRule="auto"/>
        <w:rPr>
          <w:sz w:val="20"/>
          <w:szCs w:val="20"/>
          <w:color w:val="auto"/>
        </w:rPr>
      </w:pPr>
      <w:r>
        <w:rPr>
          <w:rFonts w:ascii="Arial" w:cs="Arial" w:eastAsia="Arial" w:hAnsi="Arial"/>
          <w:sz w:val="16"/>
          <w:szCs w:val="16"/>
          <w:color w:val="auto"/>
        </w:rPr>
        <w:t>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for the treatment of neovascular wet age-related macular degeneration (“wet AMD”). The Company's facilities are primarily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9"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6"/>
          <w:szCs w:val="16"/>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229" w:lineRule="exact"/>
        <w:rPr>
          <w:sz w:val="20"/>
          <w:szCs w:val="20"/>
          <w:color w:val="auto"/>
        </w:rPr>
      </w:pPr>
    </w:p>
    <w:p>
      <w:pPr>
        <w:jc w:val="both"/>
        <w:ind w:firstLine="340"/>
        <w:spacing w:after="0" w:line="256"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has invested its excess cash primarily in direct obligations of the U.S. government and its agencies, other debt securities guaranteed by the U.S. government, and money market funds that invest in U.S. government securities.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as a separate component of stockholders’ equity. If the decline in the value of a marketable security in the Company’s investment portfolio is deemed to be other-than-temporary, the Company writes down the security to its current fair value and recognizes a loss as a charge against income. As described under “Use of Estimates” below, the Company reviews its portfolio of marketable securities, using both quantitative and qualitative factors, to determine if declines in fair value below cost are other-than-temporary.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 Trade</w:t>
      </w:r>
    </w:p>
    <w:p>
      <w:pPr>
        <w:spacing w:after="0" w:line="229" w:lineRule="exact"/>
        <w:rPr>
          <w:sz w:val="20"/>
          <w:szCs w:val="20"/>
          <w:color w:val="auto"/>
        </w:rPr>
      </w:pPr>
    </w:p>
    <w:p>
      <w:pPr>
        <w:jc w:val="both"/>
        <w:ind w:firstLine="243"/>
        <w:spacing w:after="0" w:line="280" w:lineRule="auto"/>
        <w:rPr>
          <w:sz w:val="20"/>
          <w:szCs w:val="20"/>
          <w:color w:val="auto"/>
        </w:rPr>
      </w:pPr>
      <w:r>
        <w:rPr>
          <w:rFonts w:ascii="Arial" w:cs="Arial" w:eastAsia="Arial" w:hAnsi="Arial"/>
          <w:sz w:val="15"/>
          <w:szCs w:val="15"/>
          <w:color w:val="auto"/>
        </w:rPr>
        <w:t>The Company’s trade accounts receivable represents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that may result from a customer’s inability to pay. Amounts determined to be uncollectible are written-off against the reserve. As of December 31, 2011 and 2010, there were no reserves against trade accounts receivable. In addition, during the years ended December 31, 2011, 2010 and 2009, no trade accounts receivable were written-off.</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229" w:lineRule="exact"/>
        <w:rPr>
          <w:sz w:val="20"/>
          <w:szCs w:val="20"/>
          <w:color w:val="auto"/>
        </w:rPr>
      </w:pPr>
    </w:p>
    <w:p>
      <w:pPr>
        <w:jc w:val="both"/>
        <w:ind w:firstLine="328"/>
        <w:spacing w:after="0" w:line="276" w:lineRule="auto"/>
        <w:rPr>
          <w:sz w:val="20"/>
          <w:szCs w:val="20"/>
          <w:color w:val="auto"/>
        </w:rPr>
      </w:pPr>
      <w:r>
        <w:rPr>
          <w:rFonts w:ascii="Arial" w:cs="Arial" w:eastAsia="Arial" w:hAnsi="Arial"/>
          <w:sz w:val="15"/>
          <w:szCs w:val="15"/>
          <w:color w:val="auto"/>
        </w:rPr>
        <w:t>Inventories are stated at the lower of cost or estimated realizable value. The Company determines the cost of inventory using the first-in, first-out, or FIFO, method. 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cost of goods sold to write down such unmarketable inventory to its estimated realizable value.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229" w:lineRule="exact"/>
        <w:rPr>
          <w:sz w:val="20"/>
          <w:szCs w:val="20"/>
          <w:color w:val="auto"/>
        </w:rPr>
      </w:pPr>
    </w:p>
    <w:p>
      <w:pPr>
        <w:jc w:val="both"/>
        <w:ind w:right="20" w:firstLine="267"/>
        <w:spacing w:after="0" w:line="260" w:lineRule="auto"/>
        <w:rPr>
          <w:sz w:val="20"/>
          <w:szCs w:val="20"/>
          <w:color w:val="auto"/>
        </w:rPr>
      </w:pPr>
      <w:r>
        <w:rPr>
          <w:rFonts w:ascii="Arial" w:cs="Arial" w:eastAsia="Arial" w:hAnsi="Arial"/>
          <w:sz w:val="16"/>
          <w:szCs w:val="16"/>
          <w:color w:val="auto"/>
        </w:rPr>
        <w:t>Property, plant, and equipment are stated at cost, net of accumulated depreciation.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183" w:lineRule="exact"/>
        <w:rPr>
          <w:sz w:val="20"/>
          <w:szCs w:val="20"/>
          <w:color w:val="auto"/>
        </w:rPr>
      </w:pPr>
    </w:p>
    <w:tbl>
      <w:tblPr>
        <w:tblLayout w:type="fixed"/>
        <w:tblInd w:w="2860" w:type="dxa"/>
        <w:tblCellMar>
          <w:top w:w="0" w:type="dxa"/>
          <w:left w:w="0" w:type="dxa"/>
          <w:bottom w:w="0" w:type="dxa"/>
          <w:right w:w="0" w:type="dxa"/>
        </w:tblCellMar>
      </w:tblPr>
      <w:tr>
        <w:trPr>
          <w:trHeight w:val="218"/>
        </w:trPr>
        <w:tc>
          <w:tcPr>
            <w:tcW w:w="3500" w:type="dxa"/>
            <w:vAlign w:val="bottom"/>
            <w:shd w:val="clear" w:color="auto" w:fill="C0C0C0"/>
          </w:tcPr>
          <w:p>
            <w:pPr>
              <w:spacing w:after="0"/>
              <w:rPr>
                <w:sz w:val="20"/>
                <w:szCs w:val="20"/>
                <w:color w:val="auto"/>
              </w:rPr>
            </w:pPr>
            <w:r>
              <w:rPr>
                <w:rFonts w:ascii="Arial" w:cs="Arial" w:eastAsia="Arial" w:hAnsi="Arial"/>
                <w:sz w:val="16"/>
                <w:szCs w:val="16"/>
                <w:color w:val="auto"/>
              </w:rPr>
              <w:t>Building and improvements</w:t>
            </w:r>
          </w:p>
        </w:tc>
        <w:tc>
          <w:tcPr>
            <w:tcW w:w="2220" w:type="dxa"/>
            <w:vAlign w:val="bottom"/>
            <w:shd w:val="clear" w:color="auto" w:fill="C0C0C0"/>
          </w:tcPr>
          <w:p>
            <w:pPr>
              <w:ind w:left="1460"/>
              <w:spacing w:after="0"/>
              <w:rPr>
                <w:sz w:val="20"/>
                <w:szCs w:val="20"/>
                <w:color w:val="auto"/>
              </w:rPr>
            </w:pPr>
            <w:r>
              <w:rPr>
                <w:rFonts w:ascii="Arial" w:cs="Arial" w:eastAsia="Arial" w:hAnsi="Arial"/>
                <w:sz w:val="16"/>
                <w:szCs w:val="16"/>
                <w:color w:val="auto"/>
                <w:w w:val="87"/>
              </w:rPr>
              <w:t>10-40 years</w:t>
            </w:r>
          </w:p>
        </w:tc>
      </w:tr>
      <w:tr>
        <w:trPr>
          <w:trHeight w:val="211"/>
        </w:trPr>
        <w:tc>
          <w:tcPr>
            <w:tcW w:w="3500" w:type="dxa"/>
            <w:vAlign w:val="bottom"/>
          </w:tcPr>
          <w:p>
            <w:pPr>
              <w:spacing w:after="0"/>
              <w:rPr>
                <w:sz w:val="20"/>
                <w:szCs w:val="20"/>
                <w:color w:val="auto"/>
              </w:rPr>
            </w:pPr>
            <w:r>
              <w:rPr>
                <w:rFonts w:ascii="Arial" w:cs="Arial" w:eastAsia="Arial" w:hAnsi="Arial"/>
                <w:sz w:val="16"/>
                <w:szCs w:val="16"/>
                <w:color w:val="auto"/>
              </w:rPr>
              <w:t>Laboratory and other equipment</w:t>
            </w:r>
          </w:p>
        </w:tc>
        <w:tc>
          <w:tcPr>
            <w:tcW w:w="2220" w:type="dxa"/>
            <w:vAlign w:val="bottom"/>
          </w:tcPr>
          <w:p>
            <w:pPr>
              <w:ind w:left="1460"/>
              <w:spacing w:after="0"/>
              <w:rPr>
                <w:sz w:val="20"/>
                <w:szCs w:val="20"/>
                <w:color w:val="auto"/>
              </w:rPr>
            </w:pPr>
            <w:r>
              <w:rPr>
                <w:rFonts w:ascii="Arial" w:cs="Arial" w:eastAsia="Arial" w:hAnsi="Arial"/>
                <w:sz w:val="16"/>
                <w:szCs w:val="16"/>
                <w:color w:val="auto"/>
                <w:w w:val="97"/>
              </w:rPr>
              <w:t>3-10 years</w:t>
            </w:r>
          </w:p>
        </w:tc>
      </w:tr>
      <w:tr>
        <w:trPr>
          <w:trHeight w:val="226"/>
        </w:trPr>
        <w:tc>
          <w:tcPr>
            <w:tcW w:w="3500" w:type="dxa"/>
            <w:vAlign w:val="bottom"/>
            <w:shd w:val="clear" w:color="auto" w:fill="C0C0C0"/>
          </w:tcPr>
          <w:p>
            <w:pPr>
              <w:spacing w:after="0"/>
              <w:rPr>
                <w:sz w:val="20"/>
                <w:szCs w:val="20"/>
                <w:color w:val="auto"/>
              </w:rPr>
            </w:pPr>
            <w:r>
              <w:rPr>
                <w:rFonts w:ascii="Arial" w:cs="Arial" w:eastAsia="Arial" w:hAnsi="Arial"/>
                <w:sz w:val="16"/>
                <w:szCs w:val="16"/>
                <w:color w:val="auto"/>
              </w:rPr>
              <w:t>Furniture and fixtures</w:t>
            </w:r>
          </w:p>
        </w:tc>
        <w:tc>
          <w:tcPr>
            <w:tcW w:w="2220" w:type="dxa"/>
            <w:vAlign w:val="bottom"/>
            <w:shd w:val="clear" w:color="auto" w:fill="C0C0C0"/>
          </w:tcPr>
          <w:p>
            <w:pPr>
              <w:ind w:left="1460"/>
              <w:spacing w:after="0"/>
              <w:rPr>
                <w:sz w:val="20"/>
                <w:szCs w:val="20"/>
                <w:color w:val="auto"/>
              </w:rPr>
            </w:pPr>
            <w:r>
              <w:rPr>
                <w:rFonts w:ascii="Arial" w:cs="Arial" w:eastAsia="Arial" w:hAnsi="Arial"/>
                <w:sz w:val="16"/>
                <w:szCs w:val="16"/>
                <w:color w:val="auto"/>
              </w:rPr>
              <w:t>5 years</w:t>
            </w:r>
          </w:p>
        </w:tc>
      </w:tr>
    </w:tbl>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Leasehold improvements are amortized over the shorter of the estimated useful lives of the assets or the lease term, without assuming renewal features, if any, are exercised.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Costs of construction of certain long-lived assets include capitalized interest which is amortized over the estimated useful life of the related asset.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the Impairment of Long-Lived Assets</w:t>
      </w:r>
    </w:p>
    <w:p>
      <w:pPr>
        <w:spacing w:after="0" w:line="229"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For all periods presented, no impairment losses were recorded.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Patents</w:t>
      </w:r>
    </w:p>
    <w:p>
      <w:pPr>
        <w:spacing w:after="0" w:line="229" w:lineRule="exact"/>
        <w:rPr>
          <w:sz w:val="20"/>
          <w:szCs w:val="20"/>
          <w:color w:val="auto"/>
        </w:rPr>
      </w:pPr>
    </w:p>
    <w:p>
      <w:pPr>
        <w:jc w:val="both"/>
        <w:ind w:right="20" w:firstLine="340"/>
        <w:spacing w:after="0" w:line="264" w:lineRule="auto"/>
        <w:rPr>
          <w:sz w:val="20"/>
          <w:szCs w:val="20"/>
          <w:color w:val="auto"/>
        </w:rPr>
      </w:pPr>
      <w:r>
        <w:rPr>
          <w:rFonts w:ascii="Arial" w:cs="Arial" w:eastAsia="Arial" w:hAnsi="Arial"/>
          <w:sz w:val="16"/>
          <w:szCs w:val="16"/>
          <w:color w:val="auto"/>
        </w:rPr>
        <w:t>As a result of the Company’s research and development efforts, the Company obtains and applies for patents to protect proprietary technology and inventions. All costs associated with patents for product candidates under development are expensed as incurred. Patent costs related to commercial products are capitalized and amortized over the shorter of their estimated useful life or the remaining patent term. To date, the Company has no capitalized patent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6"/>
          <w:szCs w:val="16"/>
          <w:color w:val="auto"/>
        </w:rPr>
        <w:t>On certain of its operating lease agreements, the Company may receive rent holidays and other incentives. The Company recognizes operating lease costs on a straight-line basis without regard to deferred payment terms, such as rent holidays, that defer the commencement date of required payments. In addition, lease incentives that the Company receives are treated as a reduction of rent expense over the term of the related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 Collaboration Revenue</w:t>
      </w:r>
    </w:p>
    <w:p>
      <w:pPr>
        <w:spacing w:after="0" w:line="229"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5"/>
          <w:szCs w:val="15"/>
          <w:color w:val="auto"/>
        </w:rPr>
        <w:t>The Company earns collaboration revenue in connection with collaboration agreements to develop and commercialize product candidates and utilize the Company’s technology platforms. The terms of these agreements typically include non-refundable up-front licensing payments, research progress (milestone) payments, and payments for development activities.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Although the Company did not enter into, or materially modify, any collaboration arrangements with multiple-deliverables during the year ended December 31, 2011, any future arrangements with multiple deliverables will be divided into separate units of accounting if the deliverables in the arrangement meet certain criteria, including whether the delivered item or items has value to the collaborator on a standalone basis.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14"/>
          <w:szCs w:val="14"/>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such as in the Company’s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collaboration with Bayer HealthCare LLC, or the</w:t>
      </w:r>
    </w:p>
    <w:p>
      <w:pPr>
        <w:jc w:val="both"/>
        <w:spacing w:after="0" w:line="256" w:lineRule="auto"/>
        <w:rPr>
          <w:sz w:val="20"/>
          <w:szCs w:val="20"/>
          <w:color w:val="auto"/>
        </w:rPr>
      </w:pPr>
      <w:r>
        <w:rPr>
          <w:rFonts w:ascii="Arial" w:cs="Arial" w:eastAsia="Arial" w:hAnsi="Arial"/>
          <w:sz w:val="15"/>
          <w:szCs w:val="15"/>
          <w:color w:val="auto"/>
        </w:rPr>
        <w:t>Company may be reimbursed for all or a significant portion of the costs of the Company’s research and development activities, such as in the Company’s ZALTRAP</w:t>
      </w:r>
      <w:r>
        <w:rPr>
          <w:rFonts w:ascii="Arial" w:cs="Arial" w:eastAsia="Arial" w:hAnsi="Arial"/>
          <w:sz w:val="25"/>
          <w:szCs w:val="25"/>
          <w:b w:val="1"/>
          <w:bCs w:val="1"/>
          <w:color w:val="auto"/>
          <w:vertAlign w:val="superscript"/>
        </w:rPr>
        <w:t>®</w:t>
      </w:r>
      <w:r>
        <w:rPr>
          <w:rFonts w:ascii="Arial" w:cs="Arial" w:eastAsia="Arial" w:hAnsi="Arial"/>
          <w:sz w:val="15"/>
          <w:szCs w:val="15"/>
          <w:color w:val="auto"/>
        </w:rPr>
        <w:t xml:space="preserve"> (aflibercept) and antibody collaborations with Sanofi.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 In certain cases, the Company may also share the costs of pre-launch commercialization activities with its collaborators. The Company records its share of these costs as a reduction of collaboration revenue.</w:t>
      </w:r>
    </w:p>
    <w:p>
      <w:pPr>
        <w:spacing w:after="0" w:line="201" w:lineRule="exact"/>
        <w:rPr>
          <w:sz w:val="20"/>
          <w:szCs w:val="20"/>
          <w:color w:val="auto"/>
        </w:rPr>
      </w:pPr>
    </w:p>
    <w:p>
      <w:pPr>
        <w:jc w:val="both"/>
        <w:ind w:firstLine="267"/>
        <w:spacing w:after="0" w:line="276" w:lineRule="auto"/>
        <w:rPr>
          <w:sz w:val="20"/>
          <w:szCs w:val="20"/>
          <w:color w:val="auto"/>
        </w:rPr>
      </w:pPr>
      <w:r>
        <w:rPr>
          <w:rFonts w:ascii="Arial" w:cs="Arial" w:eastAsia="Arial" w:hAnsi="Arial"/>
          <w:sz w:val="15"/>
          <w:szCs w:val="15"/>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 Also, if a collaborator terminates an agreement in accordance with the terms of the agreement, the Company would recognize any unamortized remainder of an up-front or previously deferred payment at the time of the termination.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Licensing</w:t>
      </w:r>
    </w:p>
    <w:p>
      <w:pPr>
        <w:spacing w:after="0" w:line="126" w:lineRule="exact"/>
        <w:rPr>
          <w:sz w:val="20"/>
          <w:szCs w:val="20"/>
          <w:color w:val="auto"/>
        </w:rPr>
      </w:pPr>
    </w:p>
    <w:p>
      <w:pPr>
        <w:jc w:val="both"/>
        <w:ind w:right="20" w:firstLine="328"/>
        <w:spacing w:after="0" w:line="241" w:lineRule="auto"/>
        <w:rPr>
          <w:sz w:val="20"/>
          <w:szCs w:val="20"/>
          <w:color w:val="auto"/>
        </w:rPr>
      </w:pPr>
      <w:r>
        <w:rPr>
          <w:rFonts w:ascii="Arial" w:cs="Arial" w:eastAsia="Arial" w:hAnsi="Arial"/>
          <w:sz w:val="14"/>
          <w:szCs w:val="14"/>
          <w:color w:val="auto"/>
        </w:rPr>
        <w:t xml:space="preserve">The Company enters into non-exclusive license agreements with third parties that allow the third party to utilize the Company’s </w:t>
      </w:r>
      <w:r>
        <w:rPr>
          <w:rFonts w:ascii="Arial" w:cs="Arial" w:eastAsia="Arial" w:hAnsi="Arial"/>
          <w:sz w:val="14"/>
          <w:szCs w:val="14"/>
          <w:i w:val="1"/>
          <w:iCs w:val="1"/>
          <w:color w:val="auto"/>
        </w:rPr>
        <w:t>VelocImmune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in its internal research programs. The terms of these agreements include up-front payments and entitle the Company to receive royalties on any future sales of products discovered by the third</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6"/>
          <w:szCs w:val="16"/>
          <w:color w:val="auto"/>
        </w:rPr>
        <w:t xml:space="preserve">party using the Company’s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Up-front payments under these agreements, where continuing involvement is required of the Company, are deferred and recognized ratably over their respective license periods.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 Product Revenue</w:t>
      </w:r>
    </w:p>
    <w:p>
      <w:pPr>
        <w:spacing w:after="0" w:line="208" w:lineRule="exact"/>
        <w:rPr>
          <w:sz w:val="20"/>
          <w:szCs w:val="20"/>
          <w:color w:val="auto"/>
        </w:rPr>
      </w:pPr>
    </w:p>
    <w:p>
      <w:pPr>
        <w:jc w:val="both"/>
        <w:ind w:right="20" w:firstLine="243"/>
        <w:spacing w:after="0" w:line="244" w:lineRule="auto"/>
        <w:rPr>
          <w:sz w:val="20"/>
          <w:szCs w:val="20"/>
          <w:color w:val="auto"/>
        </w:rPr>
      </w:pPr>
      <w:r>
        <w:rPr>
          <w:rFonts w:ascii="Arial" w:cs="Arial" w:eastAsia="Arial" w:hAnsi="Arial"/>
          <w:sz w:val="15"/>
          <w:szCs w:val="15"/>
          <w:color w:val="auto"/>
        </w:rPr>
        <w:t>Product sales consist of U.S. sales of the Company’s two marketed products,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ARCALYST</w:t>
      </w:r>
      <w:r>
        <w:rPr>
          <w:rFonts w:ascii="Arial" w:cs="Arial" w:eastAsia="Arial" w:hAnsi="Arial"/>
          <w:sz w:val="25"/>
          <w:szCs w:val="25"/>
          <w:color w:val="auto"/>
          <w:vertAlign w:val="superscript"/>
        </w:rPr>
        <w:t>®</w:t>
      </w:r>
      <w:r>
        <w:rPr>
          <w:rFonts w:ascii="Arial" w:cs="Arial" w:eastAsia="Arial" w:hAnsi="Arial"/>
          <w:sz w:val="15"/>
          <w:szCs w:val="15"/>
          <w:color w:val="auto"/>
        </w:rPr>
        <w: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sells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United States to three distributors and several specialty pharmacies. The Company sells ARCALYST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United States to two specialty</w:t>
      </w:r>
    </w:p>
    <w:p>
      <w:pPr>
        <w:jc w:val="both"/>
        <w:ind w:right="20"/>
        <w:spacing w:after="0" w:line="228" w:lineRule="auto"/>
        <w:rPr>
          <w:sz w:val="20"/>
          <w:szCs w:val="20"/>
          <w:color w:val="auto"/>
        </w:rPr>
      </w:pPr>
      <w:r>
        <w:rPr>
          <w:rFonts w:ascii="Arial" w:cs="Arial" w:eastAsia="Arial" w:hAnsi="Arial"/>
          <w:sz w:val="15"/>
          <w:szCs w:val="15"/>
          <w:color w:val="auto"/>
        </w:rPr>
        <w:t>pharmacies. Under these distribution models, the distributors and specialty pharmacies generally take physical delivery of product. For EYLEA</w:t>
      </w:r>
      <w:r>
        <w:rPr>
          <w:rFonts w:ascii="Arial" w:cs="Arial" w:eastAsia="Arial" w:hAnsi="Arial"/>
          <w:sz w:val="25"/>
          <w:szCs w:val="25"/>
          <w:color w:val="auto"/>
          <w:vertAlign w:val="superscript"/>
        </w:rPr>
        <w:t>®</w:t>
      </w:r>
      <w:r>
        <w:rPr>
          <w:rFonts w:ascii="Arial" w:cs="Arial" w:eastAsia="Arial" w:hAnsi="Arial"/>
          <w:sz w:val="15"/>
          <w:szCs w:val="15"/>
          <w:color w:val="auto"/>
        </w:rPr>
        <w:t>, the distributors and specialty pharmacies generally sell the product directly to healthcare providers; whereas for ARCALYST</w:t>
      </w:r>
      <w:r>
        <w:rPr>
          <w:rFonts w:ascii="Arial" w:cs="Arial" w:eastAsia="Arial" w:hAnsi="Arial"/>
          <w:sz w:val="21"/>
          <w:szCs w:val="21"/>
          <w:color w:val="auto"/>
          <w:vertAlign w:val="superscript"/>
        </w:rPr>
        <w:t>®</w:t>
      </w:r>
      <w:r>
        <w:rPr>
          <w:rFonts w:ascii="Arial" w:cs="Arial" w:eastAsia="Arial" w:hAnsi="Arial"/>
          <w:sz w:val="15"/>
          <w:szCs w:val="15"/>
          <w:color w:val="auto"/>
        </w:rPr>
        <w:t>, the specialty pharmacies sell the product directly to patients.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5"/>
          <w:szCs w:val="15"/>
          <w:color w:val="auto"/>
        </w:rPr>
        <w:t>Revenue from product sales are recorded net of applicable provisions for prompt pay discounts, rebates and chargebacks under governmental programs (including Medicaid), product returns, distribution-related fees,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178" w:lineRule="exact"/>
        <w:rPr>
          <w:sz w:val="20"/>
          <w:szCs w:val="20"/>
          <w:color w:val="auto"/>
        </w:rPr>
      </w:pPr>
    </w:p>
    <w:p>
      <w:pPr>
        <w:jc w:val="both"/>
        <w:ind w:firstLine="340"/>
        <w:spacing w:after="0" w:line="199" w:lineRule="auto"/>
        <w:rPr>
          <w:sz w:val="20"/>
          <w:szCs w:val="20"/>
          <w:color w:val="auto"/>
        </w:rPr>
      </w:pPr>
      <w:r>
        <w:rPr>
          <w:rFonts w:ascii="Arial" w:cs="Arial" w:eastAsia="Arial" w:hAnsi="Arial"/>
          <w:sz w:val="16"/>
          <w:szCs w:val="16"/>
          <w:i w:val="1"/>
          <w:iCs w:val="1"/>
          <w:color w:val="auto"/>
        </w:rPr>
        <w:t xml:space="preserve">Prompt Pay Discounts: </w:t>
      </w:r>
      <w:r>
        <w:rPr>
          <w:rFonts w:ascii="Arial" w:cs="Arial" w:eastAsia="Arial" w:hAnsi="Arial"/>
          <w:sz w:val="16"/>
          <w:szCs w:val="16"/>
          <w:color w:val="auto"/>
        </w:rPr>
        <w:t>No prompt pay discounts are currently offered to the Company’s customers on sales of EYLEA</w:t>
      </w:r>
      <w:r>
        <w:rPr>
          <w:rFonts w:ascii="Arial" w:cs="Arial" w:eastAsia="Arial" w:hAnsi="Arial"/>
          <w:sz w:val="22"/>
          <w:szCs w:val="22"/>
          <w:color w:val="auto"/>
          <w:vertAlign w:val="superscript"/>
        </w:rPr>
        <w:t>®</w:t>
      </w:r>
      <w:r>
        <w:rPr>
          <w:rFonts w:ascii="Arial" w:cs="Arial" w:eastAsia="Arial" w:hAnsi="Arial"/>
          <w:sz w:val="16"/>
          <w:szCs w:val="16"/>
          <w:color w:val="auto"/>
        </w:rPr>
        <w:t>. In connection with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offers discounts to its customers for prompt payments. The Company estimates these discounts based on customer terms and historical experience, and expects that its customers will always take advantage of this discount. Therefore, the Company accrues 100% of the prompt pay discount that is based on the gross amount of each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invoice, at the time of sale.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accrual for prompt pay discounts was not material at December 31, 2011 and 2010.</w:t>
      </w:r>
    </w:p>
    <w:p>
      <w:pPr>
        <w:spacing w:after="0" w:line="229" w:lineRule="exact"/>
        <w:rPr>
          <w:sz w:val="20"/>
          <w:szCs w:val="20"/>
          <w:color w:val="auto"/>
        </w:rPr>
      </w:pPr>
    </w:p>
    <w:p>
      <w:pPr>
        <w:jc w:val="both"/>
        <w:ind w:firstLine="291"/>
        <w:spacing w:after="0" w:line="262" w:lineRule="auto"/>
        <w:rPr>
          <w:sz w:val="20"/>
          <w:szCs w:val="20"/>
          <w:color w:val="auto"/>
        </w:rPr>
      </w:pPr>
      <w:r>
        <w:rPr>
          <w:rFonts w:ascii="Arial" w:cs="Arial" w:eastAsia="Arial" w:hAnsi="Arial"/>
          <w:sz w:val="15"/>
          <w:szCs w:val="15"/>
          <w:i w:val="1"/>
          <w:iCs w:val="1"/>
          <w:color w:val="auto"/>
        </w:rPr>
        <w:t xml:space="preserve">Government Rebates and Chargebacks: </w:t>
      </w:r>
      <w:r>
        <w:rPr>
          <w:rFonts w:ascii="Arial" w:cs="Arial" w:eastAsia="Arial" w:hAnsi="Arial"/>
          <w:sz w:val="15"/>
          <w:szCs w:val="15"/>
          <w:color w:val="auto"/>
        </w:rPr>
        <w:t>The Company estimates reductions to product sales for Medicaid and Veterans’ Administration (VA) programs, and for certain other</w:t>
      </w:r>
      <w:r>
        <w:rPr>
          <w:rFonts w:ascii="Arial" w:cs="Arial" w:eastAsia="Arial" w:hAnsi="Arial"/>
          <w:sz w:val="15"/>
          <w:szCs w:val="15"/>
          <w:i w:val="1"/>
          <w:iCs w:val="1"/>
          <w:color w:val="auto"/>
        </w:rPr>
        <w:t xml:space="preserve"> </w:t>
      </w:r>
      <w:r>
        <w:rPr>
          <w:rFonts w:ascii="Arial" w:cs="Arial" w:eastAsia="Arial" w:hAnsi="Arial"/>
          <w:sz w:val="15"/>
          <w:szCs w:val="15"/>
          <w:color w:val="auto"/>
        </w:rPr>
        <w:t>qualifying federal and state government programs. Based upon the Company’s contracts with government agencies, statutorily-defined discounts applicable to government-funded programs, historical experience, and, in the case of EYLEA</w:t>
      </w:r>
      <w:r>
        <w:rPr>
          <w:rFonts w:ascii="Arial" w:cs="Arial" w:eastAsia="Arial" w:hAnsi="Arial"/>
          <w:sz w:val="21"/>
          <w:szCs w:val="21"/>
          <w:color w:val="auto"/>
          <w:vertAlign w:val="superscript"/>
        </w:rPr>
        <w:t>®</w:t>
      </w:r>
      <w:r>
        <w:rPr>
          <w:rFonts w:ascii="Arial" w:cs="Arial" w:eastAsia="Arial" w:hAnsi="Arial"/>
          <w:sz w:val="15"/>
          <w:szCs w:val="15"/>
          <w:color w:val="auto"/>
        </w:rPr>
        <w:t>, estimated payer mix based on third-party market research data,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offered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02" w:lineRule="exact"/>
        <w:rPr>
          <w:sz w:val="20"/>
          <w:szCs w:val="20"/>
          <w:color w:val="auto"/>
        </w:rPr>
      </w:pPr>
    </w:p>
    <w:p>
      <w:pPr>
        <w:jc w:val="both"/>
        <w:ind w:right="20" w:firstLine="267"/>
        <w:spacing w:after="0" w:line="274" w:lineRule="auto"/>
        <w:rPr>
          <w:sz w:val="20"/>
          <w:szCs w:val="20"/>
          <w:color w:val="auto"/>
        </w:rPr>
      </w:pPr>
      <w:r>
        <w:rPr>
          <w:rFonts w:ascii="Arial" w:cs="Arial" w:eastAsia="Arial" w:hAnsi="Arial"/>
          <w:sz w:val="16"/>
          <w:szCs w:val="16"/>
          <w:color w:val="auto"/>
        </w:rPr>
        <w:t>The Company’s government rebate and chargeback accruals were $0.6 million at December 31, 2011, which was based on a percentage of gross sales. Government rebate and chargeback accruals were not material at December 31, 2010.</w:t>
      </w:r>
    </w:p>
    <w:p>
      <w:pPr>
        <w:spacing w:after="0" w:line="187"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Consistent with industry practice, the Company offers its customers a limited right to return product purchased directly from the Company, which is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and other relevant factors.</w:t>
      </w:r>
    </w:p>
    <w:p>
      <w:pPr>
        <w:spacing w:after="0" w:line="198" w:lineRule="exact"/>
        <w:rPr>
          <w:sz w:val="20"/>
          <w:szCs w:val="20"/>
          <w:color w:val="auto"/>
        </w:rPr>
      </w:pPr>
    </w:p>
    <w:p>
      <w:pPr>
        <w:jc w:val="both"/>
        <w:ind w:right="20" w:firstLine="291"/>
        <w:spacing w:after="0" w:line="224" w:lineRule="auto"/>
        <w:rPr>
          <w:sz w:val="20"/>
          <w:szCs w:val="20"/>
          <w:color w:val="auto"/>
        </w:rPr>
      </w:pPr>
      <w:r>
        <w:rPr>
          <w:rFonts w:ascii="Arial" w:cs="Arial" w:eastAsia="Arial" w:hAnsi="Arial"/>
          <w:sz w:val="14"/>
          <w:szCs w:val="14"/>
          <w:color w:val="auto"/>
        </w:rPr>
        <w:t>The Company has developed estimates for EYLEA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product returns, based on several factors, including (i) the Company’s historical experience to date, and the Company’s expectation, that its customers will not stock significant supplies of EYLEA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due to contractual limitations and other mitigating circumstances, (ii) historical industry information regarding product return rates for similar specialty products, and (iii) the shelf life of the product. Estimates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product returns have been developed based primarily on historical returns experience; to date, actual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product returns have been negligible. The Company monitors product supply levels in the distribution channel, as well as sales by its customers of EYLEA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 healthcare providers and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product returns accruals were not material at December 31, 2011 and 2010.</w:t>
      </w:r>
    </w:p>
    <w:p>
      <w:pPr>
        <w:spacing w:after="0" w:line="229" w:lineRule="exact"/>
        <w:rPr>
          <w:sz w:val="20"/>
          <w:szCs w:val="20"/>
          <w:color w:val="auto"/>
        </w:rPr>
      </w:pPr>
    </w:p>
    <w:p>
      <w:pPr>
        <w:jc w:val="both"/>
        <w:ind w:right="20" w:firstLine="376"/>
        <w:spacing w:after="0" w:line="264" w:lineRule="auto"/>
        <w:rPr>
          <w:sz w:val="20"/>
          <w:szCs w:val="20"/>
          <w:color w:val="auto"/>
        </w:rPr>
      </w:pPr>
      <w:r>
        <w:rPr>
          <w:rFonts w:ascii="Arial" w:cs="Arial" w:eastAsia="Arial" w:hAnsi="Arial"/>
          <w:sz w:val="16"/>
          <w:szCs w:val="16"/>
          <w:i w:val="1"/>
          <w:iCs w:val="1"/>
          <w:color w:val="auto"/>
        </w:rPr>
        <w:t xml:space="preserve">Distribution-Related Fees: </w:t>
      </w:r>
      <w:r>
        <w:rPr>
          <w:rFonts w:ascii="Arial" w:cs="Arial" w:eastAsia="Arial" w:hAnsi="Arial"/>
          <w:sz w:val="16"/>
          <w:szCs w:val="16"/>
          <w:color w:val="auto"/>
        </w:rPr>
        <w:t>The Company has written contracts with its customers that include terms for distribution-related fees. The Company estimates and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and related fees due to its customers based on a percentage of gross sales. The Company’s accrual for distribution-related fees was $1.5 million at December 31, 2011. The Company’s accrual for distribution-related fees at December 31, 2010 was not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Income</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income, which is included in investment income, is recognized as earned.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29" w:lineRule="exact"/>
        <w:rPr>
          <w:sz w:val="20"/>
          <w:szCs w:val="20"/>
          <w:color w:val="auto"/>
        </w:rPr>
      </w:pPr>
    </w:p>
    <w:p>
      <w:pPr>
        <w:jc w:val="both"/>
        <w:ind w:firstLine="328"/>
        <w:spacing w:after="0" w:line="257"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costs associated with research and development are expensed.</w:t>
      </w:r>
    </w:p>
    <w:p>
      <w:pPr>
        <w:spacing w:after="0" w:line="202" w:lineRule="exact"/>
        <w:rPr>
          <w:sz w:val="20"/>
          <w:szCs w:val="20"/>
          <w:color w:val="auto"/>
        </w:rPr>
      </w:pPr>
    </w:p>
    <w:p>
      <w:pPr>
        <w:jc w:val="both"/>
        <w:ind w:right="20" w:firstLine="315"/>
        <w:spacing w:after="0" w:line="258"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01" w:lineRule="exact"/>
        <w:rPr>
          <w:sz w:val="20"/>
          <w:szCs w:val="20"/>
          <w:color w:val="auto"/>
        </w:rPr>
      </w:pPr>
    </w:p>
    <w:p>
      <w:pPr>
        <w:jc w:val="both"/>
        <w:ind w:right="20" w:firstLine="267"/>
        <w:spacing w:after="0" w:line="275" w:lineRule="auto"/>
        <w:rPr>
          <w:sz w:val="20"/>
          <w:szCs w:val="20"/>
          <w:color w:val="auto"/>
        </w:rPr>
      </w:pPr>
      <w:r>
        <w:rPr>
          <w:rFonts w:ascii="Arial" w:cs="Arial" w:eastAsia="Arial" w:hAnsi="Arial"/>
          <w:sz w:val="15"/>
          <w:szCs w:val="15"/>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the Company’s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191" w:lineRule="exact"/>
        <w:rPr>
          <w:sz w:val="20"/>
          <w:szCs w:val="20"/>
          <w:color w:val="auto"/>
        </w:rPr>
      </w:pPr>
    </w:p>
    <w:p>
      <w:pPr>
        <w:jc w:val="both"/>
        <w:ind w:right="20" w:firstLine="315"/>
        <w:spacing w:after="0" w:line="256"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the Company accrues expense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9"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6"/>
          <w:szCs w:val="16"/>
          <w:color w:val="auto"/>
        </w:rPr>
        <w:t>The Company recognizes stock-based compensation expense for grants of stock option awards and restricted stock under the Company’s Long-Term Incentive Plan to employees and non-employee members of the Company’s board of directors based on the grant-date fair value of those awards. The grant-date fair value of an award is generally recognized as compensation expense over the award’s requisite service period. In addition, the Company has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 Company estimates that these options will vest, which is based on whether the Company consider the options’ performance conditions to be probable of attainment. The Company’s estimates of the number of performance-based options that will vest will be revised, if necessary, in subsequent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279"/>
        <w:spacing w:after="0" w:line="258" w:lineRule="auto"/>
        <w:rPr>
          <w:sz w:val="20"/>
          <w:szCs w:val="20"/>
          <w:color w:val="auto"/>
        </w:rPr>
      </w:pPr>
      <w:r>
        <w:rPr>
          <w:rFonts w:ascii="Arial" w:cs="Arial" w:eastAsia="Arial" w:hAnsi="Arial"/>
          <w:sz w:val="16"/>
          <w:szCs w:val="16"/>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29" w:lineRule="exact"/>
        <w:rPr>
          <w:sz w:val="20"/>
          <w:szCs w:val="20"/>
          <w:color w:val="auto"/>
        </w:rPr>
      </w:pPr>
    </w:p>
    <w:p>
      <w:pPr>
        <w:jc w:val="both"/>
        <w:ind w:firstLine="255"/>
        <w:spacing w:after="0" w:line="283" w:lineRule="auto"/>
        <w:rPr>
          <w:sz w:val="20"/>
          <w:szCs w:val="20"/>
          <w:color w:val="auto"/>
        </w:rPr>
      </w:pPr>
      <w:r>
        <w:rPr>
          <w:rFonts w:ascii="Arial" w:cs="Arial" w:eastAsia="Arial" w:hAnsi="Arial"/>
          <w:sz w:val="15"/>
          <w:szCs w:val="15"/>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82" w:lineRule="exact"/>
        <w:rPr>
          <w:sz w:val="20"/>
          <w:szCs w:val="20"/>
          <w:color w:val="auto"/>
        </w:rPr>
      </w:pPr>
    </w:p>
    <w:p>
      <w:pPr>
        <w:jc w:val="both"/>
        <w:ind w:right="20" w:firstLine="243"/>
        <w:spacing w:after="0" w:line="260" w:lineRule="auto"/>
        <w:rPr>
          <w:sz w:val="20"/>
          <w:szCs w:val="20"/>
          <w:color w:val="auto"/>
        </w:rPr>
      </w:pPr>
      <w:r>
        <w:rPr>
          <w:rFonts w:ascii="Arial" w:cs="Arial" w:eastAsia="Arial" w:hAnsi="Arial"/>
          <w:sz w:val="16"/>
          <w:szCs w:val="16"/>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policy is to recognize interest and penalties related to income tax matters in income tax expense.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Comprehensive income (loss) of the Company includes net income (loss) adjusted for the change in net unrealized gain or loss on marketable securities, net of any tax effect.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for the years ended December 31, 2011, 2010, and 2009 have been included in the Statements of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229" w:lineRule="exact"/>
        <w:rPr>
          <w:sz w:val="20"/>
          <w:szCs w:val="20"/>
          <w:color w:val="auto"/>
        </w:rPr>
      </w:pPr>
    </w:p>
    <w:p>
      <w:pPr>
        <w:jc w:val="both"/>
        <w:ind w:right="20" w:firstLine="267"/>
        <w:spacing w:after="0" w:line="274"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of cash, cash equivalents, marketable securities (see Note 6), and accounts receivable.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 Share Data</w:t>
      </w:r>
    </w:p>
    <w:p>
      <w:pPr>
        <w:spacing w:after="0" w:line="229" w:lineRule="exact"/>
        <w:rPr>
          <w:sz w:val="20"/>
          <w:szCs w:val="20"/>
          <w:color w:val="auto"/>
        </w:rPr>
      </w:pPr>
    </w:p>
    <w:p>
      <w:pPr>
        <w:jc w:val="both"/>
        <w:ind w:right="20" w:firstLine="267"/>
        <w:spacing w:after="0" w:line="299" w:lineRule="auto"/>
        <w:rPr>
          <w:sz w:val="20"/>
          <w:szCs w:val="20"/>
          <w:color w:val="auto"/>
        </w:rPr>
      </w:pPr>
      <w:r>
        <w:rPr>
          <w:rFonts w:ascii="Arial" w:cs="Arial" w:eastAsia="Arial" w:hAnsi="Arial"/>
          <w:sz w:val="14"/>
          <w:szCs w:val="14"/>
          <w:color w:val="auto"/>
        </w:rPr>
        <w:t>Net income (loss) per share, basic and diluted, is computed on the basis of the net income (loss) for the period divided by the weighted average number of shares of Common Stock and Class A Stock outstanding during the period. Basic net income (loss) per share excludes restricted stock awards until vested. Diluted net income per share is based upon the weighted average number of shares of Common Stock and Class A Stock outstanding, and of common stock equivalents outstanding when dilutive. Common stock equivalents include: (i) outstanding stock options and restricted stock awards under the Company’s Long-Term Incentive Plans, which are included under the “treasury stock method” when dilutive, (ii) Common Stock to be issued upon the assumed conversion of the Company’s convertible senior notes, which are included under the “if-converted method” when dilutive, and (iii) Common Stock to be issued upon the exercise of outstanding warrants, which are included under the “treasury stock method” when dilutive. The computation of diluted net loss per share for the years ended December 31, 2011, 2010, and 2009 does not include common stock equivalents, since such inclusion would be antidilutive.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229" w:lineRule="exact"/>
        <w:rPr>
          <w:sz w:val="20"/>
          <w:szCs w:val="20"/>
          <w:color w:val="auto"/>
        </w:rPr>
      </w:pPr>
    </w:p>
    <w:p>
      <w:pPr>
        <w:jc w:val="both"/>
        <w:ind w:right="20" w:firstLine="279"/>
        <w:spacing w:after="0" w:line="275" w:lineRule="auto"/>
        <w:rPr>
          <w:sz w:val="20"/>
          <w:szCs w:val="20"/>
          <w:color w:val="auto"/>
        </w:rPr>
      </w:pPr>
      <w:r>
        <w:rPr>
          <w:rFonts w:ascii="Arial" w:cs="Arial" w:eastAsia="Arial" w:hAnsi="Arial"/>
          <w:sz w:val="15"/>
          <w:szCs w:val="15"/>
          <w:color w:val="auto"/>
        </w:rPr>
        <w:t>Developing and commercializing new medicines entails significant risk and expense. Before revenues from the commercialization of the Company’s current or future product candidates can be realized, the Company (or its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the Company’s products and technologies uncompetitive or obsolete. The Company may be subject to legal claims by third parties seeking to enforce patents to limit or prohibit the Company from marketing or selling its products. The Company is also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191" w:lineRule="exact"/>
        <w:rPr>
          <w:sz w:val="20"/>
          <w:szCs w:val="20"/>
          <w:color w:val="auto"/>
        </w:rPr>
      </w:pPr>
    </w:p>
    <w:p>
      <w:pPr>
        <w:jc w:val="both"/>
        <w:ind w:firstLine="315"/>
        <w:spacing w:after="0" w:line="228" w:lineRule="auto"/>
        <w:rPr>
          <w:sz w:val="20"/>
          <w:szCs w:val="20"/>
          <w:color w:val="auto"/>
        </w:rPr>
      </w:pPr>
      <w:r>
        <w:rPr>
          <w:rFonts w:ascii="Arial" w:cs="Arial" w:eastAsia="Arial" w:hAnsi="Arial"/>
          <w:sz w:val="16"/>
          <w:szCs w:val="16"/>
          <w:color w:val="auto"/>
        </w:rPr>
        <w:t>The Company has generally incurred net losses and negative cash flows from operations since its inception. The Company received regulatory approval from the FDA for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treatment of CAPS in February 2008 and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in November 2011; however, the Company has not generated significant sales or profits to date from these two drug products. Revenues to date have principally been limited to (i) up-front, license, milestone, and reimbursement payments from the Company’s collaborators and other entities related to the Company’s development activities and technology platforms, (ii)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sales, (iii) payments for past contract manufacturing activities, and (iv) investment income. Collaboration revenue in 2011 was earned from Sanofi and Bayer HealthCare under collaboration agreements (see Note 3 for the terms of these agreements). These collaboration agreements contain early termination provisions that are exercisable by Sanofi or Bayer HealthCare, as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29" w:lineRule="exact"/>
        <w:rPr>
          <w:sz w:val="20"/>
          <w:szCs w:val="20"/>
          <w:color w:val="auto"/>
        </w:rPr>
      </w:pPr>
    </w:p>
    <w:p>
      <w:pPr>
        <w:jc w:val="both"/>
        <w:ind w:right="20" w:firstLine="303"/>
        <w:spacing w:after="0" w:line="26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Product rebates, chargebacks, and returns in connection with the recognition of product sales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-74930</wp:posOffset>
            </wp:positionV>
            <wp:extent cx="56515" cy="56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2" w:lineRule="exact"/>
        <w:rPr>
          <w:sz w:val="20"/>
          <w:szCs w:val="20"/>
          <w:color w:val="auto"/>
        </w:rPr>
      </w:pPr>
    </w:p>
    <w:p>
      <w:pPr>
        <w:jc w:val="both"/>
        <w:ind w:left="480" w:right="20"/>
        <w:spacing w:after="0" w:line="252" w:lineRule="auto"/>
        <w:rPr>
          <w:sz w:val="20"/>
          <w:szCs w:val="20"/>
          <w:color w:val="auto"/>
        </w:rPr>
      </w:pPr>
      <w:r>
        <w:rPr>
          <w:rFonts w:ascii="Arial" w:cs="Arial" w:eastAsia="Arial" w:hAnsi="Arial"/>
          <w:sz w:val="16"/>
          <w:szCs w:val="16"/>
          <w:color w:val="auto"/>
        </w:rPr>
        <w:t>Periods over which payments, including non-refundable up-front, license, and milestone payments, are recognized as revenue in connection with collaboration and other agreements to develop and commercialize product candidates and utilize the Company’s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53" w:lineRule="auto"/>
        <w:rPr>
          <w:sz w:val="20"/>
          <w:szCs w:val="20"/>
          <w:color w:val="auto"/>
        </w:rPr>
      </w:pPr>
      <w:r>
        <w:rPr>
          <w:rFonts w:ascii="Arial" w:cs="Arial" w:eastAsia="Arial" w:hAnsi="Arial"/>
          <w:sz w:val="16"/>
          <w:szCs w:val="16"/>
          <w:color w:val="auto"/>
        </w:rPr>
        <w:t>Periods over which certain clinical trial costs, including costs for clinical activities performed by contract research organizations, are recognized as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-210820</wp:posOffset>
            </wp:positionV>
            <wp:extent cx="56515" cy="56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35" w:lineRule="auto"/>
        <w:rPr>
          <w:sz w:val="20"/>
          <w:szCs w:val="20"/>
          <w:color w:val="auto"/>
        </w:rPr>
      </w:pPr>
      <w:r>
        <w:rPr>
          <w:rFonts w:ascii="Arial" w:cs="Arial" w:eastAsia="Arial" w:hAnsi="Arial"/>
          <w:sz w:val="16"/>
          <w:szCs w:val="16"/>
          <w:color w:val="auto"/>
        </w:rPr>
        <w:t>In connection with the recognition of expense, using a blended royalty rate, related to the Company’s non-exclusive license with Genentech, Inc. the Company’s estimate of cumulative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sales through May 7, 2016 (see Note 12b).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-235585</wp:posOffset>
            </wp:positionV>
            <wp:extent cx="56515" cy="56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spacing w:after="0" w:line="346" w:lineRule="auto"/>
        <w:rPr>
          <w:sz w:val="20"/>
          <w:szCs w:val="20"/>
          <w:color w:val="auto"/>
        </w:rPr>
      </w:pPr>
      <w:r>
        <w:rPr>
          <w:rFonts w:ascii="Arial" w:cs="Arial" w:eastAsia="Arial" w:hAnsi="Arial"/>
          <w:sz w:val="11"/>
          <w:szCs w:val="11"/>
          <w:color w:val="auto"/>
        </w:rPr>
        <w:t>In connection with stock option awards, (i) the fair value of stock options on their date of grant using the Black-Scholes option-pricing model, based on assumptions with respect to (a) expected volatility of the Company’s Common Stock price, (b) the periods of time for which employees and members of the Company’s board of directors are expected to hold their options prior to exercise (expected lives), (c) expected dividend yield on the Company’s Common Stock, and (d) risk-free interest rates, which are based on quoted U.S. Treasury rates for securities with maturities approximating the options’ expected lives; (ii) the number of stock option awards that are expected to be forfeited; and (iii) with respect to performance-based stock option awards, if and when the options’ performance conditions are considered to be probable of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-452755</wp:posOffset>
            </wp:positionV>
            <wp:extent cx="56515" cy="56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The Company’s determination of whether marketable securities are other-than-temporarily impaired. The Company conducts a review of its portfolio of marketable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-69850</wp:posOffset>
            </wp:positionV>
            <wp:extent cx="56515" cy="56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securities, using both quantitative and qualitative factors, to determine, for securities whose current fair value is less than their cost, whether the decline in fair value below</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cost is other-than-temporary. In making this determination, the Company considers factors such as the length of time and the extent to which fair value has been less than</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cost, financial condition and near-term prospects of the issuer, recommendations of investment advisors, and forecasts of economic, market, or industry trends. This review</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process also includes an evaluation of the Company’s ability and intent to hold individual securities until they mature or their full value can be recovered. This review is</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subjective and requires a high degree of judgment.</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jc w:val="both"/>
        <w:ind w:left="480" w:right="20"/>
        <w:spacing w:after="0" w:line="253" w:lineRule="auto"/>
        <w:rPr>
          <w:sz w:val="20"/>
          <w:szCs w:val="20"/>
          <w:color w:val="auto"/>
        </w:rPr>
      </w:pPr>
      <w:r>
        <w:rPr>
          <w:rFonts w:ascii="Arial" w:cs="Arial" w:eastAsia="Arial" w:hAnsi="Arial"/>
          <w:sz w:val="16"/>
          <w:szCs w:val="16"/>
          <w:color w:val="auto"/>
        </w:rPr>
        <w:t>Inventory that may expire prior to expected sale or has a cost basis in excess of its estimated realizable value, which is written-down, as appropriate. In addition, capitalization of inventory costs associated with the Company’s products prior to regulatory approval when, based on management’s judgment, future commercialization is considered probable and the future economic benefit is expected to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-333375</wp:posOffset>
            </wp:positionV>
            <wp:extent cx="56515" cy="56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The extent to which deferred tax assets and liabilities are offset by a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-81280</wp:posOffset>
            </wp:positionV>
            <wp:extent cx="56515" cy="56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55"/>
        <w:spacing w:after="0"/>
        <w:rPr>
          <w:sz w:val="20"/>
          <w:szCs w:val="20"/>
          <w:color w:val="auto"/>
        </w:rPr>
      </w:pPr>
      <w:r>
        <w:rPr>
          <w:rFonts w:ascii="Arial" w:cs="Arial" w:eastAsia="Arial" w:hAnsi="Arial"/>
          <w:sz w:val="14"/>
          <w:szCs w:val="14"/>
          <w:color w:val="auto"/>
        </w:rPr>
        <w:t>In addition, the Company’s share of EYLEA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development expenses incurred by Bayer HealthCare, including the Company’s share of Bayer HealthCare’s estimated EYLEA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development expenses for the most recent fiscal quarter, are included in research and development expenses. The Bayer HealthCare estimate for the most recent fiscal quarter is adjusted in the subsequent quarter to reflect actual expenses for the quarter. Also, the Company’s share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pre-launch commercialization expenses incurred by Sanofi, including the Company’s share of Sanofi’s estimated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pre-launch commercialization expenses for the most recent fiscal quarter, are included as a reduction of Sanofi collaboration revenue. The Sanofi estimate for the most recent fiscal quarter is adjusted in the subsequent quarter to reflect actual expenses for the quarter.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Recently Issued Accounting Standards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Multiple-deliverable revenue arrangements</w:t>
      </w:r>
    </w:p>
    <w:p>
      <w:pPr>
        <w:spacing w:after="0" w:line="233" w:lineRule="exact"/>
        <w:rPr>
          <w:sz w:val="20"/>
          <w:szCs w:val="20"/>
          <w:color w:val="auto"/>
        </w:rPr>
      </w:pPr>
    </w:p>
    <w:p>
      <w:pPr>
        <w:jc w:val="both"/>
        <w:ind w:right="20" w:firstLine="352"/>
        <w:spacing w:after="0" w:line="304" w:lineRule="auto"/>
        <w:rPr>
          <w:sz w:val="20"/>
          <w:szCs w:val="20"/>
          <w:color w:val="auto"/>
        </w:rPr>
      </w:pPr>
      <w:r>
        <w:rPr>
          <w:rFonts w:ascii="Arial" w:cs="Arial" w:eastAsia="Arial" w:hAnsi="Arial"/>
          <w:sz w:val="14"/>
          <w:szCs w:val="14"/>
          <w:color w:val="auto"/>
        </w:rPr>
        <w:t>During the first quarter of 2011 the Company adopted amended authoritative guidance issued by the FASB on multiple-deliverable revenue arrangements. The amended guidance provides greater ability to separate and allocate consideration to be received in a multiple-deliverable revenue arrangement by requiring the use of estimated selling prices to allocate the consideration, thereby eliminating the use of the residual method of allocation. The amended guidance also requires expanded qualitative and quantitative disclosures surrounding multiple-deliverable revenue arrangements. The Company is applying this amended guidance prospectively for new or materially modified arrangements, of which there were none during the year ended December 31, 2011; therefore, the adoption of this guidance did not have an impact on the Company’s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Milestone method of revenue recognition</w:t>
      </w:r>
    </w:p>
    <w:p>
      <w:pPr>
        <w:spacing w:after="0" w:line="233" w:lineRule="exact"/>
        <w:rPr>
          <w:sz w:val="20"/>
          <w:szCs w:val="20"/>
          <w:color w:val="auto"/>
        </w:rPr>
      </w:pPr>
    </w:p>
    <w:p>
      <w:pPr>
        <w:jc w:val="both"/>
        <w:ind w:right="20" w:firstLine="328"/>
        <w:spacing w:after="0" w:line="258" w:lineRule="auto"/>
        <w:rPr>
          <w:sz w:val="20"/>
          <w:szCs w:val="20"/>
          <w:color w:val="auto"/>
        </w:rPr>
      </w:pPr>
      <w:r>
        <w:rPr>
          <w:rFonts w:ascii="Arial" w:cs="Arial" w:eastAsia="Arial" w:hAnsi="Arial"/>
          <w:sz w:val="16"/>
          <w:szCs w:val="16"/>
          <w:color w:val="auto"/>
        </w:rPr>
        <w:t>During the first quarter of 2011, the Company adopted amended authoritative guidance issued by the FASB codifying the milestone method of revenue recognition as an acceptable revenue recognition model when a milestone is deemed to be substantive. The Company earns substantive performance milestone payments in connection with its collaboration agreements to develop and commercialize product candidates with Sanofi and Bayer HealthCare. Descriptions of these collaboration agreements, including various financial terms and conditions, are provided in Note 3. Since the Company has historically accounted for milestones under the milestone method, the adoption of this guidance did not have a material impact on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paid to the federal government by pharmaceutical manufacturers</w:t>
      </w:r>
    </w:p>
    <w:p>
      <w:pPr>
        <w:spacing w:after="0" w:line="233" w:lineRule="exact"/>
        <w:rPr>
          <w:sz w:val="20"/>
          <w:szCs w:val="20"/>
          <w:color w:val="auto"/>
        </w:rPr>
      </w:pPr>
    </w:p>
    <w:p>
      <w:pPr>
        <w:jc w:val="both"/>
        <w:ind w:firstLine="340"/>
        <w:spacing w:after="0" w:line="221" w:lineRule="auto"/>
        <w:rPr>
          <w:sz w:val="20"/>
          <w:szCs w:val="20"/>
          <w:color w:val="auto"/>
        </w:rPr>
      </w:pPr>
      <w:r>
        <w:rPr>
          <w:rFonts w:ascii="Arial" w:cs="Arial" w:eastAsia="Arial" w:hAnsi="Arial"/>
          <w:sz w:val="16"/>
          <w:szCs w:val="16"/>
          <w:color w:val="auto"/>
        </w:rPr>
        <w:t>In December 2010, the FASB provided authoritative guidance on how pharmaceutical manufacturers should recognize and classify in their income statement annual fees mandated by the Patient Protection and Affordable Care Act as amended by the Health Care and Education Reconciliation Act. This guidance became effective for calendar years beginning after December 31, 2010. The adoption of this guidance did not have an impact on the Company’s financial statements for the year ended December 31, 2011, since (i)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CAPS, has been approved as an orphan drug and orphan drugs are not subject to this annual fee and (ii) since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received regulatory approval from the FDA, and was launched, in November 2011.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Presentation of comprehensive income</w:t>
      </w:r>
    </w:p>
    <w:p>
      <w:pPr>
        <w:spacing w:after="0" w:line="233" w:lineRule="exact"/>
        <w:rPr>
          <w:sz w:val="20"/>
          <w:szCs w:val="20"/>
          <w:color w:val="auto"/>
        </w:rPr>
      </w:pPr>
    </w:p>
    <w:p>
      <w:pPr>
        <w:jc w:val="both"/>
        <w:ind w:firstLine="279"/>
        <w:spacing w:after="0" w:line="301" w:lineRule="auto"/>
        <w:rPr>
          <w:sz w:val="20"/>
          <w:szCs w:val="20"/>
          <w:color w:val="auto"/>
        </w:rPr>
      </w:pPr>
      <w:r>
        <w:rPr>
          <w:rFonts w:ascii="Arial" w:cs="Arial" w:eastAsia="Arial" w:hAnsi="Arial"/>
          <w:sz w:val="14"/>
          <w:szCs w:val="14"/>
          <w:color w:val="auto"/>
        </w:rPr>
        <w:t>In June 2011, the FASB amended its authoritative guidance on the presentation of comprehensive income. Under the amendment, an entity will have the option to present the total of comprehensive income, the components of net income, and the components of other comprehensive income either in a single continuous statement of comprehensive income or in two separate but consecutive statements. This amendment, therefore, eliminates the currently available option to present the components of other comprehensive income as part of the statement of changes in stockholders' equity. The amendment does not change the items that must be reported in other comprehensive income or when an item of other comprehensive income must be reclassified to net income. The Company will adopt this amended guidance for the fiscal year beginning January 1, 2012. As this guidance relates to presentation only, the adoption of this guidance will not have any other effect on the Company's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8" w:name="page99"/>
    <w:bookmarkEnd w:id="98"/>
    <w:p>
      <w:pPr>
        <w:spacing w:after="0" w:line="225" w:lineRule="auto"/>
        <w:framePr w:w="1800" w:h="108" w:wrap="auto" w:vAnchor="page" w:hAnchor="page" w:x="7520" w:y="8905"/>
        <w:rPr>
          <w:rFonts w:ascii="Arial" w:cs="Arial" w:eastAsia="Arial" w:hAnsi="Arial"/>
          <w:sz w:val="10"/>
          <w:szCs w:val="10"/>
          <w:color w:val="auto"/>
        </w:rPr>
      </w:pPr>
      <w:r>
        <w:rPr>
          <w:rFonts w:ascii="Arial" w:cs="Arial" w:eastAsia="Arial" w:hAnsi="Arial"/>
          <w:sz w:val="10"/>
          <w:szCs w:val="10"/>
          <w:color w:val="auto"/>
        </w:rPr>
        <w:t>sale under the collaboration occurs.</w:t>
      </w: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rFonts w:ascii="Arial" w:cs="Arial" w:eastAsia="Arial" w:hAnsi="Arial"/>
          <w:sz w:val="10"/>
          <w:szCs w:val="1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8"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229" w:lineRule="exact"/>
        <w:rPr>
          <w:rFonts w:ascii="Arial" w:cs="Arial" w:eastAsia="Arial" w:hAnsi="Arial"/>
          <w:sz w:val="10"/>
          <w:szCs w:val="10"/>
          <w:color w:val="auto"/>
        </w:rPr>
      </w:pPr>
    </w:p>
    <w:p>
      <w:pPr>
        <w:ind w:left="240"/>
        <w:spacing w:after="0"/>
        <w:rPr>
          <w:sz w:val="20"/>
          <w:szCs w:val="20"/>
          <w:color w:val="auto"/>
        </w:rPr>
      </w:pPr>
      <w:r>
        <w:rPr>
          <w:rFonts w:ascii="Arial" w:cs="Arial" w:eastAsia="Arial" w:hAnsi="Arial"/>
          <w:sz w:val="16"/>
          <w:szCs w:val="16"/>
          <w:color w:val="auto"/>
        </w:rPr>
        <w:t>Certain reclassifications have been made to prior period amounts to conform with the current period’s presentation.</w:t>
      </w:r>
    </w:p>
    <w:p>
      <w:pPr>
        <w:spacing w:after="0" w:line="200"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6"/>
          <w:szCs w:val="16"/>
          <w:b w:val="1"/>
          <w:bCs w:val="1"/>
          <w:color w:val="auto"/>
        </w:rPr>
        <w:t>3. Collaboration and Contract Research Agreements</w:t>
      </w:r>
    </w:p>
    <w:p>
      <w:pPr>
        <w:spacing w:after="0" w:line="233" w:lineRule="exact"/>
        <w:rPr>
          <w:rFonts w:ascii="Arial" w:cs="Arial" w:eastAsia="Arial" w:hAnsi="Arial"/>
          <w:sz w:val="10"/>
          <w:szCs w:val="10"/>
          <w:color w:val="auto"/>
        </w:rPr>
      </w:pPr>
    </w:p>
    <w:p>
      <w:pPr>
        <w:jc w:val="both"/>
        <w:ind w:right="20" w:firstLine="303"/>
        <w:spacing w:after="0" w:line="274" w:lineRule="auto"/>
        <w:rPr>
          <w:sz w:val="20"/>
          <w:szCs w:val="20"/>
          <w:color w:val="auto"/>
        </w:rPr>
      </w:pPr>
      <w:r>
        <w:rPr>
          <w:rFonts w:ascii="Arial" w:cs="Arial" w:eastAsia="Arial" w:hAnsi="Arial"/>
          <w:sz w:val="16"/>
          <w:szCs w:val="16"/>
          <w:color w:val="auto"/>
        </w:rPr>
        <w:t>The Company has entered into various agreements related to its activities to develop and commercialize product candidates and utilize its technology platforms. Significant agreements of this kind are described below.</w:t>
      </w:r>
    </w:p>
    <w:p>
      <w:pPr>
        <w:spacing w:after="0" w:line="163"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6"/>
          <w:szCs w:val="16"/>
          <w:b w:val="1"/>
          <w:bCs w:val="1"/>
          <w:i w:val="1"/>
          <w:iCs w:val="1"/>
          <w:color w:val="auto"/>
        </w:rPr>
        <w:t>a. Sanofi</w:t>
      </w:r>
    </w:p>
    <w:p>
      <w:pPr>
        <w:spacing w:after="0" w:line="208" w:lineRule="exact"/>
        <w:rPr>
          <w:rFonts w:ascii="Arial" w:cs="Arial" w:eastAsia="Arial" w:hAnsi="Arial"/>
          <w:sz w:val="10"/>
          <w:szCs w:val="10"/>
          <w:color w:val="auto"/>
        </w:rPr>
      </w:pPr>
    </w:p>
    <w:p>
      <w:pPr>
        <w:jc w:val="both"/>
        <w:ind w:right="20" w:firstLine="267"/>
        <w:spacing w:after="0" w:line="236" w:lineRule="auto"/>
        <w:rPr>
          <w:sz w:val="20"/>
          <w:szCs w:val="20"/>
          <w:color w:val="auto"/>
        </w:rPr>
      </w:pPr>
      <w:r>
        <w:rPr>
          <w:rFonts w:ascii="Arial" w:cs="Arial" w:eastAsia="Arial" w:hAnsi="Arial"/>
          <w:sz w:val="15"/>
          <w:szCs w:val="15"/>
          <w:color w:val="auto"/>
        </w:rPr>
        <w:t>As described in Note 13, Sanofi has purchased a total of 15,816,953 shares of the Company’s Common Stock, principally in connection with the companies’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antibody collaborations described below. Total Company-incurred expenses associated with these Sanofi collaborations, which include reimbursable and non-reimbursable amounts and an allocable portion of general and administrative costs, were $318.2 million in 2011, $282.4 million in 2010, and $209.4 million in 2009.</w:t>
      </w:r>
    </w:p>
    <w:p>
      <w:pPr>
        <w:spacing w:after="0" w:line="191" w:lineRule="exact"/>
        <w:rPr>
          <w:rFonts w:ascii="Arial" w:cs="Arial" w:eastAsia="Arial" w:hAnsi="Arial"/>
          <w:sz w:val="10"/>
          <w:szCs w:val="10"/>
          <w:color w:val="auto"/>
        </w:rPr>
      </w:pPr>
    </w:p>
    <w:p>
      <w:pPr>
        <w:ind w:left="240"/>
        <w:spacing w:after="0"/>
        <w:rPr>
          <w:sz w:val="20"/>
          <w:szCs w:val="20"/>
          <w:color w:val="auto"/>
        </w:rPr>
      </w:pPr>
      <w:r>
        <w:rPr>
          <w:rFonts w:ascii="Arial" w:cs="Arial" w:eastAsia="Arial" w:hAnsi="Arial"/>
          <w:sz w:val="16"/>
          <w:szCs w:val="16"/>
          <w:i w:val="1"/>
          <w:iCs w:val="1"/>
          <w:color w:val="auto"/>
        </w:rPr>
        <w:t>ZALTRAP</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(aflibercept)</w:t>
      </w:r>
    </w:p>
    <w:p>
      <w:pPr>
        <w:spacing w:after="0" w:line="126" w:lineRule="exact"/>
        <w:rPr>
          <w:rFonts w:ascii="Arial" w:cs="Arial" w:eastAsia="Arial" w:hAnsi="Arial"/>
          <w:sz w:val="10"/>
          <w:szCs w:val="10"/>
          <w:color w:val="auto"/>
        </w:rPr>
      </w:pPr>
    </w:p>
    <w:p>
      <w:pPr>
        <w:jc w:val="both"/>
        <w:ind w:firstLine="303"/>
        <w:spacing w:after="0" w:line="202" w:lineRule="auto"/>
        <w:rPr>
          <w:sz w:val="20"/>
          <w:szCs w:val="20"/>
          <w:color w:val="auto"/>
        </w:rPr>
      </w:pPr>
      <w:r>
        <w:rPr>
          <w:rFonts w:ascii="Arial" w:cs="Arial" w:eastAsia="Arial" w:hAnsi="Arial"/>
          <w:sz w:val="16"/>
          <w:szCs w:val="16"/>
          <w:color w:val="auto"/>
        </w:rPr>
        <w:t>In September 2003, the Company entered into a collaboration agreement (the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Agreement”) with Aventis Pharmaceuticals Inc. (predecessor to Sanofi U.S.), to jointly develop and commercialize ZALTRAP</w:t>
      </w:r>
      <w:r>
        <w:rPr>
          <w:rFonts w:ascii="Arial" w:cs="Arial" w:eastAsia="Arial" w:hAnsi="Arial"/>
          <w:sz w:val="22"/>
          <w:szCs w:val="22"/>
          <w:color w:val="auto"/>
          <w:vertAlign w:val="superscript"/>
        </w:rPr>
        <w:t>®</w:t>
      </w:r>
      <w:r>
        <w:rPr>
          <w:rFonts w:ascii="Arial" w:cs="Arial" w:eastAsia="Arial" w:hAnsi="Arial"/>
          <w:sz w:val="16"/>
          <w:szCs w:val="16"/>
          <w:color w:val="auto"/>
        </w:rPr>
        <w:t>. In connection with this agreement, Sanofi made a non-refundable up-front payment of $80.0 million and purchased 2,799,552 newly issued unregistered shares of the Company’s Common Stock for $45.0 million.</w:t>
      </w:r>
    </w:p>
    <w:p>
      <w:pPr>
        <w:spacing w:after="0" w:line="215" w:lineRule="exact"/>
        <w:rPr>
          <w:rFonts w:ascii="Arial" w:cs="Arial" w:eastAsia="Arial" w:hAnsi="Arial"/>
          <w:sz w:val="10"/>
          <w:szCs w:val="10"/>
          <w:color w:val="auto"/>
        </w:rPr>
      </w:pPr>
    </w:p>
    <w:p>
      <w:pPr>
        <w:jc w:val="both"/>
        <w:ind w:firstLine="303"/>
        <w:spacing w:after="0" w:line="227" w:lineRule="auto"/>
        <w:rPr>
          <w:sz w:val="20"/>
          <w:szCs w:val="20"/>
          <w:color w:val="auto"/>
        </w:rPr>
      </w:pPr>
      <w:r>
        <w:rPr>
          <w:rFonts w:ascii="Arial" w:cs="Arial" w:eastAsia="Arial" w:hAnsi="Arial"/>
          <w:sz w:val="16"/>
          <w:szCs w:val="16"/>
          <w:color w:val="auto"/>
        </w:rPr>
        <w:t>In January 2005, the Company and Sanofi amended the ZALTRAP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Agreement to exclude intraocular delivery of aflibercept to the eye (“Intraocular Delivery”) from joint development under the agreement, and product rights to aflibercept in Intraocular Delivery reverted to Regeneron. In connection with this amendment, Sanofi made a $25.0 million non-refundable payment to Regeneron (the “Intraocular Termination Payment”).</w:t>
      </w:r>
    </w:p>
    <w:p>
      <w:pPr>
        <w:spacing w:after="0" w:line="214" w:lineRule="exact"/>
        <w:rPr>
          <w:rFonts w:ascii="Arial" w:cs="Arial" w:eastAsia="Arial" w:hAnsi="Arial"/>
          <w:sz w:val="10"/>
          <w:szCs w:val="10"/>
          <w:color w:val="auto"/>
        </w:rPr>
      </w:pPr>
    </w:p>
    <w:p>
      <w:pPr>
        <w:jc w:val="both"/>
        <w:ind w:right="20" w:firstLine="315"/>
        <w:spacing w:after="0" w:line="220" w:lineRule="auto"/>
        <w:rPr>
          <w:sz w:val="20"/>
          <w:szCs w:val="20"/>
          <w:color w:val="auto"/>
        </w:rPr>
      </w:pPr>
      <w:r>
        <w:rPr>
          <w:rFonts w:ascii="Arial" w:cs="Arial" w:eastAsia="Arial" w:hAnsi="Arial"/>
          <w:sz w:val="14"/>
          <w:szCs w:val="14"/>
          <w:color w:val="auto"/>
        </w:rPr>
        <w:t>In December 2005, the Company and Sanofi amended the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Agreement to expand the territory in which the companies are collaborating on the development of ZALTRAP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to include Japan. In connection with this amendment, Sanofi agreed to make a $25.0 million non-refundable up-front payment to the Company, which was received in</w:t>
      </w:r>
    </w:p>
    <w:p>
      <w:pPr>
        <w:spacing w:after="0" w:line="1" w:lineRule="exact"/>
        <w:rPr>
          <w:rFonts w:ascii="Arial" w:cs="Arial" w:eastAsia="Arial" w:hAnsi="Arial"/>
          <w:sz w:val="10"/>
          <w:szCs w:val="10"/>
          <w:color w:val="auto"/>
        </w:rPr>
      </w:pPr>
    </w:p>
    <w:p>
      <w:pPr>
        <w:jc w:val="both"/>
        <w:ind w:right="20"/>
        <w:spacing w:after="0" w:line="220" w:lineRule="auto"/>
        <w:rPr>
          <w:sz w:val="20"/>
          <w:szCs w:val="20"/>
          <w:color w:val="auto"/>
        </w:rPr>
      </w:pPr>
      <w:r>
        <w:rPr>
          <w:rFonts w:ascii="Arial" w:cs="Arial" w:eastAsia="Arial" w:hAnsi="Arial"/>
          <w:sz w:val="15"/>
          <w:szCs w:val="15"/>
          <w:color w:val="auto"/>
        </w:rPr>
        <w:t>January 2006. Under the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Agreement, as amended, the Company and Sanofi will share co-promotion rights and profits on sales, if any, of ZALTRAP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outside of Japan, for disease indications included in the companies’ collaboration. The Company is entitled to a royalty of approximately 35% on annual sales of ZALTRAP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in Japan, subject to certain potential adjustments. The Company may also receive up to $400 million in substantive milestone payments upon receipt of specified marketing approvals, including up to $360 million in milestone payments related to the receipt of marketing approvals for up to eight ZALTRAP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oncology and other indications in the United States or the European Union and up to $40 million related to the receipt of marketing approvals for up to five ZALTRAP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oncology indications in Japan.</w:t>
      </w:r>
    </w:p>
    <w:p>
      <w:pPr>
        <w:spacing w:after="0" w:line="100" w:lineRule="exact"/>
        <w:rPr>
          <w:rFonts w:ascii="Arial" w:cs="Arial" w:eastAsia="Arial" w:hAnsi="Arial"/>
          <w:sz w:val="10"/>
          <w:szCs w:val="10"/>
          <w:color w:val="auto"/>
        </w:rPr>
      </w:pPr>
    </w:p>
    <w:p>
      <w:pPr>
        <w:ind w:left="240"/>
        <w:spacing w:after="0"/>
        <w:rPr>
          <w:sz w:val="20"/>
          <w:szCs w:val="20"/>
          <w:color w:val="auto"/>
        </w:rPr>
      </w:pPr>
      <w:r>
        <w:rPr>
          <w:rFonts w:ascii="Arial" w:cs="Arial" w:eastAsia="Arial" w:hAnsi="Arial"/>
          <w:sz w:val="11"/>
          <w:szCs w:val="11"/>
          <w:color w:val="auto"/>
        </w:rPr>
        <w:t>Under the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Agreement, as amended, agreed upon worldwide development expenses incurred by both companies during the term of the agreement will be funded by Sanofi. If the collaboration becomes profitable,</w:t>
      </w:r>
    </w:p>
    <w:p>
      <w:pPr>
        <w:jc w:val="both"/>
        <w:spacing w:after="0" w:line="272" w:lineRule="auto"/>
        <w:rPr>
          <w:sz w:val="20"/>
          <w:szCs w:val="20"/>
          <w:color w:val="auto"/>
        </w:rPr>
      </w:pPr>
      <w:r>
        <w:rPr>
          <w:rFonts w:ascii="Arial" w:cs="Arial" w:eastAsia="Arial" w:hAnsi="Arial"/>
          <w:sz w:val="10"/>
          <w:szCs w:val="10"/>
          <w:color w:val="auto"/>
        </w:rPr>
        <w:t>Regeneron will be obligated to reimburse Sanofi for 50% of these development expenses, or half of $763.4 million as of December 31, 2011, in accordance with a formula based on the amount of development expenses and Regeneron’s share of the collaboration profits and Japan royalties, or at a faster rate at Regeneron’s option. Regeneron has the option to conduct additional pre-Phase III studies at its own expense. In connection with the January 2005 amendment to</w:t>
      </w:r>
    </w:p>
    <w:p>
      <w:pPr>
        <w:spacing w:after="0" w:line="194" w:lineRule="auto"/>
        <w:rPr>
          <w:sz w:val="20"/>
          <w:szCs w:val="20"/>
          <w:color w:val="auto"/>
        </w:rPr>
      </w:pPr>
      <w:r>
        <w:rPr>
          <w:rFonts w:ascii="Arial" w:cs="Arial" w:eastAsia="Arial" w:hAnsi="Arial"/>
          <w:sz w:val="11"/>
          <w:szCs w:val="11"/>
          <w:color w:val="auto"/>
        </w:rPr>
        <w:t>the ZALTRAP</w:t>
      </w:r>
      <w:r>
        <w:rPr>
          <w:rFonts w:ascii="Arial" w:cs="Arial" w:eastAsia="Arial" w:hAnsi="Arial"/>
          <w:sz w:val="18"/>
          <w:szCs w:val="18"/>
          <w:color w:val="auto"/>
          <w:vertAlign w:val="superscript"/>
        </w:rPr>
        <w:t>®</w:t>
      </w:r>
      <w:r>
        <w:rPr>
          <w:rFonts w:ascii="Arial" w:cs="Arial" w:eastAsia="Arial" w:hAnsi="Arial"/>
          <w:sz w:val="11"/>
          <w:szCs w:val="11"/>
          <w:color w:val="auto"/>
        </w:rPr>
        <w:t xml:space="preserve"> Agreement, the Intraocular Termination Payment of $25.0 million will also be subject to 50% reimbursement by Regeneron to Sanofi if the collaboration becomes profitable. In addition, if the first commercial sale of</w:t>
      </w:r>
    </w:p>
    <w:p>
      <w:pPr>
        <w:ind w:right="20"/>
        <w:spacing w:after="0" w:line="182" w:lineRule="auto"/>
        <w:rPr>
          <w:sz w:val="20"/>
          <w:szCs w:val="20"/>
          <w:color w:val="auto"/>
        </w:rPr>
      </w:pPr>
      <w:r>
        <w:rPr>
          <w:rFonts w:ascii="Arial" w:cs="Arial" w:eastAsia="Arial" w:hAnsi="Arial"/>
          <w:sz w:val="9"/>
          <w:szCs w:val="9"/>
          <w:color w:val="auto"/>
        </w:rPr>
        <w:t>an aflibercept product in Intraocular Delivery predates the first commercial sale of a ZALTRAP</w:t>
      </w:r>
      <w:r>
        <w:rPr>
          <w:rFonts w:ascii="Arial" w:cs="Arial" w:eastAsia="Arial" w:hAnsi="Arial"/>
          <w:sz w:val="16"/>
          <w:szCs w:val="16"/>
          <w:color w:val="auto"/>
          <w:vertAlign w:val="superscript"/>
        </w:rPr>
        <w:t>®</w:t>
      </w:r>
      <w:r>
        <w:rPr>
          <w:rFonts w:ascii="Arial" w:cs="Arial" w:eastAsia="Arial" w:hAnsi="Arial"/>
          <w:sz w:val="9"/>
          <w:szCs w:val="9"/>
          <w:color w:val="auto"/>
        </w:rPr>
        <w:t xml:space="preserve"> </w:t>
      </w:r>
      <w:r>
        <w:rPr>
          <w:rFonts w:ascii="Arial" w:cs="Arial" w:eastAsia="Arial" w:hAnsi="Arial"/>
          <w:sz w:val="11"/>
          <w:szCs w:val="11"/>
          <w:color w:val="auto"/>
        </w:rPr>
        <w:t>product under the collaboration by two years, Regeneron will begin reimbursing Sanofi for up to $7.5</w:t>
      </w:r>
      <w:r>
        <w:rPr>
          <w:rFonts w:ascii="Arial" w:cs="Arial" w:eastAsia="Arial" w:hAnsi="Arial"/>
          <w:sz w:val="9"/>
          <w:szCs w:val="9"/>
          <w:color w:val="auto"/>
        </w:rPr>
        <w:t xml:space="preserve"> </w:t>
      </w:r>
      <w:r>
        <w:rPr>
          <w:rFonts w:ascii="Arial" w:cs="Arial" w:eastAsia="Arial" w:hAnsi="Arial"/>
          <w:sz w:val="11"/>
          <w:szCs w:val="11"/>
          <w:color w:val="auto"/>
        </w:rPr>
        <w:t>million of ZALTRAP</w:t>
      </w:r>
      <w:r>
        <w:rPr>
          <w:rFonts w:ascii="Arial" w:cs="Arial" w:eastAsia="Arial" w:hAnsi="Arial"/>
          <w:sz w:val="16"/>
          <w:szCs w:val="16"/>
          <w:color w:val="auto"/>
          <w:vertAlign w:val="superscript"/>
        </w:rPr>
        <w:t>®</w:t>
      </w:r>
      <w:r>
        <w:rPr>
          <w:rFonts w:ascii="Arial" w:cs="Arial" w:eastAsia="Arial" w:hAnsi="Arial"/>
          <w:sz w:val="11"/>
          <w:szCs w:val="11"/>
          <w:color w:val="auto"/>
        </w:rPr>
        <w:t xml:space="preserve"> development expenses in accordance with a formula until the first commercial ZALTRAP</w:t>
      </w:r>
      <w:r>
        <w:rPr>
          <w:rFonts w:ascii="Arial" w:cs="Arial" w:eastAsia="Arial" w:hAnsi="Arial"/>
          <w:sz w:val="16"/>
          <w:szCs w:val="16"/>
          <w:color w:val="auto"/>
          <w:vertAlign w:val="superscript"/>
        </w:rPr>
        <w:t>®</w:t>
      </w:r>
    </w:p>
    <w:p>
      <w:pPr>
        <w:spacing w:after="0" w:line="363"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315"/>
        <w:spacing w:after="0" w:line="305" w:lineRule="auto"/>
        <w:rPr>
          <w:sz w:val="20"/>
          <w:szCs w:val="20"/>
          <w:color w:val="auto"/>
        </w:rPr>
      </w:pPr>
      <w:r>
        <w:rPr>
          <w:rFonts w:ascii="Arial" w:cs="Arial" w:eastAsia="Arial" w:hAnsi="Arial"/>
          <w:sz w:val="15"/>
          <w:szCs w:val="15"/>
          <w:color w:val="auto"/>
        </w:rPr>
        <w:t>Sanofi has the right to terminate the agreement without cause with at least twelve months advance notice. Upon termination of the agreement for any reason, Regeneron’s obligation to reimburse Sanofi, for 50% of ZALTRAP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development expenses will terminate, and the Company will retain all rights to ZALTRAP</w:t>
      </w:r>
      <w:r>
        <w:rPr>
          <w:rFonts w:ascii="Arial" w:cs="Arial" w:eastAsia="Arial" w:hAnsi="Arial"/>
          <w:sz w:val="21"/>
          <w:szCs w:val="21"/>
          <w:color w:val="auto"/>
          <w:vertAlign w:val="superscript"/>
        </w:rPr>
        <w:t>®</w:t>
      </w:r>
      <w:r>
        <w:rPr>
          <w:rFonts w:ascii="Arial" w:cs="Arial" w:eastAsia="Arial" w:hAnsi="Arial"/>
          <w:sz w:val="15"/>
          <w:szCs w:val="15"/>
          <w:color w:val="auto"/>
        </w:rPr>
        <w:t>.</w:t>
      </w:r>
    </w:p>
    <w:p>
      <w:pPr>
        <w:spacing w:after="0" w:line="81" w:lineRule="exact"/>
        <w:rPr>
          <w:sz w:val="20"/>
          <w:szCs w:val="20"/>
          <w:color w:val="auto"/>
        </w:rPr>
      </w:pPr>
    </w:p>
    <w:p>
      <w:pPr>
        <w:jc w:val="both"/>
        <w:ind w:right="20" w:firstLine="267"/>
        <w:spacing w:after="0" w:line="266" w:lineRule="auto"/>
        <w:rPr>
          <w:sz w:val="20"/>
          <w:szCs w:val="20"/>
          <w:color w:val="auto"/>
        </w:rPr>
      </w:pPr>
      <w:r>
        <w:rPr>
          <w:rFonts w:ascii="Arial" w:cs="Arial" w:eastAsia="Arial" w:hAnsi="Arial"/>
          <w:sz w:val="15"/>
          <w:szCs w:val="15"/>
          <w:color w:val="auto"/>
        </w:rPr>
        <w:t>In accordance with the Company’s revenue recognition policy described in Note 2, the up-front payments received in September 2003 and January 2006, of $80.0 million and $25.0 million, respectively, and reimbursement of Regeneron-incurred development expenses, are being recognized as collaboration revenue over the related performance period. In addition, in 2011, the Company and Sanofi began equally sharing ZALTRAP</w:t>
      </w:r>
      <w:r>
        <w:rPr>
          <w:rFonts w:ascii="Arial" w:cs="Arial" w:eastAsia="Arial" w:hAnsi="Arial"/>
          <w:sz w:val="21"/>
          <w:szCs w:val="21"/>
          <w:color w:val="auto"/>
          <w:vertAlign w:val="superscript"/>
        </w:rPr>
        <w:t>®</w:t>
      </w:r>
      <w:r>
        <w:rPr>
          <w:rFonts w:ascii="Arial" w:cs="Arial" w:eastAsia="Arial" w:hAnsi="Arial"/>
          <w:sz w:val="15"/>
          <w:szCs w:val="15"/>
          <w:color w:val="auto"/>
        </w:rPr>
        <w:t>pre-launch commercialization expenses under the ZALTRAP</w:t>
      </w:r>
      <w:r>
        <w:rPr>
          <w:rFonts w:ascii="Arial" w:cs="Arial" w:eastAsia="Arial" w:hAnsi="Arial"/>
          <w:sz w:val="21"/>
          <w:szCs w:val="21"/>
          <w:b w:val="1"/>
          <w:bCs w:val="1"/>
          <w:color w:val="auto"/>
          <w:vertAlign w:val="superscript"/>
        </w:rPr>
        <w:t>®</w:t>
      </w:r>
      <w:r>
        <w:rPr>
          <w:rFonts w:ascii="Arial" w:cs="Arial" w:eastAsia="Arial" w:hAnsi="Arial"/>
          <w:sz w:val="15"/>
          <w:szCs w:val="15"/>
          <w:color w:val="auto"/>
        </w:rPr>
        <w:t xml:space="preserve"> Agreement. The Company’s share of these expenses was $9.3 million in 2011, which reduced collaboration revenue in connection with the ZALTRAP</w:t>
      </w:r>
      <w:r>
        <w:rPr>
          <w:rFonts w:ascii="Arial" w:cs="Arial" w:eastAsia="Arial" w:hAnsi="Arial"/>
          <w:sz w:val="21"/>
          <w:szCs w:val="21"/>
          <w:b w:val="1"/>
          <w:bCs w:val="1"/>
          <w:color w:val="auto"/>
          <w:vertAlign w:val="superscript"/>
        </w:rPr>
        <w:t>®</w:t>
      </w:r>
      <w:r>
        <w:rPr>
          <w:rFonts w:ascii="Arial" w:cs="Arial" w:eastAsia="Arial" w:hAnsi="Arial"/>
          <w:sz w:val="15"/>
          <w:szCs w:val="15"/>
          <w:color w:val="auto"/>
        </w:rPr>
        <w:t xml:space="preserve"> Agreement.</w:t>
      </w:r>
    </w:p>
    <w:p>
      <w:pPr>
        <w:spacing w:after="0" w:line="81" w:lineRule="exact"/>
        <w:rPr>
          <w:sz w:val="20"/>
          <w:szCs w:val="20"/>
          <w:color w:val="auto"/>
        </w:rPr>
      </w:pPr>
    </w:p>
    <w:p>
      <w:pPr>
        <w:jc w:val="both"/>
        <w:ind w:right="20" w:firstLine="279"/>
        <w:spacing w:after="0" w:line="227" w:lineRule="auto"/>
        <w:rPr>
          <w:sz w:val="20"/>
          <w:szCs w:val="20"/>
          <w:color w:val="auto"/>
        </w:rPr>
      </w:pPr>
      <w:r>
        <w:rPr>
          <w:rFonts w:ascii="Arial" w:cs="Arial" w:eastAsia="Arial" w:hAnsi="Arial"/>
          <w:sz w:val="14"/>
          <w:szCs w:val="14"/>
          <w:color w:val="auto"/>
        </w:rPr>
        <w:t>The Company recognized $17.5 million, $26.4 million, and $36.5 million of collaboration revenue in 2011, 2010, and 2009, respectively, in connection with the ZALTRAP</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Agreement, as amended. In connection with the ZALTRAP</w:t>
      </w:r>
      <w:r>
        <w:rPr>
          <w:rFonts w:ascii="Arial" w:cs="Arial" w:eastAsia="Arial" w:hAnsi="Arial"/>
          <w:sz w:val="20"/>
          <w:szCs w:val="20"/>
          <w:color w:val="auto"/>
          <w:vertAlign w:val="superscript"/>
        </w:rPr>
        <w:t>®</w:t>
      </w:r>
      <w:r>
        <w:rPr>
          <w:rFonts w:ascii="Arial" w:cs="Arial" w:eastAsia="Arial" w:hAnsi="Arial"/>
          <w:sz w:val="14"/>
          <w:szCs w:val="14"/>
          <w:color w:val="auto"/>
        </w:rPr>
        <w:t xml:space="preserve"> Agreement, (i) at December 31, 2011, there was a net payable of $3.7 million to Sanofi, (ii) at December 31, 2010, amounts receivable from Sanofi were $3.9 million, and (iii) deferred revenue at December 31, 2011 and 2010 was $22.9 million and $32.6 million, respectively.</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Antibodies</w:t>
      </w:r>
    </w:p>
    <w:p>
      <w:pPr>
        <w:spacing w:after="0" w:line="229"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In November 2007, the Company entered into a global, strategic collaboration (the “Antibody Collaboration”) with Sanofi to discover, develop, and commercialize fully human monoclonal antibodies</w:t>
      </w:r>
      <w:r>
        <w:rPr>
          <w:rFonts w:ascii="Arial" w:cs="Arial" w:eastAsia="Arial" w:hAnsi="Arial"/>
          <w:sz w:val="16"/>
          <w:szCs w:val="16"/>
          <w:i w:val="1"/>
          <w:iCs w:val="1"/>
          <w:color w:val="auto"/>
        </w:rPr>
        <w:t>.</w:t>
      </w:r>
      <w:r>
        <w:rPr>
          <w:rFonts w:ascii="Arial" w:cs="Arial" w:eastAsia="Arial" w:hAnsi="Arial"/>
          <w:sz w:val="16"/>
          <w:szCs w:val="16"/>
          <w:color w:val="auto"/>
        </w:rPr>
        <w:t xml:space="preserve"> In connection with the collaboration, in December 2007, Sanofi purchased 12 million newly issued, unregistered shares of the Company’s Common Stock for $312.0 million (see Note 13).</w:t>
      </w:r>
    </w:p>
    <w:p>
      <w:pPr>
        <w:spacing w:after="0" w:line="194" w:lineRule="exact"/>
        <w:rPr>
          <w:sz w:val="20"/>
          <w:szCs w:val="20"/>
          <w:color w:val="auto"/>
        </w:rPr>
      </w:pPr>
    </w:p>
    <w:p>
      <w:pPr>
        <w:jc w:val="both"/>
        <w:ind w:right="20" w:firstLine="243"/>
        <w:spacing w:after="0" w:line="274" w:lineRule="auto"/>
        <w:rPr>
          <w:sz w:val="20"/>
          <w:szCs w:val="20"/>
          <w:color w:val="auto"/>
        </w:rPr>
      </w:pPr>
      <w:r>
        <w:rPr>
          <w:rFonts w:ascii="Arial" w:cs="Arial" w:eastAsia="Arial" w:hAnsi="Arial"/>
          <w:sz w:val="15"/>
          <w:szCs w:val="15"/>
          <w:color w:val="auto"/>
        </w:rPr>
        <w:t>The Antibody Collaboration is governed by a Discovery and Preclinical Development Agreement (the “Discovery Agreement”) and a License and Collaboration Agreement (the “License Agreement”). In connection with the execution of the Discovery Agreement in 2007, the Company received a non-refundable up-front payment of $85.0 million from Sanofi. In addition, under the Discovery Agreement, Sanofi is funding the Company’s research to identify and validate potential drug discovery targets and develop fully human monoclonal antibodies against these targets. In November 2009, the Company and Sanofi amended these collaboration agreements to expand and extend the Antibody Collaboration. Pursuant to the Discovery Agreement, as amended, Sanofi agreed to fund up to $160 million per year of the Company’s research activities in 2010 through 2017, subject to a one-time option for Sanofi to adjust the maximum reimbursement amount down to $120 million per year commencing in 2014 if over the prior two years certain specified criteria were not satisfied. In 2010, as the Company scaled up its capacity to conduct antibody discovery activities, Sanofi funded $137.7 million of the Company’s preclinical research under the amended Discovery Agreement. The balance between that amount and $160 million, or $22.3 million, has been added to the funding otherwise available to the Company in 2011-2012 under the amended Discovery Agreement. The amended Discovery Agreement will expire on December 31, 2017; however, Sanofi has an option to extend the agreement for up to an additional three years for further antibody development and preclinical activities.</w:t>
      </w:r>
    </w:p>
    <w:p>
      <w:pPr>
        <w:spacing w:after="0" w:line="191" w:lineRule="exact"/>
        <w:rPr>
          <w:sz w:val="20"/>
          <w:szCs w:val="20"/>
          <w:color w:val="auto"/>
        </w:rPr>
      </w:pPr>
    </w:p>
    <w:p>
      <w:pPr>
        <w:jc w:val="both"/>
        <w:ind w:right="20" w:firstLine="279"/>
        <w:spacing w:after="0" w:line="280" w:lineRule="auto"/>
        <w:rPr>
          <w:sz w:val="20"/>
          <w:szCs w:val="20"/>
          <w:color w:val="auto"/>
        </w:rPr>
      </w:pPr>
      <w:r>
        <w:rPr>
          <w:rFonts w:ascii="Arial" w:cs="Arial" w:eastAsia="Arial" w:hAnsi="Arial"/>
          <w:sz w:val="15"/>
          <w:szCs w:val="15"/>
          <w:color w:val="auto"/>
        </w:rPr>
        <w:t>For each drug candidate identified under the Discovery Agreement, Sanofi has the option to license rights to the candidate under the License Agreement. If it elects to do so, Sanofi will co-develop the drug candidate with the Company through product approval. Under certain defined circumstances, upon exercising its option to license rights to particular candidates, Sanofi must make a $10 million substantive milestone payment to the Company. If Sanofi does not exercise its option to license rights to a particular drug candidate under the License Agreement, the Company retains the exclusive right to develop and commercialize such drug candidate, and Sanofi will receive a royalty on sales, if any. The Company and Sanofi are currently co-developing seven therapeutic antibodies under the License Agreement.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1"/>
          <w:szCs w:val="11"/>
          <w:color w:val="auto"/>
        </w:rPr>
        <w:t>Under the License Agreement, agreed upon worldwide development expenses incurred by both companies during the term of the agreement are funded by Sanofi, except that following receipt of the first positive Phase 3 trial results</w:t>
      </w:r>
    </w:p>
    <w:p>
      <w:pPr>
        <w:spacing w:after="0" w:line="31" w:lineRule="exact"/>
        <w:rPr>
          <w:sz w:val="20"/>
          <w:szCs w:val="20"/>
          <w:color w:val="auto"/>
        </w:rPr>
      </w:pPr>
    </w:p>
    <w:p>
      <w:pPr>
        <w:jc w:val="both"/>
        <w:ind w:right="20"/>
        <w:spacing w:after="0" w:line="241" w:lineRule="auto"/>
        <w:rPr>
          <w:sz w:val="20"/>
          <w:szCs w:val="20"/>
          <w:color w:val="auto"/>
        </w:rPr>
      </w:pPr>
      <w:r>
        <w:rPr>
          <w:rFonts w:ascii="Arial" w:cs="Arial" w:eastAsia="Arial" w:hAnsi="Arial"/>
          <w:sz w:val="12"/>
          <w:szCs w:val="12"/>
          <w:color w:val="auto"/>
        </w:rPr>
        <w:t>for a co-developed drug candidate, subsequent Phase 3 trial-related costs for that drug candidate (“Shared Phase 3 Trial Costs”) are shared 80% by Sanofi and 20% by Regeneron. If the Antibody Collaboration becomes profitable, Regeneron will be obligated to reimburse Sanofi for 50% of development expenses that were fully funded by Sanofi (or half of $582.3 million as of December 31, 2011)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 for these development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6"/>
          <w:szCs w:val="16"/>
          <w:color w:val="auto"/>
        </w:rPr>
        <w:t>Sanofi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(Sanofi)/35% (Regeneron) and ending at 55% (Sanofi)/45% (Regeneron), and losses outside the United States at 55% (Sanofi)/45% (Regeneron). In addition to profit sharing, the Company is entitled to receive up to $250 million in sales milestone payments, with milestone payments commencing only if and after aggregate annual sales outside the United States exceed $1.0 billion on a rolling 12-month basis.</w:t>
      </w:r>
    </w:p>
    <w:p>
      <w:pPr>
        <w:spacing w:after="0" w:line="201"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6"/>
          <w:szCs w:val="16"/>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Discovery Agreement, Sanofi is funding up to $30 million of agreed-upon costs incurred by the Company to expand its manufacturing capacity at the Company’s Rensselaer, New York facilities, of which $28.2 million has been received or is receivable at December 31, 2011.</w:t>
      </w:r>
    </w:p>
    <w:p>
      <w:pPr>
        <w:spacing w:after="0" w:line="198"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5"/>
          <w:szCs w:val="15"/>
          <w:color w:val="auto"/>
        </w:rPr>
        <w:t xml:space="preserve">With respect to each antibody product which enters development under the License Agreement, Sanofi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 within thirty days of the date that Sanofi enters joint development of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the Company the full amount of unpaid research funding during the remaining term of the research agreement through December 31, 2017. Upon termination of the collaboration in its entirety, the Company’s obligation to reimburse Sanofi for development costs out of any future profits from collaboration products will terminate. Upon expiration of the amended Discovery Agreement, Sanofi has an option to license the Company’s </w:t>
      </w:r>
      <w:r>
        <w:rPr>
          <w:rFonts w:ascii="Arial" w:cs="Arial" w:eastAsia="Arial" w:hAnsi="Arial"/>
          <w:sz w:val="15"/>
          <w:szCs w:val="15"/>
          <w:i w:val="1"/>
          <w:iCs w:val="1"/>
          <w:color w:val="auto"/>
        </w:rPr>
        <w:t>VelocImmune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for agreed upon consideration.</w:t>
      </w:r>
    </w:p>
    <w:p>
      <w:pPr>
        <w:spacing w:after="0" w:line="101" w:lineRule="exact"/>
        <w:rPr>
          <w:sz w:val="20"/>
          <w:szCs w:val="20"/>
          <w:color w:val="auto"/>
        </w:rPr>
      </w:pPr>
    </w:p>
    <w:p>
      <w:pPr>
        <w:jc w:val="both"/>
        <w:ind w:right="20" w:firstLine="340"/>
        <w:spacing w:after="0" w:line="215" w:lineRule="auto"/>
        <w:rPr>
          <w:sz w:val="20"/>
          <w:szCs w:val="20"/>
          <w:color w:val="auto"/>
        </w:rPr>
      </w:pPr>
      <w:r>
        <w:rPr>
          <w:rFonts w:ascii="Arial" w:cs="Arial" w:eastAsia="Arial" w:hAnsi="Arial"/>
          <w:sz w:val="16"/>
          <w:szCs w:val="16"/>
          <w:color w:val="auto"/>
        </w:rPr>
        <w:t xml:space="preserve">In connection with the Antibody Collaboration, in August 2008, the Company entered into a separate agreement with Sanofi to use Regeneron's proprietary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platform to supply Sanofi with genetically modified mammalian models of gene function and disease (the “</w:t>
      </w:r>
      <w:r>
        <w:rPr>
          <w:rFonts w:ascii="Arial" w:cs="Arial" w:eastAsia="Arial" w:hAnsi="Arial"/>
          <w:sz w:val="16"/>
          <w:szCs w:val="16"/>
          <w:i w:val="1"/>
          <w:iCs w:val="1"/>
          <w:color w:val="auto"/>
        </w:rPr>
        <w:t>VelociGene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w:t>
      </w:r>
      <w:r>
        <w:rPr>
          <w:rFonts w:ascii="Arial" w:cs="Arial" w:eastAsia="Arial" w:hAnsi="Arial"/>
          <w:sz w:val="16"/>
          <w:szCs w:val="16"/>
          <w:i w:val="1"/>
          <w:iCs w:val="1"/>
          <w:color w:val="auto"/>
        </w:rPr>
        <w:t>VelociGene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Agreement provides for minimum annual order quantities for the term of the agreement, which extends through December 2012, for which the Company expects to receive payments totaling a minimum of $21.5 million.</w:t>
      </w:r>
    </w:p>
    <w:p>
      <w:pPr>
        <w:spacing w:after="0" w:line="213" w:lineRule="exact"/>
        <w:rPr>
          <w:sz w:val="20"/>
          <w:szCs w:val="20"/>
          <w:color w:val="auto"/>
        </w:rPr>
      </w:pPr>
    </w:p>
    <w:p>
      <w:pPr>
        <w:jc w:val="both"/>
        <w:ind w:firstLine="291"/>
        <w:spacing w:after="0" w:line="229" w:lineRule="auto"/>
        <w:rPr>
          <w:sz w:val="20"/>
          <w:szCs w:val="20"/>
          <w:color w:val="auto"/>
        </w:rPr>
      </w:pPr>
      <w:r>
        <w:rPr>
          <w:rFonts w:ascii="Arial" w:cs="Arial" w:eastAsia="Arial" w:hAnsi="Arial"/>
          <w:sz w:val="16"/>
          <w:szCs w:val="16"/>
          <w:color w:val="auto"/>
        </w:rPr>
        <w:t xml:space="preserve">In accordance with the Company’s revenue recognition policy described in Note 2, the (i) $85.0 million up-front payment received in December 2007, (ii) reimbursement of Regeneron-incurred expenses under the Discovery and License Agreements, (iii) $21.5 million of aggregate minimum payments under the </w:t>
      </w:r>
      <w:r>
        <w:rPr>
          <w:rFonts w:ascii="Arial" w:cs="Arial" w:eastAsia="Arial" w:hAnsi="Arial"/>
          <w:sz w:val="16"/>
          <w:szCs w:val="16"/>
          <w:i w:val="1"/>
          <w:iCs w:val="1"/>
          <w:color w:val="auto"/>
        </w:rPr>
        <w:t>VelociGene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Agreement, and (iv) reimbursement of agreed-upon costs to expand the Company’s manufacturing capacity are being recognized as collaboration revenue over the related performance period. In connection with the amendments to expand and extend the Company’s antibody collaboration with Sanofi, during the fourth quarter of 2009, the Company extended its estimated performance period related to the $85.0 million up-front payment received from Sanofi under the Discovery Agreement and the $21.5 million of aggregate minimum payments under the </w:t>
      </w:r>
      <w:r>
        <w:rPr>
          <w:rFonts w:ascii="Arial" w:cs="Arial" w:eastAsia="Arial" w:hAnsi="Arial"/>
          <w:sz w:val="16"/>
          <w:szCs w:val="16"/>
          <w:i w:val="1"/>
          <w:iCs w:val="1"/>
          <w:color w:val="auto"/>
        </w:rPr>
        <w:t>VelociGene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Agreement. The effect of this change in estimate resulted in the recognition of $5.3 million less in collaboration revenue in both 2011 and 2010, compared to 2009.</w:t>
      </w:r>
    </w:p>
    <w:p>
      <w:pPr>
        <w:spacing w:after="0" w:line="217"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6"/>
          <w:szCs w:val="16"/>
          <w:color w:val="auto"/>
        </w:rPr>
        <w:t>In connection with the Antibody Collaboration, the Company recognized $309.1 million, $284.9 million, and $210.7 million of collaboration revenue in 2011, 2010, and 2009, respectively. In addition, at December 31, 2011 and 2010, amounts receivable from Sanofi totaled $78.5 million and $75.7 million and deferred revenue was $83.1 million and $84.0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 Bayer HealthCare LLC</w:t>
      </w:r>
    </w:p>
    <w:p>
      <w:pPr>
        <w:spacing w:after="0" w:line="229" w:lineRule="exact"/>
        <w:rPr>
          <w:sz w:val="20"/>
          <w:szCs w:val="20"/>
          <w:color w:val="auto"/>
        </w:rPr>
      </w:pPr>
    </w:p>
    <w:p>
      <w:pPr>
        <w:jc w:val="both"/>
        <w:ind w:firstLine="255"/>
        <w:spacing w:after="0" w:line="207" w:lineRule="auto"/>
        <w:rPr>
          <w:sz w:val="20"/>
          <w:szCs w:val="20"/>
          <w:color w:val="auto"/>
        </w:rPr>
      </w:pPr>
      <w:r>
        <w:rPr>
          <w:rFonts w:ascii="Arial" w:cs="Arial" w:eastAsia="Arial" w:hAnsi="Arial"/>
          <w:sz w:val="16"/>
          <w:szCs w:val="16"/>
          <w:color w:val="auto"/>
        </w:rPr>
        <w:t>In October 2006, the Company entered into a license and collaboration agreement with Bayer HealthCare for the global development and commercialization outside the United States of EYLEA</w:t>
      </w:r>
      <w:r>
        <w:rPr>
          <w:rFonts w:ascii="Arial" w:cs="Arial" w:eastAsia="Arial" w:hAnsi="Arial"/>
          <w:sz w:val="22"/>
          <w:szCs w:val="22"/>
          <w:color w:val="auto"/>
          <w:vertAlign w:val="superscript"/>
        </w:rPr>
        <w:t>®</w:t>
      </w:r>
      <w:r>
        <w:rPr>
          <w:rFonts w:ascii="Arial" w:cs="Arial" w:eastAsia="Arial" w:hAnsi="Arial"/>
          <w:sz w:val="16"/>
          <w:szCs w:val="16"/>
          <w:color w:val="auto"/>
        </w:rPr>
        <w:t>. Under the terms of the agreement, Bayer HealthCare made a non-refundable up-front payment to the Company of $75.0 million. In August 2007, the Company received a $20.0 million milestone payment from Bayer HealthCare following dosing of the first patient in a Phase 3 study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neovascular form of wet AMD. In July 2009, the Company received a $20.0 million substantive milestone payment from Bayer HealthCare following dosing of the first patient in a Phase 3 study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central retinal vein occlusion (“CRVO”). In the fourth quarter of 2010, the Company earned two $10.0 million substantive milestone payments (for a total of $20.0 million) from Bayer HealthCare for achieving positive 52-week results in the Phase 3 study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wet AMD and positive 6-month results in the Phase 3 study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CRVO. One of these $10.0 million payments was received in December 2010 and the other $10.0 million payment was received in January 2011. The Company is eligible to receive up to $50 million in future substantive milestone payments related to marketing approvals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major market countries outside the United States. The Company is also eligible to receive up to $135 million in sales milestone payments when and if total annual sales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outside the United States achieve certain specified levels starting at $200 million.</w:t>
      </w:r>
    </w:p>
    <w:p>
      <w:pPr>
        <w:spacing w:after="0" w:line="216" w:lineRule="exact"/>
        <w:rPr>
          <w:sz w:val="20"/>
          <w:szCs w:val="20"/>
          <w:color w:val="auto"/>
        </w:rPr>
      </w:pPr>
    </w:p>
    <w:p>
      <w:pPr>
        <w:jc w:val="both"/>
        <w:ind w:firstLine="267"/>
        <w:spacing w:after="0" w:line="214" w:lineRule="auto"/>
        <w:rPr>
          <w:sz w:val="20"/>
          <w:szCs w:val="20"/>
          <w:color w:val="auto"/>
        </w:rPr>
      </w:pPr>
      <w:r>
        <w:rPr>
          <w:rFonts w:ascii="Arial" w:cs="Arial" w:eastAsia="Arial" w:hAnsi="Arial"/>
          <w:sz w:val="16"/>
          <w:szCs w:val="16"/>
          <w:color w:val="auto"/>
        </w:rPr>
        <w:t>The Company will share equally with Bayer HealthCare in any future profits arising from the commercialization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outside the United States. If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granted marketing authorization in a major market country outside the United States and the collaboration becomes profitable, the Company will be obligated to reimburse Bayer HealthCare out of its share of the collaboration profits for 50% of the agreed upon development expenses that Bayer HealthCare has incurred (or half of $370.9 million as of December 31, 2011) in accordance with a formula based on the amount of development expenses that Bayer HealthCare has incurred and the Company’s share of the collaboration profits, or at a faster rate at the Company’s option. Within the United States, the Company is responsible for commercialization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retains exclusive rights to any profits from such commercialization in the United States.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Starting in 2009, all agreed upon EYLEA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development expenses incurred by the Company and Bayer HealthCare, under a global development plan, are being shared equally.</w:t>
      </w:r>
    </w:p>
    <w:p>
      <w:pPr>
        <w:spacing w:after="0"/>
        <w:rPr>
          <w:sz w:val="20"/>
          <w:szCs w:val="20"/>
          <w:color w:val="auto"/>
        </w:rPr>
      </w:pPr>
      <w:r>
        <w:rPr>
          <w:rFonts w:ascii="Arial" w:cs="Arial" w:eastAsia="Arial" w:hAnsi="Arial"/>
          <w:sz w:val="16"/>
          <w:szCs w:val="16"/>
          <w:color w:val="auto"/>
        </w:rPr>
        <w:t>The Company is also obligated to use commercially reasonable efforts to supply clinical and commercial product requirements.</w:t>
      </w:r>
    </w:p>
    <w:p>
      <w:pPr>
        <w:spacing w:after="0" w:line="215" w:lineRule="exact"/>
        <w:rPr>
          <w:sz w:val="20"/>
          <w:szCs w:val="20"/>
          <w:color w:val="auto"/>
        </w:rPr>
      </w:pPr>
    </w:p>
    <w:p>
      <w:pPr>
        <w:jc w:val="both"/>
        <w:ind w:firstLine="243"/>
        <w:spacing w:after="0" w:line="280" w:lineRule="auto"/>
        <w:rPr>
          <w:sz w:val="20"/>
          <w:szCs w:val="20"/>
          <w:color w:val="auto"/>
        </w:rPr>
      </w:pPr>
      <w:r>
        <w:rPr>
          <w:rFonts w:ascii="Arial" w:cs="Arial" w:eastAsia="Arial" w:hAnsi="Arial"/>
          <w:sz w:val="16"/>
          <w:szCs w:val="16"/>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EYLEA</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97" w:lineRule="exact"/>
        <w:rPr>
          <w:sz w:val="20"/>
          <w:szCs w:val="20"/>
          <w:color w:val="auto"/>
        </w:rPr>
      </w:pPr>
    </w:p>
    <w:p>
      <w:pPr>
        <w:jc w:val="both"/>
        <w:ind w:firstLine="267"/>
        <w:spacing w:after="0" w:line="203" w:lineRule="auto"/>
        <w:rPr>
          <w:sz w:val="20"/>
          <w:szCs w:val="20"/>
          <w:color w:val="auto"/>
        </w:rPr>
      </w:pPr>
      <w:r>
        <w:rPr>
          <w:rFonts w:ascii="Arial" w:cs="Arial" w:eastAsia="Arial" w:hAnsi="Arial"/>
          <w:sz w:val="16"/>
          <w:szCs w:val="16"/>
          <w:color w:val="auto"/>
        </w:rPr>
        <w:t>The $75.0 million up-front licensing payment and the $20.0 million milestone payment received in August 2007 from Bayer HealthCare are being recognized as collaboration revenue over the related estimated performance period in accordance with the Company’s revenue recognition policy as described in Note 2. In periods when the Company recognizes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development expenses that the Company incurs under the collaboration, the Company also recognizes, as collaboration revenue, the portion of those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development expenses that is reimbursable from Bayer HealthCare. In periods when Bayer HealthCare incurs agreed upon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development expenses that benefit the collaboration and Regeneron, the Company also recognizes, as additional research and development expense, the portion of Bayer HealthCare’s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development expenses that the Company is obligated to reimburse.</w:t>
      </w:r>
    </w:p>
    <w:p>
      <w:pPr>
        <w:spacing w:after="0" w:line="217" w:lineRule="exact"/>
        <w:rPr>
          <w:sz w:val="20"/>
          <w:szCs w:val="20"/>
          <w:color w:val="auto"/>
        </w:rPr>
      </w:pPr>
    </w:p>
    <w:p>
      <w:pPr>
        <w:jc w:val="both"/>
        <w:ind w:right="20" w:firstLine="267"/>
        <w:spacing w:after="0" w:line="284" w:lineRule="auto"/>
        <w:rPr>
          <w:sz w:val="20"/>
          <w:szCs w:val="20"/>
          <w:color w:val="auto"/>
        </w:rPr>
      </w:pPr>
      <w:r>
        <w:rPr>
          <w:rFonts w:ascii="Arial" w:cs="Arial" w:eastAsia="Arial" w:hAnsi="Arial"/>
          <w:sz w:val="15"/>
          <w:szCs w:val="15"/>
          <w:color w:val="auto"/>
        </w:rPr>
        <w:t>The Company recognized $43.1 million, $75.4 million, and $67.3 million of collaboration revenue from Bayer HealthCare in 2011, 2010, and 2009, respectively. In both 2010 and 2009, collaboration revenue from Bayer HealthCare included $20.0 million in milestone payments, as described above, which, for the purpose of revenue recognition, were considered substantive. In addition, in 2011, 2010, and 2009, the Company recognized as additional research and development expense $47.8 million, $48.9 million, and $37.7 million, respectively, of EYLEA</w:t>
      </w:r>
      <w:r>
        <w:rPr>
          <w:rFonts w:ascii="Arial" w:cs="Arial" w:eastAsia="Arial" w:hAnsi="Arial"/>
          <w:sz w:val="21"/>
          <w:szCs w:val="21"/>
          <w:color w:val="auto"/>
          <w:vertAlign w:val="superscript"/>
        </w:rPr>
        <w:t>®</w:t>
      </w:r>
      <w:r>
        <w:rPr>
          <w:rFonts w:ascii="Arial" w:cs="Arial" w:eastAsia="Arial" w:hAnsi="Arial"/>
          <w:sz w:val="15"/>
          <w:szCs w:val="15"/>
          <w:color w:val="auto"/>
        </w:rPr>
        <w:t xml:space="preserve"> development expenses that the Company was obligated to reimburse to Bayer HealthCare.</w:t>
      </w:r>
    </w:p>
    <w:p>
      <w:pPr>
        <w:spacing w:after="0" w:line="97" w:lineRule="exact"/>
        <w:rPr>
          <w:sz w:val="20"/>
          <w:szCs w:val="20"/>
          <w:color w:val="auto"/>
        </w:rPr>
      </w:pPr>
    </w:p>
    <w:p>
      <w:pPr>
        <w:jc w:val="both"/>
        <w:ind w:right="20" w:firstLine="267"/>
        <w:spacing w:after="0" w:line="227" w:lineRule="auto"/>
        <w:rPr>
          <w:sz w:val="20"/>
          <w:szCs w:val="20"/>
          <w:color w:val="auto"/>
        </w:rPr>
      </w:pPr>
      <w:r>
        <w:rPr>
          <w:rFonts w:ascii="Arial" w:cs="Arial" w:eastAsia="Arial" w:hAnsi="Arial"/>
          <w:sz w:val="16"/>
          <w:szCs w:val="16"/>
          <w:color w:val="auto"/>
        </w:rPr>
        <w:t>In connection with cost-sharing of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expenses under the collaboration, $4.5 million was receivable from Bayer HealthCare at December 31, 2011 and $2.3 million was payable to Bayer HealthCare at December 31, 2010. In addition, at December 31, 2011 and 2010, deferred revenue from the Company’s collaboration with Bayer HealthCare was $42.4 million and $47.0 million,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 National Institute of Health</w:t>
      </w:r>
    </w:p>
    <w:p>
      <w:pPr>
        <w:spacing w:after="0" w:line="22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4"/>
          <w:szCs w:val="14"/>
          <w:color w:val="auto"/>
        </w:rPr>
        <w:t xml:space="preserve">In September 2006, the Company was awarded a grant from the National Institutes of Health (“NIH”) as part of the NIH’s Knockout Mouse Project. As amended, the NIH grant provided a minimum of $25.3 million in funding over a five-year period, including $1.5 million in funding to optimize certain existing technology, subject to compliance with its terms and annual funding approvals, for the Company’s use of its </w:t>
      </w:r>
      <w:r>
        <w:rPr>
          <w:rFonts w:ascii="Arial" w:cs="Arial" w:eastAsia="Arial" w:hAnsi="Arial"/>
          <w:sz w:val="14"/>
          <w:szCs w:val="14"/>
          <w:i w:val="1"/>
          <w:iCs w:val="1"/>
          <w:color w:val="auto"/>
        </w:rPr>
        <w:t>VelociGene</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technology to generate a collection of targeting vectors and targeted mouse embryonic stem cells which can be used to produce knockout mice. The Company records revenue in connection with the NIH grant using a proportional performance model as it incurs expenses related to the grant, subject to the grant’s terms and annual funding approvals. In 2011, 2010, and 2009, the Company recognized contract research revenue of $3.6 million, $4.6 million, and $5.5 million, respectively, from the NIH Grant. As of the end of 2011, no further revenue will be recognized by the Company in connection with this NIH Grant.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Technology Licensing Agreements</w:t>
      </w:r>
    </w:p>
    <w:p>
      <w:pPr>
        <w:spacing w:after="0" w:line="232" w:lineRule="exact"/>
        <w:rPr>
          <w:sz w:val="20"/>
          <w:szCs w:val="20"/>
          <w:color w:val="auto"/>
        </w:rPr>
      </w:pPr>
    </w:p>
    <w:p>
      <w:pPr>
        <w:jc w:val="both"/>
        <w:ind w:firstLine="315"/>
        <w:spacing w:after="0" w:line="275" w:lineRule="auto"/>
        <w:rPr>
          <w:sz w:val="20"/>
          <w:szCs w:val="20"/>
          <w:color w:val="auto"/>
        </w:rPr>
      </w:pPr>
      <w:r>
        <w:rPr>
          <w:rFonts w:ascii="Arial" w:cs="Arial" w:eastAsia="Arial" w:hAnsi="Arial"/>
          <w:sz w:val="14"/>
          <w:szCs w:val="14"/>
          <w:color w:val="auto"/>
        </w:rPr>
        <w:t xml:space="preserve">In March 2007, the Company entered into a six-year, non-exclusive license agreement with Astellas Pharma Inc. to allow Astellas to utilize the Company’s </w:t>
      </w:r>
      <w:r>
        <w:rPr>
          <w:rFonts w:ascii="Arial" w:cs="Arial" w:eastAsia="Arial" w:hAnsi="Arial"/>
          <w:sz w:val="14"/>
          <w:szCs w:val="14"/>
          <w:i w:val="1"/>
          <w:iCs w:val="1"/>
          <w:color w:val="auto"/>
        </w:rPr>
        <w:t>VelocImmune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technology in its internal research programs to discover human monoclonal antibodies. Under the terms of the agreement, Astellas made a $20.0 million annual, non-refundable payment to the Company in each of 2010, 2009, 2008, and 2007. In July 2010, the license agreement with Astellas was amended and extended through June 2023. Under the terms of the amended agreement, Astellas made a $165.0 million up-front payment to the Company in August 2010, which was deferred upon receipt and will be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Arial" w:cs="Arial" w:eastAsia="Arial" w:hAnsi="Arial"/>
          <w:sz w:val="14"/>
          <w:szCs w:val="14"/>
          <w:i w:val="1"/>
          <w:iCs w:val="1"/>
          <w:color w:val="auto"/>
        </w:rPr>
        <w:t>VelocImmune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technology. In connection with the Astellas license agreement, for each of the years ended December 31, 2011, 2010, and 2009, the Company recognized $22.0 million, $20.0 million, and $20.0 million of technology licensing revenue, respectively. In addition, deferred revenue at December 31, 2011 and 2010 was $151.7 million and $173.7 million, respectively.</w:t>
      </w:r>
    </w:p>
    <w:p>
      <w:pPr>
        <w:spacing w:after="0" w:line="194" w:lineRule="exact"/>
        <w:rPr>
          <w:sz w:val="20"/>
          <w:szCs w:val="20"/>
          <w:color w:val="auto"/>
        </w:rPr>
      </w:pPr>
    </w:p>
    <w:p>
      <w:pPr>
        <w:jc w:val="both"/>
        <w:ind w:right="20" w:firstLine="352"/>
        <w:spacing w:after="0" w:line="232" w:lineRule="auto"/>
        <w:rPr>
          <w:sz w:val="20"/>
          <w:szCs w:val="20"/>
          <w:color w:val="auto"/>
        </w:rPr>
      </w:pPr>
      <w:r>
        <w:rPr>
          <w:rFonts w:ascii="Arial" w:cs="Arial" w:eastAsia="Arial" w:hAnsi="Arial"/>
          <w:sz w:val="16"/>
          <w:szCs w:val="16"/>
          <w:color w:val="auto"/>
        </w:rPr>
        <w:t xml:space="preserve">In February 2007, the Company entered into a six-year, non-exclusive license agreement with AstraZeneca UK Limited to allow AstraZeneca to utilize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AstraZeneca made a $20.0 million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non-refundable payment to the Company in each of 2010, 2009, 2008, and 2007. Each annual payment was deferred and recognized as revenue ratably over approximately the ensuing twelve-month period. In November 2010, as permitted by the agreement, MedImmune Limited (as successor by novation from AstraZeneca) gave written notice of voluntary termination of the agreement, effective in February 2011, thereby canceling its obligation to make either of the final two annual payments. Regeneron remains entitled to receive mid-single digit royalties on any future sales of antibody products discovered by MedImmune/AstraZeneca using the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In connection with the AstraZeneca license agreement, for the years ended December 31, 2011, 2010, and 2009, the Company recognized $2.9 million, $20.0 million, and $20.0 million, respectively, of technology licensing revenue.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Product Revenue</w:t>
      </w:r>
    </w:p>
    <w:p>
      <w:pPr>
        <w:spacing w:after="0" w:line="232" w:lineRule="exact"/>
        <w:rPr>
          <w:sz w:val="20"/>
          <w:szCs w:val="20"/>
          <w:color w:val="auto"/>
        </w:rPr>
      </w:pPr>
    </w:p>
    <w:p>
      <w:pPr>
        <w:jc w:val="both"/>
        <w:ind w:right="20" w:firstLine="352"/>
        <w:spacing w:after="0" w:line="227" w:lineRule="auto"/>
        <w:rPr>
          <w:sz w:val="20"/>
          <w:szCs w:val="20"/>
          <w:color w:val="auto"/>
        </w:rPr>
      </w:pPr>
      <w:r>
        <w:rPr>
          <w:rFonts w:ascii="Arial" w:cs="Arial" w:eastAsia="Arial" w:hAnsi="Arial"/>
          <w:sz w:val="16"/>
          <w:szCs w:val="16"/>
          <w:color w:val="auto"/>
        </w:rPr>
        <w:t>In November 2011, the Company received marketing approval from the FDA for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In accordance with the Company’s revenue recognition policy described in Note 2, the Company recorded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of $24.8 million for the year ended December 31, 2011.</w:t>
      </w:r>
    </w:p>
    <w:p>
      <w:pPr>
        <w:spacing w:after="0" w:line="128" w:lineRule="exact"/>
        <w:rPr>
          <w:sz w:val="20"/>
          <w:szCs w:val="20"/>
          <w:color w:val="auto"/>
        </w:rPr>
      </w:pPr>
    </w:p>
    <w:p>
      <w:pPr>
        <w:jc w:val="both"/>
        <w:ind w:firstLine="291"/>
        <w:spacing w:after="0" w:line="247" w:lineRule="auto"/>
        <w:rPr>
          <w:sz w:val="20"/>
          <w:szCs w:val="20"/>
          <w:color w:val="auto"/>
        </w:rPr>
      </w:pPr>
      <w:r>
        <w:rPr>
          <w:rFonts w:ascii="Arial" w:cs="Arial" w:eastAsia="Arial" w:hAnsi="Arial"/>
          <w:sz w:val="14"/>
          <w:szCs w:val="14"/>
          <w:color w:val="auto"/>
        </w:rPr>
        <w:t>In February 2008, the Company received marketing approval from the FDA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Injection for Subcutaneous Use for the treatment of CAPS.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totaled $19.9 million, $25.3 million, and $18.4 million for the years ended December 31, 2011, 2010, and 2009, respectively. The Company had limited historical returns experience for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beginning with initial sales in 2008 through the end of 2009; therefore, ARCALYST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net product sales were deferred until the right of return no longer existed and rebates could be reasonably estimated. Effective in the first quarter of 2010, the Company determined that it had accumulated sufficient historical data to</w:t>
      </w:r>
    </w:p>
    <w:p>
      <w:pPr>
        <w:spacing w:after="0" w:line="2" w:lineRule="exact"/>
        <w:rPr>
          <w:sz w:val="20"/>
          <w:szCs w:val="20"/>
          <w:color w:val="auto"/>
        </w:rPr>
      </w:pPr>
    </w:p>
    <w:p>
      <w:pPr>
        <w:jc w:val="both"/>
        <w:ind w:right="20"/>
        <w:spacing w:after="0" w:line="201" w:lineRule="auto"/>
        <w:rPr>
          <w:sz w:val="20"/>
          <w:szCs w:val="20"/>
          <w:color w:val="auto"/>
        </w:rPr>
      </w:pPr>
      <w:r>
        <w:rPr>
          <w:rFonts w:ascii="Arial" w:cs="Arial" w:eastAsia="Arial" w:hAnsi="Arial"/>
          <w:sz w:val="16"/>
          <w:szCs w:val="16"/>
          <w:color w:val="auto"/>
        </w:rPr>
        <w:t>reasonably estimate both product returns and rebates of ARCALYST</w:t>
      </w:r>
      <w:r>
        <w:rPr>
          <w:rFonts w:ascii="Arial" w:cs="Arial" w:eastAsia="Arial" w:hAnsi="Arial"/>
          <w:sz w:val="22"/>
          <w:szCs w:val="22"/>
          <w:color w:val="auto"/>
          <w:vertAlign w:val="superscript"/>
        </w:rPr>
        <w:t>®</w:t>
      </w:r>
      <w:r>
        <w:rPr>
          <w:rFonts w:ascii="Arial" w:cs="Arial" w:eastAsia="Arial" w:hAnsi="Arial"/>
          <w:sz w:val="16"/>
          <w:szCs w:val="16"/>
          <w:color w:val="auto"/>
        </w:rPr>
        <w:t>. As a result,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net product sales during 2010 included $20.5 million of net product sales made during this period and $4.8 million of previously deferred net product sales. The effect of recognizing the previously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revenue was to lower the Company’s net loss per share by $0.06 in 2010.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Marketable Securities</w:t>
      </w:r>
    </w:p>
    <w:p>
      <w:pPr>
        <w:spacing w:after="0" w:line="233" w:lineRule="exact"/>
        <w:rPr>
          <w:sz w:val="20"/>
          <w:szCs w:val="20"/>
          <w:color w:val="auto"/>
        </w:rPr>
      </w:pPr>
    </w:p>
    <w:p>
      <w:pPr>
        <w:jc w:val="both"/>
        <w:ind w:right="40" w:firstLine="255"/>
        <w:spacing w:after="0" w:line="260" w:lineRule="auto"/>
        <w:rPr>
          <w:sz w:val="20"/>
          <w:szCs w:val="20"/>
          <w:color w:val="auto"/>
        </w:rPr>
      </w:pPr>
      <w:r>
        <w:rPr>
          <w:rFonts w:ascii="Arial" w:cs="Arial" w:eastAsia="Arial" w:hAnsi="Arial"/>
          <w:sz w:val="16"/>
          <w:szCs w:val="16"/>
          <w:color w:val="auto"/>
        </w:rPr>
        <w:t>Marketable securities at December 31, 2011 and 2010 consisted of debt securities, as detailed below, and equity securities. The aggregate fair value of the equity securities was $3.0 million and $3.6 million at December 31, 2011 and 2010, respectively, and the aggregate cost basis was $4.0 million at both December 31, 2011 and 2010. The Company also held restricted marketable securities at both December 31, 2011 and December 31, 2010, which consisted of debt securities, as detailed below, that collateralize letters of credit and lease obligations.</w:t>
      </w:r>
    </w:p>
    <w:p>
      <w:pPr>
        <w:spacing w:after="0" w:line="198" w:lineRule="exact"/>
        <w:rPr>
          <w:sz w:val="20"/>
          <w:szCs w:val="20"/>
          <w:color w:val="auto"/>
        </w:rPr>
      </w:pPr>
    </w:p>
    <w:p>
      <w:pPr>
        <w:jc w:val="both"/>
        <w:ind w:right="20" w:firstLine="279"/>
        <w:spacing w:after="0" w:line="260" w:lineRule="auto"/>
        <w:rPr>
          <w:sz w:val="20"/>
          <w:szCs w:val="20"/>
          <w:color w:val="auto"/>
        </w:rPr>
      </w:pPr>
      <w:r>
        <w:rPr>
          <w:rFonts w:ascii="Arial" w:cs="Arial" w:eastAsia="Arial" w:hAnsi="Arial"/>
          <w:sz w:val="16"/>
          <w:szCs w:val="16"/>
          <w:color w:val="auto"/>
        </w:rPr>
        <w:t>The following tables summarize the amortized cost basis of debt securities included in marketable securities, the aggregate fair value of those securities, and gross unrealized gains and losses on those securities at December 31, 2011 and 2010.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At December 31, 2011</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w w:val="99"/>
              </w:rPr>
              <w:t>Cost Basis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360" w:type="dxa"/>
            <w:vAlign w:val="bottom"/>
          </w:tcPr>
          <w:p>
            <w:pPr>
              <w:jc w:val="right"/>
              <w:ind w:right="41"/>
              <w:spacing w:after="0"/>
              <w:rPr>
                <w:sz w:val="20"/>
                <w:szCs w:val="20"/>
                <w:color w:val="auto"/>
              </w:rPr>
            </w:pPr>
            <w:r>
              <w:rPr>
                <w:rFonts w:ascii="Arial" w:cs="Arial" w:eastAsia="Arial" w:hAnsi="Arial"/>
                <w:sz w:val="16"/>
                <w:szCs w:val="16"/>
                <w:b w:val="1"/>
                <w:bCs w:val="1"/>
                <w:color w:val="auto"/>
                <w:w w:val="85"/>
              </w:rPr>
              <w:t>Net</w:t>
            </w:r>
          </w:p>
        </w:tc>
        <w:tc>
          <w:tcPr>
            <w:tcW w:w="20" w:type="dxa"/>
            <w:vAlign w:val="bottom"/>
          </w:tcPr>
          <w:p>
            <w:pPr>
              <w:spacing w:after="0"/>
              <w:rPr>
                <w:sz w:val="18"/>
                <w:szCs w:val="18"/>
                <w:color w:val="auto"/>
              </w:rPr>
            </w:pPr>
          </w:p>
        </w:tc>
      </w:tr>
      <w:tr>
        <w:trPr>
          <w:trHeight w:val="218"/>
        </w:trPr>
        <w:tc>
          <w:tcPr>
            <w:tcW w:w="4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3180" w:type="dxa"/>
            <w:vAlign w:val="bottom"/>
            <w:tcBorders>
              <w:top w:val="single" w:sz="8" w:color="auto"/>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40" w:type="dxa"/>
            <w:vAlign w:val="bottom"/>
            <w:tcBorders>
              <w:top w:val="single" w:sz="8" w:color="auto"/>
            </w:tcBorders>
            <w:shd w:val="clear" w:color="auto" w:fill="C0C0C0"/>
          </w:tcPr>
          <w:p>
            <w:pPr>
              <w:spacing w:after="0"/>
              <w:rPr>
                <w:sz w:val="18"/>
                <w:szCs w:val="18"/>
                <w:color w:val="auto"/>
              </w:rPr>
            </w:pPr>
          </w:p>
        </w:tc>
        <w:tc>
          <w:tcPr>
            <w:tcW w:w="2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280" w:type="dxa"/>
            <w:vAlign w:val="bottom"/>
            <w:tcBorders>
              <w:top w:val="single" w:sz="8" w:color="auto"/>
            </w:tcBorders>
            <w:shd w:val="clear" w:color="auto" w:fill="C0C0C0"/>
          </w:tcPr>
          <w:p>
            <w:pPr>
              <w:spacing w:after="0"/>
              <w:rPr>
                <w:sz w:val="18"/>
                <w:szCs w:val="18"/>
                <w:color w:val="auto"/>
              </w:rPr>
            </w:pPr>
          </w:p>
        </w:tc>
        <w:tc>
          <w:tcPr>
            <w:tcW w:w="80" w:type="dxa"/>
            <w:vAlign w:val="bottom"/>
            <w:tcBorders>
              <w:top w:val="single" w:sz="8" w:color="C0C0C0"/>
            </w:tcBorders>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24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36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Maturities within one year</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3580" w:type="dxa"/>
            <w:vAlign w:val="bottom"/>
            <w:gridSpan w:val="3"/>
            <w:shd w:val="clear" w:color="auto" w:fill="C0C0C0"/>
          </w:tcPr>
          <w:p>
            <w:pPr>
              <w:ind w:left="34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12,025</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12,067</w:t>
            </w:r>
          </w:p>
        </w:tc>
        <w:tc>
          <w:tcPr>
            <w:tcW w:w="36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9"/>
                <w:szCs w:val="19"/>
                <w:color w:val="auto"/>
              </w:rPr>
            </w:pPr>
          </w:p>
        </w:tc>
      </w:tr>
      <w:tr>
        <w:trPr>
          <w:trHeight w:val="204"/>
        </w:trPr>
        <w:tc>
          <w:tcPr>
            <w:tcW w:w="4260" w:type="dxa"/>
            <w:vAlign w:val="bottom"/>
          </w:tcPr>
          <w:p>
            <w:pPr>
              <w:ind w:left="280"/>
              <w:spacing w:after="0"/>
              <w:rPr>
                <w:sz w:val="20"/>
                <w:szCs w:val="20"/>
                <w:color w:val="auto"/>
              </w:rPr>
            </w:pPr>
            <w:r>
              <w:rPr>
                <w:rFonts w:ascii="Arial" w:cs="Arial" w:eastAsia="Arial" w:hAnsi="Arial"/>
                <w:sz w:val="16"/>
                <w:szCs w:val="16"/>
                <w:color w:val="auto"/>
              </w:rPr>
              <w:t>U.S. government guaranteed corporate</w:t>
            </w: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260" w:type="dxa"/>
            <w:vAlign w:val="bottom"/>
          </w:tcPr>
          <w:p>
            <w:pPr>
              <w:ind w:left="540"/>
              <w:spacing w:after="0"/>
              <w:rPr>
                <w:sz w:val="20"/>
                <w:szCs w:val="20"/>
                <w:color w:val="auto"/>
              </w:rPr>
            </w:pPr>
            <w:r>
              <w:rPr>
                <w:rFonts w:ascii="Arial" w:cs="Arial" w:eastAsia="Arial" w:hAnsi="Arial"/>
                <w:sz w:val="16"/>
                <w:szCs w:val="16"/>
                <w:color w:val="auto"/>
              </w:rPr>
              <w:t>bonds</w:t>
            </w: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15,263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9"/>
                <w:szCs w:val="19"/>
                <w:color w:val="auto"/>
              </w:rPr>
            </w:pPr>
          </w:p>
        </w:tc>
      </w:tr>
      <w:tr>
        <w:trPr>
          <w:trHeight w:val="211"/>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 collateralized</w:t>
            </w: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4260" w:type="dxa"/>
            <w:vAlign w:val="bottom"/>
            <w:shd w:val="clear" w:color="auto" w:fill="C0C0C0"/>
          </w:tcPr>
          <w:p>
            <w:pPr>
              <w:ind w:left="540"/>
              <w:spacing w:after="0"/>
              <w:rPr>
                <w:sz w:val="20"/>
                <w:szCs w:val="20"/>
                <w:color w:val="auto"/>
              </w:rPr>
            </w:pPr>
            <w:r>
              <w:rPr>
                <w:rFonts w:ascii="Arial" w:cs="Arial" w:eastAsia="Arial" w:hAnsi="Arial"/>
                <w:sz w:val="16"/>
                <w:szCs w:val="16"/>
                <w:color w:val="auto"/>
              </w:rPr>
              <w:t>mortgage obligations</w:t>
            </w:r>
          </w:p>
        </w:tc>
        <w:tc>
          <w:tcPr>
            <w:tcW w:w="31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622</w:t>
            </w:r>
          </w:p>
        </w:tc>
        <w:tc>
          <w:tcPr>
            <w:tcW w:w="2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(1)</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r>
      <w:tr>
        <w:trPr>
          <w:trHeight w:val="211"/>
        </w:trPr>
        <w:tc>
          <w:tcPr>
            <w:tcW w:w="426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15,314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0"/>
        </w:trPr>
        <w:tc>
          <w:tcPr>
            <w:tcW w:w="4260" w:type="dxa"/>
            <w:vAlign w:val="bottom"/>
            <w:shd w:val="clear" w:color="auto" w:fill="C0C0C0"/>
          </w:tcPr>
          <w:p>
            <w:pPr>
              <w:spacing w:after="0" w:line="20" w:lineRule="exact"/>
              <w:rPr>
                <w:sz w:val="1"/>
                <w:szCs w:val="1"/>
                <w:color w:val="auto"/>
              </w:rPr>
            </w:pPr>
          </w:p>
        </w:tc>
        <w:tc>
          <w:tcPr>
            <w:tcW w:w="3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60" w:type="dxa"/>
            <w:vAlign w:val="bottom"/>
            <w:shd w:val="clear" w:color="auto" w:fill="C0C0C0"/>
          </w:tcPr>
          <w:p>
            <w:pPr>
              <w:spacing w:after="0"/>
              <w:rPr>
                <w:sz w:val="18"/>
                <w:szCs w:val="18"/>
                <w:color w:val="auto"/>
              </w:rPr>
            </w:pP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43,225</w:t>
            </w: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43,331</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w w:val="97"/>
              </w:rPr>
              <w:t>108</w:t>
            </w:r>
          </w:p>
        </w:tc>
        <w:tc>
          <w:tcPr>
            <w:tcW w:w="72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(2)</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9"/>
              </w:rPr>
              <w:t>106</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color w:val="auto"/>
              </w:rPr>
              <w:t>Maturities after one year through five years</w:t>
            </w: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ind w:left="280"/>
              <w:spacing w:after="0"/>
              <w:rPr>
                <w:sz w:val="20"/>
                <w:szCs w:val="20"/>
                <w:color w:val="auto"/>
              </w:rPr>
            </w:pPr>
            <w:r>
              <w:rPr>
                <w:rFonts w:ascii="Arial" w:cs="Arial" w:eastAsia="Arial" w:hAnsi="Arial"/>
                <w:sz w:val="16"/>
                <w:szCs w:val="16"/>
                <w:color w:val="auto"/>
              </w:rPr>
              <w:t>U.S. government obligations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272,433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272,752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400</w:t>
            </w: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w w:val="89"/>
              </w:rPr>
              <w:t>319</w:t>
            </w:r>
          </w:p>
        </w:tc>
        <w:tc>
          <w:tcPr>
            <w:tcW w:w="20" w:type="dxa"/>
            <w:vAlign w:val="bottom"/>
          </w:tcPr>
          <w:p>
            <w:pPr>
              <w:spacing w:after="0"/>
              <w:rPr>
                <w:sz w:val="18"/>
                <w:szCs w:val="18"/>
                <w:color w:val="auto"/>
              </w:rPr>
            </w:pPr>
          </w:p>
        </w:tc>
      </w:tr>
      <w:tr>
        <w:trPr>
          <w:trHeight w:val="218"/>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Mortgage-backed securities</w:t>
            </w: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8"/>
              </w:rPr>
              <w:t>(76)</w:t>
            </w:r>
          </w:p>
        </w:tc>
        <w:tc>
          <w:tcPr>
            <w:tcW w:w="2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272,537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272,780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400</w:t>
            </w: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w w:val="89"/>
              </w:rPr>
              <w:t>243</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color w:val="auto"/>
              </w:rPr>
              <w:t>Maturities after five years through ten years</w:t>
            </w: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8"/>
              </w:rPr>
              <w:t>(77)</w:t>
            </w:r>
          </w:p>
        </w:tc>
        <w:tc>
          <w:tcPr>
            <w:tcW w:w="20" w:type="dxa"/>
            <w:vAlign w:val="bottom"/>
          </w:tcPr>
          <w:p>
            <w:pPr>
              <w:spacing w:after="0"/>
              <w:rPr>
                <w:sz w:val="18"/>
                <w:szCs w:val="18"/>
                <w:color w:val="auto"/>
              </w:rPr>
            </w:pPr>
          </w:p>
        </w:tc>
      </w:tr>
      <w:tr>
        <w:trPr>
          <w:trHeight w:val="20"/>
        </w:trPr>
        <w:tc>
          <w:tcPr>
            <w:tcW w:w="4260" w:type="dxa"/>
            <w:vAlign w:val="bottom"/>
            <w:shd w:val="clear" w:color="auto" w:fill="C0C0C0"/>
          </w:tcPr>
          <w:p>
            <w:pPr>
              <w:spacing w:after="0" w:line="20" w:lineRule="exact"/>
              <w:rPr>
                <w:sz w:val="1"/>
                <w:szCs w:val="1"/>
                <w:color w:val="auto"/>
              </w:rPr>
            </w:pPr>
          </w:p>
        </w:tc>
        <w:tc>
          <w:tcPr>
            <w:tcW w:w="3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60" w:type="dxa"/>
            <w:vAlign w:val="bottom"/>
            <w:shd w:val="clear" w:color="auto" w:fill="C0C0C0"/>
          </w:tcPr>
          <w:p>
            <w:pPr>
              <w:spacing w:after="0"/>
              <w:rPr>
                <w:sz w:val="18"/>
                <w:szCs w:val="18"/>
                <w:color w:val="auto"/>
              </w:rPr>
            </w:pP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w w:val="96"/>
              </w:rPr>
              <w:t>315,926</w:t>
            </w: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9"/>
              </w:rPr>
              <w:t>316,198</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w w:val="97"/>
              </w:rPr>
              <w:t>508</w:t>
            </w:r>
          </w:p>
        </w:tc>
        <w:tc>
          <w:tcPr>
            <w:tcW w:w="72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(236)</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9"/>
              </w:rPr>
              <w:t>272</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Restricted</w:t>
            </w: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Maturities within one year</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31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3,347</w:t>
            </w: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3,357</w:t>
            </w:r>
          </w:p>
        </w:tc>
        <w:tc>
          <w:tcPr>
            <w:tcW w:w="2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9"/>
                <w:szCs w:val="19"/>
                <w:color w:val="auto"/>
              </w:rPr>
            </w:pPr>
          </w:p>
        </w:tc>
      </w:tr>
      <w:tr>
        <w:trPr>
          <w:trHeight w:val="218"/>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color w:val="auto"/>
              </w:rPr>
              <w:t>Maturities after one year through five years</w:t>
            </w: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ind w:left="280"/>
              <w:spacing w:after="0"/>
              <w:rPr>
                <w:sz w:val="20"/>
                <w:szCs w:val="20"/>
                <w:color w:val="auto"/>
              </w:rPr>
            </w:pPr>
            <w:r>
              <w:rPr>
                <w:rFonts w:ascii="Arial" w:cs="Arial" w:eastAsia="Arial" w:hAnsi="Arial"/>
                <w:sz w:val="16"/>
                <w:szCs w:val="16"/>
                <w:color w:val="auto"/>
              </w:rPr>
              <w:t>U.S. government obligations</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r>
      <w:tr>
        <w:trPr>
          <w:trHeight w:val="20"/>
        </w:trPr>
        <w:tc>
          <w:tcPr>
            <w:tcW w:w="4260" w:type="dxa"/>
            <w:vAlign w:val="bottom"/>
            <w:shd w:val="clear" w:color="auto" w:fill="C0C0C0"/>
          </w:tcPr>
          <w:p>
            <w:pPr>
              <w:spacing w:after="0" w:line="20" w:lineRule="exact"/>
              <w:rPr>
                <w:sz w:val="1"/>
                <w:szCs w:val="1"/>
                <w:color w:val="auto"/>
              </w:rPr>
            </w:pPr>
          </w:p>
        </w:tc>
        <w:tc>
          <w:tcPr>
            <w:tcW w:w="31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60" w:type="dxa"/>
            <w:vAlign w:val="bottom"/>
            <w:shd w:val="clear" w:color="auto" w:fill="C0C0C0"/>
          </w:tcPr>
          <w:p>
            <w:pPr>
              <w:spacing w:after="0"/>
              <w:rPr>
                <w:sz w:val="18"/>
                <w:szCs w:val="18"/>
                <w:color w:val="auto"/>
              </w:rPr>
            </w:pPr>
          </w:p>
        </w:tc>
        <w:tc>
          <w:tcPr>
            <w:tcW w:w="31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5,919</w:t>
            </w: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5,940</w:t>
            </w:r>
          </w:p>
        </w:tc>
        <w:tc>
          <w:tcPr>
            <w:tcW w:w="2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4260" w:type="dxa"/>
            <w:vAlign w:val="bottom"/>
            <w:shd w:val="clear" w:color="auto" w:fill="C0C0C0"/>
          </w:tcPr>
          <w:p>
            <w:pPr>
              <w:spacing w:after="0"/>
              <w:rPr>
                <w:sz w:val="19"/>
                <w:szCs w:val="19"/>
                <w:color w:val="auto"/>
              </w:rPr>
            </w:pPr>
          </w:p>
        </w:tc>
        <w:tc>
          <w:tcPr>
            <w:tcW w:w="3580" w:type="dxa"/>
            <w:vAlign w:val="bottom"/>
            <w:gridSpan w:val="3"/>
            <w:shd w:val="clear" w:color="auto" w:fill="C0C0C0"/>
          </w:tcPr>
          <w:p>
            <w:pPr>
              <w:ind w:left="34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w w:val="96"/>
              </w:rPr>
              <w:t>321,845</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9"/>
              </w:rPr>
              <w:t>322,138</w:t>
            </w:r>
          </w:p>
        </w:tc>
        <w:tc>
          <w:tcPr>
            <w:tcW w:w="36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w w:val="97"/>
              </w:rPr>
              <w:t>529</w:t>
            </w:r>
          </w:p>
        </w:tc>
        <w:tc>
          <w:tcPr>
            <w:tcW w:w="72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 (236)</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9"/>
              </w:rPr>
              <w:t>293</w:t>
            </w:r>
          </w:p>
        </w:tc>
        <w:tc>
          <w:tcPr>
            <w:tcW w:w="20" w:type="dxa"/>
            <w:vAlign w:val="bottom"/>
          </w:tcPr>
          <w:p>
            <w:pPr>
              <w:spacing w:after="0"/>
              <w:rPr>
                <w:sz w:val="19"/>
                <w:szCs w:val="19"/>
                <w:color w:val="auto"/>
              </w:rPr>
            </w:pPr>
          </w:p>
        </w:tc>
      </w:tr>
      <w:tr>
        <w:trPr>
          <w:trHeight w:val="604"/>
        </w:trPr>
        <w:tc>
          <w:tcPr>
            <w:tcW w:w="4260" w:type="dxa"/>
            <w:vAlign w:val="bottom"/>
            <w:tcBorders>
              <w:top w:val="single" w:sz="8" w:color="C0C0C0"/>
            </w:tcBorders>
          </w:tcPr>
          <w:p>
            <w:pPr>
              <w:spacing w:after="0"/>
              <w:rPr>
                <w:sz w:val="24"/>
                <w:szCs w:val="24"/>
                <w:color w:val="auto"/>
              </w:rPr>
            </w:pPr>
          </w:p>
        </w:tc>
        <w:tc>
          <w:tcPr>
            <w:tcW w:w="3440" w:type="dxa"/>
            <w:vAlign w:val="bottom"/>
            <w:tcBorders>
              <w:top w:val="single" w:sz="8" w:color="C0C0C0"/>
            </w:tcBorders>
            <w:gridSpan w:val="2"/>
          </w:tcPr>
          <w:p>
            <w:pPr>
              <w:ind w:left="1300"/>
              <w:spacing w:after="0"/>
              <w:rPr>
                <w:sz w:val="20"/>
                <w:szCs w:val="20"/>
                <w:color w:val="auto"/>
              </w:rPr>
            </w:pPr>
            <w:r>
              <w:rPr>
                <w:rFonts w:ascii="Arial" w:cs="Arial" w:eastAsia="Arial" w:hAnsi="Arial"/>
                <w:sz w:val="16"/>
                <w:szCs w:val="16"/>
                <w:color w:val="auto"/>
              </w:rPr>
              <w:t>F-20</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26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ind w:left="8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spacing w:after="0"/>
              <w:rPr>
                <w:sz w:val="20"/>
                <w:szCs w:val="20"/>
                <w:color w:val="auto"/>
              </w:rPr>
            </w:pPr>
            <w:r>
              <w:rPr>
                <w:rFonts w:ascii="Arial" w:cs="Arial" w:eastAsia="Arial" w:hAnsi="Arial"/>
                <w:sz w:val="16"/>
                <w:szCs w:val="16"/>
                <w:b w:val="1"/>
                <w:bCs w:val="1"/>
                <w:color w:val="auto"/>
              </w:rPr>
              <w:t>At December 31, 2010</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Cost Basis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Gains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(Losses)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18"/>
                <w:szCs w:val="18"/>
                <w:color w:val="auto"/>
              </w:rPr>
            </w:pPr>
          </w:p>
        </w:tc>
      </w:tr>
      <w:tr>
        <w:trPr>
          <w:trHeight w:val="218"/>
        </w:trPr>
        <w:tc>
          <w:tcPr>
            <w:tcW w:w="4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2920" w:type="dxa"/>
            <w:vAlign w:val="bottom"/>
            <w:tcBorders>
              <w:top w:val="single" w:sz="8" w:color="auto"/>
            </w:tcBorders>
            <w:shd w:val="clear" w:color="auto" w:fill="C0C0C0"/>
          </w:tcPr>
          <w:p>
            <w:pPr>
              <w:spacing w:after="0"/>
              <w:rPr>
                <w:sz w:val="18"/>
                <w:szCs w:val="18"/>
                <w:color w:val="auto"/>
              </w:rPr>
            </w:pPr>
          </w:p>
        </w:tc>
        <w:tc>
          <w:tcPr>
            <w:tcW w:w="240" w:type="dxa"/>
            <w:vAlign w:val="bottom"/>
            <w:tcBorders>
              <w:top w:val="single" w:sz="8" w:color="C0C0C0"/>
            </w:tcBorders>
            <w:shd w:val="clear" w:color="auto" w:fill="C0C0C0"/>
          </w:tcPr>
          <w:p>
            <w:pPr>
              <w:spacing w:after="0"/>
              <w:rPr>
                <w:sz w:val="18"/>
                <w:szCs w:val="18"/>
                <w:color w:val="auto"/>
              </w:rPr>
            </w:pPr>
          </w:p>
        </w:tc>
        <w:tc>
          <w:tcPr>
            <w:tcW w:w="16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20" w:type="dxa"/>
            <w:vAlign w:val="bottom"/>
            <w:tcBorders>
              <w:top w:val="single" w:sz="8" w:color="auto"/>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300" w:type="dxa"/>
            <w:vAlign w:val="bottom"/>
            <w:tcBorders>
              <w:top w:val="single" w:sz="8" w:color="auto"/>
            </w:tcBorders>
            <w:shd w:val="clear" w:color="auto" w:fill="C0C0C0"/>
          </w:tcPr>
          <w:p>
            <w:pPr>
              <w:spacing w:after="0"/>
              <w:rPr>
                <w:sz w:val="18"/>
                <w:szCs w:val="18"/>
                <w:color w:val="auto"/>
              </w:rPr>
            </w:pPr>
          </w:p>
        </w:tc>
        <w:tc>
          <w:tcPr>
            <w:tcW w:w="80" w:type="dxa"/>
            <w:vAlign w:val="bottom"/>
            <w:tcBorders>
              <w:top w:val="single" w:sz="8" w:color="C0C0C0"/>
            </w:tcBorders>
            <w:shd w:val="clear" w:color="auto" w:fill="C0C0C0"/>
          </w:tcPr>
          <w:p>
            <w:pPr>
              <w:spacing w:after="0"/>
              <w:rPr>
                <w:sz w:val="18"/>
                <w:szCs w:val="18"/>
                <w:color w:val="auto"/>
              </w:rPr>
            </w:pPr>
          </w:p>
        </w:tc>
        <w:tc>
          <w:tcPr>
            <w:tcW w:w="180" w:type="dxa"/>
            <w:vAlign w:val="bottom"/>
            <w:tcBorders>
              <w:top w:val="single" w:sz="8" w:color="C0C0C0"/>
            </w:tcBorders>
            <w:shd w:val="clear" w:color="auto" w:fill="C0C0C0"/>
          </w:tcPr>
          <w:p>
            <w:pPr>
              <w:spacing w:after="0"/>
              <w:rPr>
                <w:sz w:val="18"/>
                <w:szCs w:val="18"/>
                <w:color w:val="auto"/>
              </w:rPr>
            </w:pPr>
          </w:p>
        </w:tc>
        <w:tc>
          <w:tcPr>
            <w:tcW w:w="80" w:type="dxa"/>
            <w:vAlign w:val="bottom"/>
            <w:tcBorders>
              <w:top w:val="single" w:sz="8" w:color="auto"/>
            </w:tcBorders>
            <w:shd w:val="clear" w:color="auto" w:fill="C0C0C0"/>
          </w:tcPr>
          <w:p>
            <w:pPr>
              <w:spacing w:after="0"/>
              <w:rPr>
                <w:sz w:val="18"/>
                <w:szCs w:val="18"/>
                <w:color w:val="auto"/>
              </w:rPr>
            </w:pPr>
          </w:p>
        </w:tc>
        <w:tc>
          <w:tcPr>
            <w:tcW w:w="520" w:type="dxa"/>
            <w:vAlign w:val="bottom"/>
            <w:tcBorders>
              <w:top w:val="single" w:sz="8" w:color="auto"/>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80" w:type="dxa"/>
            <w:vAlign w:val="bottom"/>
            <w:tcBorders>
              <w:top w:val="single" w:sz="8" w:color="auto"/>
            </w:tcBorders>
            <w:shd w:val="clear" w:color="auto" w:fill="C0C0C0"/>
          </w:tcPr>
          <w:p>
            <w:pPr>
              <w:spacing w:after="0"/>
              <w:rPr>
                <w:sz w:val="18"/>
                <w:szCs w:val="18"/>
                <w:color w:val="auto"/>
              </w:rPr>
            </w:pPr>
          </w:p>
        </w:tc>
        <w:tc>
          <w:tcPr>
            <w:tcW w:w="54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Maturities within one year</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3320" w:type="dxa"/>
            <w:vAlign w:val="bottom"/>
            <w:gridSpan w:val="3"/>
            <w:shd w:val="clear" w:color="auto" w:fill="C0C0C0"/>
          </w:tcPr>
          <w:p>
            <w:pPr>
              <w:ind w:left="3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83,635</w:t>
            </w:r>
          </w:p>
        </w:tc>
        <w:tc>
          <w:tcPr>
            <w:tcW w:w="120" w:type="dxa"/>
            <w:vAlign w:val="bottom"/>
            <w:shd w:val="clear" w:color="auto" w:fill="C0C0C0"/>
          </w:tcPr>
          <w:p>
            <w:pPr>
              <w:spacing w:after="0"/>
              <w:rPr>
                <w:sz w:val="19"/>
                <w:szCs w:val="19"/>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83,684</w:t>
            </w: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54</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0C0C0"/>
          </w:tcPr>
          <w:p>
            <w:pPr>
              <w:spacing w:after="0"/>
              <w:rPr>
                <w:sz w:val="19"/>
                <w:szCs w:val="19"/>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9"/>
                <w:szCs w:val="19"/>
                <w:color w:val="auto"/>
              </w:rPr>
            </w:pPr>
          </w:p>
        </w:tc>
      </w:tr>
      <w:tr>
        <w:trPr>
          <w:trHeight w:val="204"/>
        </w:trPr>
        <w:tc>
          <w:tcPr>
            <w:tcW w:w="4260" w:type="dxa"/>
            <w:vAlign w:val="bottom"/>
          </w:tcPr>
          <w:p>
            <w:pPr>
              <w:ind w:left="280"/>
              <w:spacing w:after="0"/>
              <w:rPr>
                <w:sz w:val="20"/>
                <w:szCs w:val="20"/>
                <w:color w:val="auto"/>
              </w:rPr>
            </w:pPr>
            <w:r>
              <w:rPr>
                <w:rFonts w:ascii="Arial" w:cs="Arial" w:eastAsia="Arial" w:hAnsi="Arial"/>
                <w:sz w:val="16"/>
                <w:szCs w:val="16"/>
                <w:color w:val="auto"/>
              </w:rPr>
              <w:t>U.S. government guaranteed corporate</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4260" w:type="dxa"/>
            <w:vAlign w:val="bottom"/>
          </w:tcPr>
          <w:p>
            <w:pPr>
              <w:ind w:left="540"/>
              <w:spacing w:after="0"/>
              <w:rPr>
                <w:sz w:val="20"/>
                <w:szCs w:val="20"/>
                <w:color w:val="auto"/>
              </w:rPr>
            </w:pPr>
            <w:r>
              <w:rPr>
                <w:rFonts w:ascii="Arial" w:cs="Arial" w:eastAsia="Arial" w:hAnsi="Arial"/>
                <w:sz w:val="16"/>
                <w:szCs w:val="16"/>
                <w:color w:val="auto"/>
              </w:rPr>
              <w:t>bonds</w:t>
            </w:r>
          </w:p>
        </w:tc>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48,531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358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9"/>
                <w:szCs w:val="19"/>
                <w:color w:val="auto"/>
              </w:rPr>
            </w:pPr>
          </w:p>
        </w:tc>
      </w:tr>
      <w:tr>
        <w:trPr>
          <w:trHeight w:val="211"/>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 collateralized</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4260" w:type="dxa"/>
            <w:vAlign w:val="bottom"/>
            <w:shd w:val="clear" w:color="auto" w:fill="C0C0C0"/>
          </w:tcPr>
          <w:p>
            <w:pPr>
              <w:ind w:left="540"/>
              <w:spacing w:after="0"/>
              <w:rPr>
                <w:sz w:val="20"/>
                <w:szCs w:val="20"/>
                <w:color w:val="auto"/>
              </w:rPr>
            </w:pPr>
            <w:r>
              <w:rPr>
                <w:rFonts w:ascii="Arial" w:cs="Arial" w:eastAsia="Arial" w:hAnsi="Arial"/>
                <w:sz w:val="16"/>
                <w:szCs w:val="16"/>
                <w:color w:val="auto"/>
              </w:rPr>
              <w:t>mortgage obligations</w:t>
            </w:r>
          </w:p>
        </w:tc>
        <w:tc>
          <w:tcPr>
            <w:tcW w:w="29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2,131</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104</w:t>
            </w:r>
          </w:p>
        </w:tc>
        <w:tc>
          <w:tcPr>
            <w:tcW w:w="1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20"/>
                <w:szCs w:val="20"/>
                <w:color w:val="auto"/>
              </w:rPr>
            </w:pPr>
          </w:p>
        </w:tc>
      </w:tr>
      <w:tr>
        <w:trPr>
          <w:trHeight w:val="211"/>
        </w:trPr>
        <w:tc>
          <w:tcPr>
            <w:tcW w:w="426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18"/>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Mortgage-backed securities</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tcBorders>
              <w:bottom w:val="single" w:sz="8" w:color="auto"/>
            </w:tcBorders>
            <w:shd w:val="clear" w:color="auto" w:fill="C0C0C0"/>
          </w:tcPr>
          <w:p>
            <w:pPr>
              <w:spacing w:after="0"/>
              <w:rPr>
                <w:sz w:val="18"/>
                <w:szCs w:val="18"/>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847</w:t>
            </w:r>
          </w:p>
        </w:tc>
        <w:tc>
          <w:tcPr>
            <w:tcW w:w="26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300" w:type="dxa"/>
            <w:vAlign w:val="bottom"/>
            <w:tcBorders>
              <w:bottom w:val="single" w:sz="8" w:color="auto"/>
            </w:tcBorders>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r>
      <w:tr>
        <w:trPr>
          <w:trHeight w:val="211"/>
        </w:trPr>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136,307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136,796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522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489</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color w:val="auto"/>
              </w:rPr>
              <w:t>Maturities after one year through five years</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ind w:left="280"/>
              <w:spacing w:after="0"/>
              <w:rPr>
                <w:sz w:val="20"/>
                <w:szCs w:val="20"/>
                <w:color w:val="auto"/>
              </w:rPr>
            </w:pPr>
            <w:r>
              <w:rPr>
                <w:rFonts w:ascii="Arial" w:cs="Arial" w:eastAsia="Arial" w:hAnsi="Arial"/>
                <w:sz w:val="16"/>
                <w:szCs w:val="16"/>
                <w:color w:val="auto"/>
              </w:rPr>
              <w:t>U.S. government obligations</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352,345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350,683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(1,726)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(1,662)</w:t>
            </w:r>
          </w:p>
        </w:tc>
        <w:tc>
          <w:tcPr>
            <w:tcW w:w="20" w:type="dxa"/>
            <w:vAlign w:val="bottom"/>
          </w:tcPr>
          <w:p>
            <w:pPr>
              <w:spacing w:after="0"/>
              <w:rPr>
                <w:sz w:val="18"/>
                <w:szCs w:val="18"/>
                <w:color w:val="auto"/>
              </w:rPr>
            </w:pPr>
          </w:p>
        </w:tc>
      </w:tr>
      <w:tr>
        <w:trPr>
          <w:trHeight w:val="211"/>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 corporate</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4260" w:type="dxa"/>
            <w:vAlign w:val="bottom"/>
            <w:shd w:val="clear" w:color="auto" w:fill="C0C0C0"/>
          </w:tcPr>
          <w:p>
            <w:pPr>
              <w:ind w:left="540"/>
              <w:spacing w:after="0"/>
              <w:rPr>
                <w:sz w:val="20"/>
                <w:szCs w:val="20"/>
                <w:color w:val="auto"/>
              </w:rPr>
            </w:pPr>
            <w:r>
              <w:rPr>
                <w:rFonts w:ascii="Arial" w:cs="Arial" w:eastAsia="Arial" w:hAnsi="Arial"/>
                <w:sz w:val="16"/>
                <w:szCs w:val="16"/>
                <w:color w:val="auto"/>
              </w:rPr>
              <w:t>bonds</w:t>
            </w:r>
          </w:p>
        </w:tc>
        <w:tc>
          <w:tcPr>
            <w:tcW w:w="29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15,522</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15,477</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20"/>
                <w:szCs w:val="20"/>
                <w:color w:val="auto"/>
              </w:rPr>
            </w:pPr>
          </w:p>
        </w:tc>
      </w:tr>
      <w:tr>
        <w:trPr>
          <w:trHeight w:val="211"/>
        </w:trPr>
        <w:tc>
          <w:tcPr>
            <w:tcW w:w="42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Mortgage-backed securities</w:t>
            </w:r>
          </w:p>
        </w:tc>
        <w:tc>
          <w:tcPr>
            <w:tcW w:w="292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0C0C0"/>
            </w:tcBorders>
          </w:tcPr>
          <w:p>
            <w:pPr>
              <w:spacing w:after="0"/>
              <w:rPr>
                <w:sz w:val="18"/>
                <w:szCs w:val="18"/>
                <w:color w:val="auto"/>
              </w:rPr>
            </w:pPr>
          </w:p>
        </w:tc>
        <w:tc>
          <w:tcPr>
            <w:tcW w:w="18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8"/>
                <w:szCs w:val="18"/>
                <w:color w:val="auto"/>
              </w:rPr>
            </w:pPr>
          </w:p>
        </w:tc>
      </w:tr>
      <w:tr>
        <w:trPr>
          <w:trHeight w:val="211"/>
        </w:trPr>
        <w:tc>
          <w:tcPr>
            <w:tcW w:w="4260" w:type="dxa"/>
            <w:vAlign w:val="bottom"/>
            <w:shd w:val="clear" w:color="auto" w:fill="C0C0C0"/>
          </w:tcPr>
          <w:p>
            <w:pPr>
              <w:spacing w:after="0"/>
              <w:rPr>
                <w:sz w:val="18"/>
                <w:szCs w:val="18"/>
                <w:color w:val="auto"/>
              </w:rPr>
            </w:pP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367,977</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6"/>
              </w:rPr>
              <w:t>366,198</w:t>
            </w: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(1,843)</w:t>
            </w: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(1,779)</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color w:val="auto"/>
              </w:rPr>
              <w:t>Maturities after five years through ten years</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Mortgage-backed securities</w:t>
            </w:r>
          </w:p>
        </w:tc>
        <w:tc>
          <w:tcPr>
            <w:tcW w:w="292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26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0C0C0"/>
            </w:tcBorders>
          </w:tcPr>
          <w:p>
            <w:pPr>
              <w:spacing w:after="0"/>
              <w:rPr>
                <w:sz w:val="18"/>
                <w:szCs w:val="18"/>
                <w:color w:val="auto"/>
              </w:rPr>
            </w:pPr>
          </w:p>
        </w:tc>
        <w:tc>
          <w:tcPr>
            <w:tcW w:w="18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r>
      <w:tr>
        <w:trPr>
          <w:trHeight w:val="211"/>
        </w:trPr>
        <w:tc>
          <w:tcPr>
            <w:tcW w:w="4260" w:type="dxa"/>
            <w:vAlign w:val="bottom"/>
            <w:shd w:val="clear" w:color="auto" w:fill="C0C0C0"/>
          </w:tcPr>
          <w:p>
            <w:pPr>
              <w:spacing w:after="0"/>
              <w:rPr>
                <w:sz w:val="18"/>
                <w:szCs w:val="18"/>
                <w:color w:val="auto"/>
              </w:rPr>
            </w:pP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504,568</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6"/>
              </w:rPr>
              <w:t>503,237</w:t>
            </w: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586</w:t>
            </w: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(1.917)</w:t>
            </w: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(1,331)</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Restricted</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Maturities within one year</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26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29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2,922</w:t>
            </w: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2,921</w:t>
            </w: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18"/>
        </w:trPr>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4260" w:type="dxa"/>
            <w:vAlign w:val="bottom"/>
            <w:shd w:val="clear" w:color="auto" w:fill="C0C0C0"/>
          </w:tcPr>
          <w:p>
            <w:pPr>
              <w:spacing w:after="0"/>
              <w:rPr>
                <w:sz w:val="20"/>
                <w:szCs w:val="20"/>
                <w:color w:val="auto"/>
              </w:rPr>
            </w:pPr>
            <w:r>
              <w:rPr>
                <w:rFonts w:ascii="Arial" w:cs="Arial" w:eastAsia="Arial" w:hAnsi="Arial"/>
                <w:sz w:val="16"/>
                <w:szCs w:val="16"/>
                <w:color w:val="auto"/>
              </w:rPr>
              <w:t>Maturities after one year through five years</w:t>
            </w: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U.S. government obligations</w:t>
            </w:r>
          </w:p>
        </w:tc>
        <w:tc>
          <w:tcPr>
            <w:tcW w:w="292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w:t>
            </w:r>
          </w:p>
        </w:tc>
        <w:tc>
          <w:tcPr>
            <w:tcW w:w="26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0C0C0"/>
            </w:tcBorders>
          </w:tcPr>
          <w:p>
            <w:pPr>
              <w:spacing w:after="0"/>
              <w:rPr>
                <w:sz w:val="18"/>
                <w:szCs w:val="18"/>
                <w:color w:val="auto"/>
              </w:rPr>
            </w:pPr>
          </w:p>
        </w:tc>
        <w:tc>
          <w:tcPr>
            <w:tcW w:w="18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r>
      <w:tr>
        <w:trPr>
          <w:trHeight w:val="211"/>
        </w:trPr>
        <w:tc>
          <w:tcPr>
            <w:tcW w:w="4260" w:type="dxa"/>
            <w:vAlign w:val="bottom"/>
            <w:shd w:val="clear" w:color="auto" w:fill="C0C0C0"/>
          </w:tcPr>
          <w:p>
            <w:pPr>
              <w:spacing w:after="0"/>
              <w:rPr>
                <w:sz w:val="18"/>
                <w:szCs w:val="18"/>
                <w:color w:val="auto"/>
              </w:rPr>
            </w:pPr>
          </w:p>
        </w:tc>
        <w:tc>
          <w:tcPr>
            <w:tcW w:w="2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tcBorders>
              <w:bottom w:val="single" w:sz="8" w:color="auto"/>
            </w:tcBorders>
            <w:shd w:val="clear" w:color="auto" w:fill="C0C0C0"/>
          </w:tcPr>
          <w:p>
            <w:pPr>
              <w:spacing w:after="0"/>
              <w:rPr>
                <w:sz w:val="18"/>
                <w:szCs w:val="18"/>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7,057</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7,039</w:t>
            </w:r>
          </w:p>
        </w:tc>
        <w:tc>
          <w:tcPr>
            <w:tcW w:w="260" w:type="dxa"/>
            <w:vAlign w:val="bottom"/>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spacing w:after="0"/>
              <w:rPr>
                <w:sz w:val="18"/>
                <w:szCs w:val="18"/>
                <w:color w:val="auto"/>
              </w:rPr>
            </w:pPr>
          </w:p>
        </w:tc>
        <w:tc>
          <w:tcPr>
            <w:tcW w:w="300" w:type="dxa"/>
            <w:vAlign w:val="bottom"/>
            <w:tcBorders>
              <w:bottom w:val="single" w:sz="8" w:color="auto"/>
            </w:tcBorders>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r>
      <w:tr>
        <w:trPr>
          <w:trHeight w:val="206"/>
        </w:trPr>
        <w:tc>
          <w:tcPr>
            <w:tcW w:w="4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4260" w:type="dxa"/>
            <w:vAlign w:val="bottom"/>
            <w:shd w:val="clear" w:color="auto" w:fill="C0C0C0"/>
          </w:tcPr>
          <w:p>
            <w:pPr>
              <w:spacing w:after="0"/>
              <w:rPr>
                <w:sz w:val="19"/>
                <w:szCs w:val="19"/>
                <w:color w:val="auto"/>
              </w:rPr>
            </w:pPr>
          </w:p>
        </w:tc>
        <w:tc>
          <w:tcPr>
            <w:tcW w:w="3160" w:type="dxa"/>
            <w:vAlign w:val="bottom"/>
            <w:gridSpan w:val="2"/>
            <w:shd w:val="clear" w:color="auto" w:fill="C0C0C0"/>
          </w:tcPr>
          <w:p>
            <w:pPr>
              <w:spacing w:after="0"/>
              <w:rPr>
                <w:sz w:val="19"/>
                <w:szCs w:val="19"/>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511,625</w:t>
            </w:r>
          </w:p>
        </w:tc>
        <w:tc>
          <w:tcPr>
            <w:tcW w:w="120" w:type="dxa"/>
            <w:vAlign w:val="bottom"/>
            <w:shd w:val="clear" w:color="auto" w:fill="C0C0C0"/>
          </w:tcPr>
          <w:p>
            <w:pPr>
              <w:spacing w:after="0"/>
              <w:rPr>
                <w:sz w:val="19"/>
                <w:szCs w:val="19"/>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6"/>
              </w:rPr>
              <w:t>510,276</w:t>
            </w: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0C0C0"/>
          </w:tcPr>
          <w:p>
            <w:pPr>
              <w:jc w:val="right"/>
              <w:ind w:right="80"/>
              <w:spacing w:after="0"/>
              <w:rPr>
                <w:sz w:val="20"/>
                <w:szCs w:val="20"/>
                <w:color w:val="auto"/>
              </w:rPr>
            </w:pPr>
            <w:r>
              <w:rPr>
                <w:rFonts w:ascii="Arial" w:cs="Arial" w:eastAsia="Arial" w:hAnsi="Arial"/>
                <w:sz w:val="16"/>
                <w:szCs w:val="16"/>
                <w:color w:val="auto"/>
              </w:rPr>
              <w:t>586</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(1,935)</w:t>
            </w:r>
          </w:p>
        </w:tc>
        <w:tc>
          <w:tcPr>
            <w:tcW w:w="140" w:type="dxa"/>
            <w:vAlign w:val="bottom"/>
            <w:shd w:val="clear" w:color="auto" w:fill="C0C0C0"/>
          </w:tcPr>
          <w:p>
            <w:pPr>
              <w:spacing w:after="0"/>
              <w:rPr>
                <w:sz w:val="19"/>
                <w:szCs w:val="19"/>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(1,349)</w:t>
            </w:r>
          </w:p>
        </w:tc>
        <w:tc>
          <w:tcPr>
            <w:tcW w:w="20" w:type="dxa"/>
            <w:vAlign w:val="bottom"/>
          </w:tcPr>
          <w:p>
            <w:pPr>
              <w:spacing w:after="0"/>
              <w:rPr>
                <w:sz w:val="19"/>
                <w:szCs w:val="19"/>
                <w:color w:val="auto"/>
              </w:rPr>
            </w:pPr>
          </w:p>
        </w:tc>
      </w:tr>
      <w:tr>
        <w:trPr>
          <w:trHeight w:val="604"/>
        </w:trPr>
        <w:tc>
          <w:tcPr>
            <w:tcW w:w="4260" w:type="dxa"/>
            <w:vAlign w:val="bottom"/>
            <w:tcBorders>
              <w:top w:val="single" w:sz="8" w:color="C0C0C0"/>
            </w:tcBorders>
          </w:tcPr>
          <w:p>
            <w:pPr>
              <w:spacing w:after="0"/>
              <w:rPr>
                <w:sz w:val="24"/>
                <w:szCs w:val="24"/>
                <w:color w:val="auto"/>
              </w:rPr>
            </w:pPr>
          </w:p>
        </w:tc>
        <w:tc>
          <w:tcPr>
            <w:tcW w:w="3160" w:type="dxa"/>
            <w:vAlign w:val="bottom"/>
            <w:tcBorders>
              <w:top w:val="single" w:sz="8" w:color="C0C0C0"/>
            </w:tcBorders>
            <w:gridSpan w:val="2"/>
          </w:tcPr>
          <w:p>
            <w:pPr>
              <w:ind w:left="1300"/>
              <w:spacing w:after="0"/>
              <w:rPr>
                <w:sz w:val="20"/>
                <w:szCs w:val="20"/>
                <w:color w:val="auto"/>
              </w:rPr>
            </w:pPr>
            <w:r>
              <w:rPr>
                <w:rFonts w:ascii="Arial" w:cs="Arial" w:eastAsia="Arial" w:hAnsi="Arial"/>
                <w:sz w:val="16"/>
                <w:szCs w:val="16"/>
                <w:color w:val="auto"/>
              </w:rPr>
              <w:t>F-21</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4260" w:type="dxa"/>
            <w:vAlign w:val="bottom"/>
            <w:tcBorders>
              <w:bottom w:val="single" w:sz="8" w:color="808080"/>
            </w:tcBorders>
          </w:tcPr>
          <w:p>
            <w:pPr>
              <w:spacing w:after="0"/>
              <w:rPr>
                <w:sz w:val="17"/>
                <w:szCs w:val="17"/>
                <w:color w:val="auto"/>
              </w:rPr>
            </w:pPr>
          </w:p>
        </w:tc>
        <w:tc>
          <w:tcPr>
            <w:tcW w:w="29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255"/>
        <w:spacing w:after="0" w:line="274" w:lineRule="auto"/>
        <w:rPr>
          <w:sz w:val="20"/>
          <w:szCs w:val="20"/>
          <w:color w:val="auto"/>
        </w:rPr>
      </w:pPr>
      <w:r>
        <w:rPr>
          <w:rFonts w:ascii="Arial" w:cs="Arial" w:eastAsia="Arial" w:hAnsi="Arial"/>
          <w:sz w:val="16"/>
          <w:szCs w:val="16"/>
          <w:color w:val="auto"/>
        </w:rPr>
        <w:t>At December 31, 2011 and 2010, marketable securities included an additional unrealized loss of $1.0 million and $0.4 million, respectively, related to one equity security in the Company’s marketable securities portfolio.</w:t>
      </w:r>
    </w:p>
    <w:p>
      <w:pPr>
        <w:spacing w:after="0" w:line="187" w:lineRule="exact"/>
        <w:rPr>
          <w:sz w:val="20"/>
          <w:szCs w:val="20"/>
          <w:color w:val="auto"/>
        </w:rPr>
      </w:pPr>
    </w:p>
    <w:p>
      <w:pPr>
        <w:jc w:val="both"/>
        <w:ind w:right="20" w:firstLine="243"/>
        <w:spacing w:after="0" w:line="260"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December 31, 2011 and 2010. The debt securities listed at December 31, 2011, excluding mortgage-backed securities, mature at various dates through December 2014. The mortgage-backed securities listed at December 31, 2011 mature at various dates through April 2018.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Less than 12 Months</w:t>
            </w:r>
          </w:p>
        </w:tc>
        <w:tc>
          <w:tcPr>
            <w:tcW w:w="1620" w:type="dxa"/>
            <w:vAlign w:val="bottom"/>
            <w:gridSpan w:val="6"/>
          </w:tcPr>
          <w:p>
            <w:pPr>
              <w:ind w:left="20"/>
              <w:spacing w:after="0"/>
              <w:rPr>
                <w:sz w:val="20"/>
                <w:szCs w:val="20"/>
                <w:color w:val="auto"/>
              </w:rPr>
            </w:pPr>
            <w:r>
              <w:rPr>
                <w:rFonts w:ascii="Arial" w:cs="Arial" w:eastAsia="Arial" w:hAnsi="Arial"/>
                <w:sz w:val="16"/>
                <w:szCs w:val="16"/>
                <w:b w:val="1"/>
                <w:bCs w:val="1"/>
                <w:color w:val="auto"/>
                <w:w w:val="98"/>
              </w:rPr>
              <w:t>12 Months or Greater</w:t>
            </w:r>
          </w:p>
        </w:tc>
        <w:tc>
          <w:tcPr>
            <w:tcW w:w="140" w:type="dxa"/>
            <w:vAlign w:val="bottom"/>
          </w:tcPr>
          <w:p>
            <w:pPr>
              <w:spacing w:after="0"/>
              <w:rPr>
                <w:sz w:val="18"/>
                <w:szCs w:val="18"/>
                <w:color w:val="auto"/>
              </w:rPr>
            </w:pPr>
          </w:p>
        </w:tc>
        <w:tc>
          <w:tcPr>
            <w:tcW w:w="840" w:type="dxa"/>
            <w:vAlign w:val="bottom"/>
            <w:gridSpan w:val="3"/>
          </w:tcPr>
          <w:p>
            <w:pPr>
              <w:ind w:left="460"/>
              <w:spacing w:after="0"/>
              <w:rPr>
                <w:sz w:val="20"/>
                <w:szCs w:val="20"/>
                <w:color w:val="auto"/>
              </w:rPr>
            </w:pPr>
            <w:r>
              <w:rPr>
                <w:rFonts w:ascii="Arial" w:cs="Arial" w:eastAsia="Arial" w:hAnsi="Arial"/>
                <w:sz w:val="16"/>
                <w:szCs w:val="16"/>
                <w:b w:val="1"/>
                <w:bCs w:val="1"/>
                <w:color w:val="auto"/>
                <w:w w:val="94"/>
              </w:rPr>
              <w:t>Total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88"/>
              </w:rPr>
              <w:t>Unrealized</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86"/>
              </w:rPr>
              <w:t>Unrealized</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88"/>
              </w:rPr>
              <w:t>Unrealized</w:t>
            </w:r>
          </w:p>
        </w:tc>
        <w:tc>
          <w:tcPr>
            <w:tcW w:w="20" w:type="dxa"/>
            <w:vAlign w:val="bottom"/>
          </w:tcPr>
          <w:p>
            <w:pPr>
              <w:spacing w:after="0"/>
              <w:rPr>
                <w:sz w:val="17"/>
                <w:szCs w:val="17"/>
                <w:color w:val="auto"/>
              </w:rPr>
            </w:pPr>
          </w:p>
        </w:tc>
      </w:tr>
      <w:tr>
        <w:trPr>
          <w:trHeight w:val="237"/>
        </w:trPr>
        <w:tc>
          <w:tcPr>
            <w:tcW w:w="6500" w:type="dxa"/>
            <w:vAlign w:val="bottom"/>
          </w:tcPr>
          <w:p>
            <w:pPr>
              <w:spacing w:after="0"/>
              <w:rPr>
                <w:sz w:val="20"/>
                <w:szCs w:val="20"/>
                <w:color w:val="auto"/>
              </w:rPr>
            </w:pPr>
            <w:r>
              <w:rPr>
                <w:rFonts w:ascii="Arial" w:cs="Arial" w:eastAsia="Arial" w:hAnsi="Arial"/>
                <w:sz w:val="16"/>
                <w:szCs w:val="16"/>
                <w:b w:val="1"/>
                <w:bCs w:val="1"/>
                <w:color w:val="auto"/>
              </w:rPr>
              <w:t>At December 31, 2011</w:t>
            </w:r>
          </w:p>
        </w:tc>
        <w:tc>
          <w:tcPr>
            <w:tcW w:w="12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w w:val="86"/>
              </w:rPr>
              <w:t>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b w:val="1"/>
                <w:bCs w:val="1"/>
                <w:color w:val="auto"/>
              </w:rPr>
              <w:t>Loss</w:t>
            </w: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w w:val="86"/>
              </w:rPr>
              <w:t>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Loss</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8"/>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b w:val="1"/>
                <w:bCs w:val="1"/>
                <w:color w:val="auto"/>
              </w:rPr>
              <w:t>Loss</w:t>
            </w:r>
          </w:p>
        </w:tc>
      </w:tr>
      <w:tr>
        <w:trPr>
          <w:trHeight w:val="218"/>
        </w:trPr>
        <w:tc>
          <w:tcPr>
            <w:tcW w:w="65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12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left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tcBorders>
            <w:shd w:val="clear" w:color="auto" w:fill="C0C0C0"/>
          </w:tcPr>
          <w:p>
            <w:pPr>
              <w:spacing w:after="0"/>
              <w:rPr>
                <w:sz w:val="18"/>
                <w:szCs w:val="18"/>
                <w:color w:val="auto"/>
              </w:rPr>
            </w:pPr>
          </w:p>
        </w:tc>
        <w:tc>
          <w:tcPr>
            <w:tcW w:w="220" w:type="dxa"/>
            <w:vAlign w:val="bottom"/>
            <w:tcBorders>
              <w:top w:val="single" w:sz="8" w:color="auto"/>
            </w:tcBorders>
            <w:shd w:val="clear" w:color="auto" w:fill="C0C0C0"/>
          </w:tcPr>
          <w:p>
            <w:pPr>
              <w:spacing w:after="0"/>
              <w:rPr>
                <w:sz w:val="18"/>
                <w:szCs w:val="18"/>
                <w:color w:val="auto"/>
              </w:rPr>
            </w:pPr>
          </w:p>
        </w:tc>
        <w:tc>
          <w:tcPr>
            <w:tcW w:w="48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left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left w:val="single" w:sz="8" w:color="C0C0C0"/>
            </w:tcBorders>
            <w:shd w:val="clear" w:color="auto" w:fill="C0C0C0"/>
          </w:tcPr>
          <w:p>
            <w:pPr>
              <w:spacing w:after="0"/>
              <w:rPr>
                <w:sz w:val="18"/>
                <w:szCs w:val="18"/>
                <w:color w:val="auto"/>
              </w:rPr>
            </w:pPr>
          </w:p>
        </w:tc>
        <w:tc>
          <w:tcPr>
            <w:tcW w:w="160" w:type="dxa"/>
            <w:vAlign w:val="bottom"/>
            <w:tcBorders>
              <w:top w:val="single" w:sz="8" w:color="auto"/>
            </w:tcBorders>
            <w:shd w:val="clear" w:color="auto" w:fill="C0C0C0"/>
          </w:tcPr>
          <w:p>
            <w:pPr>
              <w:spacing w:after="0"/>
              <w:rPr>
                <w:sz w:val="18"/>
                <w:szCs w:val="18"/>
                <w:color w:val="auto"/>
              </w:rPr>
            </w:pPr>
          </w:p>
        </w:tc>
        <w:tc>
          <w:tcPr>
            <w:tcW w:w="58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500" w:type="dxa"/>
            <w:vAlign w:val="bottom"/>
          </w:tcPr>
          <w:p>
            <w:pPr>
              <w:ind w:left="280"/>
              <w:spacing w:after="0"/>
              <w:rPr>
                <w:sz w:val="20"/>
                <w:szCs w:val="20"/>
                <w:color w:val="auto"/>
              </w:rPr>
            </w:pPr>
            <w:r>
              <w:rPr>
                <w:rFonts w:ascii="Arial" w:cs="Arial" w:eastAsia="Arial" w:hAnsi="Arial"/>
                <w:sz w:val="16"/>
                <w:szCs w:val="16"/>
                <w:color w:val="auto"/>
              </w:rPr>
              <w:t>U.S. government obligations</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103,529</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103,529</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8"/>
                <w:szCs w:val="18"/>
                <w:color w:val="auto"/>
              </w:rPr>
            </w:pPr>
          </w:p>
        </w:tc>
      </w:tr>
      <w:tr>
        <w:trPr>
          <w:trHeight w:val="211"/>
        </w:trPr>
        <w:tc>
          <w:tcPr>
            <w:tcW w:w="65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6500" w:type="dxa"/>
            <w:vAlign w:val="bottom"/>
            <w:shd w:val="clear" w:color="auto" w:fill="C0C0C0"/>
          </w:tcPr>
          <w:p>
            <w:pPr>
              <w:ind w:left="540"/>
              <w:spacing w:after="0"/>
              <w:rPr>
                <w:sz w:val="20"/>
                <w:szCs w:val="20"/>
                <w:color w:val="auto"/>
              </w:rPr>
            </w:pPr>
            <w:r>
              <w:rPr>
                <w:rFonts w:ascii="Arial" w:cs="Arial" w:eastAsia="Arial" w:hAnsi="Arial"/>
                <w:sz w:val="16"/>
                <w:szCs w:val="16"/>
                <w:color w:val="auto"/>
              </w:rPr>
              <w:t>collateralized mortgage</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500" w:type="dxa"/>
            <w:vAlign w:val="bottom"/>
            <w:shd w:val="clear" w:color="auto" w:fill="C0C0C0"/>
          </w:tcPr>
          <w:p>
            <w:pPr>
              <w:ind w:left="540"/>
              <w:spacing w:after="0"/>
              <w:rPr>
                <w:sz w:val="20"/>
                <w:szCs w:val="20"/>
                <w:color w:val="auto"/>
              </w:rPr>
            </w:pPr>
            <w:r>
              <w:rPr>
                <w:rFonts w:ascii="Arial" w:cs="Arial" w:eastAsia="Arial" w:hAnsi="Arial"/>
                <w:sz w:val="16"/>
                <w:szCs w:val="16"/>
                <w:color w:val="auto"/>
              </w:rPr>
              <w:t>obligations</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lef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00" w:type="dxa"/>
            <w:vAlign w:val="bottom"/>
            <w:tcBorders>
              <w:lef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left w:val="single" w:sz="8" w:color="C0C0C0"/>
            </w:tcBorders>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r>
      <w:tr>
        <w:trPr>
          <w:trHeight w:val="211"/>
        </w:trPr>
        <w:tc>
          <w:tcPr>
            <w:tcW w:w="650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26"/>
        </w:trPr>
        <w:tc>
          <w:tcPr>
            <w:tcW w:w="65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Equity security</w:t>
            </w: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3,019</w:t>
            </w:r>
          </w:p>
        </w:tc>
        <w:tc>
          <w:tcPr>
            <w:tcW w:w="100" w:type="dxa"/>
            <w:vAlign w:val="bottom"/>
            <w:tcBorders>
              <w:left w:val="single" w:sz="8" w:color="C0C0C0"/>
            </w:tcBorders>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6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4"/>
              </w:rPr>
              <w:t>(1,025)</w:t>
            </w:r>
          </w:p>
        </w:tc>
        <w:tc>
          <w:tcPr>
            <w:tcW w:w="1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100" w:type="dxa"/>
            <w:vAlign w:val="bottom"/>
            <w:tcBorders>
              <w:left w:val="single" w:sz="8" w:color="C0C0C0"/>
            </w:tcBorders>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3,019</w:t>
            </w:r>
          </w:p>
        </w:tc>
        <w:tc>
          <w:tcPr>
            <w:tcW w:w="100" w:type="dxa"/>
            <w:vAlign w:val="bottom"/>
            <w:tcBorders>
              <w:left w:val="single" w:sz="8" w:color="C0C0C0"/>
            </w:tcBorders>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0"/>
              </w:rPr>
              <w:t>(1,025)</w:t>
            </w:r>
          </w:p>
        </w:tc>
        <w:tc>
          <w:tcPr>
            <w:tcW w:w="20" w:type="dxa"/>
            <w:vAlign w:val="bottom"/>
          </w:tcPr>
          <w:p>
            <w:pPr>
              <w:spacing w:after="0"/>
              <w:rPr>
                <w:sz w:val="19"/>
                <w:szCs w:val="19"/>
                <w:color w:val="auto"/>
              </w:rPr>
            </w:pPr>
          </w:p>
        </w:tc>
      </w:tr>
      <w:tr>
        <w:trPr>
          <w:trHeight w:val="211"/>
        </w:trPr>
        <w:tc>
          <w:tcPr>
            <w:tcW w:w="6500" w:type="dxa"/>
            <w:vAlign w:val="bottom"/>
          </w:tcPr>
          <w:p>
            <w:pPr>
              <w:ind w:left="28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116</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18"/>
                <w:szCs w:val="18"/>
                <w:color w:val="auto"/>
              </w:rPr>
            </w:pPr>
          </w:p>
        </w:tc>
      </w:tr>
      <w:tr>
        <w:trPr>
          <w:trHeight w:val="20"/>
        </w:trPr>
        <w:tc>
          <w:tcPr>
            <w:tcW w:w="65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0C0C0"/>
            </w:tcBorders>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0C0C0"/>
            </w:tcBorders>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0C0C0"/>
            </w:tcBorders>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6500" w:type="dxa"/>
            <w:vAlign w:val="bottom"/>
            <w:shd w:val="clear" w:color="auto" w:fill="C0C0C0"/>
          </w:tcPr>
          <w:p>
            <w:pPr>
              <w:spacing w:after="0"/>
              <w:rPr>
                <w:sz w:val="20"/>
                <w:szCs w:val="20"/>
                <w:color w:val="auto"/>
              </w:rPr>
            </w:pPr>
          </w:p>
        </w:tc>
        <w:tc>
          <w:tcPr>
            <w:tcW w:w="24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111,774</w:t>
            </w:r>
          </w:p>
        </w:tc>
        <w:tc>
          <w:tcPr>
            <w:tcW w:w="24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4"/>
              </w:rPr>
              <w:t>(1,108)</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116</w:t>
            </w:r>
          </w:p>
        </w:tc>
        <w:tc>
          <w:tcPr>
            <w:tcW w:w="24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111,890</w:t>
            </w:r>
          </w:p>
        </w:tc>
        <w:tc>
          <w:tcPr>
            <w:tcW w:w="26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0"/>
              </w:rPr>
              <w:t>(1,260)</w:t>
            </w:r>
          </w:p>
        </w:tc>
        <w:tc>
          <w:tcPr>
            <w:tcW w:w="20" w:type="dxa"/>
            <w:vAlign w:val="bottom"/>
          </w:tcPr>
          <w:p>
            <w:pPr>
              <w:spacing w:after="0"/>
              <w:rPr>
                <w:sz w:val="20"/>
                <w:szCs w:val="20"/>
                <w:color w:val="auto"/>
              </w:rPr>
            </w:pPr>
          </w:p>
        </w:tc>
      </w:tr>
      <w:tr>
        <w:trPr>
          <w:trHeight w:val="409"/>
        </w:trPr>
        <w:tc>
          <w:tcPr>
            <w:tcW w:w="6500" w:type="dxa"/>
            <w:vAlign w:val="bottom"/>
            <w:tcBorders>
              <w:top w:val="single" w:sz="8" w:color="C0C0C0"/>
              <w:bottom w:val="single" w:sz="8" w:color="auto"/>
            </w:tcBorders>
          </w:tcPr>
          <w:p>
            <w:pPr>
              <w:spacing w:after="0"/>
              <w:rPr>
                <w:sz w:val="20"/>
                <w:szCs w:val="20"/>
                <w:color w:val="auto"/>
              </w:rPr>
            </w:pPr>
            <w:r>
              <w:rPr>
                <w:rFonts w:ascii="Arial" w:cs="Arial" w:eastAsia="Arial" w:hAnsi="Arial"/>
                <w:sz w:val="16"/>
                <w:szCs w:val="16"/>
                <w:b w:val="1"/>
                <w:bCs w:val="1"/>
                <w:color w:val="auto"/>
              </w:rPr>
              <w:t>At December 31, 2010</w:t>
            </w:r>
          </w:p>
        </w:tc>
        <w:tc>
          <w:tcPr>
            <w:tcW w:w="120" w:type="dxa"/>
            <w:vAlign w:val="bottom"/>
            <w:tcBorders>
              <w:top w:val="single" w:sz="8" w:color="C0C0C0"/>
              <w:bottom w:val="single" w:sz="8" w:color="C0C0C0"/>
            </w:tcBorders>
          </w:tcPr>
          <w:p>
            <w:pPr>
              <w:spacing w:after="0"/>
              <w:rPr>
                <w:sz w:val="24"/>
                <w:szCs w:val="24"/>
                <w:color w:val="auto"/>
              </w:rPr>
            </w:pPr>
          </w:p>
        </w:tc>
        <w:tc>
          <w:tcPr>
            <w:tcW w:w="120" w:type="dxa"/>
            <w:vAlign w:val="bottom"/>
            <w:tcBorders>
              <w:top w:val="single" w:sz="8" w:color="auto"/>
              <w:bottom w:val="single" w:sz="8" w:color="C0C0C0"/>
            </w:tcBorders>
          </w:tcPr>
          <w:p>
            <w:pPr>
              <w:spacing w:after="0"/>
              <w:rPr>
                <w:sz w:val="24"/>
                <w:szCs w:val="24"/>
                <w:color w:val="auto"/>
              </w:rPr>
            </w:pPr>
          </w:p>
        </w:tc>
        <w:tc>
          <w:tcPr>
            <w:tcW w:w="580" w:type="dxa"/>
            <w:vAlign w:val="bottom"/>
            <w:tcBorders>
              <w:top w:val="single" w:sz="8" w:color="auto"/>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600" w:type="dxa"/>
            <w:vAlign w:val="bottom"/>
            <w:tcBorders>
              <w:top w:val="single" w:sz="8" w:color="auto"/>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220" w:type="dxa"/>
            <w:vAlign w:val="bottom"/>
            <w:tcBorders>
              <w:top w:val="single" w:sz="8" w:color="auto"/>
              <w:bottom w:val="single" w:sz="8" w:color="C0C0C0"/>
            </w:tcBorders>
          </w:tcPr>
          <w:p>
            <w:pPr>
              <w:spacing w:after="0"/>
              <w:rPr>
                <w:sz w:val="24"/>
                <w:szCs w:val="24"/>
                <w:color w:val="auto"/>
              </w:rPr>
            </w:pPr>
          </w:p>
        </w:tc>
        <w:tc>
          <w:tcPr>
            <w:tcW w:w="480" w:type="dxa"/>
            <w:vAlign w:val="bottom"/>
            <w:tcBorders>
              <w:top w:val="single" w:sz="8" w:color="auto"/>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580" w:type="dxa"/>
            <w:vAlign w:val="bottom"/>
            <w:tcBorders>
              <w:top w:val="single" w:sz="8" w:color="auto"/>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580" w:type="dxa"/>
            <w:vAlign w:val="bottom"/>
            <w:tcBorders>
              <w:top w:val="single" w:sz="8" w:color="auto"/>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580" w:type="dxa"/>
            <w:vAlign w:val="bottom"/>
            <w:tcBorders>
              <w:top w:val="single" w:sz="8" w:color="auto"/>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50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500" w:type="dxa"/>
            <w:vAlign w:val="bottom"/>
          </w:tcPr>
          <w:p>
            <w:pPr>
              <w:ind w:left="280"/>
              <w:spacing w:after="0"/>
              <w:rPr>
                <w:sz w:val="20"/>
                <w:szCs w:val="20"/>
                <w:color w:val="auto"/>
              </w:rPr>
            </w:pPr>
            <w:r>
              <w:rPr>
                <w:rFonts w:ascii="Arial" w:cs="Arial" w:eastAsia="Arial" w:hAnsi="Arial"/>
                <w:sz w:val="16"/>
                <w:szCs w:val="16"/>
                <w:color w:val="auto"/>
              </w:rPr>
              <w:t>U.S. government obligations</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340,444</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w w:val="94"/>
              </w:rPr>
              <w:t>(1,731)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340,444</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w w:val="90"/>
              </w:rPr>
              <w:t>(1,731)</w:t>
            </w:r>
          </w:p>
        </w:tc>
        <w:tc>
          <w:tcPr>
            <w:tcW w:w="20" w:type="dxa"/>
            <w:vAlign w:val="bottom"/>
          </w:tcPr>
          <w:p>
            <w:pPr>
              <w:spacing w:after="0"/>
              <w:rPr>
                <w:sz w:val="18"/>
                <w:szCs w:val="18"/>
                <w:color w:val="auto"/>
              </w:rPr>
            </w:pPr>
          </w:p>
        </w:tc>
      </w:tr>
      <w:tr>
        <w:trPr>
          <w:trHeight w:val="211"/>
        </w:trPr>
        <w:tc>
          <w:tcPr>
            <w:tcW w:w="65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6500" w:type="dxa"/>
            <w:vAlign w:val="bottom"/>
            <w:shd w:val="clear" w:color="auto" w:fill="C0C0C0"/>
          </w:tcPr>
          <w:p>
            <w:pPr>
              <w:ind w:left="54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19,005</w:t>
            </w:r>
          </w:p>
        </w:tc>
        <w:tc>
          <w:tcPr>
            <w:tcW w:w="100" w:type="dxa"/>
            <w:vAlign w:val="bottom"/>
            <w:tcBorders>
              <w:lef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100" w:type="dxa"/>
            <w:vAlign w:val="bottom"/>
            <w:tcBorders>
              <w:left w:val="single" w:sz="8" w:color="C0C0C0"/>
            </w:tcBorders>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19,005</w:t>
            </w:r>
          </w:p>
        </w:tc>
        <w:tc>
          <w:tcPr>
            <w:tcW w:w="100" w:type="dxa"/>
            <w:vAlign w:val="bottom"/>
            <w:tcBorders>
              <w:left w:val="single" w:sz="8" w:color="C0C0C0"/>
            </w:tcBorders>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20"/>
                <w:szCs w:val="20"/>
                <w:color w:val="auto"/>
              </w:rPr>
            </w:pPr>
          </w:p>
        </w:tc>
      </w:tr>
      <w:tr>
        <w:trPr>
          <w:trHeight w:val="211"/>
        </w:trPr>
        <w:tc>
          <w:tcPr>
            <w:tcW w:w="6500" w:type="dxa"/>
            <w:vAlign w:val="bottom"/>
          </w:tcPr>
          <w:p>
            <w:pPr>
              <w:ind w:left="280"/>
              <w:spacing w:after="0"/>
              <w:rPr>
                <w:sz w:val="20"/>
                <w:szCs w:val="20"/>
                <w:color w:val="auto"/>
              </w:rPr>
            </w:pPr>
            <w:r>
              <w:rPr>
                <w:rFonts w:ascii="Arial" w:cs="Arial" w:eastAsia="Arial" w:hAnsi="Arial"/>
                <w:sz w:val="16"/>
                <w:szCs w:val="16"/>
                <w:color w:val="auto"/>
              </w:rPr>
              <w:t>Equity security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(433)</w:t>
            </w:r>
          </w:p>
        </w:tc>
        <w:tc>
          <w:tcPr>
            <w:tcW w:w="20" w:type="dxa"/>
            <w:vAlign w:val="bottom"/>
          </w:tcPr>
          <w:p>
            <w:pPr>
              <w:spacing w:after="0"/>
              <w:rPr>
                <w:sz w:val="18"/>
                <w:szCs w:val="18"/>
                <w:color w:val="auto"/>
              </w:rPr>
            </w:pPr>
          </w:p>
        </w:tc>
      </w:tr>
      <w:tr>
        <w:trPr>
          <w:trHeight w:val="218"/>
        </w:trPr>
        <w:tc>
          <w:tcPr>
            <w:tcW w:w="6500" w:type="dxa"/>
            <w:vAlign w:val="bottom"/>
            <w:shd w:val="clear" w:color="auto" w:fill="C0C0C0"/>
          </w:tcPr>
          <w:p>
            <w:pPr>
              <w:ind w:left="280"/>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1,128</w:t>
            </w:r>
          </w:p>
        </w:tc>
        <w:tc>
          <w:tcPr>
            <w:tcW w:w="24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1,128</w:t>
            </w: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363,061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w w:val="94"/>
              </w:rPr>
              <w:t>(2,209)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364,189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w w:val="90"/>
              </w:rPr>
              <w:t>(2,350)</w:t>
            </w:r>
          </w:p>
        </w:tc>
        <w:tc>
          <w:tcPr>
            <w:tcW w:w="20" w:type="dxa"/>
            <w:vAlign w:val="bottom"/>
          </w:tcPr>
          <w:p>
            <w:pPr>
              <w:spacing w:after="0"/>
              <w:rPr>
                <w:sz w:val="18"/>
                <w:szCs w:val="18"/>
                <w:color w:val="auto"/>
              </w:rPr>
            </w:pPr>
          </w:p>
        </w:tc>
      </w:tr>
      <w:tr>
        <w:trPr>
          <w:trHeight w:val="206"/>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650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Restricted</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50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U.S. government obligations</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0C0C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Borders>
              <w:bottom w:val="single" w:sz="8" w:color="C0C0C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r>
      <w:tr>
        <w:trPr>
          <w:trHeight w:val="211"/>
        </w:trPr>
        <w:tc>
          <w:tcPr>
            <w:tcW w:w="65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6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c>
          <w:tcPr>
            <w:tcW w:w="100" w:type="dxa"/>
            <w:vAlign w:val="bottom"/>
            <w:tcBorders>
              <w:lef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Borders>
              <w:left w:val="single" w:sz="8" w:color="C0C0C0"/>
            </w:tcBorders>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r>
      <w:tr>
        <w:trPr>
          <w:trHeight w:val="206"/>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6500" w:type="dxa"/>
            <w:vAlign w:val="bottom"/>
            <w:shd w:val="clear" w:color="auto" w:fill="C0C0C0"/>
          </w:tcPr>
          <w:p>
            <w:pPr>
              <w:spacing w:after="0"/>
              <w:rPr>
                <w:sz w:val="18"/>
                <w:szCs w:val="18"/>
                <w:color w:val="auto"/>
              </w:rPr>
            </w:pPr>
          </w:p>
        </w:tc>
        <w:tc>
          <w:tcPr>
            <w:tcW w:w="24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369,215</w:t>
            </w:r>
          </w:p>
        </w:tc>
        <w:tc>
          <w:tcPr>
            <w:tcW w:w="24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4"/>
              </w:rPr>
              <w:t>(2,227)</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1,128</w:t>
            </w:r>
          </w:p>
        </w:tc>
        <w:tc>
          <w:tcPr>
            <w:tcW w:w="24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6"/>
              </w:rPr>
              <w:t>370,343</w:t>
            </w:r>
          </w:p>
        </w:tc>
        <w:tc>
          <w:tcPr>
            <w:tcW w:w="260" w:type="dxa"/>
            <w:vAlign w:val="bottom"/>
            <w:tcBorders>
              <w:left w:val="single" w:sz="8" w:color="C0C0C0"/>
            </w:tcBorders>
            <w:gridSpan w:val="2"/>
            <w:shd w:val="clear" w:color="auto" w:fill="C0C0C0"/>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90"/>
              </w:rPr>
              <w:t>(2,368)</w:t>
            </w:r>
          </w:p>
        </w:tc>
        <w:tc>
          <w:tcPr>
            <w:tcW w:w="20" w:type="dxa"/>
            <w:vAlign w:val="bottom"/>
          </w:tcPr>
          <w:p>
            <w:pPr>
              <w:spacing w:after="0"/>
              <w:rPr>
                <w:sz w:val="18"/>
                <w:szCs w:val="18"/>
                <w:color w:val="auto"/>
              </w:rPr>
            </w:pPr>
          </w:p>
        </w:tc>
      </w:tr>
      <w:tr>
        <w:trPr>
          <w:trHeight w:val="32"/>
        </w:trPr>
        <w:tc>
          <w:tcPr>
            <w:tcW w:w="65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C0C0C0"/>
            </w:tcBorders>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C0C0C0"/>
            </w:tcBorders>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C0C0C0"/>
            </w:tcBorders>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6"/>
          <w:szCs w:val="16"/>
          <w:color w:val="auto"/>
        </w:rPr>
        <w:t>Realized gains and losses are included as a component of investment income. For the years ended December 31, 2011, 2010, and 2009, total realized gains and losses on sales of marketable securities were not material.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900" w:type="dxa"/>
            <w:vAlign w:val="bottom"/>
            <w:gridSpan w:val="9"/>
          </w:tcPr>
          <w:p>
            <w:pPr>
              <w:ind w:left="240"/>
              <w:spacing w:after="0"/>
              <w:rPr>
                <w:sz w:val="20"/>
                <w:szCs w:val="20"/>
                <w:color w:val="auto"/>
              </w:rPr>
            </w:pPr>
            <w:r>
              <w:rPr>
                <w:rFonts w:ascii="Arial" w:cs="Arial" w:eastAsia="Arial" w:hAnsi="Arial"/>
                <w:sz w:val="16"/>
                <w:szCs w:val="16"/>
                <w:color w:val="auto"/>
                <w:w w:val="97"/>
              </w:rPr>
              <w:t>The Company’s assets that are measured at fair value on a recurring basis</w:t>
            </w:r>
            <w:r>
              <w:rPr>
                <w:rFonts w:ascii="Arial" w:cs="Arial" w:eastAsia="Arial" w:hAnsi="Arial"/>
                <w:sz w:val="16"/>
                <w:szCs w:val="16"/>
                <w:i w:val="1"/>
                <w:iCs w:val="1"/>
                <w:color w:val="auto"/>
                <w:w w:val="97"/>
              </w:rPr>
              <w:t>,</w:t>
            </w:r>
            <w:r>
              <w:rPr>
                <w:rFonts w:ascii="Arial" w:cs="Arial" w:eastAsia="Arial" w:hAnsi="Arial"/>
                <w:sz w:val="16"/>
                <w:szCs w:val="16"/>
                <w:color w:val="auto"/>
                <w:w w:val="97"/>
              </w:rPr>
              <w:t xml:space="preserve"> at December 31, 2011 and 2010, were as follows: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8"/>
        </w:trPr>
        <w:tc>
          <w:tcPr>
            <w:tcW w:w="3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right="21"/>
              <w:spacing w:after="0"/>
              <w:rPr>
                <w:sz w:val="20"/>
                <w:szCs w:val="20"/>
                <w:color w:val="auto"/>
              </w:rPr>
            </w:pPr>
            <w:r>
              <w:rPr>
                <w:rFonts w:ascii="Arial" w:cs="Arial" w:eastAsia="Arial" w:hAnsi="Arial"/>
                <w:sz w:val="16"/>
                <w:szCs w:val="16"/>
                <w:b w:val="1"/>
                <w:bCs w:val="1"/>
                <w:color w:val="auto"/>
                <w:w w:val="90"/>
              </w:rPr>
              <w:t>Fair Value Measurements at Reporting Date Using</w:t>
            </w:r>
          </w:p>
        </w:tc>
        <w:tc>
          <w:tcPr>
            <w:tcW w:w="20" w:type="dxa"/>
            <w:vAlign w:val="bottom"/>
          </w:tcPr>
          <w:p>
            <w:pPr>
              <w:spacing w:after="0"/>
              <w:rPr>
                <w:sz w:val="24"/>
                <w:szCs w:val="24"/>
                <w:color w:val="auto"/>
              </w:rPr>
            </w:pPr>
          </w:p>
        </w:tc>
      </w:tr>
      <w:tr>
        <w:trPr>
          <w:trHeight w:val="204"/>
        </w:trPr>
        <w:tc>
          <w:tcPr>
            <w:tcW w:w="3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w w:val="97"/>
              </w:rPr>
              <w:t>Quoted Prices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 Active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Markets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7"/>
              </w:rPr>
              <w:t>Significant</w:t>
            </w:r>
          </w:p>
        </w:tc>
        <w:tc>
          <w:tcPr>
            <w:tcW w:w="20" w:type="dxa"/>
            <w:vAlign w:val="bottom"/>
          </w:tcPr>
          <w:p>
            <w:pPr>
              <w:spacing w:after="0"/>
              <w:rPr>
                <w:sz w:val="18"/>
                <w:szCs w:val="18"/>
                <w:color w:val="auto"/>
              </w:rPr>
            </w:pPr>
          </w:p>
        </w:tc>
      </w:tr>
      <w:tr>
        <w:trPr>
          <w:trHeight w:val="218"/>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Identical</w:t>
            </w:r>
          </w:p>
        </w:tc>
        <w:tc>
          <w:tcPr>
            <w:tcW w:w="12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Significant Other</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6"/>
              </w:rPr>
              <w:t>Unobservable</w:t>
            </w:r>
          </w:p>
        </w:tc>
        <w:tc>
          <w:tcPr>
            <w:tcW w:w="20" w:type="dxa"/>
            <w:vAlign w:val="bottom"/>
          </w:tcPr>
          <w:p>
            <w:pPr>
              <w:spacing w:after="0"/>
              <w:rPr>
                <w:sz w:val="18"/>
                <w:szCs w:val="18"/>
                <w:color w:val="auto"/>
              </w:rPr>
            </w:pPr>
          </w:p>
        </w:tc>
      </w:tr>
      <w:tr>
        <w:trPr>
          <w:trHeight w:val="218"/>
        </w:trPr>
        <w:tc>
          <w:tcPr>
            <w:tcW w:w="38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600" w:type="dxa"/>
            <w:vAlign w:val="bottom"/>
            <w:gridSpan w:val="4"/>
          </w:tcPr>
          <w:p>
            <w:pPr>
              <w:ind w:left="120"/>
              <w:spacing w:after="0"/>
              <w:rPr>
                <w:sz w:val="20"/>
                <w:szCs w:val="20"/>
                <w:color w:val="auto"/>
              </w:rPr>
            </w:pPr>
            <w:r>
              <w:rPr>
                <w:rFonts w:ascii="Arial" w:cs="Arial" w:eastAsia="Arial" w:hAnsi="Arial"/>
                <w:sz w:val="16"/>
                <w:szCs w:val="16"/>
                <w:b w:val="1"/>
                <w:bCs w:val="1"/>
                <w:color w:val="auto"/>
              </w:rPr>
              <w:t>Observable Inputs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Inputs</w:t>
            </w:r>
          </w:p>
        </w:tc>
        <w:tc>
          <w:tcPr>
            <w:tcW w:w="20" w:type="dxa"/>
            <w:vAlign w:val="bottom"/>
          </w:tcPr>
          <w:p>
            <w:pPr>
              <w:spacing w:after="0"/>
              <w:rPr>
                <w:sz w:val="18"/>
                <w:szCs w:val="18"/>
                <w:color w:val="auto"/>
              </w:rPr>
            </w:pPr>
          </w:p>
        </w:tc>
      </w:tr>
      <w:tr>
        <w:trPr>
          <w:trHeight w:val="225"/>
        </w:trPr>
        <w:tc>
          <w:tcPr>
            <w:tcW w:w="3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80" w:type="dxa"/>
            <w:vAlign w:val="bottom"/>
            <w:gridSpan w:val="4"/>
          </w:tcPr>
          <w:p>
            <w:pPr>
              <w:ind w:left="24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(Level 2)</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20" w:type="dxa"/>
            <w:vAlign w:val="bottom"/>
          </w:tcPr>
          <w:p>
            <w:pPr>
              <w:spacing w:after="0"/>
              <w:rPr>
                <w:sz w:val="19"/>
                <w:szCs w:val="19"/>
                <w:color w:val="auto"/>
              </w:rPr>
            </w:pPr>
          </w:p>
        </w:tc>
      </w:tr>
      <w:tr>
        <w:trPr>
          <w:trHeight w:val="199"/>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December 31, 2011</w:t>
            </w:r>
          </w:p>
        </w:tc>
        <w:tc>
          <w:tcPr>
            <w:tcW w:w="2820" w:type="dxa"/>
            <w:vAlign w:val="bottom"/>
            <w:tcBorders>
              <w:bottom w:val="single" w:sz="8" w:color="auto"/>
            </w:tcBorders>
          </w:tcPr>
          <w:p>
            <w:pPr>
              <w:spacing w:after="0"/>
              <w:rPr>
                <w:sz w:val="17"/>
                <w:szCs w:val="17"/>
                <w:color w:val="auto"/>
              </w:rPr>
            </w:pPr>
          </w:p>
        </w:tc>
        <w:tc>
          <w:tcPr>
            <w:tcW w:w="240" w:type="dxa"/>
            <w:vAlign w:val="bottom"/>
            <w:tcBorders>
              <w:bottom w:val="single" w:sz="8" w:color="C0C0C0"/>
            </w:tcBorders>
          </w:tcPr>
          <w:p>
            <w:pPr>
              <w:spacing w:after="0"/>
              <w:rPr>
                <w:sz w:val="17"/>
                <w:szCs w:val="17"/>
                <w:color w:val="auto"/>
              </w:rPr>
            </w:pPr>
          </w:p>
        </w:tc>
        <w:tc>
          <w:tcPr>
            <w:tcW w:w="140" w:type="dxa"/>
            <w:vAlign w:val="bottom"/>
            <w:tcBorders>
              <w:top w:val="single" w:sz="8" w:color="auto"/>
              <w:bottom w:val="single" w:sz="8" w:color="C0C0C0"/>
            </w:tcBorders>
          </w:tcPr>
          <w:p>
            <w:pPr>
              <w:spacing w:after="0"/>
              <w:rPr>
                <w:sz w:val="17"/>
                <w:szCs w:val="17"/>
                <w:color w:val="auto"/>
              </w:rPr>
            </w:pPr>
          </w:p>
        </w:tc>
        <w:tc>
          <w:tcPr>
            <w:tcW w:w="560" w:type="dxa"/>
            <w:vAlign w:val="bottom"/>
            <w:tcBorders>
              <w:top w:val="single" w:sz="8" w:color="auto"/>
              <w:bottom w:val="single" w:sz="8" w:color="C0C0C0"/>
            </w:tcBorders>
          </w:tcPr>
          <w:p>
            <w:pPr>
              <w:spacing w:after="0"/>
              <w:rPr>
                <w:sz w:val="17"/>
                <w:szCs w:val="17"/>
                <w:color w:val="auto"/>
              </w:rPr>
            </w:pPr>
          </w:p>
        </w:tc>
        <w:tc>
          <w:tcPr>
            <w:tcW w:w="240" w:type="dxa"/>
            <w:vAlign w:val="bottom"/>
            <w:tcBorders>
              <w:bottom w:val="single" w:sz="8" w:color="C0C0C0"/>
            </w:tcBorders>
          </w:tcPr>
          <w:p>
            <w:pPr>
              <w:spacing w:after="0"/>
              <w:rPr>
                <w:sz w:val="17"/>
                <w:szCs w:val="17"/>
                <w:color w:val="auto"/>
              </w:rPr>
            </w:pPr>
          </w:p>
        </w:tc>
        <w:tc>
          <w:tcPr>
            <w:tcW w:w="100" w:type="dxa"/>
            <w:vAlign w:val="bottom"/>
            <w:tcBorders>
              <w:top w:val="single" w:sz="8" w:color="auto"/>
              <w:bottom w:val="single" w:sz="8" w:color="C0C0C0"/>
            </w:tcBorders>
          </w:tcPr>
          <w:p>
            <w:pPr>
              <w:spacing w:after="0"/>
              <w:rPr>
                <w:sz w:val="17"/>
                <w:szCs w:val="17"/>
                <w:color w:val="auto"/>
              </w:rPr>
            </w:pPr>
          </w:p>
        </w:tc>
        <w:tc>
          <w:tcPr>
            <w:tcW w:w="860" w:type="dxa"/>
            <w:vAlign w:val="bottom"/>
            <w:tcBorders>
              <w:top w:val="single" w:sz="8" w:color="auto"/>
              <w:bottom w:val="single" w:sz="8" w:color="C0C0C0"/>
            </w:tcBorders>
          </w:tcPr>
          <w:p>
            <w:pPr>
              <w:spacing w:after="0"/>
              <w:rPr>
                <w:sz w:val="17"/>
                <w:szCs w:val="17"/>
                <w:color w:val="auto"/>
              </w:rPr>
            </w:pPr>
          </w:p>
        </w:tc>
        <w:tc>
          <w:tcPr>
            <w:tcW w:w="120" w:type="dxa"/>
            <w:vAlign w:val="bottom"/>
            <w:tcBorders>
              <w:bottom w:val="single" w:sz="8" w:color="C0C0C0"/>
            </w:tcBorders>
          </w:tcPr>
          <w:p>
            <w:pPr>
              <w:spacing w:after="0"/>
              <w:rPr>
                <w:sz w:val="17"/>
                <w:szCs w:val="17"/>
                <w:color w:val="auto"/>
              </w:rPr>
            </w:pPr>
          </w:p>
        </w:tc>
        <w:tc>
          <w:tcPr>
            <w:tcW w:w="120" w:type="dxa"/>
            <w:vAlign w:val="bottom"/>
            <w:tcBorders>
              <w:bottom w:val="single" w:sz="8" w:color="C0C0C0"/>
            </w:tcBorders>
          </w:tcPr>
          <w:p>
            <w:pPr>
              <w:spacing w:after="0"/>
              <w:rPr>
                <w:sz w:val="17"/>
                <w:szCs w:val="17"/>
                <w:color w:val="auto"/>
              </w:rPr>
            </w:pPr>
          </w:p>
        </w:tc>
        <w:tc>
          <w:tcPr>
            <w:tcW w:w="200" w:type="dxa"/>
            <w:vAlign w:val="bottom"/>
            <w:tcBorders>
              <w:top w:val="single" w:sz="8" w:color="auto"/>
              <w:bottom w:val="single" w:sz="8" w:color="C0C0C0"/>
            </w:tcBorders>
          </w:tcPr>
          <w:p>
            <w:pPr>
              <w:spacing w:after="0"/>
              <w:rPr>
                <w:sz w:val="17"/>
                <w:szCs w:val="17"/>
                <w:color w:val="auto"/>
              </w:rPr>
            </w:pPr>
          </w:p>
        </w:tc>
        <w:tc>
          <w:tcPr>
            <w:tcW w:w="1040" w:type="dxa"/>
            <w:vAlign w:val="bottom"/>
            <w:tcBorders>
              <w:top w:val="single" w:sz="8" w:color="auto"/>
              <w:bottom w:val="single" w:sz="8" w:color="C0C0C0"/>
            </w:tcBorders>
          </w:tcPr>
          <w:p>
            <w:pPr>
              <w:spacing w:after="0"/>
              <w:rPr>
                <w:sz w:val="17"/>
                <w:szCs w:val="17"/>
                <w:color w:val="auto"/>
              </w:rPr>
            </w:pPr>
          </w:p>
        </w:tc>
        <w:tc>
          <w:tcPr>
            <w:tcW w:w="240" w:type="dxa"/>
            <w:vAlign w:val="bottom"/>
            <w:tcBorders>
              <w:bottom w:val="single" w:sz="8" w:color="C0C0C0"/>
            </w:tcBorders>
          </w:tcPr>
          <w:p>
            <w:pPr>
              <w:spacing w:after="0"/>
              <w:rPr>
                <w:sz w:val="17"/>
                <w:szCs w:val="17"/>
                <w:color w:val="auto"/>
              </w:rPr>
            </w:pPr>
          </w:p>
        </w:tc>
        <w:tc>
          <w:tcPr>
            <w:tcW w:w="940" w:type="dxa"/>
            <w:vAlign w:val="bottom"/>
            <w:tcBorders>
              <w:top w:val="single" w:sz="8" w:color="auto"/>
              <w:bottom w:val="single" w:sz="8" w:color="C0C0C0"/>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382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3820" w:type="dxa"/>
            <w:vAlign w:val="bottom"/>
          </w:tcPr>
          <w:p>
            <w:pPr>
              <w:spacing w:after="0"/>
              <w:rPr>
                <w:sz w:val="20"/>
                <w:szCs w:val="20"/>
                <w:color w:val="auto"/>
              </w:rPr>
            </w:pPr>
            <w:r>
              <w:rPr>
                <w:rFonts w:ascii="Arial" w:cs="Arial" w:eastAsia="Arial" w:hAnsi="Arial"/>
                <w:sz w:val="16"/>
                <w:szCs w:val="16"/>
                <w:color w:val="auto"/>
              </w:rPr>
              <w:t>Available-for-sale marketable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8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3200" w:type="dxa"/>
            <w:vAlign w:val="bottom"/>
            <w:gridSpan w:val="3"/>
            <w:shd w:val="clear" w:color="auto" w:fill="C0C0C0"/>
          </w:tcPr>
          <w:p>
            <w:pPr>
              <w:ind w:left="30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284,819</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2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284,819</w:t>
            </w:r>
          </w:p>
        </w:tc>
        <w:tc>
          <w:tcPr>
            <w:tcW w:w="9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4"/>
        </w:trPr>
        <w:tc>
          <w:tcPr>
            <w:tcW w:w="3820" w:type="dxa"/>
            <w:vAlign w:val="bottom"/>
          </w:tcPr>
          <w:p>
            <w:pPr>
              <w:ind w:left="280"/>
              <w:spacing w:after="0"/>
              <w:rPr>
                <w:sz w:val="20"/>
                <w:szCs w:val="20"/>
                <w:color w:val="auto"/>
              </w:rPr>
            </w:pPr>
            <w:r>
              <w:rPr>
                <w:rFonts w:ascii="Arial" w:cs="Arial" w:eastAsia="Arial" w:hAnsi="Arial"/>
                <w:sz w:val="16"/>
                <w:szCs w:val="16"/>
                <w:color w:val="auto"/>
              </w:rPr>
              <w:t>U.S. government guaranteed</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820" w:type="dxa"/>
            <w:vAlign w:val="bottom"/>
          </w:tcPr>
          <w:p>
            <w:pPr>
              <w:ind w:left="540"/>
              <w:spacing w:after="0"/>
              <w:rPr>
                <w:sz w:val="20"/>
                <w:szCs w:val="20"/>
                <w:color w:val="auto"/>
              </w:rPr>
            </w:pPr>
            <w:r>
              <w:rPr>
                <w:rFonts w:ascii="Arial" w:cs="Arial" w:eastAsia="Arial" w:hAnsi="Arial"/>
                <w:sz w:val="16"/>
                <w:szCs w:val="16"/>
                <w:color w:val="auto"/>
              </w:rPr>
              <w:t>corporate bonds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15,316</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38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collateralized mortgage</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38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obligations</w:t>
            </w:r>
          </w:p>
        </w:tc>
        <w:tc>
          <w:tcPr>
            <w:tcW w:w="28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622</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622</w:t>
            </w:r>
          </w:p>
        </w:tc>
        <w:tc>
          <w:tcPr>
            <w:tcW w:w="9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382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15,326</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Mortgage-backed securities</w:t>
            </w:r>
          </w:p>
        </w:tc>
        <w:tc>
          <w:tcPr>
            <w:tcW w:w="28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115</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115</w:t>
            </w:r>
          </w:p>
        </w:tc>
        <w:tc>
          <w:tcPr>
            <w:tcW w:w="9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82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Equity security</w:t>
            </w:r>
          </w:p>
        </w:tc>
        <w:tc>
          <w:tcPr>
            <w:tcW w:w="282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3,019</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940" w:type="dxa"/>
            <w:vAlign w:val="bottom"/>
            <w:tcBorders>
              <w:bottom w:val="single" w:sz="8" w:color="C0C0C0"/>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3820" w:type="dxa"/>
            <w:vAlign w:val="bottom"/>
            <w:shd w:val="clear" w:color="auto" w:fill="C0C0C0"/>
          </w:tcPr>
          <w:p>
            <w:pPr>
              <w:spacing w:after="0"/>
              <w:rPr>
                <w:sz w:val="18"/>
                <w:szCs w:val="18"/>
                <w:color w:val="auto"/>
              </w:rPr>
            </w:pP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319,217</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3,019</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316,198</w:t>
            </w: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3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382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Restricted</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3820" w:type="dxa"/>
            <w:vAlign w:val="bottom"/>
          </w:tcPr>
          <w:p>
            <w:pPr>
              <w:spacing w:after="0"/>
              <w:rPr>
                <w:sz w:val="20"/>
                <w:szCs w:val="20"/>
                <w:color w:val="auto"/>
              </w:rPr>
            </w:pPr>
            <w:r>
              <w:rPr>
                <w:rFonts w:ascii="Arial" w:cs="Arial" w:eastAsia="Arial" w:hAnsi="Arial"/>
                <w:sz w:val="16"/>
                <w:szCs w:val="16"/>
                <w:color w:val="auto"/>
              </w:rPr>
              <w:t>Available-for-sale marketable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8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5,940</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5,940</w:t>
            </w: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3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3820" w:type="dxa"/>
            <w:vAlign w:val="bottom"/>
            <w:shd w:val="clear" w:color="auto" w:fill="C0C0C0"/>
          </w:tcPr>
          <w:p>
            <w:pPr>
              <w:spacing w:after="0"/>
              <w:rPr>
                <w:sz w:val="20"/>
                <w:szCs w:val="20"/>
                <w:color w:val="auto"/>
              </w:rPr>
            </w:pPr>
          </w:p>
        </w:tc>
        <w:tc>
          <w:tcPr>
            <w:tcW w:w="3200" w:type="dxa"/>
            <w:vAlign w:val="bottom"/>
            <w:gridSpan w:val="3"/>
            <w:shd w:val="clear" w:color="auto" w:fill="C0C0C0"/>
          </w:tcPr>
          <w:p>
            <w:pPr>
              <w:ind w:left="30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325,157</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3,019</w:t>
            </w:r>
          </w:p>
        </w:tc>
        <w:tc>
          <w:tcPr>
            <w:tcW w:w="120" w:type="dxa"/>
            <w:vAlign w:val="bottom"/>
            <w:shd w:val="clear" w:color="auto" w:fill="C0C0C0"/>
          </w:tcPr>
          <w:p>
            <w:pPr>
              <w:spacing w:after="0"/>
              <w:rPr>
                <w:sz w:val="20"/>
                <w:szCs w:val="20"/>
                <w:color w:val="auto"/>
              </w:rPr>
            </w:pPr>
          </w:p>
        </w:tc>
        <w:tc>
          <w:tcPr>
            <w:tcW w:w="32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322,138</w:t>
            </w:r>
          </w:p>
        </w:tc>
        <w:tc>
          <w:tcPr>
            <w:tcW w:w="9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409"/>
        </w:trPr>
        <w:tc>
          <w:tcPr>
            <w:tcW w:w="3820" w:type="dxa"/>
            <w:vAlign w:val="bottom"/>
            <w:tcBorders>
              <w:top w:val="single" w:sz="8" w:color="C0C0C0"/>
              <w:bottom w:val="single" w:sz="8" w:color="auto"/>
            </w:tcBorders>
          </w:tcPr>
          <w:p>
            <w:pPr>
              <w:spacing w:after="0"/>
              <w:rPr>
                <w:sz w:val="20"/>
                <w:szCs w:val="20"/>
                <w:color w:val="auto"/>
              </w:rPr>
            </w:pPr>
            <w:r>
              <w:rPr>
                <w:rFonts w:ascii="Arial" w:cs="Arial" w:eastAsia="Arial" w:hAnsi="Arial"/>
                <w:sz w:val="16"/>
                <w:szCs w:val="16"/>
                <w:b w:val="1"/>
                <w:bCs w:val="1"/>
                <w:color w:val="auto"/>
              </w:rPr>
              <w:t>At December 31, 2010</w:t>
            </w:r>
          </w:p>
        </w:tc>
        <w:tc>
          <w:tcPr>
            <w:tcW w:w="2820" w:type="dxa"/>
            <w:vAlign w:val="bottom"/>
            <w:tcBorders>
              <w:top w:val="single" w:sz="8" w:color="C0C0C0"/>
              <w:bottom w:val="single" w:sz="8" w:color="auto"/>
            </w:tcBorders>
          </w:tcPr>
          <w:p>
            <w:pPr>
              <w:spacing w:after="0"/>
              <w:rPr>
                <w:sz w:val="24"/>
                <w:szCs w:val="24"/>
                <w:color w:val="auto"/>
              </w:rPr>
            </w:pPr>
          </w:p>
        </w:tc>
        <w:tc>
          <w:tcPr>
            <w:tcW w:w="24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560" w:type="dxa"/>
            <w:vAlign w:val="bottom"/>
            <w:tcBorders>
              <w:top w:val="single" w:sz="8" w:color="auto"/>
              <w:bottom w:val="single" w:sz="8" w:color="C0C0C0"/>
            </w:tcBorders>
          </w:tcPr>
          <w:p>
            <w:pPr>
              <w:spacing w:after="0"/>
              <w:rPr>
                <w:sz w:val="24"/>
                <w:szCs w:val="24"/>
                <w:color w:val="auto"/>
              </w:rPr>
            </w:pPr>
          </w:p>
        </w:tc>
        <w:tc>
          <w:tcPr>
            <w:tcW w:w="240" w:type="dxa"/>
            <w:vAlign w:val="bottom"/>
            <w:tcBorders>
              <w:top w:val="single" w:sz="8" w:color="C0C0C0"/>
              <w:bottom w:val="single" w:sz="8" w:color="C0C0C0"/>
            </w:tcBorders>
          </w:tcPr>
          <w:p>
            <w:pPr>
              <w:spacing w:after="0"/>
              <w:rPr>
                <w:sz w:val="24"/>
                <w:szCs w:val="24"/>
                <w:color w:val="auto"/>
              </w:rPr>
            </w:pPr>
          </w:p>
        </w:tc>
        <w:tc>
          <w:tcPr>
            <w:tcW w:w="100" w:type="dxa"/>
            <w:vAlign w:val="bottom"/>
            <w:tcBorders>
              <w:top w:val="single" w:sz="8" w:color="auto"/>
              <w:bottom w:val="single" w:sz="8" w:color="C0C0C0"/>
            </w:tcBorders>
          </w:tcPr>
          <w:p>
            <w:pPr>
              <w:spacing w:after="0"/>
              <w:rPr>
                <w:sz w:val="24"/>
                <w:szCs w:val="24"/>
                <w:color w:val="auto"/>
              </w:rPr>
            </w:pPr>
          </w:p>
        </w:tc>
        <w:tc>
          <w:tcPr>
            <w:tcW w:w="860" w:type="dxa"/>
            <w:vAlign w:val="bottom"/>
            <w:tcBorders>
              <w:top w:val="single" w:sz="8" w:color="auto"/>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200" w:type="dxa"/>
            <w:vAlign w:val="bottom"/>
            <w:tcBorders>
              <w:top w:val="single" w:sz="8" w:color="auto"/>
              <w:bottom w:val="single" w:sz="8" w:color="C0C0C0"/>
            </w:tcBorders>
          </w:tcPr>
          <w:p>
            <w:pPr>
              <w:spacing w:after="0"/>
              <w:rPr>
                <w:sz w:val="24"/>
                <w:szCs w:val="24"/>
                <w:color w:val="auto"/>
              </w:rPr>
            </w:pPr>
          </w:p>
        </w:tc>
        <w:tc>
          <w:tcPr>
            <w:tcW w:w="1040" w:type="dxa"/>
            <w:vAlign w:val="bottom"/>
            <w:tcBorders>
              <w:top w:val="single" w:sz="8" w:color="auto"/>
              <w:bottom w:val="single" w:sz="8" w:color="C0C0C0"/>
            </w:tcBorders>
          </w:tcPr>
          <w:p>
            <w:pPr>
              <w:spacing w:after="0"/>
              <w:rPr>
                <w:sz w:val="24"/>
                <w:szCs w:val="24"/>
                <w:color w:val="auto"/>
              </w:rPr>
            </w:pPr>
          </w:p>
        </w:tc>
        <w:tc>
          <w:tcPr>
            <w:tcW w:w="240" w:type="dxa"/>
            <w:vAlign w:val="bottom"/>
            <w:tcBorders>
              <w:top w:val="single" w:sz="8" w:color="C0C0C0"/>
              <w:bottom w:val="single" w:sz="8" w:color="C0C0C0"/>
            </w:tcBorders>
          </w:tcPr>
          <w:p>
            <w:pPr>
              <w:spacing w:after="0"/>
              <w:rPr>
                <w:sz w:val="24"/>
                <w:szCs w:val="24"/>
                <w:color w:val="auto"/>
              </w:rPr>
            </w:pPr>
          </w:p>
        </w:tc>
        <w:tc>
          <w:tcPr>
            <w:tcW w:w="940" w:type="dxa"/>
            <w:vAlign w:val="bottom"/>
            <w:tcBorders>
              <w:top w:val="single" w:sz="8" w:color="C0C0C0"/>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382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Unrestricted</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3820" w:type="dxa"/>
            <w:vAlign w:val="bottom"/>
          </w:tcPr>
          <w:p>
            <w:pPr>
              <w:spacing w:after="0"/>
              <w:rPr>
                <w:sz w:val="20"/>
                <w:szCs w:val="20"/>
                <w:color w:val="auto"/>
              </w:rPr>
            </w:pPr>
            <w:r>
              <w:rPr>
                <w:rFonts w:ascii="Arial" w:cs="Arial" w:eastAsia="Arial" w:hAnsi="Arial"/>
                <w:sz w:val="16"/>
                <w:szCs w:val="16"/>
                <w:color w:val="auto"/>
              </w:rPr>
              <w:t>Available-for-sale marketable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8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3200" w:type="dxa"/>
            <w:vAlign w:val="bottom"/>
            <w:gridSpan w:val="3"/>
            <w:shd w:val="clear" w:color="auto" w:fill="C0C0C0"/>
          </w:tcPr>
          <w:p>
            <w:pPr>
              <w:ind w:left="30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434,367</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2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434,367</w:t>
            </w:r>
          </w:p>
        </w:tc>
        <w:tc>
          <w:tcPr>
            <w:tcW w:w="9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4"/>
        </w:trPr>
        <w:tc>
          <w:tcPr>
            <w:tcW w:w="3820" w:type="dxa"/>
            <w:vAlign w:val="bottom"/>
          </w:tcPr>
          <w:p>
            <w:pPr>
              <w:ind w:left="280"/>
              <w:spacing w:after="0"/>
              <w:rPr>
                <w:sz w:val="20"/>
                <w:szCs w:val="20"/>
                <w:color w:val="auto"/>
              </w:rPr>
            </w:pPr>
            <w:r>
              <w:rPr>
                <w:rFonts w:ascii="Arial" w:cs="Arial" w:eastAsia="Arial" w:hAnsi="Arial"/>
                <w:sz w:val="16"/>
                <w:szCs w:val="16"/>
                <w:color w:val="auto"/>
              </w:rPr>
              <w:t>U.S. government guaranteed</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820" w:type="dxa"/>
            <w:vAlign w:val="bottom"/>
          </w:tcPr>
          <w:p>
            <w:pPr>
              <w:ind w:left="520"/>
              <w:spacing w:after="0"/>
              <w:rPr>
                <w:sz w:val="20"/>
                <w:szCs w:val="20"/>
                <w:color w:val="auto"/>
              </w:rPr>
            </w:pPr>
            <w:r>
              <w:rPr>
                <w:rFonts w:ascii="Arial" w:cs="Arial" w:eastAsia="Arial" w:hAnsi="Arial"/>
                <w:sz w:val="16"/>
                <w:szCs w:val="16"/>
                <w:color w:val="auto"/>
              </w:rPr>
              <w:t>corporate bonds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64,008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64,008</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guaranteed</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38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collateralized mortgage</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3820" w:type="dxa"/>
            <w:vAlign w:val="bottom"/>
            <w:shd w:val="clear" w:color="auto" w:fill="C0C0C0"/>
          </w:tcPr>
          <w:p>
            <w:pPr>
              <w:ind w:left="540"/>
              <w:spacing w:after="0"/>
              <w:rPr>
                <w:sz w:val="20"/>
                <w:szCs w:val="20"/>
                <w:color w:val="auto"/>
              </w:rPr>
            </w:pPr>
            <w:r>
              <w:rPr>
                <w:rFonts w:ascii="Arial" w:cs="Arial" w:eastAsia="Arial" w:hAnsi="Arial"/>
                <w:sz w:val="16"/>
                <w:szCs w:val="16"/>
                <w:color w:val="auto"/>
              </w:rPr>
              <w:t>obligations</w:t>
            </w:r>
          </w:p>
        </w:tc>
        <w:tc>
          <w:tcPr>
            <w:tcW w:w="28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2,131</w:t>
            </w: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2,131</w:t>
            </w:r>
          </w:p>
        </w:tc>
        <w:tc>
          <w:tcPr>
            <w:tcW w:w="9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382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1,603</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Mortgage-backed securities</w:t>
            </w:r>
          </w:p>
        </w:tc>
        <w:tc>
          <w:tcPr>
            <w:tcW w:w="28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1,128</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1,128</w:t>
            </w:r>
          </w:p>
        </w:tc>
        <w:tc>
          <w:tcPr>
            <w:tcW w:w="9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82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Equity security</w:t>
            </w:r>
          </w:p>
        </w:tc>
        <w:tc>
          <w:tcPr>
            <w:tcW w:w="282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c>
          <w:tcPr>
            <w:tcW w:w="24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3,612</w:t>
            </w:r>
          </w:p>
        </w:tc>
        <w:tc>
          <w:tcPr>
            <w:tcW w:w="120" w:type="dxa"/>
            <w:vAlign w:val="bottom"/>
            <w:tcBorders>
              <w:bottom w:val="single" w:sz="8" w:color="C0C0C0"/>
            </w:tcBorders>
          </w:tcPr>
          <w:p>
            <w:pPr>
              <w:spacing w:after="0"/>
              <w:rPr>
                <w:sz w:val="18"/>
                <w:szCs w:val="18"/>
                <w:color w:val="auto"/>
              </w:rPr>
            </w:pPr>
          </w:p>
        </w:tc>
        <w:tc>
          <w:tcPr>
            <w:tcW w:w="120" w:type="dxa"/>
            <w:vAlign w:val="bottom"/>
            <w:tcBorders>
              <w:bottom w:val="single" w:sz="8" w:color="C0C0C0"/>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940" w:type="dxa"/>
            <w:vAlign w:val="bottom"/>
            <w:tcBorders>
              <w:bottom w:val="single" w:sz="8" w:color="C0C0C0"/>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3820" w:type="dxa"/>
            <w:vAlign w:val="bottom"/>
            <w:shd w:val="clear" w:color="auto" w:fill="C0C0C0"/>
          </w:tcPr>
          <w:p>
            <w:pPr>
              <w:spacing w:after="0"/>
              <w:rPr>
                <w:sz w:val="18"/>
                <w:szCs w:val="18"/>
                <w:color w:val="auto"/>
              </w:rPr>
            </w:pP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506,849</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3,612</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503,237</w:t>
            </w: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3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3820" w:type="dxa"/>
            <w:vAlign w:val="bottom"/>
            <w:shd w:val="clear" w:color="auto" w:fill="C0C0C0"/>
          </w:tcPr>
          <w:p>
            <w:pPr>
              <w:spacing w:after="0"/>
              <w:rPr>
                <w:sz w:val="20"/>
                <w:szCs w:val="20"/>
                <w:color w:val="auto"/>
              </w:rPr>
            </w:pPr>
            <w:r>
              <w:rPr>
                <w:rFonts w:ascii="Arial" w:cs="Arial" w:eastAsia="Arial" w:hAnsi="Arial"/>
                <w:sz w:val="16"/>
                <w:szCs w:val="16"/>
                <w:i w:val="1"/>
                <w:iCs w:val="1"/>
                <w:color w:val="auto"/>
              </w:rPr>
              <w:t>Restricted</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3820" w:type="dxa"/>
            <w:vAlign w:val="bottom"/>
          </w:tcPr>
          <w:p>
            <w:pPr>
              <w:spacing w:after="0"/>
              <w:rPr>
                <w:sz w:val="20"/>
                <w:szCs w:val="20"/>
                <w:color w:val="auto"/>
              </w:rPr>
            </w:pPr>
            <w:r>
              <w:rPr>
                <w:rFonts w:ascii="Arial" w:cs="Arial" w:eastAsia="Arial" w:hAnsi="Arial"/>
                <w:sz w:val="16"/>
                <w:szCs w:val="16"/>
                <w:color w:val="auto"/>
              </w:rPr>
              <w:t>Available-for-sale marketable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3820" w:type="dxa"/>
            <w:vAlign w:val="bottom"/>
          </w:tcPr>
          <w:p>
            <w:pPr>
              <w:ind w:left="280"/>
              <w:spacing w:after="0"/>
              <w:rPr>
                <w:sz w:val="20"/>
                <w:szCs w:val="20"/>
                <w:color w:val="auto"/>
              </w:rPr>
            </w:pPr>
            <w:r>
              <w:rPr>
                <w:rFonts w:ascii="Arial" w:cs="Arial" w:eastAsia="Arial" w:hAnsi="Arial"/>
                <w:sz w:val="16"/>
                <w:szCs w:val="16"/>
                <w:color w:val="auto"/>
              </w:rPr>
              <w:t>securities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8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U.S. government obligations</w:t>
            </w:r>
          </w:p>
        </w:tc>
        <w:tc>
          <w:tcPr>
            <w:tcW w:w="28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7,039</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7,039</w:t>
            </w:r>
          </w:p>
        </w:tc>
        <w:tc>
          <w:tcPr>
            <w:tcW w:w="9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38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3820" w:type="dxa"/>
            <w:vAlign w:val="bottom"/>
            <w:shd w:val="clear" w:color="auto" w:fill="C0C0C0"/>
          </w:tcPr>
          <w:p>
            <w:pPr>
              <w:spacing w:after="0"/>
              <w:rPr>
                <w:sz w:val="19"/>
                <w:szCs w:val="19"/>
                <w:color w:val="auto"/>
              </w:rPr>
            </w:pPr>
          </w:p>
        </w:tc>
        <w:tc>
          <w:tcPr>
            <w:tcW w:w="3200" w:type="dxa"/>
            <w:vAlign w:val="bottom"/>
            <w:gridSpan w:val="3"/>
            <w:shd w:val="clear" w:color="auto" w:fill="C0C0C0"/>
          </w:tcPr>
          <w:p>
            <w:pPr>
              <w:ind w:left="30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3"/>
              </w:rPr>
              <w:t>513,888</w:t>
            </w:r>
          </w:p>
        </w:tc>
        <w:tc>
          <w:tcPr>
            <w:tcW w:w="2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3,612</w:t>
            </w:r>
          </w:p>
        </w:tc>
        <w:tc>
          <w:tcPr>
            <w:tcW w:w="120" w:type="dxa"/>
            <w:vAlign w:val="bottom"/>
            <w:shd w:val="clear" w:color="auto" w:fill="C0C0C0"/>
          </w:tcPr>
          <w:p>
            <w:pPr>
              <w:spacing w:after="0"/>
              <w:rPr>
                <w:sz w:val="19"/>
                <w:szCs w:val="19"/>
                <w:color w:val="auto"/>
              </w:rPr>
            </w:pPr>
          </w:p>
        </w:tc>
        <w:tc>
          <w:tcPr>
            <w:tcW w:w="32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0C0C0"/>
          </w:tcPr>
          <w:p>
            <w:pPr>
              <w:jc w:val="right"/>
              <w:ind w:right="240"/>
              <w:spacing w:after="0"/>
              <w:rPr>
                <w:sz w:val="20"/>
                <w:szCs w:val="20"/>
                <w:color w:val="auto"/>
              </w:rPr>
            </w:pPr>
            <w:r>
              <w:rPr>
                <w:rFonts w:ascii="Arial" w:cs="Arial" w:eastAsia="Arial" w:hAnsi="Arial"/>
                <w:sz w:val="16"/>
                <w:szCs w:val="16"/>
                <w:color w:val="auto"/>
              </w:rPr>
              <w:t>510,276</w:t>
            </w:r>
          </w:p>
        </w:tc>
        <w:tc>
          <w:tcPr>
            <w:tcW w:w="9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604"/>
        </w:trPr>
        <w:tc>
          <w:tcPr>
            <w:tcW w:w="3820" w:type="dxa"/>
            <w:vAlign w:val="bottom"/>
            <w:tcBorders>
              <w:top w:val="single" w:sz="8" w:color="C0C0C0"/>
            </w:tcBorders>
          </w:tcPr>
          <w:p>
            <w:pPr>
              <w:spacing w:after="0"/>
              <w:rPr>
                <w:sz w:val="24"/>
                <w:szCs w:val="24"/>
                <w:color w:val="auto"/>
              </w:rPr>
            </w:pPr>
          </w:p>
        </w:tc>
        <w:tc>
          <w:tcPr>
            <w:tcW w:w="3060" w:type="dxa"/>
            <w:vAlign w:val="bottom"/>
            <w:tcBorders>
              <w:top w:val="single" w:sz="8" w:color="C0C0C0"/>
            </w:tcBorders>
            <w:gridSpan w:val="2"/>
          </w:tcPr>
          <w:p>
            <w:pPr>
              <w:ind w:left="1740"/>
              <w:spacing w:after="0"/>
              <w:rPr>
                <w:sz w:val="20"/>
                <w:szCs w:val="20"/>
                <w:color w:val="auto"/>
              </w:rPr>
            </w:pPr>
            <w:r>
              <w:rPr>
                <w:rFonts w:ascii="Arial" w:cs="Arial" w:eastAsia="Arial" w:hAnsi="Arial"/>
                <w:sz w:val="16"/>
                <w:szCs w:val="16"/>
                <w:color w:val="auto"/>
              </w:rPr>
              <w:t>F-23</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820" w:type="dxa"/>
            <w:vAlign w:val="bottom"/>
            <w:tcBorders>
              <w:bottom w:val="single" w:sz="8" w:color="808080"/>
            </w:tcBorders>
          </w:tcPr>
          <w:p>
            <w:pPr>
              <w:spacing w:after="0"/>
              <w:rPr>
                <w:sz w:val="17"/>
                <w:szCs w:val="17"/>
                <w:color w:val="auto"/>
              </w:rPr>
            </w:pPr>
          </w:p>
        </w:tc>
        <w:tc>
          <w:tcPr>
            <w:tcW w:w="28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67"/>
        <w:spacing w:after="0" w:line="257" w:lineRule="auto"/>
        <w:rPr>
          <w:sz w:val="20"/>
          <w:szCs w:val="20"/>
          <w:color w:val="auto"/>
        </w:rPr>
      </w:pPr>
      <w:r>
        <w:rPr>
          <w:rFonts w:ascii="Arial" w:cs="Arial" w:eastAsia="Arial" w:hAnsi="Arial"/>
          <w:sz w:val="16"/>
          <w:szCs w:val="16"/>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year ended December 31, 2010, deterioration in the credit quality of a marketable security subjected the Company to the risk of not being able to recover the carrying value of these securities. As a result, the Company recognized a $0.1 million impairment charge related to its Level 2 marketable securities in 2010, which the Company considered to be other-than-temporarily impaired. The Company did not record any charges for other-than-temporary impairment of its Level 2 marketable securities in 2011 and 2009.</w:t>
      </w:r>
    </w:p>
    <w:p>
      <w:pPr>
        <w:spacing w:after="0" w:line="202"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4"/>
          <w:szCs w:val="14"/>
          <w:color w:val="auto"/>
        </w:rPr>
        <w:t>The Company held one Level 3 marketable security, which had a fair value of $0 at December 31, 2011 and 2010. This Level 3 security was valued using information provided by the Company’s investment advisors and other sources, including quoted bid prices which took into consideration the securities’ lack of liquidity. In 2009, the Company recorded a charge of $0.1 million for other-than-temporary impairment of this Level 3 marketable security; therefore, as of December 31, 2009, the fair value of this security had been written down to zero. There were no purchases, sales, or maturities of Level 3 marketable securities and no unrealized gains or losses related to Level 3 marketable securities for the years ended December 31, 2011 and 2010. There were no transfers of marketable securities between Levels 1, 2, or 3 classifications during the years ended December 31, 2011 and 2010.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7. Inventory</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3"/>
        </w:trPr>
        <w:tc>
          <w:tcPr>
            <w:tcW w:w="7380" w:type="dxa"/>
            <w:vAlign w:val="bottom"/>
            <w:gridSpan w:val="2"/>
          </w:tcPr>
          <w:p>
            <w:pPr>
              <w:ind w:left="240"/>
              <w:spacing w:after="0"/>
              <w:rPr>
                <w:sz w:val="20"/>
                <w:szCs w:val="20"/>
                <w:color w:val="auto"/>
              </w:rPr>
            </w:pPr>
            <w:r>
              <w:rPr>
                <w:rFonts w:ascii="Arial" w:cs="Arial" w:eastAsia="Arial" w:hAnsi="Arial"/>
                <w:sz w:val="16"/>
                <w:szCs w:val="16"/>
                <w:color w:val="auto"/>
              </w:rPr>
              <w:t>Inventories as of December 31, 2011 and December 31, 2010 consist of the following:</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8"/>
        </w:trPr>
        <w:tc>
          <w:tcPr>
            <w:tcW w:w="1160" w:type="dxa"/>
            <w:vAlign w:val="bottom"/>
          </w:tcPr>
          <w:p>
            <w:pPr>
              <w:spacing w:after="0"/>
              <w:rPr>
                <w:sz w:val="24"/>
                <w:szCs w:val="24"/>
                <w:color w:val="auto"/>
              </w:rPr>
            </w:pPr>
          </w:p>
        </w:tc>
        <w:tc>
          <w:tcPr>
            <w:tcW w:w="622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4"/>
              </w:rPr>
              <w:t>2011</w:t>
            </w:r>
          </w:p>
        </w:tc>
        <w:tc>
          <w:tcPr>
            <w:tcW w:w="240" w:type="dxa"/>
            <w:vAlign w:val="bottom"/>
            <w:tcBorders>
              <w:bottom w:val="single" w:sz="8" w:color="C0C0C0"/>
            </w:tcBorders>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2010</w:t>
            </w:r>
          </w:p>
        </w:tc>
      </w:tr>
      <w:tr>
        <w:trPr>
          <w:trHeight w:val="218"/>
        </w:trPr>
        <w:tc>
          <w:tcPr>
            <w:tcW w:w="1160" w:type="dxa"/>
            <w:vAlign w:val="bottom"/>
          </w:tcPr>
          <w:p>
            <w:pPr>
              <w:spacing w:after="0"/>
              <w:rPr>
                <w:sz w:val="18"/>
                <w:szCs w:val="18"/>
                <w:color w:val="auto"/>
              </w:rPr>
            </w:pPr>
          </w:p>
        </w:tc>
        <w:tc>
          <w:tcPr>
            <w:tcW w:w="6220" w:type="dxa"/>
            <w:vAlign w:val="bottom"/>
            <w:shd w:val="clear" w:color="auto" w:fill="C0C0C0"/>
          </w:tcPr>
          <w:p>
            <w:pPr>
              <w:spacing w:after="0"/>
              <w:rPr>
                <w:sz w:val="20"/>
                <w:szCs w:val="20"/>
                <w:color w:val="auto"/>
              </w:rPr>
            </w:pPr>
            <w:r>
              <w:rPr>
                <w:rFonts w:ascii="Arial" w:cs="Arial" w:eastAsia="Arial" w:hAnsi="Arial"/>
                <w:sz w:val="16"/>
                <w:szCs w:val="16"/>
                <w:color w:val="auto"/>
              </w:rPr>
              <w:t>Raw materials</w:t>
            </w:r>
          </w:p>
        </w:tc>
        <w:tc>
          <w:tcPr>
            <w:tcW w:w="178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1,608</w:t>
            </w: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592</w:t>
            </w:r>
          </w:p>
        </w:tc>
      </w:tr>
      <w:tr>
        <w:trPr>
          <w:trHeight w:val="211"/>
        </w:trPr>
        <w:tc>
          <w:tcPr>
            <w:tcW w:w="7380" w:type="dxa"/>
            <w:vAlign w:val="bottom"/>
            <w:gridSpan w:val="2"/>
          </w:tcPr>
          <w:p>
            <w:pPr>
              <w:ind w:left="1140"/>
              <w:spacing w:after="0"/>
              <w:rPr>
                <w:sz w:val="20"/>
                <w:szCs w:val="20"/>
                <w:color w:val="auto"/>
              </w:rPr>
            </w:pPr>
            <w:r>
              <w:rPr>
                <w:rFonts w:ascii="Arial" w:cs="Arial" w:eastAsia="Arial" w:hAnsi="Arial"/>
                <w:sz w:val="16"/>
                <w:szCs w:val="16"/>
                <w:color w:val="auto"/>
              </w:rPr>
              <w:t>Work in process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10,806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8"/>
        </w:trPr>
        <w:tc>
          <w:tcPr>
            <w:tcW w:w="1160" w:type="dxa"/>
            <w:vAlign w:val="bottom"/>
          </w:tcPr>
          <w:p>
            <w:pPr>
              <w:spacing w:after="0"/>
              <w:rPr>
                <w:sz w:val="18"/>
                <w:szCs w:val="18"/>
                <w:color w:val="auto"/>
              </w:rPr>
            </w:pPr>
          </w:p>
        </w:tc>
        <w:tc>
          <w:tcPr>
            <w:tcW w:w="6220" w:type="dxa"/>
            <w:vAlign w:val="bottom"/>
            <w:shd w:val="clear" w:color="auto" w:fill="C0C0C0"/>
          </w:tcPr>
          <w:p>
            <w:pPr>
              <w:spacing w:after="0"/>
              <w:rPr>
                <w:sz w:val="20"/>
                <w:szCs w:val="20"/>
                <w:color w:val="auto"/>
              </w:rPr>
            </w:pPr>
            <w:r>
              <w:rPr>
                <w:rFonts w:ascii="Arial" w:cs="Arial" w:eastAsia="Arial" w:hAnsi="Arial"/>
                <w:sz w:val="16"/>
                <w:szCs w:val="16"/>
                <w:color w:val="auto"/>
              </w:rPr>
              <w:t>Finished goods</w:t>
            </w:r>
          </w:p>
        </w:tc>
        <w:tc>
          <w:tcPr>
            <w:tcW w:w="170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1,142</w:t>
            </w:r>
          </w:p>
        </w:tc>
        <w:tc>
          <w:tcPr>
            <w:tcW w:w="2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132</w:t>
            </w:r>
          </w:p>
        </w:tc>
      </w:tr>
      <w:tr>
        <w:trPr>
          <w:trHeight w:val="211"/>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13,556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1,423</w:t>
            </w:r>
          </w:p>
        </w:tc>
      </w:tr>
      <w:tr>
        <w:trPr>
          <w:trHeight w:val="32"/>
        </w:trPr>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right="20" w:firstLine="255"/>
        <w:spacing w:after="0" w:line="274" w:lineRule="auto"/>
        <w:rPr>
          <w:sz w:val="20"/>
          <w:szCs w:val="20"/>
          <w:color w:val="auto"/>
        </w:rPr>
      </w:pPr>
      <w:r>
        <w:rPr>
          <w:rFonts w:ascii="Arial" w:cs="Arial" w:eastAsia="Arial" w:hAnsi="Arial"/>
          <w:sz w:val="16"/>
          <w:szCs w:val="16"/>
          <w:color w:val="auto"/>
        </w:rPr>
        <w:t>At December 31, 2011, $3.5 million of inventories were included in prepaid expenses and other current assets and $10.1 million of inventories were included in other assets. At December 31, 2010, inventories were included in prepaid expenses and other current assets.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2011, cost of goods sold included inventory write-downs of $0.5 million. In 2010, there were no inventory write-downs included in cost of goods sold.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8. Property, Plant, and Equipment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13"/>
        </w:trPr>
        <w:tc>
          <w:tcPr>
            <w:tcW w:w="7280" w:type="dxa"/>
            <w:vAlign w:val="bottom"/>
            <w:gridSpan w:val="2"/>
          </w:tcPr>
          <w:p>
            <w:pPr>
              <w:ind w:left="240"/>
              <w:spacing w:after="0"/>
              <w:rPr>
                <w:sz w:val="20"/>
                <w:szCs w:val="20"/>
                <w:color w:val="auto"/>
              </w:rPr>
            </w:pPr>
            <w:r>
              <w:rPr>
                <w:rFonts w:ascii="Arial" w:cs="Arial" w:eastAsia="Arial" w:hAnsi="Arial"/>
                <w:sz w:val="16"/>
                <w:szCs w:val="16"/>
                <w:color w:val="auto"/>
              </w:rPr>
              <w:t>Property, plant, and equipment as of December 31, 2011 and 2010 consist of the following:</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08"/>
        </w:trPr>
        <w:tc>
          <w:tcPr>
            <w:tcW w:w="1160" w:type="dxa"/>
            <w:vAlign w:val="bottom"/>
          </w:tcPr>
          <w:p>
            <w:pPr>
              <w:spacing w:after="0"/>
              <w:rPr>
                <w:sz w:val="24"/>
                <w:szCs w:val="24"/>
                <w:color w:val="auto"/>
              </w:rPr>
            </w:pPr>
          </w:p>
        </w:tc>
        <w:tc>
          <w:tcPr>
            <w:tcW w:w="612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2011</w:t>
            </w:r>
          </w:p>
        </w:tc>
        <w:tc>
          <w:tcPr>
            <w:tcW w:w="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2010</w:t>
            </w:r>
          </w:p>
        </w:tc>
      </w:tr>
      <w:tr>
        <w:trPr>
          <w:trHeight w:val="218"/>
        </w:trPr>
        <w:tc>
          <w:tcPr>
            <w:tcW w:w="1160" w:type="dxa"/>
            <w:vAlign w:val="bottom"/>
          </w:tcPr>
          <w:p>
            <w:pPr>
              <w:spacing w:after="0"/>
              <w:rPr>
                <w:sz w:val="18"/>
                <w:szCs w:val="18"/>
                <w:color w:val="auto"/>
              </w:rPr>
            </w:pPr>
          </w:p>
        </w:tc>
        <w:tc>
          <w:tcPr>
            <w:tcW w:w="6120" w:type="dxa"/>
            <w:vAlign w:val="bottom"/>
            <w:shd w:val="clear" w:color="auto" w:fill="C0C0C0"/>
          </w:tcPr>
          <w:p>
            <w:pPr>
              <w:spacing w:after="0"/>
              <w:rPr>
                <w:sz w:val="20"/>
                <w:szCs w:val="20"/>
                <w:color w:val="auto"/>
              </w:rPr>
            </w:pPr>
            <w:r>
              <w:rPr>
                <w:rFonts w:ascii="Arial" w:cs="Arial" w:eastAsia="Arial" w:hAnsi="Arial"/>
                <w:sz w:val="16"/>
                <w:szCs w:val="16"/>
                <w:color w:val="auto"/>
              </w:rPr>
              <w:t>Land</w:t>
            </w:r>
          </w:p>
        </w:tc>
        <w:tc>
          <w:tcPr>
            <w:tcW w:w="13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2,117</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2,117</w:t>
            </w:r>
          </w:p>
        </w:tc>
      </w:tr>
      <w:tr>
        <w:trPr>
          <w:trHeight w:val="211"/>
        </w:trPr>
        <w:tc>
          <w:tcPr>
            <w:tcW w:w="7280" w:type="dxa"/>
            <w:vAlign w:val="bottom"/>
            <w:gridSpan w:val="2"/>
          </w:tcPr>
          <w:p>
            <w:pPr>
              <w:ind w:left="1140"/>
              <w:spacing w:after="0"/>
              <w:rPr>
                <w:sz w:val="20"/>
                <w:szCs w:val="20"/>
                <w:color w:val="auto"/>
              </w:rPr>
            </w:pPr>
            <w:r>
              <w:rPr>
                <w:rFonts w:ascii="Arial" w:cs="Arial" w:eastAsia="Arial" w:hAnsi="Arial"/>
                <w:sz w:val="16"/>
                <w:szCs w:val="16"/>
                <w:color w:val="auto"/>
              </w:rPr>
              <w:t>Building and improvements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322,753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242,035</w:t>
            </w:r>
          </w:p>
        </w:tc>
      </w:tr>
      <w:tr>
        <w:trPr>
          <w:trHeight w:val="226"/>
        </w:trPr>
        <w:tc>
          <w:tcPr>
            <w:tcW w:w="1160" w:type="dxa"/>
            <w:vAlign w:val="bottom"/>
          </w:tcPr>
          <w:p>
            <w:pPr>
              <w:spacing w:after="0"/>
              <w:rPr>
                <w:sz w:val="19"/>
                <w:szCs w:val="19"/>
                <w:color w:val="auto"/>
              </w:rPr>
            </w:pPr>
          </w:p>
        </w:tc>
        <w:tc>
          <w:tcPr>
            <w:tcW w:w="6120" w:type="dxa"/>
            <w:vAlign w:val="bottom"/>
            <w:shd w:val="clear" w:color="auto" w:fill="C0C0C0"/>
          </w:tcPr>
          <w:p>
            <w:pPr>
              <w:spacing w:after="0"/>
              <w:rPr>
                <w:sz w:val="20"/>
                <w:szCs w:val="20"/>
                <w:color w:val="auto"/>
              </w:rPr>
            </w:pPr>
            <w:r>
              <w:rPr>
                <w:rFonts w:ascii="Arial" w:cs="Arial" w:eastAsia="Arial" w:hAnsi="Arial"/>
                <w:sz w:val="16"/>
                <w:szCs w:val="16"/>
                <w:color w:val="auto"/>
              </w:rPr>
              <w:t>Leasehold improvements</w:t>
            </w:r>
          </w:p>
        </w:tc>
        <w:tc>
          <w:tcPr>
            <w:tcW w:w="12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4,479</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rPr>
              <w:t>4,063</w:t>
            </w:r>
          </w:p>
        </w:tc>
      </w:tr>
      <w:tr>
        <w:trPr>
          <w:trHeight w:val="211"/>
        </w:trPr>
        <w:tc>
          <w:tcPr>
            <w:tcW w:w="7280" w:type="dxa"/>
            <w:vAlign w:val="bottom"/>
            <w:gridSpan w:val="2"/>
          </w:tcPr>
          <w:p>
            <w:pPr>
              <w:ind w:left="1140"/>
              <w:spacing w:after="0"/>
              <w:rPr>
                <w:sz w:val="20"/>
                <w:szCs w:val="20"/>
                <w:color w:val="auto"/>
              </w:rPr>
            </w:pPr>
            <w:r>
              <w:rPr>
                <w:rFonts w:ascii="Arial" w:cs="Arial" w:eastAsia="Arial" w:hAnsi="Arial"/>
                <w:sz w:val="16"/>
                <w:szCs w:val="16"/>
                <w:color w:val="auto"/>
              </w:rPr>
              <w:t>Construction-in-progress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10,880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70,356</w:t>
            </w:r>
          </w:p>
        </w:tc>
      </w:tr>
      <w:tr>
        <w:trPr>
          <w:trHeight w:val="226"/>
        </w:trPr>
        <w:tc>
          <w:tcPr>
            <w:tcW w:w="1160" w:type="dxa"/>
            <w:vAlign w:val="bottom"/>
          </w:tcPr>
          <w:p>
            <w:pPr>
              <w:spacing w:after="0"/>
              <w:rPr>
                <w:sz w:val="19"/>
                <w:szCs w:val="19"/>
                <w:color w:val="auto"/>
              </w:rPr>
            </w:pPr>
          </w:p>
        </w:tc>
        <w:tc>
          <w:tcPr>
            <w:tcW w:w="6120" w:type="dxa"/>
            <w:vAlign w:val="bottom"/>
            <w:shd w:val="clear" w:color="auto" w:fill="C0C0C0"/>
          </w:tcPr>
          <w:p>
            <w:pPr>
              <w:spacing w:after="0"/>
              <w:rPr>
                <w:sz w:val="20"/>
                <w:szCs w:val="20"/>
                <w:color w:val="auto"/>
              </w:rPr>
            </w:pPr>
            <w:r>
              <w:rPr>
                <w:rFonts w:ascii="Arial" w:cs="Arial" w:eastAsia="Arial" w:hAnsi="Arial"/>
                <w:sz w:val="16"/>
                <w:szCs w:val="16"/>
                <w:color w:val="auto"/>
              </w:rPr>
              <w:t>Laboratory and other equipment</w:t>
            </w:r>
          </w:p>
        </w:tc>
        <w:tc>
          <w:tcPr>
            <w:tcW w:w="12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w w:val="96"/>
              </w:rPr>
              <w:t>156,397</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w w:val="96"/>
              </w:rPr>
              <w:t>137,951</w:t>
            </w:r>
          </w:p>
        </w:tc>
      </w:tr>
      <w:tr>
        <w:trPr>
          <w:trHeight w:val="211"/>
        </w:trPr>
        <w:tc>
          <w:tcPr>
            <w:tcW w:w="7280" w:type="dxa"/>
            <w:vAlign w:val="bottom"/>
            <w:gridSpan w:val="2"/>
          </w:tcPr>
          <w:p>
            <w:pPr>
              <w:ind w:left="1140"/>
              <w:spacing w:after="0"/>
              <w:rPr>
                <w:sz w:val="20"/>
                <w:szCs w:val="20"/>
                <w:color w:val="auto"/>
              </w:rPr>
            </w:pPr>
            <w:r>
              <w:rPr>
                <w:rFonts w:ascii="Arial" w:cs="Arial" w:eastAsia="Arial" w:hAnsi="Arial"/>
                <w:sz w:val="16"/>
                <w:szCs w:val="16"/>
                <w:color w:val="auto"/>
              </w:rPr>
              <w:t>Furniture, computer and office equipment, and other</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29,468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22,235</w:t>
            </w:r>
          </w:p>
        </w:tc>
      </w:tr>
      <w:tr>
        <w:trPr>
          <w:trHeight w:val="218"/>
        </w:trPr>
        <w:tc>
          <w:tcPr>
            <w:tcW w:w="1160" w:type="dxa"/>
            <w:vAlign w:val="bottom"/>
          </w:tcPr>
          <w:p>
            <w:pPr>
              <w:spacing w:after="0"/>
              <w:rPr>
                <w:sz w:val="18"/>
                <w:szCs w:val="18"/>
                <w:color w:val="auto"/>
              </w:rPr>
            </w:pPr>
          </w:p>
        </w:tc>
        <w:tc>
          <w:tcPr>
            <w:tcW w:w="6120" w:type="dxa"/>
            <w:vAlign w:val="bottom"/>
            <w:tcBorders>
              <w:top w:val="single" w:sz="8" w:color="C0C0C0"/>
            </w:tcBorders>
            <w:shd w:val="clear" w:color="auto" w:fill="C0C0C0"/>
          </w:tcPr>
          <w:p>
            <w:pPr>
              <w:spacing w:after="0"/>
              <w:rPr>
                <w:sz w:val="18"/>
                <w:szCs w:val="18"/>
                <w:color w:val="auto"/>
              </w:rPr>
            </w:pPr>
          </w:p>
        </w:tc>
        <w:tc>
          <w:tcPr>
            <w:tcW w:w="1280" w:type="dxa"/>
            <w:vAlign w:val="bottom"/>
            <w:tcBorders>
              <w:top w:val="single" w:sz="8" w:color="C0C0C0"/>
            </w:tcBorders>
            <w:shd w:val="clear" w:color="auto" w:fill="C0C0C0"/>
          </w:tcPr>
          <w:p>
            <w:pPr>
              <w:spacing w:after="0"/>
              <w:rPr>
                <w:sz w:val="18"/>
                <w:szCs w:val="18"/>
                <w:color w:val="auto"/>
              </w:rPr>
            </w:pPr>
          </w:p>
        </w:tc>
        <w:tc>
          <w:tcPr>
            <w:tcW w:w="80" w:type="dxa"/>
            <w:vAlign w:val="bottom"/>
            <w:tcBorders>
              <w:top w:val="single" w:sz="8" w:color="auto"/>
            </w:tcBorders>
            <w:shd w:val="clear" w:color="auto" w:fill="C0C0C0"/>
          </w:tcPr>
          <w:p>
            <w:pPr>
              <w:spacing w:after="0"/>
              <w:rPr>
                <w:sz w:val="18"/>
                <w:szCs w:val="18"/>
                <w:color w:val="auto"/>
              </w:rPr>
            </w:pPr>
          </w:p>
        </w:tc>
        <w:tc>
          <w:tcPr>
            <w:tcW w:w="660" w:type="dxa"/>
            <w:vAlign w:val="bottom"/>
            <w:tcBorders>
              <w:top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w w:val="96"/>
              </w:rPr>
              <w:t>526,094</w:t>
            </w:r>
          </w:p>
        </w:tc>
        <w:tc>
          <w:tcPr>
            <w:tcW w:w="240" w:type="dxa"/>
            <w:vAlign w:val="bottom"/>
            <w:tcBorders>
              <w:top w:val="single" w:sz="8" w:color="C0C0C0"/>
            </w:tcBorders>
            <w:shd w:val="clear" w:color="auto" w:fill="C0C0C0"/>
          </w:tcPr>
          <w:p>
            <w:pPr>
              <w:spacing w:after="0"/>
              <w:rPr>
                <w:sz w:val="18"/>
                <w:szCs w:val="18"/>
                <w:color w:val="auto"/>
              </w:rPr>
            </w:pPr>
          </w:p>
        </w:tc>
        <w:tc>
          <w:tcPr>
            <w:tcW w:w="80" w:type="dxa"/>
            <w:vAlign w:val="bottom"/>
            <w:tcBorders>
              <w:top w:val="single" w:sz="8" w:color="auto"/>
            </w:tcBorders>
            <w:shd w:val="clear" w:color="auto" w:fill="C0C0C0"/>
          </w:tcPr>
          <w:p>
            <w:pPr>
              <w:spacing w:after="0"/>
              <w:rPr>
                <w:sz w:val="18"/>
                <w:szCs w:val="18"/>
                <w:color w:val="auto"/>
              </w:rPr>
            </w:pPr>
          </w:p>
        </w:tc>
        <w:tc>
          <w:tcPr>
            <w:tcW w:w="660" w:type="dxa"/>
            <w:vAlign w:val="bottom"/>
            <w:tcBorders>
              <w:top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w w:val="96"/>
              </w:rPr>
              <w:t>478,757</w:t>
            </w:r>
          </w:p>
        </w:tc>
      </w:tr>
      <w:tr>
        <w:trPr>
          <w:trHeight w:val="211"/>
        </w:trPr>
        <w:tc>
          <w:tcPr>
            <w:tcW w:w="7280" w:type="dxa"/>
            <w:vAlign w:val="bottom"/>
            <w:gridSpan w:val="2"/>
          </w:tcPr>
          <w:p>
            <w:pPr>
              <w:ind w:left="1140"/>
              <w:spacing w:after="0"/>
              <w:rPr>
                <w:sz w:val="20"/>
                <w:szCs w:val="20"/>
                <w:color w:val="auto"/>
              </w:rPr>
            </w:pPr>
            <w:r>
              <w:rPr>
                <w:rFonts w:ascii="Arial" w:cs="Arial" w:eastAsia="Arial" w:hAnsi="Arial"/>
                <w:sz w:val="16"/>
                <w:szCs w:val="16"/>
                <w:color w:val="auto"/>
              </w:rPr>
              <w:t>Less, accumulated depreciation and amortization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(158,139)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0"/>
              </w:rPr>
              <w:t>(131,307)</w:t>
            </w:r>
          </w:p>
        </w:tc>
      </w:tr>
      <w:tr>
        <w:trPr>
          <w:trHeight w:val="222"/>
        </w:trPr>
        <w:tc>
          <w:tcPr>
            <w:tcW w:w="1160" w:type="dxa"/>
            <w:vAlign w:val="bottom"/>
          </w:tcPr>
          <w:p>
            <w:pPr>
              <w:spacing w:after="0"/>
              <w:rPr>
                <w:sz w:val="19"/>
                <w:szCs w:val="19"/>
                <w:color w:val="auto"/>
              </w:rPr>
            </w:pPr>
          </w:p>
        </w:tc>
        <w:tc>
          <w:tcPr>
            <w:tcW w:w="6120" w:type="dxa"/>
            <w:vAlign w:val="bottom"/>
            <w:tcBorders>
              <w:top w:val="single" w:sz="8" w:color="C0C0C0"/>
              <w:bottom w:val="single" w:sz="8" w:color="C0C0C0"/>
            </w:tcBorders>
            <w:shd w:val="clear" w:color="auto" w:fill="C0C0C0"/>
          </w:tcPr>
          <w:p>
            <w:pPr>
              <w:spacing w:after="0"/>
              <w:rPr>
                <w:sz w:val="19"/>
                <w:szCs w:val="19"/>
                <w:color w:val="auto"/>
              </w:rPr>
            </w:pPr>
          </w:p>
        </w:tc>
        <w:tc>
          <w:tcPr>
            <w:tcW w:w="1280" w:type="dxa"/>
            <w:vAlign w:val="bottom"/>
            <w:tcBorders>
              <w:top w:val="single" w:sz="8" w:color="C0C0C0"/>
              <w:bottom w:val="single" w:sz="8" w:color="C0C0C0"/>
            </w:tcBorders>
            <w:shd w:val="clear" w:color="auto" w:fill="C0C0C0"/>
          </w:tcPr>
          <w:p>
            <w:pPr>
              <w:spacing w:after="0"/>
              <w:rPr>
                <w:sz w:val="19"/>
                <w:szCs w:val="19"/>
                <w:color w:val="auto"/>
              </w:rPr>
            </w:pPr>
          </w:p>
        </w:tc>
        <w:tc>
          <w:tcPr>
            <w:tcW w:w="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w w:val="96"/>
              </w:rPr>
              <w:t>367,955</w:t>
            </w:r>
          </w:p>
        </w:tc>
        <w:tc>
          <w:tcPr>
            <w:tcW w:w="240" w:type="dxa"/>
            <w:vAlign w:val="bottom"/>
            <w:tcBorders>
              <w:top w:val="single" w:sz="8" w:color="C0C0C0"/>
              <w:bottom w:val="single" w:sz="8" w:color="C0C0C0"/>
            </w:tcBorders>
            <w:shd w:val="clear" w:color="auto" w:fill="C0C0C0"/>
          </w:tcPr>
          <w:p>
            <w:pPr>
              <w:spacing w:after="0"/>
              <w:rPr>
                <w:sz w:val="19"/>
                <w:szCs w:val="19"/>
                <w:color w:val="auto"/>
              </w:rPr>
            </w:pPr>
          </w:p>
        </w:tc>
        <w:tc>
          <w:tcPr>
            <w:tcW w:w="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w w:val="96"/>
              </w:rPr>
              <w:t>347,450</w:t>
            </w:r>
          </w:p>
        </w:tc>
      </w:tr>
    </w:tbl>
    <w:p>
      <w:pPr>
        <w:spacing w:after="0" w:line="200" w:lineRule="exact"/>
        <w:rPr>
          <w:sz w:val="20"/>
          <w:szCs w:val="20"/>
          <w:color w:val="auto"/>
        </w:rPr>
      </w:pPr>
    </w:p>
    <w:p>
      <w:pPr>
        <w:spacing w:after="0" w:line="228" w:lineRule="exact"/>
        <w:rPr>
          <w:sz w:val="20"/>
          <w:szCs w:val="20"/>
          <w:color w:val="auto"/>
        </w:rPr>
      </w:pPr>
    </w:p>
    <w:p>
      <w:pPr>
        <w:jc w:val="both"/>
        <w:ind w:right="20" w:firstLine="267"/>
        <w:spacing w:after="0" w:line="260" w:lineRule="auto"/>
        <w:rPr>
          <w:sz w:val="20"/>
          <w:szCs w:val="20"/>
          <w:color w:val="auto"/>
        </w:rPr>
      </w:pPr>
      <w:r>
        <w:rPr>
          <w:rFonts w:ascii="Arial" w:cs="Arial" w:eastAsia="Arial" w:hAnsi="Arial"/>
          <w:sz w:val="16"/>
          <w:szCs w:val="16"/>
          <w:color w:val="auto"/>
        </w:rPr>
        <w:t>Depreciation and amortization expense on property, plant, and equipment amounted to $31.1 million, $19.7 million, and $14.2 million for the years ended December 31, 2011, 2010, and 2009, respectively. Effective in the first quarter of 2010, the estimated useful lives of certain capitalized laboratory and other equipment, which is a component of property, plant, and equipment, were extended. The effect of this change in estimate was to lower depreciation expense by $4.0 million and to lower the Company’s net loss per share by $0.05 for the year ended December 31, 2010.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ind w:right="20" w:firstLine="291"/>
        <w:spacing w:after="0" w:line="309" w:lineRule="auto"/>
        <w:rPr>
          <w:sz w:val="20"/>
          <w:szCs w:val="20"/>
          <w:color w:val="auto"/>
        </w:rPr>
      </w:pPr>
      <w:r>
        <w:rPr>
          <w:rFonts w:ascii="Arial" w:cs="Arial" w:eastAsia="Arial" w:hAnsi="Arial"/>
          <w:sz w:val="15"/>
          <w:szCs w:val="15"/>
          <w:color w:val="auto"/>
        </w:rPr>
        <w:t>Included in property, plant, and equipment at December 31, 2011 and December 31 2010 was $3.6 million and $2.8 million, respectively, of leased equipment under capital leases, and related accumulated amortization was $0.5 million and $0.1 million at December 31, 2011 and December 31, 2010, respectively.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Property, plant, and equipment at both December 31, 2011 and 2010 includes $86.2 million of costs incurred by the Company’s landlord to construct new laboratory and office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gridSpan w:val="2"/>
          </w:tcPr>
          <w:p>
            <w:pPr>
              <w:spacing w:after="0"/>
              <w:rPr>
                <w:sz w:val="20"/>
                <w:szCs w:val="20"/>
                <w:color w:val="auto"/>
              </w:rPr>
            </w:pPr>
            <w:r>
              <w:rPr>
                <w:rFonts w:ascii="Arial" w:cs="Arial" w:eastAsia="Arial" w:hAnsi="Arial"/>
                <w:sz w:val="16"/>
                <w:szCs w:val="16"/>
                <w:color w:val="auto"/>
                <w:w w:val="91"/>
              </w:rPr>
              <w:t>facilities in Tarrytown, New York in connection with the Company’s December 2006 lease, as amended, of these facilities. See Note 12a.</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6"/>
        </w:trPr>
        <w:tc>
          <w:tcPr>
            <w:tcW w:w="8820" w:type="dxa"/>
            <w:vAlign w:val="bottom"/>
            <w:gridSpan w:val="2"/>
          </w:tcPr>
          <w:p>
            <w:pPr>
              <w:ind w:left="240"/>
              <w:spacing w:after="0"/>
              <w:rPr>
                <w:sz w:val="20"/>
                <w:szCs w:val="20"/>
                <w:color w:val="auto"/>
              </w:rPr>
            </w:pPr>
            <w:r>
              <w:rPr>
                <w:rFonts w:ascii="Arial" w:cs="Arial" w:eastAsia="Arial" w:hAnsi="Arial"/>
                <w:sz w:val="16"/>
                <w:szCs w:val="16"/>
                <w:color w:val="auto"/>
                <w:w w:val="99"/>
              </w:rPr>
              <w:t>The Company capitalized interest costs of $6.4 million in 2010. The Company did not capitalize any interest costs in 2011.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88"/>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9. Accounts Payable and Accrued Expenses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3"/>
        </w:trPr>
        <w:tc>
          <w:tcPr>
            <w:tcW w:w="882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 as of December 31, 2011 and 2010 consist of the following:</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8"/>
        </w:trPr>
        <w:tc>
          <w:tcPr>
            <w:tcW w:w="1160" w:type="dxa"/>
            <w:vAlign w:val="bottom"/>
          </w:tcPr>
          <w:p>
            <w:pPr>
              <w:spacing w:after="0"/>
              <w:rPr>
                <w:sz w:val="24"/>
                <w:szCs w:val="24"/>
                <w:color w:val="auto"/>
              </w:rPr>
            </w:pPr>
          </w:p>
        </w:tc>
        <w:tc>
          <w:tcPr>
            <w:tcW w:w="766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2011</w:t>
            </w:r>
          </w:p>
        </w:tc>
        <w:tc>
          <w:tcPr>
            <w:tcW w:w="240" w:type="dxa"/>
            <w:vAlign w:val="bottom"/>
            <w:tcBorders>
              <w:bottom w:val="single" w:sz="8" w:color="C0C0C0"/>
            </w:tcBorders>
          </w:tcPr>
          <w:p>
            <w:pPr>
              <w:spacing w:after="0"/>
              <w:rPr>
                <w:sz w:val="24"/>
                <w:szCs w:val="24"/>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2010</w:t>
            </w:r>
          </w:p>
        </w:tc>
      </w:tr>
      <w:tr>
        <w:trPr>
          <w:trHeight w:val="218"/>
        </w:trPr>
        <w:tc>
          <w:tcPr>
            <w:tcW w:w="1160" w:type="dxa"/>
            <w:vAlign w:val="bottom"/>
          </w:tcPr>
          <w:p>
            <w:pPr>
              <w:spacing w:after="0"/>
              <w:rPr>
                <w:sz w:val="18"/>
                <w:szCs w:val="18"/>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6"/>
                <w:szCs w:val="16"/>
                <w:color w:val="auto"/>
              </w:rPr>
              <w:t>Accounts payable</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$27,736</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$15,589</w:t>
            </w:r>
          </w:p>
        </w:tc>
      </w:tr>
      <w:tr>
        <w:trPr>
          <w:trHeight w:val="211"/>
        </w:trPr>
        <w:tc>
          <w:tcPr>
            <w:tcW w:w="8820" w:type="dxa"/>
            <w:vAlign w:val="bottom"/>
            <w:gridSpan w:val="2"/>
          </w:tcPr>
          <w:p>
            <w:pPr>
              <w:ind w:left="1140"/>
              <w:spacing w:after="0"/>
              <w:rPr>
                <w:sz w:val="20"/>
                <w:szCs w:val="20"/>
                <w:color w:val="auto"/>
              </w:rPr>
            </w:pPr>
            <w:r>
              <w:rPr>
                <w:rFonts w:ascii="Arial" w:cs="Arial" w:eastAsia="Arial" w:hAnsi="Arial"/>
                <w:sz w:val="16"/>
                <w:szCs w:val="16"/>
                <w:color w:val="auto"/>
              </w:rPr>
              <w:t>Accrued payroll and related costs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42,835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12,025</w:t>
            </w:r>
          </w:p>
        </w:tc>
      </w:tr>
      <w:tr>
        <w:trPr>
          <w:trHeight w:val="226"/>
        </w:trPr>
        <w:tc>
          <w:tcPr>
            <w:tcW w:w="1160" w:type="dxa"/>
            <w:vAlign w:val="bottom"/>
          </w:tcPr>
          <w:p>
            <w:pPr>
              <w:spacing w:after="0"/>
              <w:rPr>
                <w:sz w:val="19"/>
                <w:szCs w:val="19"/>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6"/>
                <w:szCs w:val="16"/>
                <w:color w:val="auto"/>
              </w:rPr>
              <w:t>Accrued clinical trial expense</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9,850</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9,727</w:t>
            </w:r>
          </w:p>
        </w:tc>
      </w:tr>
      <w:tr>
        <w:trPr>
          <w:trHeight w:val="211"/>
        </w:trPr>
        <w:tc>
          <w:tcPr>
            <w:tcW w:w="8820" w:type="dxa"/>
            <w:vAlign w:val="bottom"/>
            <w:gridSpan w:val="2"/>
          </w:tcPr>
          <w:p>
            <w:pPr>
              <w:ind w:left="1140"/>
              <w:spacing w:after="0"/>
              <w:rPr>
                <w:sz w:val="20"/>
                <w:szCs w:val="20"/>
                <w:color w:val="auto"/>
              </w:rPr>
            </w:pPr>
            <w:r>
              <w:rPr>
                <w:rFonts w:ascii="Arial" w:cs="Arial" w:eastAsia="Arial" w:hAnsi="Arial"/>
                <w:sz w:val="16"/>
                <w:szCs w:val="16"/>
                <w:color w:val="auto"/>
              </w:rPr>
              <w:t>Accrued property, plant, and equipment costs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1,070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7,622</w:t>
            </w:r>
          </w:p>
        </w:tc>
      </w:tr>
      <w:tr>
        <w:trPr>
          <w:trHeight w:val="226"/>
        </w:trPr>
        <w:tc>
          <w:tcPr>
            <w:tcW w:w="1160" w:type="dxa"/>
            <w:vAlign w:val="bottom"/>
          </w:tcPr>
          <w:p>
            <w:pPr>
              <w:spacing w:after="0"/>
              <w:rPr>
                <w:sz w:val="19"/>
                <w:szCs w:val="19"/>
                <w:color w:val="auto"/>
              </w:rPr>
            </w:pPr>
          </w:p>
        </w:tc>
        <w:tc>
          <w:tcPr>
            <w:tcW w:w="7660" w:type="dxa"/>
            <w:vAlign w:val="bottom"/>
            <w:shd w:val="clear" w:color="auto" w:fill="C0C0C0"/>
          </w:tcPr>
          <w:p>
            <w:pPr>
              <w:spacing w:after="0"/>
              <w:rPr>
                <w:sz w:val="20"/>
                <w:szCs w:val="20"/>
                <w:color w:val="auto"/>
              </w:rPr>
            </w:pPr>
            <w:r>
              <w:rPr>
                <w:rFonts w:ascii="Arial" w:cs="Arial" w:eastAsia="Arial" w:hAnsi="Arial"/>
                <w:sz w:val="16"/>
                <w:szCs w:val="16"/>
                <w:color w:val="auto"/>
              </w:rPr>
              <w:t>Other accrued expenses and liabilities</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14,134</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6,441</w:t>
            </w:r>
          </w:p>
        </w:tc>
      </w:tr>
      <w:tr>
        <w:trPr>
          <w:trHeight w:val="211"/>
        </w:trPr>
        <w:tc>
          <w:tcPr>
            <w:tcW w:w="8820" w:type="dxa"/>
            <w:vAlign w:val="bottom"/>
            <w:gridSpan w:val="2"/>
          </w:tcPr>
          <w:p>
            <w:pPr>
              <w:ind w:left="1140"/>
              <w:spacing w:after="0"/>
              <w:rPr>
                <w:sz w:val="20"/>
                <w:szCs w:val="20"/>
                <w:color w:val="auto"/>
              </w:rPr>
            </w:pPr>
            <w:r>
              <w:rPr>
                <w:rFonts w:ascii="Arial" w:cs="Arial" w:eastAsia="Arial" w:hAnsi="Arial"/>
                <w:sz w:val="16"/>
                <w:szCs w:val="16"/>
                <w:color w:val="auto"/>
              </w:rPr>
              <w:t>Payable to Bayer HealthCare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2,254</w:t>
            </w:r>
          </w:p>
        </w:tc>
      </w:tr>
      <w:tr>
        <w:trPr>
          <w:trHeight w:val="20"/>
        </w:trPr>
        <w:tc>
          <w:tcPr>
            <w:tcW w:w="1160" w:type="dxa"/>
            <w:vAlign w:val="bottom"/>
          </w:tcPr>
          <w:p>
            <w:pPr>
              <w:spacing w:after="0" w:line="20" w:lineRule="exact"/>
              <w:rPr>
                <w:sz w:val="1"/>
                <w:szCs w:val="1"/>
                <w:color w:val="auto"/>
              </w:rPr>
            </w:pPr>
          </w:p>
        </w:tc>
        <w:tc>
          <w:tcPr>
            <w:tcW w:w="766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766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$95,625</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$53,658</w:t>
            </w:r>
          </w:p>
        </w:tc>
      </w:tr>
      <w:tr>
        <w:trPr>
          <w:trHeight w:val="32"/>
        </w:trPr>
        <w:tc>
          <w:tcPr>
            <w:tcW w:w="1160" w:type="dxa"/>
            <w:vAlign w:val="bottom"/>
          </w:tcPr>
          <w:p>
            <w:pPr>
              <w:spacing w:after="0"/>
              <w:rPr>
                <w:sz w:val="2"/>
                <w:szCs w:val="2"/>
                <w:color w:val="auto"/>
              </w:rPr>
            </w:pPr>
          </w:p>
        </w:tc>
        <w:tc>
          <w:tcPr>
            <w:tcW w:w="766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20" w:type="dxa"/>
            <w:vAlign w:val="bottom"/>
            <w:gridSpan w:val="2"/>
          </w:tcPr>
          <w:p>
            <w:pPr>
              <w:spacing w:after="0"/>
              <w:rPr>
                <w:sz w:val="20"/>
                <w:szCs w:val="20"/>
                <w:color w:val="auto"/>
              </w:rPr>
            </w:pPr>
            <w:r>
              <w:rPr>
                <w:rFonts w:ascii="Arial" w:cs="Arial" w:eastAsia="Arial" w:hAnsi="Arial"/>
                <w:sz w:val="16"/>
                <w:szCs w:val="16"/>
                <w:b w:val="1"/>
                <w:bCs w:val="1"/>
                <w:color w:val="auto"/>
              </w:rPr>
              <w:t>10. Deferred Revenue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3"/>
        </w:trPr>
        <w:tc>
          <w:tcPr>
            <w:tcW w:w="6920" w:type="dxa"/>
            <w:vAlign w:val="bottom"/>
            <w:gridSpan w:val="2"/>
          </w:tcPr>
          <w:p>
            <w:pPr>
              <w:ind w:left="240"/>
              <w:spacing w:after="0"/>
              <w:rPr>
                <w:sz w:val="20"/>
                <w:szCs w:val="20"/>
                <w:color w:val="auto"/>
              </w:rPr>
            </w:pPr>
            <w:r>
              <w:rPr>
                <w:rFonts w:ascii="Arial" w:cs="Arial" w:eastAsia="Arial" w:hAnsi="Arial"/>
                <w:sz w:val="16"/>
                <w:szCs w:val="16"/>
                <w:color w:val="auto"/>
              </w:rPr>
              <w:t>Deferred revenue as of December 31, 2011 and 2010 consists of the following:</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8"/>
        </w:trPr>
        <w:tc>
          <w:tcPr>
            <w:tcW w:w="2300" w:type="dxa"/>
            <w:vAlign w:val="bottom"/>
          </w:tcPr>
          <w:p>
            <w:pPr>
              <w:spacing w:after="0"/>
              <w:rPr>
                <w:sz w:val="24"/>
                <w:szCs w:val="24"/>
                <w:color w:val="auto"/>
              </w:rPr>
            </w:pPr>
          </w:p>
        </w:tc>
        <w:tc>
          <w:tcPr>
            <w:tcW w:w="462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95"/>
              </w:rPr>
              <w:t>2011</w:t>
            </w:r>
          </w:p>
        </w:tc>
        <w:tc>
          <w:tcPr>
            <w:tcW w:w="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2010</w:t>
            </w:r>
          </w:p>
        </w:tc>
      </w:tr>
      <w:tr>
        <w:trPr>
          <w:trHeight w:val="206"/>
        </w:trPr>
        <w:tc>
          <w:tcPr>
            <w:tcW w:w="2300" w:type="dxa"/>
            <w:vAlign w:val="bottom"/>
          </w:tcPr>
          <w:p>
            <w:pPr>
              <w:spacing w:after="0"/>
              <w:rPr>
                <w:sz w:val="17"/>
                <w:szCs w:val="17"/>
                <w:color w:val="auto"/>
              </w:rPr>
            </w:pPr>
          </w:p>
        </w:tc>
        <w:tc>
          <w:tcPr>
            <w:tcW w:w="4620" w:type="dxa"/>
            <w:vAlign w:val="bottom"/>
            <w:shd w:val="clear" w:color="auto" w:fill="C0C0C0"/>
          </w:tcPr>
          <w:p>
            <w:pPr>
              <w:spacing w:after="0"/>
              <w:rPr>
                <w:sz w:val="20"/>
                <w:szCs w:val="20"/>
                <w:color w:val="auto"/>
              </w:rPr>
            </w:pPr>
            <w:r>
              <w:rPr>
                <w:rFonts w:ascii="Arial" w:cs="Arial" w:eastAsia="Arial" w:hAnsi="Arial"/>
                <w:sz w:val="16"/>
                <w:szCs w:val="16"/>
                <w:color w:val="auto"/>
              </w:rPr>
              <w:t>Current portion:</w:t>
            </w:r>
          </w:p>
        </w:tc>
        <w:tc>
          <w:tcPr>
            <w:tcW w:w="7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r>
      <w:tr>
        <w:trPr>
          <w:trHeight w:val="211"/>
        </w:trPr>
        <w:tc>
          <w:tcPr>
            <w:tcW w:w="230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Received from Sanofi (see Note 3a)</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20,011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19,506</w:t>
            </w:r>
          </w:p>
        </w:tc>
      </w:tr>
      <w:tr>
        <w:trPr>
          <w:trHeight w:val="226"/>
        </w:trPr>
        <w:tc>
          <w:tcPr>
            <w:tcW w:w="2300" w:type="dxa"/>
            <w:vAlign w:val="bottom"/>
          </w:tcPr>
          <w:p>
            <w:pPr>
              <w:spacing w:after="0"/>
              <w:rPr>
                <w:sz w:val="19"/>
                <w:szCs w:val="19"/>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Received from Bayer HealthCare (see Note 3b)</w:t>
            </w:r>
          </w:p>
        </w:tc>
        <w:tc>
          <w:tcPr>
            <w:tcW w:w="7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7,907</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9,884</w:t>
            </w:r>
          </w:p>
        </w:tc>
      </w:tr>
      <w:tr>
        <w:trPr>
          <w:trHeight w:val="211"/>
        </w:trPr>
        <w:tc>
          <w:tcPr>
            <w:tcW w:w="230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Received for technology license agreements (see Note 4)</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23,572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25,008</w:t>
            </w:r>
          </w:p>
        </w:tc>
      </w:tr>
      <w:tr>
        <w:trPr>
          <w:trHeight w:val="218"/>
        </w:trPr>
        <w:tc>
          <w:tcPr>
            <w:tcW w:w="2300" w:type="dxa"/>
            <w:vAlign w:val="bottom"/>
          </w:tcPr>
          <w:p>
            <w:pPr>
              <w:spacing w:after="0"/>
              <w:rPr>
                <w:sz w:val="18"/>
                <w:szCs w:val="18"/>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Other</w:t>
            </w:r>
          </w:p>
        </w:tc>
        <w:tc>
          <w:tcPr>
            <w:tcW w:w="78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C0C0C0"/>
          </w:tcPr>
          <w:p>
            <w:pPr>
              <w:spacing w:after="0"/>
              <w:rPr>
                <w:sz w:val="18"/>
                <w:szCs w:val="18"/>
                <w:color w:val="auto"/>
              </w:rPr>
            </w:pPr>
          </w:p>
        </w:tc>
        <w:tc>
          <w:tcPr>
            <w:tcW w:w="80" w:type="dxa"/>
            <w:vAlign w:val="bottom"/>
            <w:tcBorders>
              <w:bottom w:val="single" w:sz="8" w:color="auto"/>
            </w:tcBorders>
            <w:shd w:val="clear" w:color="auto" w:fill="C0C0C0"/>
          </w:tcPr>
          <w:p>
            <w:pPr>
              <w:spacing w:after="0"/>
              <w:rPr>
                <w:sz w:val="18"/>
                <w:szCs w:val="18"/>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325</w:t>
            </w:r>
          </w:p>
        </w:tc>
      </w:tr>
      <w:tr>
        <w:trPr>
          <w:trHeight w:val="222"/>
        </w:trPr>
        <w:tc>
          <w:tcPr>
            <w:tcW w:w="23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51,640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54,723</w:t>
            </w:r>
          </w:p>
        </w:tc>
      </w:tr>
      <w:tr>
        <w:trPr>
          <w:trHeight w:val="206"/>
        </w:trPr>
        <w:tc>
          <w:tcPr>
            <w:tcW w:w="23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18"/>
        </w:trPr>
        <w:tc>
          <w:tcPr>
            <w:tcW w:w="2300" w:type="dxa"/>
            <w:vAlign w:val="bottom"/>
          </w:tcPr>
          <w:p>
            <w:pPr>
              <w:spacing w:after="0"/>
              <w:rPr>
                <w:sz w:val="18"/>
                <w:szCs w:val="18"/>
                <w:color w:val="auto"/>
              </w:rPr>
            </w:pPr>
          </w:p>
        </w:tc>
        <w:tc>
          <w:tcPr>
            <w:tcW w:w="4620" w:type="dxa"/>
            <w:vAlign w:val="bottom"/>
            <w:shd w:val="clear" w:color="auto" w:fill="C0C0C0"/>
          </w:tcPr>
          <w:p>
            <w:pPr>
              <w:spacing w:after="0"/>
              <w:rPr>
                <w:sz w:val="20"/>
                <w:szCs w:val="20"/>
                <w:color w:val="auto"/>
              </w:rPr>
            </w:pPr>
            <w:r>
              <w:rPr>
                <w:rFonts w:ascii="Arial" w:cs="Arial" w:eastAsia="Arial" w:hAnsi="Arial"/>
                <w:sz w:val="16"/>
                <w:szCs w:val="16"/>
                <w:color w:val="auto"/>
              </w:rPr>
              <w:t>Long-term portion:</w:t>
            </w:r>
          </w:p>
        </w:tc>
        <w:tc>
          <w:tcPr>
            <w:tcW w:w="7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r>
      <w:tr>
        <w:trPr>
          <w:trHeight w:val="211"/>
        </w:trPr>
        <w:tc>
          <w:tcPr>
            <w:tcW w:w="230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Arial" w:cs="Arial" w:eastAsia="Arial" w:hAnsi="Arial"/>
                <w:sz w:val="16"/>
                <w:szCs w:val="16"/>
                <w:color w:val="auto"/>
              </w:rPr>
              <w:t>Received from Sanofi (see Note 3a)</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86,017</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97,081</w:t>
            </w:r>
          </w:p>
        </w:tc>
      </w:tr>
      <w:tr>
        <w:trPr>
          <w:trHeight w:val="226"/>
        </w:trPr>
        <w:tc>
          <w:tcPr>
            <w:tcW w:w="2300" w:type="dxa"/>
            <w:vAlign w:val="bottom"/>
          </w:tcPr>
          <w:p>
            <w:pPr>
              <w:spacing w:after="0"/>
              <w:rPr>
                <w:sz w:val="19"/>
                <w:szCs w:val="19"/>
                <w:color w:val="auto"/>
              </w:rPr>
            </w:pPr>
          </w:p>
        </w:tc>
        <w:tc>
          <w:tcPr>
            <w:tcW w:w="46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Received from Bayer HealthCare (see Note 3b)</w:t>
            </w:r>
          </w:p>
        </w:tc>
        <w:tc>
          <w:tcPr>
            <w:tcW w:w="7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34,456</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37,067</w:t>
            </w:r>
          </w:p>
        </w:tc>
      </w:tr>
      <w:tr>
        <w:trPr>
          <w:trHeight w:val="211"/>
        </w:trPr>
        <w:tc>
          <w:tcPr>
            <w:tcW w:w="2300" w:type="dxa"/>
            <w:vAlign w:val="bottom"/>
          </w:tcPr>
          <w:p>
            <w:pPr>
              <w:spacing w:after="0"/>
              <w:rPr>
                <w:sz w:val="18"/>
                <w:szCs w:val="18"/>
                <w:color w:val="auto"/>
              </w:rPr>
            </w:pPr>
          </w:p>
        </w:tc>
        <w:tc>
          <w:tcPr>
            <w:tcW w:w="4620" w:type="dxa"/>
            <w:vAlign w:val="bottom"/>
            <w:tcBorders>
              <w:bottom w:val="single" w:sz="8" w:color="C0C0C0"/>
            </w:tcBorders>
          </w:tcPr>
          <w:p>
            <w:pPr>
              <w:ind w:left="260"/>
              <w:spacing w:after="0"/>
              <w:rPr>
                <w:sz w:val="20"/>
                <w:szCs w:val="20"/>
                <w:color w:val="auto"/>
              </w:rPr>
            </w:pPr>
            <w:r>
              <w:rPr>
                <w:rFonts w:ascii="Arial" w:cs="Arial" w:eastAsia="Arial" w:hAnsi="Arial"/>
                <w:sz w:val="16"/>
                <w:szCs w:val="16"/>
                <w:color w:val="auto"/>
              </w:rPr>
              <w:t>Received for technology license agreements (see Note 4)</w:t>
            </w:r>
          </w:p>
        </w:tc>
        <w:tc>
          <w:tcPr>
            <w:tcW w:w="78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128,137</w:t>
            </w:r>
          </w:p>
        </w:tc>
        <w:tc>
          <w:tcPr>
            <w:tcW w:w="2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151,708</w:t>
            </w:r>
          </w:p>
        </w:tc>
      </w:tr>
      <w:tr>
        <w:trPr>
          <w:trHeight w:val="211"/>
        </w:trPr>
        <w:tc>
          <w:tcPr>
            <w:tcW w:w="2300" w:type="dxa"/>
            <w:vAlign w:val="bottom"/>
          </w:tcPr>
          <w:p>
            <w:pPr>
              <w:spacing w:after="0"/>
              <w:rPr>
                <w:sz w:val="18"/>
                <w:szCs w:val="18"/>
                <w:color w:val="auto"/>
              </w:rPr>
            </w:pPr>
          </w:p>
        </w:tc>
        <w:tc>
          <w:tcPr>
            <w:tcW w:w="4620" w:type="dxa"/>
            <w:vAlign w:val="bottom"/>
            <w:shd w:val="clear" w:color="auto" w:fill="C0C0C0"/>
          </w:tcPr>
          <w:p>
            <w:pPr>
              <w:spacing w:after="0"/>
              <w:rPr>
                <w:sz w:val="18"/>
                <w:szCs w:val="18"/>
                <w:color w:val="auto"/>
              </w:rPr>
            </w:pPr>
          </w:p>
        </w:tc>
        <w:tc>
          <w:tcPr>
            <w:tcW w:w="86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6"/>
              </w:rPr>
              <w:t>248,610</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6"/>
              </w:rPr>
              <w:t>285,856</w:t>
            </w:r>
          </w:p>
        </w:tc>
      </w:tr>
      <w:tr>
        <w:trPr>
          <w:trHeight w:val="32"/>
        </w:trPr>
        <w:tc>
          <w:tcPr>
            <w:tcW w:w="2300" w:type="dxa"/>
            <w:vAlign w:val="bottom"/>
          </w:tcPr>
          <w:p>
            <w:pPr>
              <w:spacing w:after="0"/>
              <w:rPr>
                <w:sz w:val="2"/>
                <w:szCs w:val="2"/>
                <w:color w:val="auto"/>
              </w:rPr>
            </w:pPr>
          </w:p>
        </w:tc>
        <w:tc>
          <w:tcPr>
            <w:tcW w:w="4620" w:type="dxa"/>
            <w:vAlign w:val="bottom"/>
            <w:shd w:val="clear" w:color="auto" w:fill="C0C0C0"/>
          </w:tcPr>
          <w:p>
            <w:pPr>
              <w:spacing w:after="0"/>
              <w:rPr>
                <w:sz w:val="2"/>
                <w:szCs w:val="2"/>
                <w:color w:val="auto"/>
              </w:rPr>
            </w:pPr>
          </w:p>
        </w:tc>
        <w:tc>
          <w:tcPr>
            <w:tcW w:w="7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Convertible Debt</w:t>
      </w:r>
    </w:p>
    <w:p>
      <w:pPr>
        <w:spacing w:after="0" w:line="233" w:lineRule="exact"/>
        <w:rPr>
          <w:sz w:val="20"/>
          <w:szCs w:val="20"/>
          <w:color w:val="auto"/>
        </w:rPr>
      </w:pPr>
    </w:p>
    <w:p>
      <w:pPr>
        <w:ind w:firstLine="243"/>
        <w:spacing w:after="0" w:line="274" w:lineRule="auto"/>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 The net proceeds from the Notes offering were $391.1 million after deducting the initial purchaser’s discount and issuance costs.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267"/>
        <w:spacing w:after="0" w:line="272" w:lineRule="auto"/>
        <w:rPr>
          <w:sz w:val="20"/>
          <w:szCs w:val="20"/>
          <w:color w:val="auto"/>
        </w:rPr>
      </w:pPr>
      <w:r>
        <w:rPr>
          <w:rFonts w:ascii="Arial" w:cs="Arial" w:eastAsia="Arial" w:hAnsi="Arial"/>
          <w:sz w:val="15"/>
          <w:szCs w:val="15"/>
          <w:color w:val="auto"/>
        </w:rPr>
        <w:t>The Notes will pay interest semi-annually on April 1 and October 1, beginning April 1, 2012, and will mature on October 1, 2016 unless earlier converted or repurchased. The Notes will be convertible, subject to certain conditions, into cash, shares of the Company’s Common Stock, or a combination of cash and shares of Common Stock, at the Company's option. The initial conversion rate for the Notes will be 11.9021 shares of Common Stock (subject to adjustment in certain circumstances) per $1,000 principal amount of the Notes, or a total of approximately 4,760,840 shares upon conversion, which is equal to an initial conversion price of approximately $84.02 per share. A holder of the Notes may surrender their Notes at their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the Company’s Common Stock and the conversion rate on each such trading day; (iii) if the Company elects to issue to all or substantially all holders of its Common Stock any rights, options or warrants (other than pursuant to a rights plan) entitling them for a period of not more than 60 calendar days after the record date for such issuance, to subscribe for or purchase shares of the Company’s Common Stock, at a price per share less than the average of the last reported sales prices of the Company’s Common Stock for the ten consecutive day period ending on, and including, the trading day immediately preceding the declaration date for such issuance; (iv) upon specified distributions to the Company’s shareholders; or (v) upon the occurrence of specified corporate transactions, such as a fundamental change (i.e., a change in control), or the Company’s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the Company to purchase from them all or a portion of their Notes for 100% of the principal value plus any accrued and unpaid interest.</w:t>
      </w:r>
    </w:p>
    <w:p>
      <w:pPr>
        <w:spacing w:after="0" w:line="194" w:lineRule="exact"/>
        <w:rPr>
          <w:sz w:val="20"/>
          <w:szCs w:val="20"/>
          <w:color w:val="auto"/>
        </w:rPr>
      </w:pPr>
    </w:p>
    <w:p>
      <w:pPr>
        <w:jc w:val="both"/>
        <w:ind w:right="40" w:firstLine="255"/>
        <w:spacing w:after="0" w:line="274" w:lineRule="auto"/>
        <w:rPr>
          <w:sz w:val="20"/>
          <w:szCs w:val="20"/>
          <w:color w:val="auto"/>
        </w:rPr>
      </w:pPr>
      <w:r>
        <w:rPr>
          <w:rFonts w:ascii="Arial" w:cs="Arial" w:eastAsia="Arial" w:hAnsi="Arial"/>
          <w:sz w:val="16"/>
          <w:szCs w:val="16"/>
          <w:color w:val="auto"/>
        </w:rPr>
        <w:t>The Company has reserved sufficient shares of its Common Stock to satisfy the conversion requirements related to the Notes. The Company may not redeem the Notes prior to their maturity date.</w:t>
      </w:r>
    </w:p>
    <w:p>
      <w:pPr>
        <w:spacing w:after="0" w:line="187" w:lineRule="exact"/>
        <w:rPr>
          <w:sz w:val="20"/>
          <w:szCs w:val="20"/>
          <w:color w:val="auto"/>
        </w:rPr>
      </w:pPr>
    </w:p>
    <w:p>
      <w:pPr>
        <w:jc w:val="both"/>
        <w:ind w:right="40" w:firstLine="243"/>
        <w:spacing w:after="0" w:line="256" w:lineRule="auto"/>
        <w:rPr>
          <w:sz w:val="20"/>
          <w:szCs w:val="20"/>
          <w:color w:val="auto"/>
        </w:rPr>
      </w:pPr>
      <w:r>
        <w:rPr>
          <w:rFonts w:ascii="Arial" w:cs="Arial" w:eastAsia="Arial" w:hAnsi="Arial"/>
          <w:sz w:val="16"/>
          <w:szCs w:val="16"/>
          <w:color w:val="auto"/>
        </w:rPr>
        <w:t>In accordance with accounting guidance for debt with conversion and other options, the Company accounted for the liability and equity components of the Notes separately. The estimated fair value of the liability component at the date of issuance was $271.1 million, and was computed based on the fair value of similar debt instruments that do not include a conversion feature. The equity component of $120.9 million was recognized as a debt discount and represents the difference between the $392.0 million of gross proceeds from the issuance of the Notes and the $271.1 million estimated fair value of the liability component at the date of issuance. The debt discount is amortized over the expected life of a similar liability without the equity component. The Company determined this expected life to be equal to the term of the Notes, resulting in an amortization period ending October 1, 2016. The effective interest rate used to amortize the debt discount is approximately 10.2%, which was based on the Company’s estimated non-convertible borrowing rate as of the date the Notes were issued.</w:t>
      </w:r>
    </w:p>
    <w:p>
      <w:pPr>
        <w:spacing w:after="0" w:line="204"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6"/>
          <w:szCs w:val="16"/>
          <w:color w:val="auto"/>
        </w:rPr>
        <w:t>Issuance costs of $0.9 million related to the issuance of the Notes were allocated to the liability and equity components in proportion to the allocation of the proceeds and accounted for as capitalized debt issuance costs and equity issuance costs, respectively.</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201"/>
        </w:trPr>
        <w:tc>
          <w:tcPr>
            <w:tcW w:w="7680" w:type="dxa"/>
            <w:vAlign w:val="bottom"/>
            <w:gridSpan w:val="2"/>
          </w:tcPr>
          <w:p>
            <w:pPr>
              <w:spacing w:after="0"/>
              <w:rPr>
                <w:sz w:val="20"/>
                <w:szCs w:val="20"/>
                <w:color w:val="auto"/>
              </w:rPr>
            </w:pPr>
            <w:r>
              <w:rPr>
                <w:rFonts w:ascii="Arial" w:cs="Arial" w:eastAsia="Arial" w:hAnsi="Arial"/>
                <w:sz w:val="16"/>
                <w:szCs w:val="16"/>
                <w:color w:val="auto"/>
                <w:w w:val="94"/>
              </w:rPr>
              <w:t>The net carrying amount of the liability component of the Notes as of December 31, 2011 consists of the following:</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08"/>
        </w:trPr>
        <w:tc>
          <w:tcPr>
            <w:tcW w:w="2060" w:type="dxa"/>
            <w:vAlign w:val="bottom"/>
          </w:tcPr>
          <w:p>
            <w:pPr>
              <w:spacing w:after="0"/>
              <w:rPr>
                <w:sz w:val="24"/>
                <w:szCs w:val="24"/>
                <w:color w:val="auto"/>
              </w:rPr>
            </w:pPr>
          </w:p>
        </w:tc>
        <w:tc>
          <w:tcPr>
            <w:tcW w:w="5620" w:type="dxa"/>
            <w:vAlign w:val="bottom"/>
            <w:tcBorders>
              <w:bottom w:val="single" w:sz="8" w:color="C0C0C0"/>
            </w:tcBorders>
          </w:tcPr>
          <w:p>
            <w:pPr>
              <w:spacing w:after="0"/>
              <w:rPr>
                <w:sz w:val="24"/>
                <w:szCs w:val="24"/>
                <w:color w:val="auto"/>
              </w:rPr>
            </w:pPr>
          </w:p>
        </w:tc>
        <w:tc>
          <w:tcPr>
            <w:tcW w:w="400" w:type="dxa"/>
            <w:vAlign w:val="bottom"/>
            <w:tcBorders>
              <w:bottom w:val="single" w:sz="8" w:color="C0C0C0"/>
            </w:tcBorders>
          </w:tcPr>
          <w:p>
            <w:pPr>
              <w:spacing w:after="0"/>
              <w:rPr>
                <w:sz w:val="24"/>
                <w:szCs w:val="24"/>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2011</w:t>
            </w:r>
          </w:p>
        </w:tc>
        <w:tc>
          <w:tcPr>
            <w:tcW w:w="180" w:type="dxa"/>
            <w:vAlign w:val="bottom"/>
            <w:tcBorders>
              <w:bottom w:val="single" w:sz="8" w:color="auto"/>
            </w:tcBorders>
          </w:tcPr>
          <w:p>
            <w:pPr>
              <w:spacing w:after="0"/>
              <w:rPr>
                <w:sz w:val="24"/>
                <w:szCs w:val="24"/>
                <w:color w:val="auto"/>
              </w:rPr>
            </w:pPr>
          </w:p>
        </w:tc>
      </w:tr>
      <w:tr>
        <w:trPr>
          <w:trHeight w:val="218"/>
        </w:trPr>
        <w:tc>
          <w:tcPr>
            <w:tcW w:w="2060" w:type="dxa"/>
            <w:vAlign w:val="bottom"/>
          </w:tcPr>
          <w:p>
            <w:pPr>
              <w:spacing w:after="0"/>
              <w:rPr>
                <w:sz w:val="18"/>
                <w:szCs w:val="18"/>
                <w:color w:val="auto"/>
              </w:rPr>
            </w:pPr>
          </w:p>
        </w:tc>
        <w:tc>
          <w:tcPr>
            <w:tcW w:w="5620" w:type="dxa"/>
            <w:vAlign w:val="bottom"/>
            <w:shd w:val="clear" w:color="auto" w:fill="C0C0C0"/>
          </w:tcPr>
          <w:p>
            <w:pPr>
              <w:spacing w:after="0"/>
              <w:rPr>
                <w:sz w:val="20"/>
                <w:szCs w:val="20"/>
                <w:color w:val="auto"/>
              </w:rPr>
            </w:pPr>
            <w:r>
              <w:rPr>
                <w:rFonts w:ascii="Arial" w:cs="Arial" w:eastAsia="Arial" w:hAnsi="Arial"/>
                <w:sz w:val="16"/>
                <w:szCs w:val="16"/>
                <w:color w:val="auto"/>
              </w:rPr>
              <w:t>Total convertible senior notes – par</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$ 400,000</w:t>
            </w:r>
          </w:p>
        </w:tc>
        <w:tc>
          <w:tcPr>
            <w:tcW w:w="180" w:type="dxa"/>
            <w:vAlign w:val="bottom"/>
            <w:shd w:val="clear" w:color="auto" w:fill="C0C0C0"/>
          </w:tcPr>
          <w:p>
            <w:pPr>
              <w:spacing w:after="0"/>
              <w:rPr>
                <w:sz w:val="18"/>
                <w:szCs w:val="18"/>
                <w:color w:val="auto"/>
              </w:rPr>
            </w:pPr>
          </w:p>
        </w:tc>
      </w:tr>
      <w:tr>
        <w:trPr>
          <w:trHeight w:val="211"/>
        </w:trPr>
        <w:tc>
          <w:tcPr>
            <w:tcW w:w="7680" w:type="dxa"/>
            <w:vAlign w:val="bottom"/>
            <w:gridSpan w:val="2"/>
          </w:tcPr>
          <w:p>
            <w:pPr>
              <w:ind w:left="2040"/>
              <w:spacing w:after="0"/>
              <w:rPr>
                <w:sz w:val="20"/>
                <w:szCs w:val="20"/>
                <w:color w:val="auto"/>
              </w:rPr>
            </w:pPr>
            <w:r>
              <w:rPr>
                <w:rFonts w:ascii="Arial" w:cs="Arial" w:eastAsia="Arial" w:hAnsi="Arial"/>
                <w:sz w:val="16"/>
                <w:szCs w:val="16"/>
                <w:color w:val="auto"/>
              </w:rPr>
              <w:t>Unamortized discount</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(124,981)</w:t>
            </w:r>
          </w:p>
        </w:tc>
      </w:tr>
      <w:tr>
        <w:trPr>
          <w:trHeight w:val="20"/>
        </w:trPr>
        <w:tc>
          <w:tcPr>
            <w:tcW w:w="2060" w:type="dxa"/>
            <w:vAlign w:val="bottom"/>
          </w:tcPr>
          <w:p>
            <w:pPr>
              <w:spacing w:after="0" w:line="20" w:lineRule="exact"/>
              <w:rPr>
                <w:sz w:val="1"/>
                <w:szCs w:val="1"/>
                <w:color w:val="auto"/>
              </w:rPr>
            </w:pPr>
          </w:p>
        </w:tc>
        <w:tc>
          <w:tcPr>
            <w:tcW w:w="5620" w:type="dxa"/>
            <w:vAlign w:val="bottom"/>
            <w:shd w:val="clear" w:color="auto" w:fill="C0C0C0"/>
          </w:tcPr>
          <w:p>
            <w:pPr>
              <w:spacing w:after="0" w:line="20" w:lineRule="exact"/>
              <w:rPr>
                <w:sz w:val="1"/>
                <w:szCs w:val="1"/>
                <w:color w:val="auto"/>
              </w:rPr>
            </w:pPr>
          </w:p>
        </w:tc>
        <w:tc>
          <w:tcPr>
            <w:tcW w:w="40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r>
      <w:tr>
        <w:trPr>
          <w:trHeight w:val="211"/>
        </w:trPr>
        <w:tc>
          <w:tcPr>
            <w:tcW w:w="2060" w:type="dxa"/>
            <w:vAlign w:val="bottom"/>
          </w:tcPr>
          <w:p>
            <w:pPr>
              <w:spacing w:after="0"/>
              <w:rPr>
                <w:sz w:val="18"/>
                <w:szCs w:val="18"/>
                <w:color w:val="auto"/>
              </w:rPr>
            </w:pPr>
          </w:p>
        </w:tc>
        <w:tc>
          <w:tcPr>
            <w:tcW w:w="5620" w:type="dxa"/>
            <w:vAlign w:val="bottom"/>
            <w:shd w:val="clear" w:color="auto" w:fill="C0C0C0"/>
          </w:tcPr>
          <w:p>
            <w:pPr>
              <w:spacing w:after="0"/>
              <w:rPr>
                <w:sz w:val="18"/>
                <w:szCs w:val="18"/>
                <w:color w:val="auto"/>
              </w:rPr>
            </w:pP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$ 275,019</w:t>
            </w:r>
          </w:p>
        </w:tc>
        <w:tc>
          <w:tcPr>
            <w:tcW w:w="180" w:type="dxa"/>
            <w:vAlign w:val="bottom"/>
            <w:shd w:val="clear" w:color="auto" w:fill="C0C0C0"/>
          </w:tcPr>
          <w:p>
            <w:pPr>
              <w:spacing w:after="0"/>
              <w:rPr>
                <w:sz w:val="18"/>
                <w:szCs w:val="18"/>
                <w:color w:val="auto"/>
              </w:rPr>
            </w:pPr>
          </w:p>
        </w:tc>
      </w:tr>
      <w:tr>
        <w:trPr>
          <w:trHeight w:val="32"/>
        </w:trPr>
        <w:tc>
          <w:tcPr>
            <w:tcW w:w="2060" w:type="dxa"/>
            <w:vAlign w:val="bottom"/>
          </w:tcPr>
          <w:p>
            <w:pPr>
              <w:spacing w:after="0"/>
              <w:rPr>
                <w:sz w:val="2"/>
                <w:szCs w:val="2"/>
                <w:color w:val="auto"/>
              </w:rPr>
            </w:pPr>
          </w:p>
        </w:tc>
        <w:tc>
          <w:tcPr>
            <w:tcW w:w="5620" w:type="dxa"/>
            <w:vAlign w:val="bottom"/>
            <w:shd w:val="clear" w:color="auto" w:fill="C0C0C0"/>
          </w:tcPr>
          <w:p>
            <w:pPr>
              <w:spacing w:after="0"/>
              <w:rPr>
                <w:sz w:val="2"/>
                <w:szCs w:val="2"/>
                <w:color w:val="auto"/>
              </w:rPr>
            </w:pPr>
          </w:p>
        </w:tc>
        <w:tc>
          <w:tcPr>
            <w:tcW w:w="400" w:type="dxa"/>
            <w:vAlign w:val="bottom"/>
            <w:shd w:val="clear" w:color="auto" w:fill="C0C0C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r>
    </w:tbl>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interest expense associated with the Notes consisted of the following for the year ended December 31,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3180" w:type="dxa"/>
            <w:vAlign w:val="bottom"/>
            <w:tcBorders>
              <w:bottom w:val="single" w:sz="8" w:color="C0C0C0"/>
            </w:tcBorders>
          </w:tcPr>
          <w:p>
            <w:pPr>
              <w:spacing w:after="0"/>
              <w:rPr>
                <w:sz w:val="18"/>
                <w:szCs w:val="18"/>
                <w:color w:val="auto"/>
              </w:rPr>
            </w:pPr>
          </w:p>
        </w:tc>
        <w:tc>
          <w:tcPr>
            <w:tcW w:w="3220" w:type="dxa"/>
            <w:vAlign w:val="bottom"/>
            <w:tcBorders>
              <w:bottom w:val="single" w:sz="8" w:color="C0C0C0"/>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2320" w:type="dxa"/>
            <w:vAlign w:val="bottom"/>
          </w:tcPr>
          <w:p>
            <w:pPr>
              <w:spacing w:after="0"/>
              <w:rPr>
                <w:sz w:val="18"/>
                <w:szCs w:val="18"/>
                <w:color w:val="auto"/>
              </w:rPr>
            </w:pPr>
          </w:p>
        </w:tc>
      </w:tr>
      <w:tr>
        <w:trPr>
          <w:trHeight w:val="218"/>
        </w:trPr>
        <w:tc>
          <w:tcPr>
            <w:tcW w:w="2300" w:type="dxa"/>
            <w:vAlign w:val="bottom"/>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6"/>
                <w:szCs w:val="16"/>
                <w:color w:val="auto"/>
              </w:rPr>
              <w:t>Contractual coupon interest rate</w:t>
            </w:r>
          </w:p>
        </w:tc>
        <w:tc>
          <w:tcPr>
            <w:tcW w:w="36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$1,455</w:t>
            </w:r>
          </w:p>
        </w:tc>
        <w:tc>
          <w:tcPr>
            <w:tcW w:w="2320" w:type="dxa"/>
            <w:vAlign w:val="bottom"/>
          </w:tcPr>
          <w:p>
            <w:pPr>
              <w:spacing w:after="0"/>
              <w:rPr>
                <w:sz w:val="18"/>
                <w:szCs w:val="18"/>
                <w:color w:val="auto"/>
              </w:rPr>
            </w:pPr>
          </w:p>
        </w:tc>
      </w:tr>
      <w:tr>
        <w:trPr>
          <w:trHeight w:val="211"/>
        </w:trPr>
        <w:tc>
          <w:tcPr>
            <w:tcW w:w="5480" w:type="dxa"/>
            <w:vAlign w:val="bottom"/>
            <w:gridSpan w:val="2"/>
          </w:tcPr>
          <w:p>
            <w:pPr>
              <w:ind w:left="2280"/>
              <w:spacing w:after="0"/>
              <w:rPr>
                <w:sz w:val="20"/>
                <w:szCs w:val="20"/>
                <w:color w:val="auto"/>
              </w:rPr>
            </w:pPr>
            <w:r>
              <w:rPr>
                <w:rFonts w:ascii="Arial" w:cs="Arial" w:eastAsia="Arial" w:hAnsi="Arial"/>
                <w:sz w:val="16"/>
                <w:szCs w:val="16"/>
                <w:color w:val="auto"/>
                <w:w w:val="91"/>
              </w:rPr>
              <w:t>Amortization of discount and note issuance costs</w:t>
            </w:r>
          </w:p>
        </w:tc>
        <w:tc>
          <w:tcPr>
            <w:tcW w:w="3660" w:type="dxa"/>
            <w:vAlign w:val="bottom"/>
            <w:gridSpan w:val="2"/>
          </w:tcPr>
          <w:p>
            <w:pPr>
              <w:jc w:val="right"/>
              <w:spacing w:after="0"/>
              <w:rPr>
                <w:sz w:val="20"/>
                <w:szCs w:val="20"/>
                <w:color w:val="auto"/>
              </w:rPr>
            </w:pPr>
            <w:r>
              <w:rPr>
                <w:rFonts w:ascii="Arial" w:cs="Arial" w:eastAsia="Arial" w:hAnsi="Arial"/>
                <w:sz w:val="16"/>
                <w:szCs w:val="16"/>
                <w:color w:val="auto"/>
              </w:rPr>
              <w:t>3,944</w:t>
            </w:r>
          </w:p>
        </w:tc>
        <w:tc>
          <w:tcPr>
            <w:tcW w:w="23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3180" w:type="dxa"/>
            <w:vAlign w:val="bottom"/>
            <w:shd w:val="clear" w:color="auto" w:fill="C0C0C0"/>
          </w:tcPr>
          <w:p>
            <w:pPr>
              <w:spacing w:after="0" w:line="20" w:lineRule="exact"/>
              <w:rPr>
                <w:sz w:val="1"/>
                <w:szCs w:val="1"/>
                <w:color w:val="auto"/>
              </w:rPr>
            </w:pPr>
          </w:p>
        </w:tc>
        <w:tc>
          <w:tcPr>
            <w:tcW w:w="322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2"/>
        </w:trPr>
        <w:tc>
          <w:tcPr>
            <w:tcW w:w="2300" w:type="dxa"/>
            <w:vAlign w:val="bottom"/>
          </w:tcPr>
          <w:p>
            <w:pPr>
              <w:spacing w:after="0"/>
              <w:rPr>
                <w:sz w:val="19"/>
                <w:szCs w:val="19"/>
                <w:color w:val="auto"/>
              </w:rPr>
            </w:pPr>
          </w:p>
        </w:tc>
        <w:tc>
          <w:tcPr>
            <w:tcW w:w="3180" w:type="dxa"/>
            <w:vAlign w:val="bottom"/>
            <w:shd w:val="clear" w:color="auto" w:fill="C0C0C0"/>
          </w:tcPr>
          <w:p>
            <w:pPr>
              <w:spacing w:after="0"/>
              <w:rPr>
                <w:sz w:val="19"/>
                <w:szCs w:val="19"/>
                <w:color w:val="auto"/>
              </w:rPr>
            </w:pPr>
          </w:p>
        </w:tc>
        <w:tc>
          <w:tcPr>
            <w:tcW w:w="36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$5,399</w:t>
            </w:r>
          </w:p>
        </w:tc>
        <w:tc>
          <w:tcPr>
            <w:tcW w:w="2320" w:type="dxa"/>
            <w:vAlign w:val="bottom"/>
          </w:tcPr>
          <w:p>
            <w:pPr>
              <w:spacing w:after="0"/>
              <w:rPr>
                <w:sz w:val="19"/>
                <w:szCs w:val="19"/>
                <w:color w:val="auto"/>
              </w:rPr>
            </w:pPr>
          </w:p>
        </w:tc>
      </w:tr>
      <w:tr>
        <w:trPr>
          <w:trHeight w:val="604"/>
        </w:trPr>
        <w:tc>
          <w:tcPr>
            <w:tcW w:w="2300" w:type="dxa"/>
            <w:vAlign w:val="bottom"/>
          </w:tcPr>
          <w:p>
            <w:pPr>
              <w:spacing w:after="0"/>
              <w:rPr>
                <w:sz w:val="24"/>
                <w:szCs w:val="24"/>
                <w:color w:val="auto"/>
              </w:rPr>
            </w:pPr>
          </w:p>
        </w:tc>
        <w:tc>
          <w:tcPr>
            <w:tcW w:w="3180" w:type="dxa"/>
            <w:vAlign w:val="bottom"/>
            <w:tcBorders>
              <w:top w:val="single" w:sz="8" w:color="C0C0C0"/>
            </w:tcBorders>
          </w:tcPr>
          <w:p>
            <w:pPr>
              <w:spacing w:after="0"/>
              <w:rPr>
                <w:sz w:val="24"/>
                <w:szCs w:val="24"/>
                <w:color w:val="auto"/>
              </w:rPr>
            </w:pPr>
          </w:p>
        </w:tc>
        <w:tc>
          <w:tcPr>
            <w:tcW w:w="3220" w:type="dxa"/>
            <w:vAlign w:val="bottom"/>
            <w:tcBorders>
              <w:top w:val="single" w:sz="8" w:color="C0C0C0"/>
            </w:tcBorders>
          </w:tcPr>
          <w:p>
            <w:pPr>
              <w:ind w:left="80"/>
              <w:spacing w:after="0"/>
              <w:rPr>
                <w:sz w:val="20"/>
                <w:szCs w:val="20"/>
                <w:color w:val="auto"/>
              </w:rPr>
            </w:pPr>
            <w:r>
              <w:rPr>
                <w:rFonts w:ascii="Arial" w:cs="Arial" w:eastAsia="Arial" w:hAnsi="Arial"/>
                <w:sz w:val="16"/>
                <w:szCs w:val="16"/>
                <w:color w:val="auto"/>
              </w:rPr>
              <w:t>F-26</w:t>
            </w:r>
          </w:p>
        </w:tc>
        <w:tc>
          <w:tcPr>
            <w:tcW w:w="4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205"/>
        </w:trPr>
        <w:tc>
          <w:tcPr>
            <w:tcW w:w="2300" w:type="dxa"/>
            <w:vAlign w:val="bottom"/>
            <w:tcBorders>
              <w:bottom w:val="single" w:sz="8" w:color="808080"/>
            </w:tcBorders>
          </w:tcPr>
          <w:p>
            <w:pPr>
              <w:spacing w:after="0"/>
              <w:rPr>
                <w:sz w:val="17"/>
                <w:szCs w:val="17"/>
                <w:color w:val="auto"/>
              </w:rPr>
            </w:pPr>
          </w:p>
        </w:tc>
        <w:tc>
          <w:tcPr>
            <w:tcW w:w="3180" w:type="dxa"/>
            <w:vAlign w:val="bottom"/>
            <w:tcBorders>
              <w:bottom w:val="single" w:sz="8" w:color="808080"/>
            </w:tcBorders>
          </w:tcPr>
          <w:p>
            <w:pPr>
              <w:spacing w:after="0"/>
              <w:rPr>
                <w:sz w:val="17"/>
                <w:szCs w:val="17"/>
                <w:color w:val="auto"/>
              </w:rPr>
            </w:pPr>
          </w:p>
        </w:tc>
        <w:tc>
          <w:tcPr>
            <w:tcW w:w="32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As of December 31, 2011, the "if converted value" did not exceed the principal amount of the Notes since the closing sales price of the Company’s Common Stock was less than the initial conversion price of the Notes. The fair value of the outstanding Notes was estimated to be $375.5 million as of December 31, 2011, and was determined based on quoted market rates.</w:t>
      </w:r>
    </w:p>
    <w:p>
      <w:pPr>
        <w:spacing w:after="0" w:line="19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6"/>
          <w:szCs w:val="16"/>
          <w:color w:val="auto"/>
        </w:rPr>
        <w:t>In connection with the offering of the Notes, the Company entered into convertible note hedge (“call option”) and warrant transactions with multiple counterparties, including an affiliate of the initial purchaser. The convertible note hedge transactions cover, subject to customary anti-dilution adjustments, the number of shares of the Company's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Company paid $117.5 million for the convertible note hedge, which was recorded as a reduction to additional paid-in capital.</w:t>
      </w:r>
    </w:p>
    <w:p>
      <w:pPr>
        <w:spacing w:after="0" w:line="201" w:lineRule="exact"/>
        <w:rPr>
          <w:sz w:val="20"/>
          <w:szCs w:val="20"/>
          <w:color w:val="auto"/>
        </w:rPr>
      </w:pPr>
    </w:p>
    <w:p>
      <w:pPr>
        <w:jc w:val="both"/>
        <w:ind w:firstLine="352"/>
        <w:spacing w:after="0" w:line="260" w:lineRule="auto"/>
        <w:rPr>
          <w:sz w:val="20"/>
          <w:szCs w:val="20"/>
          <w:color w:val="auto"/>
        </w:rPr>
      </w:pPr>
      <w:r>
        <w:rPr>
          <w:rFonts w:ascii="Arial" w:cs="Arial" w:eastAsia="Arial" w:hAnsi="Arial"/>
          <w:sz w:val="16"/>
          <w:szCs w:val="16"/>
          <w:color w:val="auto"/>
        </w:rPr>
        <w:t>The warrant transactions have an initial strike price of approximately $103.41 per share, and may be settled in cash or shares of the Company’s Common Stock, at the Company’s option. The warrant transactions will have a dilutive effect to the extent that the market price per share of the Company's Common Stock exceeds the applicable strike price of the warrants. Proceeds received from the warrant transactions totaled $93.8 million and were recorded as additional paid-in capital. The warrants expire at various dates during 2017.</w:t>
      </w:r>
    </w:p>
    <w:p>
      <w:pPr>
        <w:spacing w:after="0" w:line="198" w:lineRule="exact"/>
        <w:rPr>
          <w:sz w:val="20"/>
          <w:szCs w:val="20"/>
          <w:color w:val="auto"/>
        </w:rPr>
      </w:pPr>
    </w:p>
    <w:p>
      <w:pPr>
        <w:jc w:val="both"/>
        <w:ind w:firstLine="315"/>
        <w:spacing w:after="0" w:line="348" w:lineRule="auto"/>
        <w:rPr>
          <w:sz w:val="20"/>
          <w:szCs w:val="20"/>
          <w:color w:val="auto"/>
        </w:rPr>
      </w:pPr>
      <w:r>
        <w:rPr>
          <w:rFonts w:ascii="Arial" w:cs="Arial" w:eastAsia="Arial" w:hAnsi="Arial"/>
          <w:sz w:val="14"/>
          <w:szCs w:val="14"/>
          <w:color w:val="auto"/>
        </w:rPr>
        <w:t>The convertible note hedge and warrants are both considered indexed to the Company’s Common Stock and classified as equity; therefore, the convertible note hedge and warrants are not accounted for as derivative instruments. The Company has reserved sufficient shares of its Common Stock to satisfy the potential settlement of the warrants.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Leases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Descriptions of Lease Agreements</w:t>
      </w:r>
    </w:p>
    <w:p>
      <w:pPr>
        <w:spacing w:after="0" w:line="229" w:lineRule="exact"/>
        <w:rPr>
          <w:sz w:val="20"/>
          <w:szCs w:val="20"/>
          <w:color w:val="auto"/>
        </w:rPr>
      </w:pPr>
    </w:p>
    <w:p>
      <w:pPr>
        <w:jc w:val="both"/>
        <w:ind w:firstLine="315"/>
        <w:spacing w:after="0" w:line="275" w:lineRule="auto"/>
        <w:rPr>
          <w:sz w:val="20"/>
          <w:szCs w:val="20"/>
          <w:color w:val="auto"/>
        </w:rPr>
      </w:pPr>
      <w:r>
        <w:rPr>
          <w:rFonts w:ascii="Arial" w:cs="Arial" w:eastAsia="Arial" w:hAnsi="Arial"/>
          <w:sz w:val="15"/>
          <w:szCs w:val="15"/>
          <w:color w:val="auto"/>
        </w:rPr>
        <w:t>The Company leases laboratory and office facilities in Tarrytown, New York, under a December 2006 lease agreement, as amended (the “Tarrytown Lease”). The facilities leased by the Company under the Tarrytown Lease include (i) space in previously existing buildings, (ii) newly constructed space in two new buildings (“Buildings A and B”) that was completed in the third quarter of 2009 and, (iii) under a December 2009 amendment to the Tarrytown Lease, additional newly constructed space in a third new building (“Building C”) that was completed in the first quarter of 2011. The Tarrytown Lease will expire in June 2024 and contains three renewal options to extend the term of the lease by five years each, escalations at 2.5% per annum, and early termination options for various portions of the space exclusive of the newly constructed space in Buildings A and B. The Tarrytown Lease provides for monthly payments over its term and additional charges for utilities, taxes, and operating expenses. Certain premises under the Tarrytown Lease are accounted for as operating leases. However, for Buildings A, B, and C that the Company is leasing, the Company is deemed, in substance, to be the owner of the landlord’s buildings in accordance with the application of FASB authoritative guidance, and the landlord’s costs of constructing these new facilities are required to be capitalized on the Company’s books as a non-cash transaction, offset by a corresponding lease obligation on the Company’s balance sheet.</w:t>
      </w:r>
    </w:p>
    <w:p>
      <w:pPr>
        <w:spacing w:after="0" w:line="188"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5"/>
          <w:szCs w:val="15"/>
          <w:color w:val="auto"/>
        </w:rPr>
        <w:t>In connection with the Tarrytown Lease, the Company issued a letter of credit in the amount of $3.4 million and collateralized the letter of credit with cash and marketable debt securities totaling $3.6 million at both December 31, 2011 and 2010. Such collateral has been classified as restricted cash and marketable securities.</w:t>
      </w:r>
    </w:p>
    <w:p>
      <w:pPr>
        <w:spacing w:after="0" w:line="163"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5"/>
          <w:szCs w:val="15"/>
          <w:color w:val="auto"/>
        </w:rPr>
        <w:t>In October 2008, the Company entered into a sublease with Sanofi U.S. for office space in Bridgewater, New Jersey. The lease commenced in January 2009 and expired in July 2011. In July 2011, the Company entered into an operating lease for office space in Liberty Corner, New Jersey, which expires in January 2017.</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also leases certain equipment under operating and capital leases which expire at various times through 2014.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01"/>
        </w:trPr>
        <w:tc>
          <w:tcPr>
            <w:tcW w:w="7520" w:type="dxa"/>
            <w:vAlign w:val="bottom"/>
            <w:gridSpan w:val="2"/>
          </w:tcPr>
          <w:p>
            <w:pPr>
              <w:spacing w:after="0"/>
              <w:rPr>
                <w:sz w:val="20"/>
                <w:szCs w:val="20"/>
                <w:color w:val="auto"/>
              </w:rPr>
            </w:pPr>
            <w:r>
              <w:rPr>
                <w:rFonts w:ascii="Arial" w:cs="Arial" w:eastAsia="Arial" w:hAnsi="Arial"/>
                <w:sz w:val="16"/>
                <w:szCs w:val="16"/>
                <w:i w:val="1"/>
                <w:iCs w:val="1"/>
                <w:color w:val="auto"/>
              </w:rPr>
              <w:t>Commitments under Operating Leases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3"/>
        </w:trPr>
        <w:tc>
          <w:tcPr>
            <w:tcW w:w="7520" w:type="dxa"/>
            <w:vAlign w:val="bottom"/>
            <w:gridSpan w:val="2"/>
          </w:tcPr>
          <w:p>
            <w:pPr>
              <w:spacing w:after="0"/>
              <w:rPr>
                <w:sz w:val="20"/>
                <w:szCs w:val="20"/>
                <w:color w:val="auto"/>
              </w:rPr>
            </w:pPr>
            <w:r>
              <w:rPr>
                <w:rFonts w:ascii="Arial" w:cs="Arial" w:eastAsia="Arial" w:hAnsi="Arial"/>
                <w:sz w:val="16"/>
                <w:szCs w:val="16"/>
                <w:color w:val="auto"/>
                <w:w w:val="99"/>
              </w:rPr>
              <w:t>The estimated future minimum noncancelable lease commitments under operating leases were as follows: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8"/>
        </w:trPr>
        <w:tc>
          <w:tcPr>
            <w:tcW w:w="7520" w:type="dxa"/>
            <w:vAlign w:val="bottom"/>
            <w:gridSpan w:val="2"/>
          </w:tcPr>
          <w:p>
            <w:pPr>
              <w:ind w:left="900"/>
              <w:spacing w:after="0"/>
              <w:rPr>
                <w:sz w:val="20"/>
                <w:szCs w:val="20"/>
                <w:color w:val="auto"/>
              </w:rPr>
            </w:pPr>
            <w:r>
              <w:rPr>
                <w:rFonts w:ascii="Arial" w:cs="Arial" w:eastAsia="Arial" w:hAnsi="Arial"/>
                <w:sz w:val="16"/>
                <w:szCs w:val="16"/>
                <w:b w:val="1"/>
                <w:bCs w:val="1"/>
                <w:color w:val="auto"/>
              </w:rPr>
              <w:t>December 31,</w:t>
            </w:r>
          </w:p>
        </w:tc>
        <w:tc>
          <w:tcPr>
            <w:tcW w:w="920" w:type="dxa"/>
            <w:vAlign w:val="bottom"/>
            <w:gridSpan w:val="5"/>
          </w:tcPr>
          <w:p>
            <w:pPr>
              <w:ind w:left="160"/>
              <w:spacing w:after="0"/>
              <w:rPr>
                <w:sz w:val="20"/>
                <w:szCs w:val="20"/>
                <w:color w:val="auto"/>
              </w:rPr>
            </w:pPr>
            <w:r>
              <w:rPr>
                <w:rFonts w:ascii="Arial" w:cs="Arial" w:eastAsia="Arial" w:hAnsi="Arial"/>
                <w:sz w:val="16"/>
                <w:szCs w:val="16"/>
                <w:b w:val="1"/>
                <w:bCs w:val="1"/>
                <w:color w:val="auto"/>
              </w:rPr>
              <w:t>Facilities</w:t>
            </w:r>
          </w:p>
        </w:tc>
        <w:tc>
          <w:tcPr>
            <w:tcW w:w="92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Equipment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b w:val="1"/>
                <w:bCs w:val="1"/>
                <w:color w:val="auto"/>
                <w:w w:val="88"/>
              </w:rPr>
              <w:t>Total</w:t>
            </w:r>
          </w:p>
        </w:tc>
      </w:tr>
      <w:tr>
        <w:trPr>
          <w:trHeight w:val="20"/>
        </w:trPr>
        <w:tc>
          <w:tcPr>
            <w:tcW w:w="920" w:type="dxa"/>
            <w:vAlign w:val="bottom"/>
          </w:tcPr>
          <w:p>
            <w:pPr>
              <w:spacing w:after="0" w:line="20" w:lineRule="exact"/>
              <w:rPr>
                <w:sz w:val="1"/>
                <w:szCs w:val="1"/>
                <w:color w:val="auto"/>
              </w:rPr>
            </w:pPr>
          </w:p>
        </w:tc>
        <w:tc>
          <w:tcPr>
            <w:tcW w:w="6600" w:type="dxa"/>
            <w:vAlign w:val="bottom"/>
            <w:tcBorders>
              <w:right w:val="single" w:sz="8" w:color="C0C0C0"/>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tcBorders>
              <w:right w:val="single" w:sz="8" w:color="auto"/>
            </w:tcBorders>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6600" w:type="dxa"/>
            <w:vAlign w:val="bottom"/>
            <w:tcBorders>
              <w:right w:val="single" w:sz="8" w:color="C0C0C0"/>
            </w:tcBorders>
            <w:shd w:val="clear" w:color="auto" w:fill="C0C0C0"/>
          </w:tcPr>
          <w:p>
            <w:pPr>
              <w:jc w:val="right"/>
              <w:ind w:right="6221"/>
              <w:spacing w:after="0"/>
              <w:rPr>
                <w:sz w:val="20"/>
                <w:szCs w:val="20"/>
                <w:color w:val="auto"/>
              </w:rPr>
            </w:pPr>
            <w:r>
              <w:rPr>
                <w:rFonts w:ascii="Arial" w:cs="Arial" w:eastAsia="Arial" w:hAnsi="Arial"/>
                <w:sz w:val="16"/>
                <w:szCs w:val="16"/>
                <w:color w:val="auto"/>
                <w:w w:val="78"/>
              </w:rPr>
              <w:t>2012</w:t>
            </w:r>
          </w:p>
        </w:tc>
        <w:tc>
          <w:tcPr>
            <w:tcW w:w="240" w:type="dxa"/>
            <w:vAlign w:val="bottom"/>
            <w:tcBorders>
              <w:right w:val="single" w:sz="8" w:color="C0C0C0"/>
            </w:tcBorders>
            <w:shd w:val="clear" w:color="auto" w:fill="C0C0C0"/>
          </w:tcPr>
          <w:p>
            <w:pPr>
              <w:ind w:left="16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0C0C0"/>
          </w:tcPr>
          <w:p>
            <w:pPr>
              <w:spacing w:after="0"/>
              <w:rPr>
                <w:sz w:val="18"/>
                <w:szCs w:val="18"/>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6,072</w:t>
            </w:r>
          </w:p>
        </w:tc>
        <w:tc>
          <w:tcPr>
            <w:tcW w:w="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360" w:type="dxa"/>
            <w:vAlign w:val="bottom"/>
            <w:gridSpan w:val="2"/>
            <w:shd w:val="clear" w:color="auto" w:fill="C0C0C0"/>
          </w:tcPr>
          <w:p>
            <w:pPr>
              <w:ind w:lef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0C0C0"/>
          </w:tcPr>
          <w:p>
            <w:pPr>
              <w:spacing w:after="0"/>
              <w:rPr>
                <w:sz w:val="18"/>
                <w:szCs w:val="18"/>
                <w:color w:val="auto"/>
              </w:rPr>
            </w:pP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6"/>
                <w:szCs w:val="16"/>
                <w:color w:val="auto"/>
              </w:rPr>
              <w:t>$ 7,260</w:t>
            </w:r>
          </w:p>
        </w:tc>
      </w:tr>
      <w:tr>
        <w:trPr>
          <w:trHeight w:val="211"/>
        </w:trPr>
        <w:tc>
          <w:tcPr>
            <w:tcW w:w="7520" w:type="dxa"/>
            <w:vAlign w:val="bottom"/>
            <w:gridSpan w:val="2"/>
          </w:tcPr>
          <w:p>
            <w:pPr>
              <w:jc w:val="right"/>
              <w:ind w:right="6221"/>
              <w:spacing w:after="0"/>
              <w:rPr>
                <w:sz w:val="20"/>
                <w:szCs w:val="20"/>
                <w:color w:val="auto"/>
              </w:rPr>
            </w:pPr>
            <w:r>
              <w:rPr>
                <w:rFonts w:ascii="Arial" w:cs="Arial" w:eastAsia="Arial" w:hAnsi="Arial"/>
                <w:sz w:val="16"/>
                <w:szCs w:val="16"/>
                <w:color w:val="auto"/>
              </w:rPr>
              <w:t>2013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7,304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7,562</w:t>
            </w:r>
          </w:p>
        </w:tc>
      </w:tr>
      <w:tr>
        <w:trPr>
          <w:trHeight w:val="226"/>
        </w:trPr>
        <w:tc>
          <w:tcPr>
            <w:tcW w:w="920" w:type="dxa"/>
            <w:vAlign w:val="bottom"/>
          </w:tcPr>
          <w:p>
            <w:pPr>
              <w:spacing w:after="0"/>
              <w:rPr>
                <w:sz w:val="19"/>
                <w:szCs w:val="19"/>
                <w:color w:val="auto"/>
              </w:rPr>
            </w:pPr>
          </w:p>
        </w:tc>
        <w:tc>
          <w:tcPr>
            <w:tcW w:w="6600" w:type="dxa"/>
            <w:vAlign w:val="bottom"/>
            <w:tcBorders>
              <w:right w:val="single" w:sz="8" w:color="C0C0C0"/>
            </w:tcBorders>
            <w:shd w:val="clear" w:color="auto" w:fill="C0C0C0"/>
          </w:tcPr>
          <w:p>
            <w:pPr>
              <w:jc w:val="right"/>
              <w:ind w:right="6221"/>
              <w:spacing w:after="0"/>
              <w:rPr>
                <w:sz w:val="20"/>
                <w:szCs w:val="20"/>
                <w:color w:val="auto"/>
              </w:rPr>
            </w:pPr>
            <w:r>
              <w:rPr>
                <w:rFonts w:ascii="Arial" w:cs="Arial" w:eastAsia="Arial" w:hAnsi="Arial"/>
                <w:sz w:val="16"/>
                <w:szCs w:val="16"/>
                <w:color w:val="auto"/>
                <w:w w:val="78"/>
              </w:rPr>
              <w:t>2014</w:t>
            </w:r>
          </w:p>
        </w:tc>
        <w:tc>
          <w:tcPr>
            <w:tcW w:w="240" w:type="dxa"/>
            <w:vAlign w:val="bottom"/>
            <w:tcBorders>
              <w:right w:val="single" w:sz="8" w:color="C0C0C0"/>
            </w:tcBorders>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7,428</w:t>
            </w:r>
          </w:p>
        </w:tc>
        <w:tc>
          <w:tcPr>
            <w:tcW w:w="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60" w:type="dxa"/>
            <w:vAlign w:val="bottom"/>
            <w:tcBorders>
              <w:right w:val="single" w:sz="8" w:color="C0C0C0"/>
            </w:tcBorders>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0C0C0"/>
          </w:tcPr>
          <w:p>
            <w:pPr>
              <w:spacing w:after="0"/>
              <w:rPr>
                <w:sz w:val="19"/>
                <w:szCs w:val="19"/>
                <w:color w:val="auto"/>
              </w:rPr>
            </w:pP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6"/>
                <w:szCs w:val="16"/>
                <w:color w:val="auto"/>
              </w:rPr>
              <w:t>7,463</w:t>
            </w:r>
          </w:p>
        </w:tc>
      </w:tr>
      <w:tr>
        <w:trPr>
          <w:trHeight w:val="211"/>
        </w:trPr>
        <w:tc>
          <w:tcPr>
            <w:tcW w:w="7520" w:type="dxa"/>
            <w:vAlign w:val="bottom"/>
            <w:gridSpan w:val="2"/>
          </w:tcPr>
          <w:p>
            <w:pPr>
              <w:jc w:val="right"/>
              <w:ind w:right="6221"/>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7,583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7,583</w:t>
            </w:r>
          </w:p>
        </w:tc>
      </w:tr>
      <w:tr>
        <w:trPr>
          <w:trHeight w:val="226"/>
        </w:trPr>
        <w:tc>
          <w:tcPr>
            <w:tcW w:w="920" w:type="dxa"/>
            <w:vAlign w:val="bottom"/>
          </w:tcPr>
          <w:p>
            <w:pPr>
              <w:spacing w:after="0"/>
              <w:rPr>
                <w:sz w:val="19"/>
                <w:szCs w:val="19"/>
                <w:color w:val="auto"/>
              </w:rPr>
            </w:pPr>
          </w:p>
        </w:tc>
        <w:tc>
          <w:tcPr>
            <w:tcW w:w="6600" w:type="dxa"/>
            <w:vAlign w:val="bottom"/>
            <w:tcBorders>
              <w:right w:val="single" w:sz="8" w:color="C0C0C0"/>
            </w:tcBorders>
            <w:shd w:val="clear" w:color="auto" w:fill="C0C0C0"/>
          </w:tcPr>
          <w:p>
            <w:pPr>
              <w:jc w:val="right"/>
              <w:ind w:right="6221"/>
              <w:spacing w:after="0"/>
              <w:rPr>
                <w:sz w:val="20"/>
                <w:szCs w:val="20"/>
                <w:color w:val="auto"/>
              </w:rPr>
            </w:pPr>
            <w:r>
              <w:rPr>
                <w:rFonts w:ascii="Arial" w:cs="Arial" w:eastAsia="Arial" w:hAnsi="Arial"/>
                <w:sz w:val="16"/>
                <w:szCs w:val="16"/>
                <w:color w:val="auto"/>
                <w:w w:val="78"/>
              </w:rPr>
              <w:t>2016</w:t>
            </w:r>
          </w:p>
        </w:tc>
        <w:tc>
          <w:tcPr>
            <w:tcW w:w="240" w:type="dxa"/>
            <w:vAlign w:val="bottom"/>
            <w:tcBorders>
              <w:right w:val="single" w:sz="8" w:color="C0C0C0"/>
            </w:tcBorders>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7,738</w:t>
            </w:r>
          </w:p>
        </w:tc>
        <w:tc>
          <w:tcPr>
            <w:tcW w:w="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60" w:type="dxa"/>
            <w:vAlign w:val="bottom"/>
            <w:tcBorders>
              <w:right w:val="single" w:sz="8" w:color="C0C0C0"/>
            </w:tcBorders>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6"/>
                <w:szCs w:val="16"/>
                <w:color w:val="auto"/>
              </w:rPr>
              <w:t>7,738</w:t>
            </w:r>
          </w:p>
        </w:tc>
      </w:tr>
      <w:tr>
        <w:trPr>
          <w:trHeight w:val="211"/>
        </w:trPr>
        <w:tc>
          <w:tcPr>
            <w:tcW w:w="7520" w:type="dxa"/>
            <w:vAlign w:val="bottom"/>
            <w:gridSpan w:val="2"/>
          </w:tcPr>
          <w:p>
            <w:pPr>
              <w:ind w:left="90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59,631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59,631</w:t>
            </w:r>
          </w:p>
        </w:tc>
      </w:tr>
      <w:tr>
        <w:trPr>
          <w:trHeight w:val="20"/>
        </w:trPr>
        <w:tc>
          <w:tcPr>
            <w:tcW w:w="920" w:type="dxa"/>
            <w:vAlign w:val="bottom"/>
          </w:tcPr>
          <w:p>
            <w:pPr>
              <w:spacing w:after="0" w:line="20" w:lineRule="exact"/>
              <w:rPr>
                <w:sz w:val="1"/>
                <w:szCs w:val="1"/>
                <w:color w:val="auto"/>
              </w:rPr>
            </w:pPr>
          </w:p>
        </w:tc>
        <w:tc>
          <w:tcPr>
            <w:tcW w:w="6600" w:type="dxa"/>
            <w:vAlign w:val="bottom"/>
            <w:tcBorders>
              <w:right w:val="single" w:sz="8" w:color="C0C0C0"/>
            </w:tcBorders>
            <w:shd w:val="clear" w:color="auto" w:fill="C0C0C0"/>
          </w:tcPr>
          <w:p>
            <w:pPr>
              <w:spacing w:after="0" w:line="20" w:lineRule="exact"/>
              <w:rPr>
                <w:sz w:val="1"/>
                <w:szCs w:val="1"/>
                <w:color w:val="auto"/>
              </w:rPr>
            </w:pPr>
          </w:p>
        </w:tc>
        <w:tc>
          <w:tcPr>
            <w:tcW w:w="240" w:type="dxa"/>
            <w:vAlign w:val="bottom"/>
            <w:tcBorders>
              <w:right w:val="single" w:sz="8" w:color="auto"/>
            </w:tcBorders>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tcBorders>
              <w:right w:val="single" w:sz="8" w:color="auto"/>
            </w:tcBorders>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6600" w:type="dxa"/>
            <w:vAlign w:val="bottom"/>
            <w:tcBorders>
              <w:right w:val="single" w:sz="8" w:color="C0C0C0"/>
            </w:tcBorders>
            <w:shd w:val="clear" w:color="auto" w:fill="C0C0C0"/>
          </w:tcPr>
          <w:p>
            <w:pPr>
              <w:spacing w:after="0"/>
              <w:rPr>
                <w:sz w:val="18"/>
                <w:szCs w:val="18"/>
                <w:color w:val="auto"/>
              </w:rPr>
            </w:pPr>
          </w:p>
        </w:tc>
        <w:tc>
          <w:tcPr>
            <w:tcW w:w="240" w:type="dxa"/>
            <w:vAlign w:val="bottom"/>
            <w:tcBorders>
              <w:right w:val="single" w:sz="8" w:color="C0C0C0"/>
            </w:tcBorders>
            <w:shd w:val="clear" w:color="auto" w:fill="C0C0C0"/>
          </w:tcPr>
          <w:p>
            <w:pPr>
              <w:ind w:left="16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0C0C0"/>
          </w:tcPr>
          <w:p>
            <w:pPr>
              <w:spacing w:after="0"/>
              <w:rPr>
                <w:sz w:val="18"/>
                <w:szCs w:val="18"/>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5"/>
              </w:rPr>
              <w:t>95,756</w:t>
            </w:r>
          </w:p>
        </w:tc>
        <w:tc>
          <w:tcPr>
            <w:tcW w:w="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360" w:type="dxa"/>
            <w:vAlign w:val="bottom"/>
            <w:gridSpan w:val="2"/>
            <w:shd w:val="clear" w:color="auto" w:fill="C0C0C0"/>
          </w:tcPr>
          <w:p>
            <w:pPr>
              <w:ind w:left="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1,481</w:t>
            </w:r>
          </w:p>
        </w:tc>
        <w:tc>
          <w:tcPr>
            <w:tcW w:w="80" w:type="dxa"/>
            <w:vAlign w:val="bottom"/>
            <w:shd w:val="clear" w:color="auto" w:fill="C0C0C0"/>
          </w:tcPr>
          <w:p>
            <w:pPr>
              <w:spacing w:after="0"/>
              <w:rPr>
                <w:sz w:val="18"/>
                <w:szCs w:val="18"/>
                <w:color w:val="auto"/>
              </w:rPr>
            </w:pP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6"/>
                <w:szCs w:val="16"/>
                <w:color w:val="auto"/>
              </w:rPr>
              <w:t>$97,237</w:t>
            </w:r>
          </w:p>
        </w:tc>
      </w:tr>
      <w:tr>
        <w:trPr>
          <w:trHeight w:val="20"/>
        </w:trPr>
        <w:tc>
          <w:tcPr>
            <w:tcW w:w="920" w:type="dxa"/>
            <w:vAlign w:val="bottom"/>
          </w:tcPr>
          <w:p>
            <w:pPr>
              <w:spacing w:after="0" w:line="20" w:lineRule="exact"/>
              <w:rPr>
                <w:sz w:val="1"/>
                <w:szCs w:val="1"/>
                <w:color w:val="auto"/>
              </w:rPr>
            </w:pPr>
          </w:p>
        </w:tc>
        <w:tc>
          <w:tcPr>
            <w:tcW w:w="6600" w:type="dxa"/>
            <w:vAlign w:val="bottom"/>
            <w:tcBorders>
              <w:right w:val="single" w:sz="8" w:color="C0C0C0"/>
            </w:tcBorders>
            <w:shd w:val="clear" w:color="auto" w:fill="C0C0C0"/>
          </w:tcPr>
          <w:p>
            <w:pPr>
              <w:spacing w:after="0" w:line="20" w:lineRule="exact"/>
              <w:rPr>
                <w:sz w:val="1"/>
                <w:szCs w:val="1"/>
                <w:color w:val="auto"/>
              </w:rPr>
            </w:pPr>
          </w:p>
        </w:tc>
        <w:tc>
          <w:tcPr>
            <w:tcW w:w="240" w:type="dxa"/>
            <w:vAlign w:val="bottom"/>
            <w:tcBorders>
              <w:right w:val="single" w:sz="8" w:color="auto"/>
            </w:tcBorders>
            <w:shd w:val="clear" w:color="auto" w:fill="C0C0C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tcBorders>
              <w:right w:val="single" w:sz="8" w:color="auto"/>
            </w:tcBorders>
            <w:shd w:val="clear" w:color="auto" w:fill="C0C0C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r>
      <w:tr>
        <w:trPr>
          <w:trHeight w:val="402"/>
        </w:trPr>
        <w:tc>
          <w:tcPr>
            <w:tcW w:w="7520" w:type="dxa"/>
            <w:vAlign w:val="bottom"/>
            <w:gridSpan w:val="2"/>
          </w:tcPr>
          <w:p>
            <w:pPr>
              <w:spacing w:after="0"/>
              <w:rPr>
                <w:sz w:val="20"/>
                <w:szCs w:val="20"/>
                <w:color w:val="auto"/>
              </w:rPr>
            </w:pPr>
            <w:r>
              <w:rPr>
                <w:rFonts w:ascii="Arial" w:cs="Arial" w:eastAsia="Arial" w:hAnsi="Arial"/>
                <w:sz w:val="16"/>
                <w:szCs w:val="16"/>
                <w:color w:val="auto"/>
              </w:rPr>
              <w:t>Rent expense under operating leases was: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8"/>
        </w:trPr>
        <w:tc>
          <w:tcPr>
            <w:tcW w:w="7520" w:type="dxa"/>
            <w:vAlign w:val="bottom"/>
            <w:gridSpan w:val="2"/>
          </w:tcPr>
          <w:p>
            <w:pPr>
              <w:ind w:left="90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6"/>
                <w:szCs w:val="16"/>
                <w:b w:val="1"/>
                <w:bCs w:val="1"/>
                <w:color w:val="auto"/>
                <w:w w:val="96"/>
              </w:rPr>
              <w:t>Facilities</w:t>
            </w: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Equipment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Total</w:t>
            </w:r>
          </w:p>
        </w:tc>
      </w:tr>
      <w:tr>
        <w:trPr>
          <w:trHeight w:val="20"/>
        </w:trPr>
        <w:tc>
          <w:tcPr>
            <w:tcW w:w="920" w:type="dxa"/>
            <w:vAlign w:val="bottom"/>
          </w:tcPr>
          <w:p>
            <w:pPr>
              <w:spacing w:after="0" w:line="20" w:lineRule="exact"/>
              <w:rPr>
                <w:sz w:val="1"/>
                <w:szCs w:val="1"/>
                <w:color w:val="auto"/>
              </w:rPr>
            </w:pPr>
          </w:p>
        </w:tc>
        <w:tc>
          <w:tcPr>
            <w:tcW w:w="6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0C0C0"/>
            </w:tcBorders>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tcBorders>
              <w:right w:val="single" w:sz="8" w:color="C0C0C0"/>
            </w:tcBorders>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6600" w:type="dxa"/>
            <w:vAlign w:val="bottom"/>
            <w:tcBorders>
              <w:right w:val="single" w:sz="8" w:color="C0C0C0"/>
            </w:tcBorders>
            <w:shd w:val="clear" w:color="auto" w:fill="C0C0C0"/>
          </w:tcPr>
          <w:p>
            <w:pPr>
              <w:jc w:val="right"/>
              <w:ind w:right="6221"/>
              <w:spacing w:after="0"/>
              <w:rPr>
                <w:sz w:val="20"/>
                <w:szCs w:val="20"/>
                <w:color w:val="auto"/>
              </w:rPr>
            </w:pPr>
            <w:r>
              <w:rPr>
                <w:rFonts w:ascii="Arial" w:cs="Arial" w:eastAsia="Arial" w:hAnsi="Arial"/>
                <w:sz w:val="16"/>
                <w:szCs w:val="16"/>
                <w:color w:val="auto"/>
                <w:w w:val="78"/>
              </w:rPr>
              <w:t>2011</w:t>
            </w:r>
          </w:p>
        </w:tc>
        <w:tc>
          <w:tcPr>
            <w:tcW w:w="240" w:type="dxa"/>
            <w:vAlign w:val="bottom"/>
            <w:tcBorders>
              <w:right w:val="single" w:sz="8" w:color="C0C0C0"/>
            </w:tcBorders>
            <w:shd w:val="clear" w:color="auto" w:fill="C0C0C0"/>
          </w:tcPr>
          <w:p>
            <w:pPr>
              <w:spacing w:after="0"/>
              <w:rPr>
                <w:sz w:val="18"/>
                <w:szCs w:val="18"/>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7,191</w:t>
            </w:r>
          </w:p>
        </w:tc>
        <w:tc>
          <w:tcPr>
            <w:tcW w:w="80" w:type="dxa"/>
            <w:vAlign w:val="bottom"/>
            <w:shd w:val="clear" w:color="auto" w:fill="C0C0C0"/>
          </w:tcPr>
          <w:p>
            <w:pPr>
              <w:spacing w:after="0"/>
              <w:rPr>
                <w:sz w:val="18"/>
                <w:szCs w:val="18"/>
                <w:color w:val="auto"/>
              </w:rPr>
            </w:pPr>
          </w:p>
        </w:tc>
        <w:tc>
          <w:tcPr>
            <w:tcW w:w="360" w:type="dxa"/>
            <w:vAlign w:val="bottom"/>
            <w:gridSpan w:val="2"/>
            <w:shd w:val="clear" w:color="auto" w:fill="C0C0C0"/>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599</w:t>
            </w: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6"/>
                <w:szCs w:val="16"/>
                <w:color w:val="auto"/>
              </w:rPr>
              <w:t>$7,790</w:t>
            </w:r>
          </w:p>
        </w:tc>
      </w:tr>
      <w:tr>
        <w:trPr>
          <w:trHeight w:val="211"/>
        </w:trPr>
        <w:tc>
          <w:tcPr>
            <w:tcW w:w="7520" w:type="dxa"/>
            <w:vAlign w:val="bottom"/>
            <w:gridSpan w:val="2"/>
          </w:tcPr>
          <w:p>
            <w:pPr>
              <w:jc w:val="right"/>
              <w:ind w:right="6221"/>
              <w:spacing w:after="0"/>
              <w:rPr>
                <w:sz w:val="20"/>
                <w:szCs w:val="20"/>
                <w:color w:val="auto"/>
              </w:rPr>
            </w:pPr>
            <w:r>
              <w:rPr>
                <w:rFonts w:ascii="Arial" w:cs="Arial" w:eastAsia="Arial" w:hAnsi="Arial"/>
                <w:sz w:val="16"/>
                <w:szCs w:val="16"/>
                <w:color w:val="auto"/>
              </w:rPr>
              <w:t>2010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7,301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7,636</w:t>
            </w:r>
          </w:p>
        </w:tc>
      </w:tr>
      <w:tr>
        <w:trPr>
          <w:trHeight w:val="226"/>
        </w:trPr>
        <w:tc>
          <w:tcPr>
            <w:tcW w:w="920" w:type="dxa"/>
            <w:vAlign w:val="bottom"/>
          </w:tcPr>
          <w:p>
            <w:pPr>
              <w:spacing w:after="0"/>
              <w:rPr>
                <w:sz w:val="19"/>
                <w:szCs w:val="19"/>
                <w:color w:val="auto"/>
              </w:rPr>
            </w:pPr>
          </w:p>
        </w:tc>
        <w:tc>
          <w:tcPr>
            <w:tcW w:w="6600" w:type="dxa"/>
            <w:vAlign w:val="bottom"/>
            <w:tcBorders>
              <w:right w:val="single" w:sz="8" w:color="C0C0C0"/>
            </w:tcBorders>
            <w:shd w:val="clear" w:color="auto" w:fill="C0C0C0"/>
          </w:tcPr>
          <w:p>
            <w:pPr>
              <w:jc w:val="right"/>
              <w:ind w:right="6221"/>
              <w:spacing w:after="0"/>
              <w:rPr>
                <w:sz w:val="20"/>
                <w:szCs w:val="20"/>
                <w:color w:val="auto"/>
              </w:rPr>
            </w:pPr>
            <w:r>
              <w:rPr>
                <w:rFonts w:ascii="Arial" w:cs="Arial" w:eastAsia="Arial" w:hAnsi="Arial"/>
                <w:sz w:val="16"/>
                <w:szCs w:val="16"/>
                <w:color w:val="auto"/>
                <w:w w:val="78"/>
              </w:rPr>
              <w:t>2009</w:t>
            </w:r>
          </w:p>
        </w:tc>
        <w:tc>
          <w:tcPr>
            <w:tcW w:w="240" w:type="dxa"/>
            <w:vAlign w:val="bottom"/>
            <w:tcBorders>
              <w:right w:val="single" w:sz="8" w:color="C0C0C0"/>
            </w:tcBorders>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7,722</w:t>
            </w:r>
          </w:p>
        </w:tc>
        <w:tc>
          <w:tcPr>
            <w:tcW w:w="80" w:type="dxa"/>
            <w:vAlign w:val="bottom"/>
            <w:shd w:val="clear" w:color="auto" w:fill="C0C0C0"/>
          </w:tcPr>
          <w:p>
            <w:pPr>
              <w:spacing w:after="0"/>
              <w:rPr>
                <w:sz w:val="19"/>
                <w:szCs w:val="19"/>
                <w:color w:val="auto"/>
              </w:rPr>
            </w:pPr>
          </w:p>
        </w:tc>
        <w:tc>
          <w:tcPr>
            <w:tcW w:w="160" w:type="dxa"/>
            <w:vAlign w:val="bottom"/>
            <w:tcBorders>
              <w:right w:val="single" w:sz="8" w:color="C0C0C0"/>
            </w:tcBorders>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395</w:t>
            </w: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6"/>
                <w:szCs w:val="16"/>
                <w:color w:val="auto"/>
              </w:rPr>
              <w:t>8,117</w:t>
            </w:r>
          </w:p>
        </w:tc>
      </w:tr>
    </w:tbl>
    <w:p>
      <w:pPr>
        <w:spacing w:after="0" w:line="200" w:lineRule="exact"/>
        <w:rPr>
          <w:sz w:val="20"/>
          <w:szCs w:val="20"/>
          <w:color w:val="auto"/>
        </w:rPr>
      </w:pPr>
    </w:p>
    <w:p>
      <w:pPr>
        <w:spacing w:after="0" w:line="228" w:lineRule="exact"/>
        <w:rPr>
          <w:sz w:val="20"/>
          <w:szCs w:val="20"/>
          <w:color w:val="auto"/>
        </w:rPr>
      </w:pPr>
    </w:p>
    <w:p>
      <w:pPr>
        <w:jc w:val="both"/>
        <w:ind w:right="20" w:firstLine="315"/>
        <w:spacing w:after="0" w:line="309" w:lineRule="auto"/>
        <w:rPr>
          <w:sz w:val="20"/>
          <w:szCs w:val="20"/>
          <w:color w:val="auto"/>
        </w:rPr>
      </w:pPr>
      <w:r>
        <w:rPr>
          <w:rFonts w:ascii="Arial" w:cs="Arial" w:eastAsia="Arial" w:hAnsi="Arial"/>
          <w:sz w:val="15"/>
          <w:szCs w:val="15"/>
          <w:color w:val="auto"/>
        </w:rPr>
        <w:t>In addition to its rent expense under operating leases, and payments under facility lease obligations (see below), for various facilities, the Company paid rental charges for utilities, real estate taxes, and operating expenses of $9.3 million, $10.3 million, and $8.4 million for the years ended December 31, 2011, 2010, and 2009, respectively.</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Commitments under Capital Leases</w:t>
      </w:r>
    </w:p>
    <w:p>
      <w:pPr>
        <w:spacing w:after="0" w:line="229" w:lineRule="exact"/>
        <w:rPr>
          <w:sz w:val="20"/>
          <w:szCs w:val="20"/>
          <w:color w:val="auto"/>
        </w:rPr>
      </w:pPr>
    </w:p>
    <w:p>
      <w:pPr>
        <w:jc w:val="both"/>
        <w:ind w:right="20" w:firstLine="303"/>
        <w:spacing w:after="0" w:line="264" w:lineRule="auto"/>
        <w:rPr>
          <w:sz w:val="20"/>
          <w:szCs w:val="20"/>
          <w:color w:val="auto"/>
        </w:rPr>
      </w:pPr>
      <w:r>
        <w:rPr>
          <w:rFonts w:ascii="Arial" w:cs="Arial" w:eastAsia="Arial" w:hAnsi="Arial"/>
          <w:sz w:val="16"/>
          <w:szCs w:val="16"/>
          <w:color w:val="auto"/>
        </w:rPr>
        <w:t>In 2011 and 2010, the Company entered into capital leases in connection with acquisitions of new equipment. The lease obligations are collateralized with marketable debt securities totaling $3.3 million and $3.5 at December 31, 2011 and 2010, respectively; such collateral has been classified as restricted cash and marketable securities at December 31, 2011 and 2010.</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01"/>
        </w:trPr>
        <w:tc>
          <w:tcPr>
            <w:tcW w:w="8160" w:type="dxa"/>
            <w:vAlign w:val="bottom"/>
            <w:gridSpan w:val="3"/>
          </w:tcPr>
          <w:p>
            <w:pPr>
              <w:spacing w:after="0"/>
              <w:rPr>
                <w:sz w:val="20"/>
                <w:szCs w:val="20"/>
                <w:color w:val="auto"/>
              </w:rPr>
            </w:pPr>
            <w:r>
              <w:rPr>
                <w:rFonts w:ascii="Arial" w:cs="Arial" w:eastAsia="Arial" w:hAnsi="Arial"/>
                <w:sz w:val="16"/>
                <w:szCs w:val="16"/>
                <w:color w:val="auto"/>
              </w:rPr>
              <w:t>The estimated future minimum noncancelable lease commitments under capital leases were as follows: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8"/>
        </w:trPr>
        <w:tc>
          <w:tcPr>
            <w:tcW w:w="8160" w:type="dxa"/>
            <w:vAlign w:val="bottom"/>
            <w:gridSpan w:val="3"/>
          </w:tcPr>
          <w:p>
            <w:pPr>
              <w:ind w:left="2040"/>
              <w:spacing w:after="0"/>
              <w:rPr>
                <w:sz w:val="20"/>
                <w:szCs w:val="20"/>
                <w:color w:val="auto"/>
              </w:rPr>
            </w:pPr>
            <w:r>
              <w:rPr>
                <w:rFonts w:ascii="Arial" w:cs="Arial" w:eastAsia="Arial" w:hAnsi="Arial"/>
                <w:sz w:val="16"/>
                <w:szCs w:val="16"/>
                <w:b w:val="1"/>
                <w:bCs w:val="1"/>
                <w:color w:val="auto"/>
              </w:rPr>
              <w:t>December 31,</w:t>
            </w: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w w:val="89"/>
              </w:rPr>
              <w:t>Equipment</w:t>
            </w:r>
          </w:p>
        </w:tc>
      </w:tr>
      <w:tr>
        <w:trPr>
          <w:trHeight w:val="218"/>
        </w:trPr>
        <w:tc>
          <w:tcPr>
            <w:tcW w:w="2060" w:type="dxa"/>
            <w:vAlign w:val="bottom"/>
          </w:tcPr>
          <w:p>
            <w:pPr>
              <w:spacing w:after="0"/>
              <w:rPr>
                <w:sz w:val="18"/>
                <w:szCs w:val="18"/>
                <w:color w:val="auto"/>
              </w:rPr>
            </w:pPr>
          </w:p>
        </w:tc>
        <w:tc>
          <w:tcPr>
            <w:tcW w:w="5860" w:type="dxa"/>
            <w:vAlign w:val="bottom"/>
            <w:tcBorders>
              <w:top w:val="single" w:sz="8" w:color="auto"/>
            </w:tcBorders>
            <w:shd w:val="clear" w:color="auto" w:fill="C0C0C0"/>
          </w:tcPr>
          <w:p>
            <w:pPr>
              <w:jc w:val="right"/>
              <w:ind w:right="5481"/>
              <w:spacing w:after="0"/>
              <w:rPr>
                <w:sz w:val="20"/>
                <w:szCs w:val="20"/>
                <w:color w:val="auto"/>
              </w:rPr>
            </w:pPr>
            <w:r>
              <w:rPr>
                <w:rFonts w:ascii="Arial" w:cs="Arial" w:eastAsia="Arial" w:hAnsi="Arial"/>
                <w:sz w:val="16"/>
                <w:szCs w:val="16"/>
                <w:color w:val="auto"/>
                <w:w w:val="78"/>
              </w:rPr>
              <w:t>2012</w:t>
            </w:r>
          </w:p>
        </w:tc>
        <w:tc>
          <w:tcPr>
            <w:tcW w:w="240" w:type="dxa"/>
            <w:vAlign w:val="bottom"/>
            <w:tcBorders>
              <w:top w:val="single" w:sz="8" w:color="C0C0C0"/>
            </w:tcBorders>
            <w:shd w:val="clear" w:color="auto" w:fill="C0C0C0"/>
          </w:tcPr>
          <w:p>
            <w:pPr>
              <w:spacing w:after="0"/>
              <w:rPr>
                <w:sz w:val="18"/>
                <w:szCs w:val="18"/>
                <w:color w:val="auto"/>
              </w:rPr>
            </w:pPr>
          </w:p>
        </w:tc>
        <w:tc>
          <w:tcPr>
            <w:tcW w:w="1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0C0C0"/>
          </w:tcPr>
          <w:p>
            <w:pPr>
              <w:jc w:val="right"/>
              <w:ind w:right="61"/>
              <w:spacing w:after="0"/>
              <w:rPr>
                <w:sz w:val="20"/>
                <w:szCs w:val="20"/>
                <w:color w:val="auto"/>
              </w:rPr>
            </w:pPr>
            <w:r>
              <w:rPr>
                <w:rFonts w:ascii="Arial" w:cs="Arial" w:eastAsia="Arial" w:hAnsi="Arial"/>
                <w:sz w:val="16"/>
                <w:szCs w:val="16"/>
                <w:color w:val="auto"/>
              </w:rPr>
              <w:t>1,394</w:t>
            </w:r>
          </w:p>
        </w:tc>
        <w:tc>
          <w:tcPr>
            <w:tcW w:w="20" w:type="dxa"/>
            <w:vAlign w:val="bottom"/>
          </w:tcPr>
          <w:p>
            <w:pPr>
              <w:spacing w:after="0"/>
              <w:rPr>
                <w:sz w:val="18"/>
                <w:szCs w:val="18"/>
                <w:color w:val="auto"/>
              </w:rPr>
            </w:pPr>
          </w:p>
        </w:tc>
      </w:tr>
      <w:tr>
        <w:trPr>
          <w:trHeight w:val="211"/>
        </w:trPr>
        <w:tc>
          <w:tcPr>
            <w:tcW w:w="7920" w:type="dxa"/>
            <w:vAlign w:val="bottom"/>
            <w:gridSpan w:val="2"/>
          </w:tcPr>
          <w:p>
            <w:pPr>
              <w:jc w:val="right"/>
              <w:ind w:right="5481"/>
              <w:spacing w:after="0"/>
              <w:rPr>
                <w:sz w:val="20"/>
                <w:szCs w:val="20"/>
                <w:color w:val="auto"/>
              </w:rPr>
            </w:pPr>
            <w:r>
              <w:rPr>
                <w:rFonts w:ascii="Arial" w:cs="Arial" w:eastAsia="Arial" w:hAnsi="Arial"/>
                <w:sz w:val="16"/>
                <w:szCs w:val="16"/>
                <w:color w:val="auto"/>
              </w:rPr>
              <w:t>2013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1,254</w:t>
            </w:r>
          </w:p>
        </w:tc>
        <w:tc>
          <w:tcPr>
            <w:tcW w:w="20" w:type="dxa"/>
            <w:vAlign w:val="bottom"/>
          </w:tcPr>
          <w:p>
            <w:pPr>
              <w:spacing w:after="0"/>
              <w:rPr>
                <w:sz w:val="18"/>
                <w:szCs w:val="18"/>
                <w:color w:val="auto"/>
              </w:rPr>
            </w:pPr>
          </w:p>
        </w:tc>
      </w:tr>
      <w:tr>
        <w:trPr>
          <w:trHeight w:val="226"/>
        </w:trPr>
        <w:tc>
          <w:tcPr>
            <w:tcW w:w="2060" w:type="dxa"/>
            <w:vAlign w:val="bottom"/>
          </w:tcPr>
          <w:p>
            <w:pPr>
              <w:spacing w:after="0"/>
              <w:rPr>
                <w:sz w:val="19"/>
                <w:szCs w:val="19"/>
                <w:color w:val="auto"/>
              </w:rPr>
            </w:pPr>
          </w:p>
        </w:tc>
        <w:tc>
          <w:tcPr>
            <w:tcW w:w="5860" w:type="dxa"/>
            <w:vAlign w:val="bottom"/>
            <w:shd w:val="clear" w:color="auto" w:fill="C0C0C0"/>
          </w:tcPr>
          <w:p>
            <w:pPr>
              <w:jc w:val="right"/>
              <w:ind w:right="5481"/>
              <w:spacing w:after="0"/>
              <w:rPr>
                <w:sz w:val="20"/>
                <w:szCs w:val="20"/>
                <w:color w:val="auto"/>
              </w:rPr>
            </w:pPr>
            <w:r>
              <w:rPr>
                <w:rFonts w:ascii="Arial" w:cs="Arial" w:eastAsia="Arial" w:hAnsi="Arial"/>
                <w:sz w:val="16"/>
                <w:szCs w:val="16"/>
                <w:color w:val="auto"/>
                <w:w w:val="78"/>
              </w:rPr>
              <w:t>2014</w:t>
            </w:r>
          </w:p>
        </w:tc>
        <w:tc>
          <w:tcPr>
            <w:tcW w:w="240" w:type="dxa"/>
            <w:vAlign w:val="bottom"/>
            <w:shd w:val="clear" w:color="auto" w:fill="C0C0C0"/>
          </w:tcPr>
          <w:p>
            <w:pPr>
              <w:spacing w:after="0"/>
              <w:rPr>
                <w:sz w:val="19"/>
                <w:szCs w:val="19"/>
                <w:color w:val="auto"/>
              </w:rPr>
            </w:pPr>
          </w:p>
        </w:tc>
        <w:tc>
          <w:tcPr>
            <w:tcW w:w="160" w:type="dxa"/>
            <w:vAlign w:val="bottom"/>
            <w:tcBorders>
              <w:bottom w:val="single" w:sz="8" w:color="auto"/>
            </w:tcBorders>
            <w:shd w:val="clear" w:color="auto" w:fill="C0C0C0"/>
          </w:tcPr>
          <w:p>
            <w:pPr>
              <w:spacing w:after="0"/>
              <w:rPr>
                <w:sz w:val="19"/>
                <w:szCs w:val="19"/>
                <w:color w:val="auto"/>
              </w:rPr>
            </w:pPr>
          </w:p>
        </w:tc>
        <w:tc>
          <w:tcPr>
            <w:tcW w:w="580" w:type="dxa"/>
            <w:vAlign w:val="bottom"/>
            <w:tcBorders>
              <w:bottom w:val="single" w:sz="8" w:color="auto"/>
            </w:tcBorders>
            <w:shd w:val="clear" w:color="auto" w:fill="C0C0C0"/>
          </w:tcPr>
          <w:p>
            <w:pPr>
              <w:jc w:val="right"/>
              <w:ind w:right="61"/>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19"/>
                <w:szCs w:val="19"/>
                <w:color w:val="auto"/>
              </w:rPr>
            </w:pPr>
          </w:p>
        </w:tc>
      </w:tr>
      <w:tr>
        <w:trPr>
          <w:trHeight w:val="203"/>
        </w:trPr>
        <w:tc>
          <w:tcPr>
            <w:tcW w:w="8160" w:type="dxa"/>
            <w:vAlign w:val="bottom"/>
            <w:gridSpan w:val="3"/>
          </w:tcPr>
          <w:p>
            <w:pPr>
              <w:ind w:left="2040"/>
              <w:spacing w:after="0"/>
              <w:rPr>
                <w:sz w:val="20"/>
                <w:szCs w:val="20"/>
                <w:color w:val="auto"/>
              </w:rPr>
            </w:pPr>
            <w:r>
              <w:rPr>
                <w:rFonts w:ascii="Arial" w:cs="Arial" w:eastAsia="Arial" w:hAnsi="Arial"/>
                <w:sz w:val="16"/>
                <w:szCs w:val="16"/>
                <w:color w:val="auto"/>
              </w:rPr>
              <w:t>Total minimum lease payments</w:t>
            </w:r>
          </w:p>
        </w:tc>
        <w:tc>
          <w:tcPr>
            <w:tcW w:w="160" w:type="dxa"/>
            <w:vAlign w:val="bottom"/>
          </w:tcPr>
          <w:p>
            <w:pPr>
              <w:spacing w:after="0"/>
              <w:rPr>
                <w:sz w:val="17"/>
                <w:szCs w:val="17"/>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2,778</w:t>
            </w:r>
          </w:p>
        </w:tc>
        <w:tc>
          <w:tcPr>
            <w:tcW w:w="20" w:type="dxa"/>
            <w:vAlign w:val="bottom"/>
          </w:tcPr>
          <w:p>
            <w:pPr>
              <w:spacing w:after="0"/>
              <w:rPr>
                <w:sz w:val="17"/>
                <w:szCs w:val="17"/>
                <w:color w:val="auto"/>
              </w:rPr>
            </w:pPr>
          </w:p>
        </w:tc>
      </w:tr>
      <w:tr>
        <w:trPr>
          <w:trHeight w:val="218"/>
        </w:trPr>
        <w:tc>
          <w:tcPr>
            <w:tcW w:w="2060" w:type="dxa"/>
            <w:vAlign w:val="bottom"/>
          </w:tcPr>
          <w:p>
            <w:pPr>
              <w:spacing w:after="0"/>
              <w:rPr>
                <w:sz w:val="18"/>
                <w:szCs w:val="18"/>
                <w:color w:val="auto"/>
              </w:rPr>
            </w:pPr>
          </w:p>
        </w:tc>
        <w:tc>
          <w:tcPr>
            <w:tcW w:w="610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Less: amount representing interest</w:t>
            </w:r>
          </w:p>
        </w:tc>
        <w:tc>
          <w:tcPr>
            <w:tcW w:w="160" w:type="dxa"/>
            <w:vAlign w:val="bottom"/>
            <w:tcBorders>
              <w:bottom w:val="single" w:sz="8" w:color="auto"/>
            </w:tcBorders>
            <w:shd w:val="clear" w:color="auto" w:fill="C0C0C0"/>
          </w:tcPr>
          <w:p>
            <w:pPr>
              <w:spacing w:after="0"/>
              <w:rPr>
                <w:sz w:val="18"/>
                <w:szCs w:val="18"/>
                <w:color w:val="auto"/>
              </w:rPr>
            </w:pPr>
          </w:p>
        </w:tc>
        <w:tc>
          <w:tcPr>
            <w:tcW w:w="580" w:type="dxa"/>
            <w:vAlign w:val="bottom"/>
            <w:tcBorders>
              <w:bottom w:val="single" w:sz="8" w:color="auto"/>
            </w:tcBorders>
            <w:shd w:val="clear" w:color="auto" w:fill="C0C0C0"/>
          </w:tcPr>
          <w:p>
            <w:pPr>
              <w:jc w:val="right"/>
              <w:ind w:right="21"/>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2,506</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6"/>
          <w:szCs w:val="16"/>
          <w:color w:val="auto"/>
        </w:rPr>
        <w:t>At the end of the lease term, the Company is required to purchase the leased equipment for a nominal amount defined in the lease agreement. At December 31, 2011 and 2010, capital lease obligations totaled $2.5 million and $2.8 million, respectively, and were included in other liabilities.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Facility Lease Obligations</w:t>
      </w:r>
    </w:p>
    <w:p>
      <w:pPr>
        <w:spacing w:after="0" w:line="229" w:lineRule="exact"/>
        <w:rPr>
          <w:sz w:val="20"/>
          <w:szCs w:val="20"/>
          <w:color w:val="auto"/>
        </w:rPr>
      </w:pPr>
    </w:p>
    <w:p>
      <w:pPr>
        <w:jc w:val="both"/>
        <w:ind w:right="20" w:firstLine="267"/>
        <w:spacing w:after="0" w:line="304" w:lineRule="auto"/>
        <w:rPr>
          <w:sz w:val="20"/>
          <w:szCs w:val="20"/>
          <w:color w:val="auto"/>
        </w:rPr>
      </w:pPr>
      <w:r>
        <w:rPr>
          <w:rFonts w:ascii="Arial" w:cs="Arial" w:eastAsia="Arial" w:hAnsi="Arial"/>
          <w:sz w:val="14"/>
          <w:szCs w:val="14"/>
          <w:color w:val="auto"/>
        </w:rPr>
        <w:t>As described above, in connection with the application of FASB authoritative guidance to the Company’s lease of office and laboratory facilities in Buildings A, B, and C, the Company capitalized the landlord’s costs of constructing the new facilities and recognized a corresponding facility lease obligation. The Company also recognized, as additional facility lease obligation, reimbursements from the Company’s landlord for tenant improvement costs that the Company incurred since, under FASB authoritative guidance, such payments that the Company receives from its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w:t>
      </w:r>
    </w:p>
    <w:p>
      <w:pPr>
        <w:spacing w:after="0" w:line="170" w:lineRule="exact"/>
        <w:rPr>
          <w:sz w:val="20"/>
          <w:szCs w:val="20"/>
          <w:color w:val="auto"/>
        </w:rPr>
      </w:pPr>
    </w:p>
    <w:p>
      <w:pPr>
        <w:jc w:val="both"/>
        <w:ind w:firstLine="279"/>
        <w:spacing w:after="0" w:line="301" w:lineRule="auto"/>
        <w:rPr>
          <w:sz w:val="20"/>
          <w:szCs w:val="20"/>
          <w:color w:val="auto"/>
        </w:rPr>
      </w:pPr>
      <w:r>
        <w:rPr>
          <w:rFonts w:ascii="Arial" w:cs="Arial" w:eastAsia="Arial" w:hAnsi="Arial"/>
          <w:sz w:val="14"/>
          <w:szCs w:val="14"/>
          <w:color w:val="auto"/>
        </w:rPr>
        <w:t>As of December 31, 2010, the Company had capitalized the landlord’s costs of constructing Buildings A and B, which totaled $58.4 million, and of constructing Building C, which totaled $27.8 million. Reimbursements from the Company’s landlord for Buildings A and B tenant improvement costs totaled $56.9 million and were received by the Company during 2010 and 2009. Reimbursements for Building C tenant improvement costs totaled $14.2 million and were received by the Company during 2010. With respect to Buildings A and B, monthly lease payments commenced in August 2009, the buildings were placed in service by the Company in September 2009, and the imputed interest rate applicable to the Company’s facility lease obligation is approximately 11%. With respect to Building C, monthly lease payments commenced in January 2011, the building was placed in service by the Company in February 2011, and the imputed interest rate applicable to the Company’s facility lease obligation is approximately 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6"/>
          <w:szCs w:val="16"/>
          <w:color w:val="auto"/>
        </w:rPr>
        <w:t>In 2011, the Company recognized $15.6 million of interest expense in connection with the Buildings A and B and the Building C facility lease obligations. In 2010 and 2009, the Company recognized $9.1 million and $2.3 million, respectively, of interest expense in connection with the Buildings A and B facility lease obligation. At December 31, 2011 and 2010, the Buildings A and B facility lease obligation balance was $113.0 million and $113.7 million, respectively, and the Building C facility lease obligation balance was $47.5 million and $46.4 million, respectively.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estimated future minimum noncancelable commitments under these facility lease obligations, as of December 31, 2011, were as follows: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4"/>
          </w:tcPr>
          <w:p>
            <w:pPr>
              <w:ind w:left="240"/>
              <w:spacing w:after="0"/>
              <w:rPr>
                <w:sz w:val="20"/>
                <w:szCs w:val="20"/>
                <w:color w:val="auto"/>
              </w:rPr>
            </w:pPr>
            <w:r>
              <w:rPr>
                <w:rFonts w:ascii="Arial" w:cs="Arial" w:eastAsia="Arial" w:hAnsi="Arial"/>
                <w:sz w:val="16"/>
                <w:szCs w:val="16"/>
                <w:b w:val="1"/>
                <w:bCs w:val="1"/>
                <w:color w:val="auto"/>
                <w:w w:val="95"/>
              </w:rPr>
              <w:t>Buildings A and B</w:t>
            </w:r>
          </w:p>
        </w:tc>
        <w:tc>
          <w:tcPr>
            <w:tcW w:w="860" w:type="dxa"/>
            <w:vAlign w:val="bottom"/>
            <w:gridSpan w:val="3"/>
          </w:tcPr>
          <w:p>
            <w:pPr>
              <w:ind w:left="120"/>
              <w:spacing w:after="0"/>
              <w:rPr>
                <w:sz w:val="20"/>
                <w:szCs w:val="20"/>
                <w:color w:val="auto"/>
              </w:rPr>
            </w:pPr>
            <w:r>
              <w:rPr>
                <w:rFonts w:ascii="Arial" w:cs="Arial" w:eastAsia="Arial" w:hAnsi="Arial"/>
                <w:sz w:val="16"/>
                <w:szCs w:val="16"/>
                <w:b w:val="1"/>
                <w:bCs w:val="1"/>
                <w:color w:val="auto"/>
                <w:w w:val="89"/>
              </w:rPr>
              <w:t>Building 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b w:val="1"/>
                <w:bCs w:val="1"/>
                <w:color w:val="auto"/>
                <w:w w:val="99"/>
              </w:rPr>
              <w:t>Total</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0C0C0"/>
          </w:tcPr>
          <w:p>
            <w:pPr>
              <w:jc w:val="right"/>
              <w:ind w:right="5461"/>
              <w:spacing w:after="0"/>
              <w:rPr>
                <w:sz w:val="20"/>
                <w:szCs w:val="20"/>
                <w:color w:val="auto"/>
              </w:rPr>
            </w:pPr>
            <w:r>
              <w:rPr>
                <w:rFonts w:ascii="Arial" w:cs="Arial" w:eastAsia="Arial" w:hAnsi="Arial"/>
                <w:sz w:val="16"/>
                <w:szCs w:val="16"/>
                <w:color w:val="auto"/>
                <w:w w:val="78"/>
              </w:rPr>
              <w:t>2012</w:t>
            </w:r>
          </w:p>
        </w:tc>
        <w:tc>
          <w:tcPr>
            <w:tcW w:w="6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12,847</w:t>
            </w:r>
          </w:p>
        </w:tc>
        <w:tc>
          <w:tcPr>
            <w:tcW w:w="120" w:type="dxa"/>
            <w:vAlign w:val="bottom"/>
            <w:shd w:val="clear" w:color="auto" w:fill="C0C0C0"/>
          </w:tcPr>
          <w:p>
            <w:pPr>
              <w:spacing w:after="0"/>
              <w:rPr>
                <w:sz w:val="18"/>
                <w:szCs w:val="18"/>
                <w:color w:val="auto"/>
              </w:rPr>
            </w:pPr>
          </w:p>
        </w:tc>
        <w:tc>
          <w:tcPr>
            <w:tcW w:w="32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2,825</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15,672</w:t>
            </w:r>
          </w:p>
        </w:tc>
      </w:tr>
      <w:tr>
        <w:trPr>
          <w:trHeight w:val="211"/>
        </w:trPr>
        <w:tc>
          <w:tcPr>
            <w:tcW w:w="5860" w:type="dxa"/>
            <w:vAlign w:val="bottom"/>
            <w:gridSpan w:val="2"/>
          </w:tcPr>
          <w:p>
            <w:pPr>
              <w:jc w:val="right"/>
              <w:ind w:right="5461"/>
              <w:spacing w:after="0"/>
              <w:rPr>
                <w:sz w:val="20"/>
                <w:szCs w:val="20"/>
                <w:color w:val="auto"/>
              </w:rPr>
            </w:pPr>
            <w:r>
              <w:rPr>
                <w:rFonts w:ascii="Arial" w:cs="Arial" w:eastAsia="Arial" w:hAnsi="Arial"/>
                <w:sz w:val="16"/>
                <w:szCs w:val="16"/>
                <w:color w:val="auto"/>
                <w:w w:val="84"/>
              </w:rPr>
              <w:t>2013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17,462</w:t>
            </w:r>
          </w:p>
        </w:tc>
      </w:tr>
      <w:tr>
        <w:trPr>
          <w:trHeight w:val="226"/>
        </w:trPr>
        <w:tc>
          <w:tcPr>
            <w:tcW w:w="20" w:type="dxa"/>
            <w:vAlign w:val="bottom"/>
          </w:tcPr>
          <w:p>
            <w:pPr>
              <w:spacing w:after="0"/>
              <w:rPr>
                <w:sz w:val="19"/>
                <w:szCs w:val="19"/>
                <w:color w:val="auto"/>
              </w:rPr>
            </w:pPr>
          </w:p>
        </w:tc>
        <w:tc>
          <w:tcPr>
            <w:tcW w:w="5840" w:type="dxa"/>
            <w:vAlign w:val="bottom"/>
            <w:shd w:val="clear" w:color="auto" w:fill="C0C0C0"/>
          </w:tcPr>
          <w:p>
            <w:pPr>
              <w:jc w:val="right"/>
              <w:ind w:right="5461"/>
              <w:spacing w:after="0"/>
              <w:rPr>
                <w:sz w:val="20"/>
                <w:szCs w:val="20"/>
                <w:color w:val="auto"/>
              </w:rPr>
            </w:pPr>
            <w:r>
              <w:rPr>
                <w:rFonts w:ascii="Arial" w:cs="Arial" w:eastAsia="Arial" w:hAnsi="Arial"/>
                <w:sz w:val="16"/>
                <w:szCs w:val="16"/>
                <w:color w:val="auto"/>
                <w:w w:val="78"/>
              </w:rPr>
              <w:t>2014</w:t>
            </w:r>
          </w:p>
        </w:tc>
        <w:tc>
          <w:tcPr>
            <w:tcW w:w="24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13,343</w:t>
            </w: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4,490</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17,833</w:t>
            </w:r>
          </w:p>
        </w:tc>
      </w:tr>
      <w:tr>
        <w:trPr>
          <w:trHeight w:val="211"/>
        </w:trPr>
        <w:tc>
          <w:tcPr>
            <w:tcW w:w="5860" w:type="dxa"/>
            <w:vAlign w:val="bottom"/>
            <w:gridSpan w:val="2"/>
          </w:tcPr>
          <w:p>
            <w:pPr>
              <w:jc w:val="right"/>
              <w:ind w:right="5461"/>
              <w:spacing w:after="0"/>
              <w:rPr>
                <w:sz w:val="20"/>
                <w:szCs w:val="20"/>
                <w:color w:val="auto"/>
              </w:rPr>
            </w:pPr>
            <w:r>
              <w:rPr>
                <w:rFonts w:ascii="Arial" w:cs="Arial" w:eastAsia="Arial" w:hAnsi="Arial"/>
                <w:sz w:val="16"/>
                <w:szCs w:val="16"/>
                <w:color w:val="auto"/>
                <w:w w:val="84"/>
              </w:rPr>
              <w:t>2015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18,214</w:t>
            </w:r>
          </w:p>
        </w:tc>
      </w:tr>
      <w:tr>
        <w:trPr>
          <w:trHeight w:val="226"/>
        </w:trPr>
        <w:tc>
          <w:tcPr>
            <w:tcW w:w="20" w:type="dxa"/>
            <w:vAlign w:val="bottom"/>
          </w:tcPr>
          <w:p>
            <w:pPr>
              <w:spacing w:after="0"/>
              <w:rPr>
                <w:sz w:val="19"/>
                <w:szCs w:val="19"/>
                <w:color w:val="auto"/>
              </w:rPr>
            </w:pPr>
          </w:p>
        </w:tc>
        <w:tc>
          <w:tcPr>
            <w:tcW w:w="5840" w:type="dxa"/>
            <w:vAlign w:val="bottom"/>
            <w:shd w:val="clear" w:color="auto" w:fill="C0C0C0"/>
          </w:tcPr>
          <w:p>
            <w:pPr>
              <w:jc w:val="right"/>
              <w:ind w:right="5461"/>
              <w:spacing w:after="0"/>
              <w:rPr>
                <w:sz w:val="20"/>
                <w:szCs w:val="20"/>
                <w:color w:val="auto"/>
              </w:rPr>
            </w:pPr>
            <w:r>
              <w:rPr>
                <w:rFonts w:ascii="Arial" w:cs="Arial" w:eastAsia="Arial" w:hAnsi="Arial"/>
                <w:sz w:val="16"/>
                <w:szCs w:val="16"/>
                <w:color w:val="auto"/>
                <w:w w:val="78"/>
              </w:rPr>
              <w:t>2016</w:t>
            </w:r>
          </w:p>
        </w:tc>
        <w:tc>
          <w:tcPr>
            <w:tcW w:w="24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13,864</w:t>
            </w: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4,740</w:t>
            </w: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18,604</w:t>
            </w:r>
          </w:p>
        </w:tc>
      </w:tr>
      <w:tr>
        <w:trPr>
          <w:trHeight w:val="211"/>
        </w:trPr>
        <w:tc>
          <w:tcPr>
            <w:tcW w:w="586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39,899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152,939</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0C0C0"/>
          </w:tcPr>
          <w:p>
            <w:pPr>
              <w:spacing w:after="0"/>
              <w:rPr>
                <w:sz w:val="18"/>
                <w:szCs w:val="18"/>
                <w:color w:val="auto"/>
              </w:rPr>
            </w:pPr>
          </w:p>
        </w:tc>
        <w:tc>
          <w:tcPr>
            <w:tcW w:w="6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179,786</w:t>
            </w:r>
          </w:p>
        </w:tc>
        <w:tc>
          <w:tcPr>
            <w:tcW w:w="120" w:type="dxa"/>
            <w:vAlign w:val="bottom"/>
            <w:shd w:val="clear" w:color="auto" w:fill="C0C0C0"/>
          </w:tcPr>
          <w:p>
            <w:pPr>
              <w:spacing w:after="0"/>
              <w:rPr>
                <w:sz w:val="18"/>
                <w:szCs w:val="18"/>
                <w:color w:val="auto"/>
              </w:rPr>
            </w:pPr>
          </w:p>
        </w:tc>
        <w:tc>
          <w:tcPr>
            <w:tcW w:w="32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60,938</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6"/>
              </w:rPr>
              <w:t>240,724</w:t>
            </w:r>
          </w:p>
        </w:tc>
      </w:tr>
      <w:tr>
        <w:trPr>
          <w:trHeight w:val="32"/>
        </w:trPr>
        <w:tc>
          <w:tcPr>
            <w:tcW w:w="20" w:type="dxa"/>
            <w:vAlign w:val="bottom"/>
          </w:tcPr>
          <w:p>
            <w:pPr>
              <w:spacing w:after="0"/>
              <w:rPr>
                <w:sz w:val="2"/>
                <w:szCs w:val="2"/>
                <w:color w:val="auto"/>
              </w:rPr>
            </w:pPr>
          </w:p>
        </w:tc>
        <w:tc>
          <w:tcPr>
            <w:tcW w:w="584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 Research Collaboration and Licensing Agreements</w:t>
      </w:r>
    </w:p>
    <w:p>
      <w:pPr>
        <w:spacing w:after="0" w:line="229" w:lineRule="exact"/>
        <w:rPr>
          <w:sz w:val="20"/>
          <w:szCs w:val="20"/>
          <w:color w:val="auto"/>
        </w:rPr>
      </w:pPr>
    </w:p>
    <w:p>
      <w:pPr>
        <w:jc w:val="both"/>
        <w:ind w:right="20" w:firstLine="291"/>
        <w:spacing w:after="0" w:line="309" w:lineRule="auto"/>
        <w:rPr>
          <w:sz w:val="20"/>
          <w:szCs w:val="20"/>
          <w:color w:val="auto"/>
        </w:rPr>
      </w:pPr>
      <w:r>
        <w:rPr>
          <w:rFonts w:ascii="Arial" w:cs="Arial" w:eastAsia="Arial" w:hAnsi="Arial"/>
          <w:sz w:val="14"/>
          <w:szCs w:val="14"/>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16.5%, in the event the Company sells or licenses any proprietary products developed under the respective agreements.</w:t>
      </w:r>
    </w:p>
    <w:p>
      <w:pPr>
        <w:spacing w:after="0" w:line="166" w:lineRule="exact"/>
        <w:rPr>
          <w:sz w:val="20"/>
          <w:szCs w:val="20"/>
          <w:color w:val="auto"/>
        </w:rPr>
      </w:pPr>
    </w:p>
    <w:p>
      <w:pPr>
        <w:jc w:val="both"/>
        <w:ind w:right="20" w:firstLine="255"/>
        <w:spacing w:after="0" w:line="235" w:lineRule="auto"/>
        <w:rPr>
          <w:sz w:val="20"/>
          <w:szCs w:val="20"/>
          <w:color w:val="auto"/>
        </w:rPr>
      </w:pPr>
      <w:r>
        <w:rPr>
          <w:rFonts w:ascii="Arial" w:cs="Arial" w:eastAsia="Arial" w:hAnsi="Arial"/>
          <w:sz w:val="16"/>
          <w:szCs w:val="16"/>
          <w:color w:val="auto"/>
        </w:rPr>
        <w:t>In December 2011, the Company and Genentech, Inc., a member of the Roche Group, entered into a Non-Exclusive License and Partial Settlement Agreement (the “Genentech Agreement”) relating to ophthalmic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United States. Pursuant to the Genentech Agreement, the Company received a non-exclusive license to certain patents relating to VEGF receptor proteins, known as the Davis-Smyth patents, and other technology patents. The Davis-Smyth patents are the subject of patent litigation between the Company and Genentech now pending in the United States District Court, Southern District of New York. Patent litigation is continuing with respect to matters not covered by the Genentech Agreement (see Note 18).</w:t>
      </w:r>
    </w:p>
    <w:p>
      <w:pPr>
        <w:spacing w:after="0" w:line="191" w:lineRule="exact"/>
        <w:rPr>
          <w:sz w:val="20"/>
          <w:szCs w:val="20"/>
          <w:color w:val="auto"/>
        </w:rPr>
      </w:pPr>
    </w:p>
    <w:p>
      <w:pPr>
        <w:jc w:val="both"/>
        <w:ind w:right="20" w:firstLine="315"/>
        <w:spacing w:after="0" w:line="212" w:lineRule="auto"/>
        <w:rPr>
          <w:sz w:val="20"/>
          <w:szCs w:val="20"/>
          <w:color w:val="auto"/>
        </w:rPr>
      </w:pPr>
      <w:r>
        <w:rPr>
          <w:rFonts w:ascii="Arial" w:cs="Arial" w:eastAsia="Arial" w:hAnsi="Arial"/>
          <w:sz w:val="14"/>
          <w:szCs w:val="14"/>
          <w:color w:val="auto"/>
        </w:rPr>
        <w:t>Under the terms of the Genentech Agreement, the Company agreed to make payments to Genentech based on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commencing upon FDA approval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November 2011 through May 7, 2016. The Company will be required to make a one-time, non-refundable $60 million payment upon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reaching $400 million. In addition, the Company agreed to pay royalties of 4.75% on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between $400 million and $3 billion and 5.5% on</w:t>
      </w:r>
    </w:p>
    <w:p>
      <w:pPr>
        <w:spacing w:after="0" w:line="1" w:lineRule="exact"/>
        <w:rPr>
          <w:sz w:val="20"/>
          <w:szCs w:val="20"/>
          <w:color w:val="auto"/>
        </w:rPr>
      </w:pPr>
    </w:p>
    <w:p>
      <w:pPr>
        <w:jc w:val="both"/>
        <w:ind w:right="20"/>
        <w:spacing w:after="0" w:line="231" w:lineRule="auto"/>
        <w:rPr>
          <w:sz w:val="20"/>
          <w:szCs w:val="20"/>
          <w:color w:val="auto"/>
        </w:rPr>
      </w:pPr>
      <w:r>
        <w:rPr>
          <w:rFonts w:ascii="Arial" w:cs="Arial" w:eastAsia="Arial" w:hAnsi="Arial"/>
          <w:sz w:val="16"/>
          <w:szCs w:val="16"/>
          <w:color w:val="auto"/>
        </w:rPr>
        <w:t>any cumulative U.S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over $3 billion. As the Company records net product sales of EYLEA</w:t>
      </w:r>
      <w:r>
        <w:rPr>
          <w:rFonts w:ascii="Arial" w:cs="Arial" w:eastAsia="Arial" w:hAnsi="Arial"/>
          <w:sz w:val="26"/>
          <w:szCs w:val="26"/>
          <w:color w:val="auto"/>
          <w:vertAlign w:val="superscript"/>
        </w:rPr>
        <w:t>®</w:t>
      </w:r>
      <w:r>
        <w:rPr>
          <w:rFonts w:ascii="Arial" w:cs="Arial" w:eastAsia="Arial" w:hAnsi="Arial"/>
          <w:sz w:val="16"/>
          <w:szCs w:val="16"/>
          <w:color w:val="auto"/>
        </w:rPr>
        <w:t>, the Company is recognizing expense in connection with the Genentech Agreement using a blended mid-single digit royalty rate that reflects both the $60 million payment and the royalties payable on cumulative sales and that is based upon the Company’s estimate of cumulative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sales through May 7, 2016.</w:t>
      </w:r>
    </w:p>
    <w:p>
      <w:pPr>
        <w:spacing w:after="0" w:line="87" w:lineRule="exact"/>
        <w:rPr>
          <w:sz w:val="20"/>
          <w:szCs w:val="20"/>
          <w:color w:val="auto"/>
        </w:rPr>
      </w:pPr>
    </w:p>
    <w:p>
      <w:pPr>
        <w:jc w:val="both"/>
        <w:ind w:right="20" w:firstLine="364"/>
        <w:spacing w:after="0" w:line="190" w:lineRule="auto"/>
        <w:rPr>
          <w:sz w:val="20"/>
          <w:szCs w:val="20"/>
          <w:color w:val="auto"/>
        </w:rPr>
      </w:pPr>
      <w:r>
        <w:rPr>
          <w:rFonts w:ascii="Arial" w:cs="Arial" w:eastAsia="Arial" w:hAnsi="Arial"/>
          <w:sz w:val="16"/>
          <w:szCs w:val="16"/>
          <w:color w:val="auto"/>
        </w:rPr>
        <w:t>The Company recognizes royalty expense based on net product sales of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under various licensing agreements, including, for EYLEA</w:t>
      </w:r>
      <w:r>
        <w:rPr>
          <w:rFonts w:ascii="Arial" w:cs="Arial" w:eastAsia="Arial" w:hAnsi="Arial"/>
          <w:sz w:val="26"/>
          <w:szCs w:val="26"/>
          <w:color w:val="auto"/>
          <w:vertAlign w:val="superscript"/>
        </w:rPr>
        <w:t>®</w:t>
      </w:r>
      <w:r>
        <w:rPr>
          <w:rFonts w:ascii="Arial" w:cs="Arial" w:eastAsia="Arial" w:hAnsi="Arial"/>
          <w:sz w:val="16"/>
          <w:szCs w:val="16"/>
          <w:color w:val="auto"/>
        </w:rPr>
        <w:t>, the Genentech Agreement described above. For the years ended December 31, 2011, 2010, and 2009, royalties on net product sales totaled $3.2 million, $1.7 million, and $1.5 million, respectively, and are included in cost of goods sold.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4"/>
          <w:szCs w:val="14"/>
          <w:color w:val="auto"/>
        </w:rPr>
        <w:t>In July 2008, the Company and Cellectis S.A. (“Cellectis”) entered into an Amended and Restated Non-Exclusive License Agreement (the “Cellectis Agreement”). The Cellectis Agreement resolved a dispute between the parties related to the interpretation of a license agreement entered into by the parties in December 2003 pursuant to which the Company licensed certain patents and patent applications from Cellectis. Pursuant to the Cellectis Agreement, in July 2008, the Company made a non-refundable $12.5 million payment to Cellectis (the “Cellectis Payment”) and agreed to pay Cellectis a low single-digit royalty based on revenue received by the Company from any future licenses or sales of the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 xml:space="preserve">Company’s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No royalties are payable to Cellectis with respect to the Company’s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license agreements with AstraZeneca and Astellas or the Company’s antibody collaboration with Sanofi. Moreover, no royalties are payable to Cellectis on any revenue from commercial sales of antibodies from the Company’s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w:t>
      </w:r>
    </w:p>
    <w:p>
      <w:pPr>
        <w:spacing w:after="0" w:line="105" w:lineRule="exact"/>
        <w:rPr>
          <w:sz w:val="20"/>
          <w:szCs w:val="20"/>
          <w:color w:val="auto"/>
        </w:rPr>
      </w:pPr>
    </w:p>
    <w:p>
      <w:pPr>
        <w:jc w:val="both"/>
        <w:ind w:right="20" w:firstLine="352"/>
        <w:spacing w:after="0" w:line="257" w:lineRule="auto"/>
        <w:rPr>
          <w:sz w:val="20"/>
          <w:szCs w:val="20"/>
          <w:color w:val="auto"/>
        </w:rPr>
      </w:pPr>
      <w:r>
        <w:rPr>
          <w:rFonts w:ascii="Arial" w:cs="Arial" w:eastAsia="Arial" w:hAnsi="Arial"/>
          <w:sz w:val="16"/>
          <w:szCs w:val="16"/>
          <w:color w:val="auto"/>
        </w:rPr>
        <w:t>The Company began amortizing the Cellectis Payment in the second quarter of 2008 in proportion to past and future anticipated revenues under the Company’s license agreements with AstraZeneca and Astellas and the Discovery and Preclinical Development Agreement under the Company’s antibody collaboration with Sanofi (as amended in November 2009). In 2011, 2010, and 2009, the Company recognized $1.0 million, $0.9 million, and $2.3 million, respectively, of expense in connection with the Cellectis Payment. At December 31, 2011 and 2010, the unamortized balance of the Cellectis Payment, which was included in other assets, was $5.7 million and $6.6 million, respectively. The Company estimates that it will recognize expense of $1.0 million in each of 2012 and 2013, and $0.9 million in each of 2014, 2015, and 2016, in connection with the Cellectis Payment.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Stockholders’ Equity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September 2003, Sanofi purchased 2,799,552 newly issued, unregistered shares of the Company’s Common Stock for $45.0 million. See Note 3.</w:t>
      </w:r>
    </w:p>
    <w:p>
      <w:pPr>
        <w:spacing w:after="0" w:line="229" w:lineRule="exact"/>
        <w:rPr>
          <w:sz w:val="20"/>
          <w:szCs w:val="20"/>
          <w:color w:val="auto"/>
        </w:rPr>
      </w:pPr>
    </w:p>
    <w:p>
      <w:pPr>
        <w:jc w:val="both"/>
        <w:ind w:firstLine="328"/>
        <w:spacing w:after="0" w:line="291" w:lineRule="auto"/>
        <w:rPr>
          <w:sz w:val="20"/>
          <w:szCs w:val="20"/>
          <w:color w:val="auto"/>
        </w:rPr>
      </w:pPr>
      <w:r>
        <w:rPr>
          <w:rFonts w:ascii="Arial" w:cs="Arial" w:eastAsia="Arial" w:hAnsi="Arial"/>
          <w:sz w:val="14"/>
          <w:szCs w:val="14"/>
          <w:color w:val="auto"/>
        </w:rPr>
        <w:t>In December 2007, Sanofi purchased 12 million newly issued, unregistered shares of the Company’s Common Stock for an aggregate cash price of $312.0 million. As a condition to the closing of this transaction, Sanofi entered into an investor agreement with the Company, which was amended in November 2009. Under the amended investor agreement, Sanofi has three demand rights to require the Company to use all reasonable efforts to conduct a registered underwritten public offering with respect to shares of the Company’s Common Stock beneficially owned by Sanofi immediately after the closing of the transaction. Until the later of the fifth anniversaries of the expiration or earlier termination of the License and Collaboration Agreement, as amended in 2009, under the Company’s antibody collaboration with Sanofi (see Note 3) and the Company’s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collaboration agreement with Sanofi for the development and commercialization of 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(see Note 3), Sanofi will be bound by certain “standstill” provisions. These provisions include an agreement not to acquire more than a specified percentage of the outstanding shares of the Company’s Class A Stock and Common Stock. The percentage increased from 25% to 30% as of December 20, 2011. Under the amended investor agreement, Sanofi has also agreed not to dispose of any shares of the Company’s Common Stock that were beneficially owned by Sanofi immediately after the closing of the transaction until December 20, 2017, subject to certain limited exceptions. Following December 20, 2017, Sanofi will be permitted to sell shares of the Company’s Common Stock (i) in a registered underwritten public offering undertaken pursuant to the demand registration rights granted to Sanofi and described above, subject to the underwriter's broad distribution of securities sold, (ii) pursuant to Rule 144 under the Securities Act and transactions exempt from registration under the Securities Act, subject to a volume limitation of one million shares of the Company’s Common Stock every three months and a prohibition on selling to beneficial owners, or persons that would become beneficial owners as a result of such sale, of 5% or more of the outstanding shares of the Company’s Common Stock, and (iii) into an issuer tender offer, or a tender offer by a third party that is recommended or not opposed by the Company’s board of directors. Sanofi has agreed to vote, and cause its affiliates to vote, all shares of the Company’s voting securities they are entitled to vote, at Sanofi's election, either as recommended by the Company’s board of directors or proportionally with the votes cast by the Company’s other shareholders, except with respect to certain change of control transactions, liquidation or dissolution, stock issuances equal to or exceeding 10% of the then outstanding shares or voting rights of the Company’s Class A Stock and Common Stock,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20" w:firstLine="243"/>
        <w:spacing w:after="0" w:line="274" w:lineRule="auto"/>
        <w:rPr>
          <w:sz w:val="20"/>
          <w:szCs w:val="20"/>
          <w:color w:val="auto"/>
        </w:rPr>
      </w:pPr>
      <w:r>
        <w:rPr>
          <w:rFonts w:ascii="Arial" w:cs="Arial" w:eastAsia="Arial" w:hAnsi="Arial"/>
          <w:sz w:val="16"/>
          <w:szCs w:val="16"/>
          <w:color w:val="auto"/>
        </w:rPr>
        <w:t>In October 2010, the Company completed an underwritten public offering of 6,325,000 shares of Common Stock and received net proceeds of $174.8 million. Sanofi purchased 1,017,401 shares of Common Stock in this offering.</w:t>
      </w:r>
    </w:p>
    <w:p>
      <w:pPr>
        <w:spacing w:after="0" w:line="187" w:lineRule="exact"/>
        <w:rPr>
          <w:sz w:val="20"/>
          <w:szCs w:val="20"/>
          <w:color w:val="auto"/>
        </w:rPr>
      </w:pPr>
    </w:p>
    <w:p>
      <w:pPr>
        <w:jc w:val="both"/>
        <w:ind w:right="20" w:firstLine="315"/>
        <w:spacing w:after="0" w:line="256" w:lineRule="auto"/>
        <w:rPr>
          <w:sz w:val="20"/>
          <w:szCs w:val="20"/>
          <w:color w:val="auto"/>
        </w:rPr>
      </w:pPr>
      <w:r>
        <w:rPr>
          <w:rFonts w:ascii="Arial" w:cs="Arial" w:eastAsia="Arial" w:hAnsi="Arial"/>
          <w:sz w:val="16"/>
          <w:szCs w:val="16"/>
          <w:color w:val="auto"/>
        </w:rPr>
        <w:t>In October 2011, the Company completed a private placement of $400.0 million aggregate principal amount of Notes, which are convertible into shares of the Company’s Common Stock. In accordance with accounting guidance for debt with conversion and other options, the Company accounted for the liability and equity components of the Notes separately. The equity component of the Notes was $120.6 million, net of issuance costs. In connection with the offering of the Notes, the Company entered into convertible note hedge and warrant transactions. The Company paid $117.5 million for the convertible note hedge, which was recorded as a reduction to additional paid-in capital. The warrant transactions have an initial strike price of approximately $103.41 per share, and may be settled in cash or shares of the Company’s Common Stock, at the Company’s option. Proceeds received from the warrant transactions totaled $93.8 million and were recorded as additional paid-in capital. The warrants expire at various dates during 2017. See Note 11.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Long-Term Incentive Plans</w:t>
      </w:r>
    </w:p>
    <w:p>
      <w:pPr>
        <w:spacing w:after="0" w:line="233" w:lineRule="exact"/>
        <w:rPr>
          <w:sz w:val="20"/>
          <w:szCs w:val="20"/>
          <w:color w:val="auto"/>
        </w:rPr>
      </w:pPr>
    </w:p>
    <w:p>
      <w:pPr>
        <w:jc w:val="both"/>
        <w:ind w:firstLine="328"/>
        <w:spacing w:after="0" w:line="258"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which, as amended and restated (the “2000 Incentive Plan”), provides for the issuance of up to 41,307,016 shares of Common Stock in respect of awards.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201" w:lineRule="exact"/>
        <w:rPr>
          <w:sz w:val="20"/>
          <w:szCs w:val="20"/>
          <w:color w:val="auto"/>
        </w:rPr>
      </w:pPr>
    </w:p>
    <w:p>
      <w:pPr>
        <w:jc w:val="both"/>
        <w:ind w:right="20" w:firstLine="315"/>
        <w:spacing w:after="0" w:line="283" w:lineRule="auto"/>
        <w:rPr>
          <w:sz w:val="20"/>
          <w:szCs w:val="20"/>
          <w:color w:val="auto"/>
        </w:rPr>
      </w:pPr>
      <w:r>
        <w:rPr>
          <w:rFonts w:ascii="Arial" w:cs="Arial" w:eastAsia="Arial" w:hAnsi="Arial"/>
          <w:sz w:val="15"/>
          <w:szCs w:val="15"/>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182"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6"/>
          <w:szCs w:val="16"/>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201" w:lineRule="exact"/>
        <w:rPr>
          <w:sz w:val="20"/>
          <w:szCs w:val="20"/>
          <w:color w:val="auto"/>
        </w:rPr>
      </w:pPr>
    </w:p>
    <w:p>
      <w:pPr>
        <w:jc w:val="both"/>
        <w:ind w:firstLine="303"/>
        <w:spacing w:after="0" w:line="283" w:lineRule="auto"/>
        <w:rPr>
          <w:sz w:val="20"/>
          <w:szCs w:val="20"/>
          <w:color w:val="auto"/>
        </w:rPr>
      </w:pPr>
      <w:r>
        <w:rPr>
          <w:rFonts w:ascii="Arial" w:cs="Arial" w:eastAsia="Arial" w:hAnsi="Arial"/>
          <w:sz w:val="15"/>
          <w:szCs w:val="15"/>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40" w:firstLine="340"/>
        <w:spacing w:after="0" w:line="274" w:lineRule="auto"/>
        <w:rPr>
          <w:sz w:val="20"/>
          <w:szCs w:val="20"/>
          <w:color w:val="auto"/>
        </w:rPr>
      </w:pPr>
      <w:r>
        <w:rPr>
          <w:rFonts w:ascii="Arial" w:cs="Arial" w:eastAsia="Arial" w:hAnsi="Arial"/>
          <w:sz w:val="16"/>
          <w:szCs w:val="16"/>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187" w:lineRule="exact"/>
        <w:rPr>
          <w:sz w:val="20"/>
          <w:szCs w:val="20"/>
          <w:color w:val="auto"/>
        </w:rPr>
      </w:pPr>
    </w:p>
    <w:p>
      <w:pPr>
        <w:jc w:val="both"/>
        <w:ind w:right="40" w:firstLine="255"/>
        <w:spacing w:after="0" w:line="274" w:lineRule="auto"/>
        <w:rPr>
          <w:sz w:val="20"/>
          <w:szCs w:val="20"/>
          <w:color w:val="auto"/>
        </w:rPr>
      </w:pPr>
      <w:r>
        <w:rPr>
          <w:rFonts w:ascii="Arial" w:cs="Arial" w:eastAsia="Arial" w:hAnsi="Arial"/>
          <w:sz w:val="16"/>
          <w:szCs w:val="16"/>
          <w:color w:val="auto"/>
        </w:rPr>
        <w:t>The 2000 Incentive Plan contains provisions that allow for the Committee to provide for the immediate vesting of awards upon a change in control of the Company, as defined in the plan.</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2011, there were 10,244,318 shares available for future grants under the 2000 Incentive Plan.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Stock Options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Transactions involving stock option awards during 2011 under the 2000 Incentive Plan is summarized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0"/>
              </w:rPr>
              <w:t>Weighted-</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b w:val="1"/>
                <w:bCs w:val="1"/>
                <w:color w:val="auto"/>
                <w:w w:val="99"/>
              </w:rPr>
              <w:t>Intrinsic</w:t>
            </w:r>
          </w:p>
        </w:tc>
      </w:tr>
      <w:tr>
        <w:trPr>
          <w:trHeight w:val="218"/>
        </w:trPr>
        <w:tc>
          <w:tcPr>
            <w:tcW w:w="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Average</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Term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21"/>
              <w:spacing w:after="0"/>
              <w:rPr>
                <w:sz w:val="20"/>
                <w:szCs w:val="20"/>
                <w:color w:val="auto"/>
              </w:rPr>
            </w:pPr>
            <w:r>
              <w:rPr>
                <w:rFonts w:ascii="Arial" w:cs="Arial" w:eastAsia="Arial" w:hAnsi="Arial"/>
                <w:sz w:val="16"/>
                <w:szCs w:val="16"/>
                <w:b w:val="1"/>
                <w:bCs w:val="1"/>
                <w:color w:val="auto"/>
              </w:rPr>
              <w:t>Value</w:t>
            </w:r>
          </w:p>
        </w:tc>
      </w:tr>
      <w:tr>
        <w:trPr>
          <w:trHeight w:val="185"/>
        </w:trPr>
        <w:tc>
          <w:tcPr>
            <w:tcW w:w="7140" w:type="dxa"/>
            <w:vAlign w:val="bottom"/>
            <w:gridSpan w:val="2"/>
          </w:tcPr>
          <w:p>
            <w:pPr>
              <w:spacing w:after="0"/>
              <w:rPr>
                <w:sz w:val="20"/>
                <w:szCs w:val="20"/>
                <w:color w:val="auto"/>
              </w:rPr>
            </w:pPr>
            <w:r>
              <w:rPr>
                <w:rFonts w:ascii="Arial" w:cs="Arial" w:eastAsia="Arial" w:hAnsi="Arial"/>
                <w:sz w:val="16"/>
                <w:szCs w:val="16"/>
                <w:color w:val="auto"/>
              </w:rPr>
              <w:t>Stock Options:</w:t>
            </w:r>
          </w:p>
        </w:tc>
        <w:tc>
          <w:tcPr>
            <w:tcW w:w="820" w:type="dxa"/>
            <w:vAlign w:val="bottom"/>
          </w:tcPr>
          <w:p>
            <w:pPr>
              <w:jc w:val="right"/>
              <w:ind w:right="101"/>
              <w:spacing w:after="0"/>
              <w:rPr>
                <w:sz w:val="20"/>
                <w:szCs w:val="20"/>
                <w:color w:val="auto"/>
              </w:rPr>
            </w:pPr>
            <w:r>
              <w:rPr>
                <w:rFonts w:ascii="Arial" w:cs="Arial" w:eastAsia="Arial" w:hAnsi="Arial"/>
                <w:sz w:val="16"/>
                <w:szCs w:val="16"/>
                <w:b w:val="1"/>
                <w:bCs w:val="1"/>
                <w:color w:val="auto"/>
              </w:rPr>
              <w:t>Shares</w:t>
            </w:r>
          </w:p>
        </w:tc>
        <w:tc>
          <w:tcPr>
            <w:tcW w:w="1440" w:type="dxa"/>
            <w:vAlign w:val="bottom"/>
            <w:gridSpan w:val="4"/>
          </w:tcPr>
          <w:p>
            <w:pPr>
              <w:ind w:left="240"/>
              <w:spacing w:after="0"/>
              <w:rPr>
                <w:sz w:val="20"/>
                <w:szCs w:val="20"/>
                <w:color w:val="auto"/>
              </w:rPr>
            </w:pPr>
            <w:r>
              <w:rPr>
                <w:rFonts w:ascii="Arial" w:cs="Arial" w:eastAsia="Arial" w:hAnsi="Arial"/>
                <w:sz w:val="16"/>
                <w:szCs w:val="16"/>
                <w:b w:val="1"/>
                <w:bCs w:val="1"/>
                <w:color w:val="auto"/>
              </w:rPr>
              <w:t>Exercise Price</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w w:val="87"/>
              </w:rPr>
              <w:t>(in thousands)</w:t>
            </w:r>
          </w:p>
        </w:tc>
      </w:tr>
      <w:tr>
        <w:trPr>
          <w:trHeight w:val="29"/>
        </w:trPr>
        <w:tc>
          <w:tcPr>
            <w:tcW w:w="940" w:type="dxa"/>
            <w:vAlign w:val="bottom"/>
            <w:tcBorders>
              <w:top w:val="single" w:sz="8" w:color="auto"/>
              <w:bottom w:val="single" w:sz="8" w:color="C0C0C0"/>
            </w:tcBorders>
          </w:tcPr>
          <w:p>
            <w:pPr>
              <w:spacing w:after="0"/>
              <w:rPr>
                <w:sz w:val="2"/>
                <w:szCs w:val="2"/>
                <w:color w:val="auto"/>
              </w:rPr>
            </w:pPr>
          </w:p>
        </w:tc>
        <w:tc>
          <w:tcPr>
            <w:tcW w:w="6200" w:type="dxa"/>
            <w:vAlign w:val="bottom"/>
            <w:tcBorders>
              <w:bottom w:val="single" w:sz="8" w:color="C0C0C0"/>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1"/>
        </w:trPr>
        <w:tc>
          <w:tcPr>
            <w:tcW w:w="714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Outstanding at December 31, 2010</w:t>
            </w:r>
          </w:p>
        </w:tc>
        <w:tc>
          <w:tcPr>
            <w:tcW w:w="82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7"/>
              </w:rPr>
              <w:t>23,362,248</w:t>
            </w:r>
          </w:p>
        </w:tc>
        <w:tc>
          <w:tcPr>
            <w:tcW w:w="3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0C0C0"/>
          </w:tcPr>
          <w:p>
            <w:pPr>
              <w:jc w:val="right"/>
              <w:ind w:right="260"/>
              <w:spacing w:after="0"/>
              <w:rPr>
                <w:sz w:val="20"/>
                <w:szCs w:val="20"/>
                <w:color w:val="auto"/>
              </w:rPr>
            </w:pPr>
            <w:r>
              <w:rPr>
                <w:rFonts w:ascii="Arial" w:cs="Arial" w:eastAsia="Arial" w:hAnsi="Arial"/>
                <w:sz w:val="16"/>
                <w:szCs w:val="16"/>
                <w:color w:val="auto"/>
              </w:rPr>
              <w:t>19.93</w:t>
            </w:r>
          </w:p>
        </w:tc>
        <w:tc>
          <w:tcPr>
            <w:tcW w:w="8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r>
      <w:tr>
        <w:trPr>
          <w:trHeight w:val="212"/>
        </w:trPr>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2011:   </w:t>
            </w:r>
            <w:r>
              <w:rPr>
                <w:rFonts w:ascii="Arial" w:cs="Arial" w:eastAsia="Arial" w:hAnsi="Arial"/>
                <w:sz w:val="16"/>
                <w:szCs w:val="16"/>
                <w:color w:val="auto"/>
              </w:rPr>
              <w:t>Granted</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w w:val="98"/>
              </w:rPr>
              <w:t>4,286,640</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51.96</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7140" w:type="dxa"/>
            <w:vAlign w:val="bottom"/>
            <w:gridSpan w:val="2"/>
            <w:shd w:val="clear" w:color="auto" w:fill="C0C0C0"/>
          </w:tcPr>
          <w:p>
            <w:pPr>
              <w:ind w:left="560"/>
              <w:spacing w:after="0"/>
              <w:rPr>
                <w:sz w:val="20"/>
                <w:szCs w:val="20"/>
                <w:color w:val="auto"/>
              </w:rPr>
            </w:pPr>
            <w:r>
              <w:rPr>
                <w:rFonts w:ascii="Arial" w:cs="Arial" w:eastAsia="Arial" w:hAnsi="Arial"/>
                <w:sz w:val="16"/>
                <w:szCs w:val="16"/>
                <w:color w:val="auto"/>
              </w:rPr>
              <w:t>Forfeited</w:t>
            </w:r>
          </w:p>
        </w:tc>
        <w:tc>
          <w:tcPr>
            <w:tcW w:w="8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(247,898)</w:t>
            </w:r>
          </w:p>
        </w:tc>
        <w:tc>
          <w:tcPr>
            <w:tcW w:w="3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0C0C0"/>
          </w:tcPr>
          <w:p>
            <w:pPr>
              <w:jc w:val="right"/>
              <w:ind w:right="260"/>
              <w:spacing w:after="0"/>
              <w:rPr>
                <w:sz w:val="20"/>
                <w:szCs w:val="20"/>
                <w:color w:val="auto"/>
              </w:rPr>
            </w:pPr>
            <w:r>
              <w:rPr>
                <w:rFonts w:ascii="Arial" w:cs="Arial" w:eastAsia="Arial" w:hAnsi="Arial"/>
                <w:sz w:val="16"/>
                <w:szCs w:val="16"/>
                <w:color w:val="auto"/>
              </w:rPr>
              <w:t>28.11</w:t>
            </w:r>
          </w:p>
        </w:tc>
        <w:tc>
          <w:tcPr>
            <w:tcW w:w="8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r>
      <w:tr>
        <w:trPr>
          <w:trHeight w:val="211"/>
        </w:trPr>
        <w:tc>
          <w:tcPr>
            <w:tcW w:w="7140" w:type="dxa"/>
            <w:vAlign w:val="bottom"/>
            <w:gridSpan w:val="2"/>
          </w:tcPr>
          <w:p>
            <w:pPr>
              <w:ind w:left="560"/>
              <w:spacing w:after="0"/>
              <w:rPr>
                <w:sz w:val="20"/>
                <w:szCs w:val="20"/>
                <w:color w:val="auto"/>
              </w:rPr>
            </w:pPr>
            <w:r>
              <w:rPr>
                <w:rFonts w:ascii="Arial" w:cs="Arial" w:eastAsia="Arial" w:hAnsi="Arial"/>
                <w:sz w:val="16"/>
                <w:szCs w:val="16"/>
                <w:color w:val="auto"/>
              </w:rPr>
              <w:t>Expired</w:t>
            </w:r>
          </w:p>
        </w:tc>
        <w:tc>
          <w:tcPr>
            <w:tcW w:w="820" w:type="dxa"/>
            <w:vAlign w:val="bottom"/>
          </w:tcPr>
          <w:p>
            <w:pPr>
              <w:jc w:val="right"/>
              <w:spacing w:after="0"/>
              <w:rPr>
                <w:sz w:val="20"/>
                <w:szCs w:val="20"/>
                <w:color w:val="auto"/>
              </w:rPr>
            </w:pPr>
            <w:r>
              <w:rPr>
                <w:rFonts w:ascii="Arial" w:cs="Arial" w:eastAsia="Arial" w:hAnsi="Arial"/>
                <w:sz w:val="16"/>
                <w:szCs w:val="16"/>
                <w:color w:val="auto"/>
              </w:rPr>
              <w:t>(551,456)</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13.31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7140" w:type="dxa"/>
            <w:vAlign w:val="bottom"/>
            <w:gridSpan w:val="2"/>
            <w:shd w:val="clear" w:color="auto" w:fill="C0C0C0"/>
          </w:tcPr>
          <w:p>
            <w:pPr>
              <w:ind w:left="560"/>
              <w:spacing w:after="0"/>
              <w:rPr>
                <w:sz w:val="20"/>
                <w:szCs w:val="20"/>
                <w:color w:val="auto"/>
              </w:rPr>
            </w:pPr>
            <w:r>
              <w:rPr>
                <w:rFonts w:ascii="Arial" w:cs="Arial" w:eastAsia="Arial" w:hAnsi="Arial"/>
                <w:sz w:val="16"/>
                <w:szCs w:val="16"/>
                <w:color w:val="auto"/>
              </w:rPr>
              <w:t>Exercised</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92"/>
              </w:rPr>
              <w:t>(4,523,173)</w:t>
            </w:r>
          </w:p>
        </w:tc>
        <w:tc>
          <w:tcPr>
            <w:tcW w:w="3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0C0C0"/>
          </w:tcPr>
          <w:p>
            <w:pPr>
              <w:jc w:val="right"/>
              <w:ind w:right="260"/>
              <w:spacing w:after="0"/>
              <w:rPr>
                <w:sz w:val="20"/>
                <w:szCs w:val="20"/>
                <w:color w:val="auto"/>
              </w:rPr>
            </w:pPr>
            <w:r>
              <w:rPr>
                <w:rFonts w:ascii="Arial" w:cs="Arial" w:eastAsia="Arial" w:hAnsi="Arial"/>
                <w:sz w:val="16"/>
                <w:szCs w:val="16"/>
                <w:color w:val="auto"/>
              </w:rPr>
              <w:t>18.73</w:t>
            </w:r>
          </w:p>
        </w:tc>
        <w:tc>
          <w:tcPr>
            <w:tcW w:w="8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r>
      <w:tr>
        <w:trPr>
          <w:trHeight w:val="222"/>
        </w:trPr>
        <w:tc>
          <w:tcPr>
            <w:tcW w:w="7140" w:type="dxa"/>
            <w:vAlign w:val="bottom"/>
            <w:gridSpan w:val="2"/>
          </w:tcPr>
          <w:p>
            <w:pPr>
              <w:ind w:left="560"/>
              <w:spacing w:after="0"/>
              <w:rPr>
                <w:sz w:val="20"/>
                <w:szCs w:val="20"/>
                <w:color w:val="auto"/>
              </w:rPr>
            </w:pPr>
            <w:r>
              <w:rPr>
                <w:rFonts w:ascii="Arial" w:cs="Arial" w:eastAsia="Arial" w:hAnsi="Arial"/>
                <w:sz w:val="16"/>
                <w:szCs w:val="16"/>
                <w:color w:val="auto"/>
              </w:rPr>
              <w:t>Outstanding at December 31, 2011</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7"/>
              </w:rPr>
              <w:t>22,326,361</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26.40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6.90</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663,376</w:t>
            </w:r>
          </w:p>
        </w:tc>
      </w:tr>
      <w:tr>
        <w:trPr>
          <w:trHeight w:val="206"/>
        </w:trPr>
        <w:tc>
          <w:tcPr>
            <w:tcW w:w="9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714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Vested and expected to vest at December 31, 2011</w:t>
            </w:r>
          </w:p>
        </w:tc>
        <w:tc>
          <w:tcPr>
            <w:tcW w:w="82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7"/>
              </w:rPr>
              <w:t>21,755,141</w:t>
            </w:r>
          </w:p>
        </w:tc>
        <w:tc>
          <w:tcPr>
            <w:tcW w:w="3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0C0C0"/>
          </w:tcPr>
          <w:p>
            <w:pPr>
              <w:jc w:val="right"/>
              <w:ind w:right="260"/>
              <w:spacing w:after="0"/>
              <w:rPr>
                <w:sz w:val="20"/>
                <w:szCs w:val="20"/>
                <w:color w:val="auto"/>
              </w:rPr>
            </w:pPr>
            <w:r>
              <w:rPr>
                <w:rFonts w:ascii="Arial" w:cs="Arial" w:eastAsia="Arial" w:hAnsi="Arial"/>
                <w:sz w:val="16"/>
                <w:szCs w:val="16"/>
                <w:color w:val="auto"/>
              </w:rPr>
              <w:t>26.04</w:t>
            </w:r>
          </w:p>
        </w:tc>
        <w:tc>
          <w:tcPr>
            <w:tcW w:w="94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6.84</w:t>
            </w:r>
          </w:p>
        </w:tc>
        <w:tc>
          <w:tcPr>
            <w:tcW w:w="26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653,990</w:t>
            </w:r>
          </w:p>
        </w:tc>
      </w:tr>
      <w:tr>
        <w:trPr>
          <w:trHeight w:val="218"/>
        </w:trPr>
        <w:tc>
          <w:tcPr>
            <w:tcW w:w="9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8"/>
        </w:trPr>
        <w:tc>
          <w:tcPr>
            <w:tcW w:w="714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Exercisable at December 31, 2011</w:t>
            </w:r>
          </w:p>
        </w:tc>
        <w:tc>
          <w:tcPr>
            <w:tcW w:w="82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w w:val="87"/>
              </w:rPr>
              <w:t>11,963,345</w:t>
            </w:r>
          </w:p>
        </w:tc>
        <w:tc>
          <w:tcPr>
            <w:tcW w:w="34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0C0C0"/>
          </w:tcPr>
          <w:p>
            <w:pPr>
              <w:jc w:val="right"/>
              <w:ind w:right="260"/>
              <w:spacing w:after="0"/>
              <w:rPr>
                <w:sz w:val="20"/>
                <w:szCs w:val="20"/>
                <w:color w:val="auto"/>
              </w:rPr>
            </w:pPr>
            <w:r>
              <w:rPr>
                <w:rFonts w:ascii="Arial" w:cs="Arial" w:eastAsia="Arial" w:hAnsi="Arial"/>
                <w:sz w:val="16"/>
                <w:szCs w:val="16"/>
                <w:color w:val="auto"/>
              </w:rPr>
              <w:t>18.27</w:t>
            </w:r>
          </w:p>
        </w:tc>
        <w:tc>
          <w:tcPr>
            <w:tcW w:w="940" w:type="dxa"/>
            <w:vAlign w:val="bottom"/>
            <w:gridSpan w:val="2"/>
            <w:shd w:val="clear" w:color="auto" w:fill="C0C0C0"/>
          </w:tcPr>
          <w:p>
            <w:pPr>
              <w:jc w:val="right"/>
              <w:ind w:right="120"/>
              <w:spacing w:after="0"/>
              <w:rPr>
                <w:sz w:val="20"/>
                <w:szCs w:val="20"/>
                <w:color w:val="auto"/>
              </w:rPr>
            </w:pPr>
            <w:r>
              <w:rPr>
                <w:rFonts w:ascii="Arial" w:cs="Arial" w:eastAsia="Arial" w:hAnsi="Arial"/>
                <w:sz w:val="16"/>
                <w:szCs w:val="16"/>
                <w:color w:val="auto"/>
              </w:rPr>
              <w:t>5.27</w:t>
            </w:r>
          </w:p>
        </w:tc>
        <w:tc>
          <w:tcPr>
            <w:tcW w:w="260" w:type="dxa"/>
            <w:vAlign w:val="bottom"/>
            <w:gridSpan w:val="2"/>
            <w:shd w:val="clear" w:color="auto" w:fill="C0C0C0"/>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451,478</w:t>
            </w:r>
          </w:p>
        </w:tc>
      </w:tr>
    </w:tbl>
    <w:p>
      <w:pPr>
        <w:spacing w:after="0" w:line="200" w:lineRule="exact"/>
        <w:rPr>
          <w:sz w:val="20"/>
          <w:szCs w:val="20"/>
          <w:color w:val="auto"/>
        </w:rPr>
      </w:pPr>
    </w:p>
    <w:p>
      <w:pPr>
        <w:spacing w:after="0" w:line="22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6"/>
          <w:szCs w:val="16"/>
          <w:color w:val="auto"/>
        </w:rPr>
        <w:t>The Company satisfies stock option exercises with newly issued shares of the Company’s Common Stock. The total intrinsic value of stock options exercised during 2011, 2010, and 2009 was $49.2 million, $21.4 million, and $13.2 million, respectively. The intrinsic value represents the amount by which the market price of the underlying stock exceeds the exercise price of an option.</w:t>
      </w:r>
    </w:p>
    <w:p>
      <w:pPr>
        <w:spacing w:after="0" w:line="194" w:lineRule="exact"/>
        <w:rPr>
          <w:sz w:val="20"/>
          <w:szCs w:val="20"/>
          <w:color w:val="auto"/>
        </w:rPr>
      </w:pPr>
    </w:p>
    <w:p>
      <w:pPr>
        <w:jc w:val="both"/>
        <w:ind w:right="40" w:firstLine="243"/>
        <w:spacing w:after="0" w:line="260" w:lineRule="auto"/>
        <w:rPr>
          <w:sz w:val="20"/>
          <w:szCs w:val="20"/>
          <w:color w:val="auto"/>
        </w:rPr>
      </w:pPr>
      <w:r>
        <w:rPr>
          <w:rFonts w:ascii="Arial" w:cs="Arial" w:eastAsia="Arial" w:hAnsi="Arial"/>
          <w:sz w:val="16"/>
          <w:szCs w:val="16"/>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2011, 2010, and 2009. The fair value of each option granted under the 2000 Incentive Plan during 2011, 2010, and 2009 was estimated on the date of grant using the Black-Scholes option-pricing model.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b w:val="1"/>
                <w:bCs w:val="1"/>
                <w:color w:val="auto"/>
                <w:w w:val="98"/>
              </w:rPr>
              <w:t>Weighted-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w w:val="87"/>
              </w:rPr>
              <w:t>Weighted-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420" w:type="dxa"/>
            <w:vAlign w:val="bottom"/>
            <w:gridSpan w:val="3"/>
          </w:tcPr>
          <w:p>
            <w:pPr>
              <w:ind w:left="240"/>
              <w:spacing w:after="0"/>
              <w:rPr>
                <w:sz w:val="20"/>
                <w:szCs w:val="20"/>
                <w:color w:val="auto"/>
              </w:rPr>
            </w:pPr>
            <w:r>
              <w:rPr>
                <w:rFonts w:ascii="Arial" w:cs="Arial" w:eastAsia="Arial" w:hAnsi="Arial"/>
                <w:sz w:val="16"/>
                <w:szCs w:val="16"/>
                <w:b w:val="1"/>
                <w:bCs w:val="1"/>
                <w:color w:val="auto"/>
                <w:w w:val="86"/>
              </w:rPr>
              <w:t>Average Exercise</w:t>
            </w:r>
          </w:p>
        </w:tc>
        <w:tc>
          <w:tcPr>
            <w:tcW w:w="1100" w:type="dxa"/>
            <w:vAlign w:val="bottom"/>
            <w:gridSpan w:val="3"/>
          </w:tcPr>
          <w:p>
            <w:pPr>
              <w:ind w:left="240"/>
              <w:spacing w:after="0"/>
              <w:rPr>
                <w:sz w:val="20"/>
                <w:szCs w:val="20"/>
                <w:color w:val="auto"/>
              </w:rPr>
            </w:pPr>
            <w:r>
              <w:rPr>
                <w:rFonts w:ascii="Arial" w:cs="Arial" w:eastAsia="Arial" w:hAnsi="Arial"/>
                <w:sz w:val="16"/>
                <w:szCs w:val="16"/>
                <w:b w:val="1"/>
                <w:bCs w:val="1"/>
                <w:color w:val="auto"/>
                <w:w w:val="86"/>
              </w:rPr>
              <w:t>Average Fair</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480" w:type="dxa"/>
            <w:vAlign w:val="bottom"/>
            <w:tcBorders>
              <w:bottom w:val="single" w:sz="8" w:color="C0C0C0"/>
            </w:tcBorders>
          </w:tcPr>
          <w:p>
            <w:pPr>
              <w:spacing w:after="0"/>
              <w:rPr>
                <w:sz w:val="19"/>
                <w:szCs w:val="19"/>
                <w:color w:val="auto"/>
              </w:rPr>
            </w:pPr>
          </w:p>
        </w:tc>
        <w:tc>
          <w:tcPr>
            <w:tcW w:w="1820" w:type="dxa"/>
            <w:vAlign w:val="bottom"/>
            <w:tcBorders>
              <w:bottom w:val="single" w:sz="8" w:color="C0C0C0"/>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Options Granted</w:t>
            </w:r>
          </w:p>
        </w:tc>
        <w:tc>
          <w:tcPr>
            <w:tcW w:w="240" w:type="dxa"/>
            <w:vAlign w:val="bottom"/>
            <w:tcBorders>
              <w:bottom w:val="single" w:sz="8" w:color="C0C0C0"/>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Price</w:t>
            </w:r>
          </w:p>
        </w:tc>
        <w:tc>
          <w:tcPr>
            <w:tcW w:w="24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Value</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2011:</w:t>
            </w:r>
          </w:p>
        </w:tc>
        <w:tc>
          <w:tcPr>
            <w:tcW w:w="1820" w:type="dxa"/>
            <w:vAlign w:val="bottom"/>
            <w:shd w:val="clear" w:color="auto" w:fill="C0C0C0"/>
          </w:tcPr>
          <w:p>
            <w:pPr>
              <w:spacing w:after="0"/>
              <w:rPr>
                <w:sz w:val="18"/>
                <w:szCs w:val="18"/>
                <w:color w:val="auto"/>
              </w:rPr>
            </w:pPr>
          </w:p>
        </w:tc>
        <w:tc>
          <w:tcPr>
            <w:tcW w:w="13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80" w:type="dxa"/>
            <w:vAlign w:val="bottom"/>
            <w:shd w:val="clear" w:color="auto" w:fill="C0C0C0"/>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480" w:type="dxa"/>
            <w:vAlign w:val="bottom"/>
          </w:tcPr>
          <w:p>
            <w:pPr>
              <w:ind w:left="260"/>
              <w:spacing w:after="0"/>
              <w:rPr>
                <w:sz w:val="20"/>
                <w:szCs w:val="20"/>
                <w:color w:val="auto"/>
              </w:rPr>
            </w:pPr>
            <w:r>
              <w:rPr>
                <w:rFonts w:ascii="Arial" w:cs="Arial" w:eastAsia="Arial" w:hAnsi="Arial"/>
                <w:sz w:val="16"/>
                <w:szCs w:val="16"/>
                <w:color w:val="auto"/>
              </w:rPr>
              <w:t>Exercise price equal to Market Price</w:t>
            </w:r>
          </w:p>
        </w:tc>
        <w:tc>
          <w:tcPr>
            <w:tcW w:w="3120" w:type="dxa"/>
            <w:vAlign w:val="bottom"/>
            <w:gridSpan w:val="2"/>
          </w:tcPr>
          <w:p>
            <w:pPr>
              <w:jc w:val="center"/>
              <w:ind w:left="1721"/>
              <w:spacing w:after="0"/>
              <w:rPr>
                <w:sz w:val="20"/>
                <w:szCs w:val="20"/>
                <w:color w:val="auto"/>
              </w:rPr>
            </w:pPr>
            <w:r>
              <w:rPr>
                <w:rFonts w:ascii="Arial" w:cs="Arial" w:eastAsia="Arial" w:hAnsi="Arial"/>
                <w:sz w:val="16"/>
                <w:szCs w:val="16"/>
                <w:color w:val="auto"/>
                <w:w w:val="89"/>
              </w:rPr>
              <w:t>4,286,640</w:t>
            </w:r>
          </w:p>
        </w:tc>
        <w:tc>
          <w:tcPr>
            <w:tcW w:w="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51.96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60" w:type="dxa"/>
            <w:vAlign w:val="bottom"/>
            <w:vMerge w:val="restart"/>
          </w:tcPr>
          <w:p>
            <w:pPr>
              <w:spacing w:after="0"/>
              <w:rPr>
                <w:sz w:val="20"/>
                <w:szCs w:val="20"/>
                <w:color w:val="auto"/>
              </w:rPr>
            </w:pPr>
          </w:p>
        </w:tc>
        <w:tc>
          <w:tcPr>
            <w:tcW w:w="3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160" w:type="dxa"/>
            <w:vAlign w:val="bottom"/>
            <w:vMerge w:val="continue"/>
          </w:tcPr>
          <w:p>
            <w:pPr>
              <w:spacing w:after="0"/>
              <w:rPr>
                <w:sz w:val="18"/>
                <w:szCs w:val="18"/>
                <w:color w:val="auto"/>
              </w:rPr>
            </w:pPr>
          </w:p>
        </w:tc>
        <w:tc>
          <w:tcPr>
            <w:tcW w:w="34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2010:</w:t>
            </w:r>
          </w:p>
        </w:tc>
        <w:tc>
          <w:tcPr>
            <w:tcW w:w="1820" w:type="dxa"/>
            <w:vAlign w:val="bottom"/>
            <w:shd w:val="clear" w:color="auto" w:fill="C0C0C0"/>
          </w:tcPr>
          <w:p>
            <w:pPr>
              <w:spacing w:after="0"/>
              <w:rPr>
                <w:sz w:val="18"/>
                <w:szCs w:val="18"/>
                <w:color w:val="auto"/>
              </w:rPr>
            </w:pPr>
          </w:p>
        </w:tc>
        <w:tc>
          <w:tcPr>
            <w:tcW w:w="13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80" w:type="dxa"/>
            <w:vAlign w:val="bottom"/>
            <w:shd w:val="clear" w:color="auto" w:fill="C0C0C0"/>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480" w:type="dxa"/>
            <w:vAlign w:val="bottom"/>
          </w:tcPr>
          <w:p>
            <w:pPr>
              <w:ind w:left="260"/>
              <w:spacing w:after="0"/>
              <w:rPr>
                <w:sz w:val="20"/>
                <w:szCs w:val="20"/>
                <w:color w:val="auto"/>
              </w:rPr>
            </w:pPr>
            <w:r>
              <w:rPr>
                <w:rFonts w:ascii="Arial" w:cs="Arial" w:eastAsia="Arial" w:hAnsi="Arial"/>
                <w:sz w:val="16"/>
                <w:szCs w:val="16"/>
                <w:color w:val="auto"/>
              </w:rPr>
              <w:t>Exercise price equal to Market Price</w:t>
            </w:r>
          </w:p>
        </w:tc>
        <w:tc>
          <w:tcPr>
            <w:tcW w:w="3120" w:type="dxa"/>
            <w:vAlign w:val="bottom"/>
            <w:gridSpan w:val="2"/>
          </w:tcPr>
          <w:p>
            <w:pPr>
              <w:jc w:val="center"/>
              <w:ind w:left="1721"/>
              <w:spacing w:after="0"/>
              <w:rPr>
                <w:sz w:val="20"/>
                <w:szCs w:val="20"/>
                <w:color w:val="auto"/>
              </w:rPr>
            </w:pPr>
            <w:r>
              <w:rPr>
                <w:rFonts w:ascii="Arial" w:cs="Arial" w:eastAsia="Arial" w:hAnsi="Arial"/>
                <w:sz w:val="16"/>
                <w:szCs w:val="16"/>
                <w:color w:val="auto"/>
                <w:w w:val="89"/>
              </w:rPr>
              <w:t>4,319,856</w:t>
            </w:r>
          </w:p>
        </w:tc>
        <w:tc>
          <w:tcPr>
            <w:tcW w:w="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29.43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13.36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60" w:type="dxa"/>
            <w:vAlign w:val="bottom"/>
            <w:vMerge w:val="restart"/>
          </w:tcPr>
          <w:p>
            <w:pPr>
              <w:spacing w:after="0"/>
              <w:rPr>
                <w:sz w:val="20"/>
                <w:szCs w:val="20"/>
                <w:color w:val="auto"/>
              </w:rPr>
            </w:pPr>
          </w:p>
        </w:tc>
        <w:tc>
          <w:tcPr>
            <w:tcW w:w="3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160" w:type="dxa"/>
            <w:vAlign w:val="bottom"/>
            <w:vMerge w:val="continue"/>
          </w:tcPr>
          <w:p>
            <w:pPr>
              <w:spacing w:after="0"/>
              <w:rPr>
                <w:sz w:val="18"/>
                <w:szCs w:val="18"/>
                <w:color w:val="auto"/>
              </w:rPr>
            </w:pPr>
          </w:p>
        </w:tc>
        <w:tc>
          <w:tcPr>
            <w:tcW w:w="3480" w:type="dxa"/>
            <w:vAlign w:val="bottom"/>
            <w:shd w:val="clear" w:color="auto" w:fill="C0C0C0"/>
          </w:tcPr>
          <w:p>
            <w:pPr>
              <w:spacing w:after="0"/>
              <w:rPr>
                <w:sz w:val="20"/>
                <w:szCs w:val="20"/>
                <w:color w:val="auto"/>
              </w:rPr>
            </w:pPr>
            <w:r>
              <w:rPr>
                <w:rFonts w:ascii="Arial" w:cs="Arial" w:eastAsia="Arial" w:hAnsi="Arial"/>
                <w:sz w:val="16"/>
                <w:szCs w:val="16"/>
                <w:b w:val="1"/>
                <w:bCs w:val="1"/>
                <w:color w:val="auto"/>
              </w:rPr>
              <w:t>2009:</w:t>
            </w:r>
          </w:p>
        </w:tc>
        <w:tc>
          <w:tcPr>
            <w:tcW w:w="1820" w:type="dxa"/>
            <w:vAlign w:val="bottom"/>
            <w:shd w:val="clear" w:color="auto" w:fill="C0C0C0"/>
          </w:tcPr>
          <w:p>
            <w:pPr>
              <w:spacing w:after="0"/>
              <w:rPr>
                <w:sz w:val="18"/>
                <w:szCs w:val="18"/>
                <w:color w:val="auto"/>
              </w:rPr>
            </w:pPr>
          </w:p>
        </w:tc>
        <w:tc>
          <w:tcPr>
            <w:tcW w:w="13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780" w:type="dxa"/>
            <w:vAlign w:val="bottom"/>
            <w:shd w:val="clear" w:color="auto" w:fill="C0C0C0"/>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3480" w:type="dxa"/>
            <w:vAlign w:val="bottom"/>
          </w:tcPr>
          <w:p>
            <w:pPr>
              <w:ind w:left="260"/>
              <w:spacing w:after="0"/>
              <w:rPr>
                <w:sz w:val="20"/>
                <w:szCs w:val="20"/>
                <w:color w:val="auto"/>
              </w:rPr>
            </w:pPr>
            <w:r>
              <w:rPr>
                <w:rFonts w:ascii="Arial" w:cs="Arial" w:eastAsia="Arial" w:hAnsi="Arial"/>
                <w:sz w:val="16"/>
                <w:szCs w:val="16"/>
                <w:color w:val="auto"/>
              </w:rPr>
              <w:t>Exercise price equal to Market Price</w:t>
            </w:r>
          </w:p>
        </w:tc>
        <w:tc>
          <w:tcPr>
            <w:tcW w:w="3120" w:type="dxa"/>
            <w:vAlign w:val="bottom"/>
            <w:gridSpan w:val="2"/>
          </w:tcPr>
          <w:p>
            <w:pPr>
              <w:jc w:val="center"/>
              <w:ind w:left="1721"/>
              <w:spacing w:after="0"/>
              <w:rPr>
                <w:sz w:val="20"/>
                <w:szCs w:val="20"/>
                <w:color w:val="auto"/>
              </w:rPr>
            </w:pPr>
            <w:r>
              <w:rPr>
                <w:rFonts w:ascii="Arial" w:cs="Arial" w:eastAsia="Arial" w:hAnsi="Arial"/>
                <w:sz w:val="16"/>
                <w:szCs w:val="16"/>
                <w:color w:val="auto"/>
                <w:w w:val="89"/>
              </w:rPr>
              <w:t>3,490,560</w:t>
            </w:r>
          </w:p>
        </w:tc>
        <w:tc>
          <w:tcPr>
            <w:tcW w:w="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20.69</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10.89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9"/>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20" w:type="dxa"/>
            <w:vAlign w:val="bottom"/>
            <w:gridSpan w:val="2"/>
          </w:tcPr>
          <w:p>
            <w:pPr>
              <w:ind w:left="920"/>
              <w:spacing w:after="0"/>
              <w:rPr>
                <w:sz w:val="20"/>
                <w:szCs w:val="20"/>
                <w:color w:val="auto"/>
              </w:rPr>
            </w:pPr>
            <w:r>
              <w:rPr>
                <w:rFonts w:ascii="Arial" w:cs="Arial" w:eastAsia="Arial" w:hAnsi="Arial"/>
                <w:sz w:val="16"/>
                <w:szCs w:val="16"/>
                <w:color w:val="auto"/>
              </w:rPr>
              <w:t>F-32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60" w:type="dxa"/>
            <w:vAlign w:val="bottom"/>
            <w:tcBorders>
              <w:bottom w:val="single" w:sz="8" w:color="808080"/>
            </w:tcBorders>
          </w:tcPr>
          <w:p>
            <w:pPr>
              <w:spacing w:after="0"/>
              <w:rPr>
                <w:sz w:val="17"/>
                <w:szCs w:val="17"/>
                <w:color w:val="auto"/>
              </w:rPr>
            </w:pPr>
          </w:p>
        </w:tc>
        <w:tc>
          <w:tcPr>
            <w:tcW w:w="3480" w:type="dxa"/>
            <w:vAlign w:val="bottom"/>
            <w:tcBorders>
              <w:bottom w:val="single" w:sz="8" w:color="808080"/>
            </w:tcBorders>
          </w:tcPr>
          <w:p>
            <w:pPr>
              <w:spacing w:after="0"/>
              <w:rPr>
                <w:sz w:val="17"/>
                <w:szCs w:val="17"/>
                <w:color w:val="auto"/>
              </w:rPr>
            </w:pPr>
          </w:p>
        </w:tc>
        <w:tc>
          <w:tcPr>
            <w:tcW w:w="182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40" w:firstLine="328"/>
        <w:spacing w:after="0" w:line="260" w:lineRule="auto"/>
        <w:rPr>
          <w:sz w:val="20"/>
          <w:szCs w:val="20"/>
          <w:color w:val="auto"/>
        </w:rPr>
      </w:pPr>
      <w:r>
        <w:rPr>
          <w:rFonts w:ascii="Arial" w:cs="Arial" w:eastAsia="Arial" w:hAnsi="Arial"/>
          <w:sz w:val="16"/>
          <w:szCs w:val="16"/>
          <w:color w:val="auto"/>
        </w:rPr>
        <w:t>For the years ended December 31, 2011, 2010, and 2009, the Company recognized $39.2 million, $29.4 million, and $27.4 million, respectively, of non-cash stock-based compensation expense related to non-performance based stock option awards. As of December 31, 2011, there was $93.6 million of stock-based compensation cost related to outstanding non-performance based stock options, net of estimated forfeitures, which had not yet been recognized. The Company expects to recognize this compensation cost over a weighted-average period of 1.9 years.</w:t>
      </w:r>
    </w:p>
    <w:p>
      <w:pPr>
        <w:spacing w:after="0" w:line="198" w:lineRule="exact"/>
        <w:rPr>
          <w:sz w:val="20"/>
          <w:szCs w:val="20"/>
          <w:color w:val="auto"/>
        </w:rPr>
      </w:pPr>
    </w:p>
    <w:p>
      <w:pPr>
        <w:jc w:val="both"/>
        <w:ind w:right="40" w:firstLine="255"/>
        <w:spacing w:after="0" w:line="292" w:lineRule="auto"/>
        <w:rPr>
          <w:sz w:val="20"/>
          <w:szCs w:val="20"/>
          <w:color w:val="auto"/>
        </w:rPr>
      </w:pPr>
      <w:r>
        <w:rPr>
          <w:rFonts w:ascii="Arial" w:cs="Arial" w:eastAsia="Arial" w:hAnsi="Arial"/>
          <w:sz w:val="14"/>
          <w:szCs w:val="14"/>
          <w:color w:val="auto"/>
        </w:rPr>
        <w:t>In addition, there were 2,195,429 performance-based options which were outstanding and unvested as of December 31, 2011 of which, subject to the optionee satisfying certain service conditions, 203,429 options that were issued in 2005 would vest upon achieving certain defined sales targets for the Company’s products and 1,992,000 options that were issued in 2011, 2010, and 2009 would vest upon achieving certain development milestones for the Company’s product candidates. In light of the Company’s receipt of marketing</w:t>
      </w:r>
    </w:p>
    <w:p>
      <w:pPr>
        <w:spacing w:after="0" w:line="1" w:lineRule="exact"/>
        <w:rPr>
          <w:sz w:val="20"/>
          <w:szCs w:val="20"/>
          <w:color w:val="auto"/>
        </w:rPr>
      </w:pPr>
    </w:p>
    <w:p>
      <w:pPr>
        <w:jc w:val="both"/>
        <w:ind w:right="40"/>
        <w:spacing w:after="0" w:line="239" w:lineRule="auto"/>
        <w:rPr>
          <w:sz w:val="20"/>
          <w:szCs w:val="20"/>
          <w:color w:val="auto"/>
        </w:rPr>
      </w:pPr>
      <w:r>
        <w:rPr>
          <w:rFonts w:ascii="Arial" w:cs="Arial" w:eastAsia="Arial" w:hAnsi="Arial"/>
          <w:sz w:val="14"/>
          <w:szCs w:val="14"/>
          <w:color w:val="auto"/>
        </w:rPr>
        <w:t>approval for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the treatment of wet AMD in November 2011, and the status of the Company’s development programs at December 31, 2011, the Company estimates that all of the remaining performance-based options issued in 2005, 2009, and 2010 will vest and approximately 50% of the performance-based options issued in 2011 will vest.</w:t>
      </w:r>
    </w:p>
    <w:p>
      <w:pPr>
        <w:spacing w:after="0" w:line="213" w:lineRule="exact"/>
        <w:rPr>
          <w:sz w:val="20"/>
          <w:szCs w:val="20"/>
          <w:color w:val="auto"/>
        </w:rPr>
      </w:pPr>
    </w:p>
    <w:p>
      <w:pPr>
        <w:jc w:val="both"/>
        <w:ind w:right="20" w:firstLine="255"/>
        <w:spacing w:after="0" w:line="299" w:lineRule="auto"/>
        <w:rPr>
          <w:sz w:val="20"/>
          <w:szCs w:val="20"/>
          <w:color w:val="auto"/>
        </w:rPr>
      </w:pPr>
      <w:r>
        <w:rPr>
          <w:rFonts w:ascii="Arial" w:cs="Arial" w:eastAsia="Arial" w:hAnsi="Arial"/>
          <w:sz w:val="14"/>
          <w:szCs w:val="14"/>
          <w:color w:val="auto"/>
        </w:rPr>
        <w:t>For the years ended December 31, 2011 and 2010, the Company recognized $11.7 million and $8.1 million, respectively, of non-cash stock-based compensation expense related to these performance options. As of December 31, 2011 there was $17.4 million of stock-based compensation cost which had not yet been recognized related to the performance– based options that the Company currently estimates will vest. The Company expects to recognize this compensation cost over a weighted-average period of 2.5 years. In addition, potential compensation cost of $10.2 million related to the performance options issued in 2011, whose performance conditions (based on current facts and circumstances) are not currently considered by the Company to be probable of attainment, will begin to be recognized only if and when the Company estimates that it is probable that these options will vest. The Company’s estimates of the number of performance-based options that will vest will be revised, if necessary, in subsequent periods. Changes in these estimates may materially affect the amount of stock-based compensation recognized in future periods related to performance-based options.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Assumptions: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table summarizes the weighted average values of the assumptions used in computing the fair value of option grants during 2011, 2010, and 2009.</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980" w:type="dxa"/>
            <w:vAlign w:val="bottom"/>
            <w:tcBorders>
              <w:bottom w:val="single" w:sz="8" w:color="C0C0C0"/>
            </w:tcBorders>
          </w:tcPr>
          <w:p>
            <w:pPr>
              <w:spacing w:after="0"/>
              <w:rPr>
                <w:sz w:val="18"/>
                <w:szCs w:val="18"/>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2011</w:t>
            </w:r>
          </w:p>
        </w:tc>
        <w:tc>
          <w:tcPr>
            <w:tcW w:w="240" w:type="dxa"/>
            <w:vAlign w:val="bottom"/>
            <w:tcBorders>
              <w:bottom w:val="single" w:sz="8" w:color="C0C0C0"/>
            </w:tcBorders>
          </w:tcPr>
          <w:p>
            <w:pPr>
              <w:spacing w:after="0"/>
              <w:rPr>
                <w:sz w:val="18"/>
                <w:szCs w:val="18"/>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2010</w:t>
            </w:r>
          </w:p>
        </w:tc>
        <w:tc>
          <w:tcPr>
            <w:tcW w:w="240" w:type="dxa"/>
            <w:vAlign w:val="bottom"/>
            <w:tcBorders>
              <w:bottom w:val="single" w:sz="8" w:color="C0C0C0"/>
            </w:tcBorders>
          </w:tcPr>
          <w:p>
            <w:pPr>
              <w:spacing w:after="0"/>
              <w:rPr>
                <w:sz w:val="18"/>
                <w:szCs w:val="18"/>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2009</w:t>
            </w:r>
          </w:p>
        </w:tc>
      </w:tr>
      <w:tr>
        <w:trPr>
          <w:trHeight w:val="218"/>
        </w:trPr>
        <w:tc>
          <w:tcPr>
            <w:tcW w:w="20" w:type="dxa"/>
            <w:vAlign w:val="bottom"/>
          </w:tcPr>
          <w:p>
            <w:pPr>
              <w:spacing w:after="0"/>
              <w:rPr>
                <w:sz w:val="18"/>
                <w:szCs w:val="18"/>
                <w:color w:val="auto"/>
              </w:rPr>
            </w:pPr>
          </w:p>
        </w:tc>
        <w:tc>
          <w:tcPr>
            <w:tcW w:w="5980" w:type="dxa"/>
            <w:vAlign w:val="bottom"/>
            <w:shd w:val="clear" w:color="auto" w:fill="C0C0C0"/>
          </w:tcPr>
          <w:p>
            <w:pPr>
              <w:spacing w:after="0"/>
              <w:rPr>
                <w:sz w:val="20"/>
                <w:szCs w:val="20"/>
                <w:color w:val="auto"/>
              </w:rPr>
            </w:pPr>
            <w:r>
              <w:rPr>
                <w:rFonts w:ascii="Arial" w:cs="Arial" w:eastAsia="Arial" w:hAnsi="Arial"/>
                <w:sz w:val="16"/>
                <w:szCs w:val="16"/>
                <w:color w:val="auto"/>
              </w:rPr>
              <w:t>Expected volatility</w:t>
            </w:r>
          </w:p>
        </w:tc>
        <w:tc>
          <w:tcPr>
            <w:tcW w:w="9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0C0C0"/>
          </w:tcPr>
          <w:p>
            <w:pPr>
              <w:spacing w:after="0"/>
              <w:rPr>
                <w:sz w:val="18"/>
                <w:szCs w:val="18"/>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0C0C0"/>
          </w:tcPr>
          <w:p>
            <w:pPr>
              <w:spacing w:after="0"/>
              <w:rPr>
                <w:sz w:val="18"/>
                <w:szCs w:val="18"/>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54%</w:t>
            </w:r>
          </w:p>
        </w:tc>
      </w:tr>
      <w:tr>
        <w:trPr>
          <w:trHeight w:val="211"/>
        </w:trPr>
        <w:tc>
          <w:tcPr>
            <w:tcW w:w="6000" w:type="dxa"/>
            <w:vAlign w:val="bottom"/>
            <w:gridSpan w:val="2"/>
          </w:tcPr>
          <w:p>
            <w:pPr>
              <w:spacing w:after="0"/>
              <w:rPr>
                <w:sz w:val="20"/>
                <w:szCs w:val="20"/>
                <w:color w:val="auto"/>
              </w:rPr>
            </w:pPr>
            <w:r>
              <w:rPr>
                <w:rFonts w:ascii="Arial" w:cs="Arial" w:eastAsia="Arial" w:hAnsi="Arial"/>
                <w:sz w:val="16"/>
                <w:szCs w:val="16"/>
                <w:color w:val="auto"/>
              </w:rPr>
              <w:t>Expected lives from grant date</w:t>
            </w:r>
          </w:p>
        </w:tc>
        <w:tc>
          <w:tcPr>
            <w:tcW w:w="1140" w:type="dxa"/>
            <w:vAlign w:val="bottom"/>
            <w:gridSpan w:val="2"/>
          </w:tcPr>
          <w:p>
            <w:pPr>
              <w:ind w:left="320"/>
              <w:spacing w:after="0"/>
              <w:rPr>
                <w:sz w:val="20"/>
                <w:szCs w:val="20"/>
                <w:color w:val="auto"/>
              </w:rPr>
            </w:pPr>
            <w:r>
              <w:rPr>
                <w:rFonts w:ascii="Arial" w:cs="Arial" w:eastAsia="Arial" w:hAnsi="Arial"/>
                <w:sz w:val="16"/>
                <w:szCs w:val="16"/>
                <w:color w:val="auto"/>
              </w:rPr>
              <w:t>6.1 years</w:t>
            </w:r>
          </w:p>
        </w:tc>
        <w:tc>
          <w:tcPr>
            <w:tcW w:w="1120" w:type="dxa"/>
            <w:vAlign w:val="bottom"/>
            <w:gridSpan w:val="2"/>
          </w:tcPr>
          <w:p>
            <w:pPr>
              <w:ind w:left="300"/>
              <w:spacing w:after="0"/>
              <w:rPr>
                <w:sz w:val="20"/>
                <w:szCs w:val="20"/>
                <w:color w:val="auto"/>
              </w:rPr>
            </w:pPr>
            <w:r>
              <w:rPr>
                <w:rFonts w:ascii="Arial" w:cs="Arial" w:eastAsia="Arial" w:hAnsi="Arial"/>
                <w:sz w:val="16"/>
                <w:szCs w:val="16"/>
                <w:color w:val="auto"/>
              </w:rPr>
              <w:t>5.6 years</w:t>
            </w:r>
          </w:p>
        </w:tc>
        <w:tc>
          <w:tcPr>
            <w:tcW w:w="880" w:type="dxa"/>
            <w:vAlign w:val="bottom"/>
          </w:tcPr>
          <w:p>
            <w:pPr>
              <w:jc w:val="right"/>
              <w:spacing w:after="0"/>
              <w:rPr>
                <w:sz w:val="20"/>
                <w:szCs w:val="20"/>
                <w:color w:val="auto"/>
              </w:rPr>
            </w:pPr>
            <w:r>
              <w:rPr>
                <w:rFonts w:ascii="Arial" w:cs="Arial" w:eastAsia="Arial" w:hAnsi="Arial"/>
                <w:sz w:val="16"/>
                <w:szCs w:val="16"/>
                <w:color w:val="auto"/>
              </w:rPr>
              <w:t>5.9 years</w:t>
            </w:r>
          </w:p>
        </w:tc>
      </w:tr>
      <w:tr>
        <w:trPr>
          <w:trHeight w:val="226"/>
        </w:trPr>
        <w:tc>
          <w:tcPr>
            <w:tcW w:w="20" w:type="dxa"/>
            <w:vAlign w:val="bottom"/>
          </w:tcPr>
          <w:p>
            <w:pPr>
              <w:spacing w:after="0"/>
              <w:rPr>
                <w:sz w:val="19"/>
                <w:szCs w:val="19"/>
                <w:color w:val="auto"/>
              </w:rPr>
            </w:pPr>
          </w:p>
        </w:tc>
        <w:tc>
          <w:tcPr>
            <w:tcW w:w="5980" w:type="dxa"/>
            <w:vAlign w:val="bottom"/>
            <w:shd w:val="clear" w:color="auto" w:fill="C0C0C0"/>
          </w:tcPr>
          <w:p>
            <w:pPr>
              <w:spacing w:after="0"/>
              <w:rPr>
                <w:sz w:val="20"/>
                <w:szCs w:val="20"/>
                <w:color w:val="auto"/>
              </w:rPr>
            </w:pPr>
            <w:r>
              <w:rPr>
                <w:rFonts w:ascii="Arial" w:cs="Arial" w:eastAsia="Arial" w:hAnsi="Arial"/>
                <w:sz w:val="16"/>
                <w:szCs w:val="16"/>
                <w:color w:val="auto"/>
              </w:rPr>
              <w:t>Expected dividend yield</w:t>
            </w:r>
          </w:p>
        </w:tc>
        <w:tc>
          <w:tcPr>
            <w:tcW w:w="9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0C0C0"/>
          </w:tcPr>
          <w:p>
            <w:pPr>
              <w:spacing w:after="0"/>
              <w:rPr>
                <w:sz w:val="19"/>
                <w:szCs w:val="19"/>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w:t>
            </w:r>
          </w:p>
        </w:tc>
        <w:tc>
          <w:tcPr>
            <w:tcW w:w="240" w:type="dxa"/>
            <w:vAlign w:val="bottom"/>
            <w:shd w:val="clear" w:color="auto" w:fill="C0C0C0"/>
          </w:tcPr>
          <w:p>
            <w:pPr>
              <w:spacing w:after="0"/>
              <w:rPr>
                <w:sz w:val="19"/>
                <w:szCs w:val="19"/>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w:t>
            </w:r>
          </w:p>
        </w:tc>
      </w:tr>
      <w:tr>
        <w:trPr>
          <w:trHeight w:val="204"/>
        </w:trPr>
        <w:tc>
          <w:tcPr>
            <w:tcW w:w="600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w:t>
            </w:r>
          </w:p>
        </w:tc>
      </w:tr>
    </w:tbl>
    <w:p>
      <w:pPr>
        <w:spacing w:after="0" w:line="200" w:lineRule="exact"/>
        <w:rPr>
          <w:sz w:val="20"/>
          <w:szCs w:val="20"/>
          <w:color w:val="auto"/>
        </w:rPr>
      </w:pPr>
    </w:p>
    <w:p>
      <w:pPr>
        <w:spacing w:after="0" w:line="243" w:lineRule="exact"/>
        <w:rPr>
          <w:sz w:val="20"/>
          <w:szCs w:val="20"/>
          <w:color w:val="auto"/>
        </w:rPr>
      </w:pPr>
    </w:p>
    <w:p>
      <w:pPr>
        <w:jc w:val="both"/>
        <w:ind w:right="20" w:firstLine="243"/>
        <w:spacing w:after="0" w:line="260"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Restricted Stock</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summary of the Company’s activity related to Restricted Stock awards for the year ended December 31, 2011 is summarized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1"/>
              <w:spacing w:after="0"/>
              <w:rPr>
                <w:sz w:val="20"/>
                <w:szCs w:val="20"/>
                <w:color w:val="auto"/>
              </w:rPr>
            </w:pPr>
            <w:r>
              <w:rPr>
                <w:rFonts w:ascii="Arial" w:cs="Arial" w:eastAsia="Arial" w:hAnsi="Arial"/>
                <w:sz w:val="16"/>
                <w:szCs w:val="16"/>
                <w:b w:val="1"/>
                <w:bCs w:val="1"/>
                <w:color w:val="auto"/>
                <w:w w:val="87"/>
              </w:rPr>
              <w:t>Weighted-</w:t>
            </w:r>
          </w:p>
        </w:tc>
        <w:tc>
          <w:tcPr>
            <w:tcW w:w="118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61"/>
              <w:spacing w:after="0"/>
              <w:rPr>
                <w:sz w:val="20"/>
                <w:szCs w:val="20"/>
                <w:color w:val="auto"/>
              </w:rPr>
            </w:pPr>
            <w:r>
              <w:rPr>
                <w:rFonts w:ascii="Arial" w:cs="Arial" w:eastAsia="Arial" w:hAnsi="Arial"/>
                <w:sz w:val="16"/>
                <w:szCs w:val="16"/>
                <w:b w:val="1"/>
                <w:bCs w:val="1"/>
                <w:color w:val="auto"/>
                <w:w w:val="88"/>
              </w:rPr>
              <w:t>Average</w:t>
            </w:r>
          </w:p>
        </w:tc>
        <w:tc>
          <w:tcPr>
            <w:tcW w:w="1180" w:type="dxa"/>
            <w:vAlign w:val="bottom"/>
          </w:tcPr>
          <w:p>
            <w:pPr>
              <w:spacing w:after="0"/>
              <w:rPr>
                <w:sz w:val="18"/>
                <w:szCs w:val="18"/>
                <w:color w:val="auto"/>
              </w:rPr>
            </w:pPr>
          </w:p>
        </w:tc>
      </w:tr>
      <w:tr>
        <w:trPr>
          <w:trHeight w:val="21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b w:val="1"/>
                <w:bCs w:val="1"/>
                <w:color w:val="auto"/>
              </w:rPr>
              <w:t>Number of</w:t>
            </w:r>
          </w:p>
        </w:tc>
        <w:tc>
          <w:tcPr>
            <w:tcW w:w="1320" w:type="dxa"/>
            <w:vAlign w:val="bottom"/>
            <w:gridSpan w:val="3"/>
          </w:tcPr>
          <w:p>
            <w:pPr>
              <w:ind w:left="240"/>
              <w:spacing w:after="0"/>
              <w:rPr>
                <w:sz w:val="20"/>
                <w:szCs w:val="20"/>
                <w:color w:val="auto"/>
              </w:rPr>
            </w:pPr>
            <w:r>
              <w:rPr>
                <w:rFonts w:ascii="Arial" w:cs="Arial" w:eastAsia="Arial" w:hAnsi="Arial"/>
                <w:sz w:val="16"/>
                <w:szCs w:val="16"/>
                <w:b w:val="1"/>
                <w:bCs w:val="1"/>
                <w:color w:val="auto"/>
                <w:w w:val="91"/>
              </w:rPr>
              <w:t>Grant Date Fair</w:t>
            </w:r>
          </w:p>
        </w:tc>
        <w:tc>
          <w:tcPr>
            <w:tcW w:w="1180" w:type="dxa"/>
            <w:vAlign w:val="bottom"/>
          </w:tcPr>
          <w:p>
            <w:pPr>
              <w:spacing w:after="0"/>
              <w:rPr>
                <w:sz w:val="18"/>
                <w:szCs w:val="18"/>
                <w:color w:val="auto"/>
              </w:rPr>
            </w:pPr>
          </w:p>
        </w:tc>
      </w:tr>
      <w:tr>
        <w:trPr>
          <w:trHeight w:val="185"/>
        </w:trPr>
        <w:tc>
          <w:tcPr>
            <w:tcW w:w="1140" w:type="dxa"/>
            <w:vAlign w:val="bottom"/>
          </w:tcPr>
          <w:p>
            <w:pPr>
              <w:spacing w:after="0"/>
              <w:rPr>
                <w:sz w:val="16"/>
                <w:szCs w:val="16"/>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Restricted Stock:</w:t>
            </w:r>
          </w:p>
        </w:tc>
        <w:tc>
          <w:tcPr>
            <w:tcW w:w="3240" w:type="dxa"/>
            <w:vAlign w:val="bottom"/>
          </w:tcPr>
          <w:p>
            <w:pPr>
              <w:spacing w:after="0"/>
              <w:rPr>
                <w:sz w:val="16"/>
                <w:szCs w:val="16"/>
                <w:color w:val="auto"/>
              </w:rPr>
            </w:pPr>
          </w:p>
        </w:tc>
        <w:tc>
          <w:tcPr>
            <w:tcW w:w="980" w:type="dxa"/>
            <w:vAlign w:val="bottom"/>
          </w:tcPr>
          <w:p>
            <w:pPr>
              <w:jc w:val="right"/>
              <w:ind w:right="201"/>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6"/>
                <w:szCs w:val="16"/>
                <w:b w:val="1"/>
                <w:bCs w:val="1"/>
                <w:color w:val="auto"/>
                <w:w w:val="88"/>
              </w:rPr>
              <w:t>Value</w:t>
            </w:r>
          </w:p>
        </w:tc>
        <w:tc>
          <w:tcPr>
            <w:tcW w:w="1180" w:type="dxa"/>
            <w:vAlign w:val="bottom"/>
          </w:tcPr>
          <w:p>
            <w:pPr>
              <w:spacing w:after="0"/>
              <w:rPr>
                <w:sz w:val="16"/>
                <w:szCs w:val="16"/>
                <w:color w:val="auto"/>
              </w:rPr>
            </w:pPr>
          </w:p>
        </w:tc>
      </w:tr>
      <w:tr>
        <w:trPr>
          <w:trHeight w:val="29"/>
        </w:trPr>
        <w:tc>
          <w:tcPr>
            <w:tcW w:w="1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60" w:type="dxa"/>
            <w:vAlign w:val="bottom"/>
            <w:tcBorders>
              <w:top w:val="single" w:sz="8" w:color="auto"/>
              <w:bottom w:val="single" w:sz="8" w:color="C0C0C0"/>
            </w:tcBorders>
          </w:tcPr>
          <w:p>
            <w:pPr>
              <w:spacing w:after="0"/>
              <w:rPr>
                <w:sz w:val="2"/>
                <w:szCs w:val="2"/>
                <w:color w:val="auto"/>
              </w:rPr>
            </w:pPr>
          </w:p>
        </w:tc>
        <w:tc>
          <w:tcPr>
            <w:tcW w:w="2520" w:type="dxa"/>
            <w:vAlign w:val="bottom"/>
            <w:tcBorders>
              <w:bottom w:val="single" w:sz="8" w:color="C0C0C0"/>
            </w:tcBorders>
          </w:tcPr>
          <w:p>
            <w:pPr>
              <w:spacing w:after="0"/>
              <w:rPr>
                <w:sz w:val="2"/>
                <w:szCs w:val="2"/>
                <w:color w:val="auto"/>
              </w:rPr>
            </w:pPr>
          </w:p>
        </w:tc>
        <w:tc>
          <w:tcPr>
            <w:tcW w:w="3240" w:type="dxa"/>
            <w:vAlign w:val="bottom"/>
            <w:tcBorders>
              <w:bottom w:val="single" w:sz="8" w:color="C0C0C0"/>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0C0C0"/>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shd w:val="clear" w:color="auto" w:fill="C0C0C0"/>
          </w:tcPr>
          <w:p>
            <w:pPr>
              <w:spacing w:after="0"/>
              <w:rPr>
                <w:sz w:val="20"/>
                <w:szCs w:val="20"/>
                <w:color w:val="auto"/>
              </w:rPr>
            </w:pPr>
            <w:r>
              <w:rPr>
                <w:rFonts w:ascii="Arial" w:cs="Arial" w:eastAsia="Arial" w:hAnsi="Arial"/>
                <w:sz w:val="16"/>
                <w:szCs w:val="16"/>
                <w:color w:val="auto"/>
              </w:rPr>
              <w:t>Outstanding at December 31, 2010</w:t>
            </w:r>
          </w:p>
        </w:tc>
        <w:tc>
          <w:tcPr>
            <w:tcW w:w="4220" w:type="dxa"/>
            <w:vAlign w:val="bottom"/>
            <w:gridSpan w:val="2"/>
            <w:shd w:val="clear" w:color="auto" w:fill="C0C0C0"/>
          </w:tcPr>
          <w:p>
            <w:pPr>
              <w:jc w:val="right"/>
              <w:ind w:right="21"/>
              <w:spacing w:after="0"/>
              <w:rPr>
                <w:sz w:val="20"/>
                <w:szCs w:val="20"/>
                <w:color w:val="auto"/>
              </w:rPr>
            </w:pPr>
            <w:r>
              <w:rPr>
                <w:rFonts w:ascii="Arial" w:cs="Arial" w:eastAsia="Arial" w:hAnsi="Arial"/>
                <w:sz w:val="16"/>
                <w:szCs w:val="16"/>
                <w:color w:val="auto"/>
              </w:rPr>
              <w:t>845,000</w:t>
            </w:r>
          </w:p>
        </w:tc>
        <w:tc>
          <w:tcPr>
            <w:tcW w:w="38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25.37</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2011:   </w:t>
            </w:r>
            <w:r>
              <w:rPr>
                <w:rFonts w:ascii="Arial" w:cs="Arial" w:eastAsia="Arial" w:hAnsi="Arial"/>
                <w:sz w:val="16"/>
                <w:szCs w:val="16"/>
                <w:color w:val="auto"/>
              </w:rPr>
              <w:t>Granted</w:t>
            </w:r>
          </w:p>
        </w:tc>
        <w:tc>
          <w:tcPr>
            <w:tcW w:w="4220" w:type="dxa"/>
            <w:vAlign w:val="bottom"/>
            <w:gridSpan w:val="2"/>
          </w:tcPr>
          <w:p>
            <w:pPr>
              <w:jc w:val="right"/>
              <w:ind w:right="21"/>
              <w:spacing w:after="0"/>
              <w:rPr>
                <w:sz w:val="20"/>
                <w:szCs w:val="20"/>
                <w:color w:val="auto"/>
              </w:rPr>
            </w:pPr>
            <w:r>
              <w:rPr>
                <w:rFonts w:ascii="Arial" w:cs="Arial" w:eastAsia="Arial" w:hAnsi="Arial"/>
                <w:sz w:val="16"/>
                <w:szCs w:val="16"/>
                <w:color w:val="auto"/>
              </w:rPr>
              <w:t>16,500</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58.59</w:t>
            </w:r>
          </w:p>
        </w:tc>
        <w:tc>
          <w:tcPr>
            <w:tcW w:w="1180" w:type="dxa"/>
            <w:vAlign w:val="bottom"/>
          </w:tcPr>
          <w:p>
            <w:pPr>
              <w:spacing w:after="0"/>
              <w:rPr>
                <w:sz w:val="18"/>
                <w:szCs w:val="18"/>
                <w:color w:val="auto"/>
              </w:rPr>
            </w:pPr>
          </w:p>
        </w:tc>
      </w:tr>
      <w:tr>
        <w:trPr>
          <w:trHeight w:val="21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2"/>
            <w:shd w:val="clear" w:color="auto" w:fill="C0C0C0"/>
          </w:tcPr>
          <w:p>
            <w:pPr>
              <w:ind w:left="540"/>
              <w:spacing w:after="0"/>
              <w:rPr>
                <w:sz w:val="20"/>
                <w:szCs w:val="20"/>
                <w:color w:val="auto"/>
              </w:rPr>
            </w:pPr>
            <w:r>
              <w:rPr>
                <w:rFonts w:ascii="Arial" w:cs="Arial" w:eastAsia="Arial" w:hAnsi="Arial"/>
                <w:sz w:val="16"/>
                <w:szCs w:val="16"/>
                <w:color w:val="auto"/>
              </w:rPr>
              <w:t>Released</w:t>
            </w:r>
          </w:p>
        </w:tc>
        <w:tc>
          <w:tcPr>
            <w:tcW w:w="3240" w:type="dxa"/>
            <w:vAlign w:val="bottom"/>
            <w:shd w:val="clear" w:color="auto" w:fill="C0C0C0"/>
          </w:tcPr>
          <w:p>
            <w:pPr>
              <w:spacing w:after="0"/>
              <w:rPr>
                <w:sz w:val="18"/>
                <w:szCs w:val="18"/>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rPr>
              <w:t>(110,001)</w:t>
            </w:r>
          </w:p>
        </w:tc>
        <w:tc>
          <w:tcPr>
            <w:tcW w:w="380" w:type="dxa"/>
            <w:vAlign w:val="bottom"/>
            <w:gridSpan w:val="2"/>
            <w:shd w:val="clear" w:color="auto" w:fill="C0C0C0"/>
          </w:tcPr>
          <w:p>
            <w:pPr>
              <w:ind w:lef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30.63</w:t>
            </w:r>
          </w:p>
        </w:tc>
        <w:tc>
          <w:tcPr>
            <w:tcW w:w="118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2"/>
          </w:tcPr>
          <w:p>
            <w:pPr>
              <w:ind w:left="540"/>
              <w:spacing w:after="0"/>
              <w:rPr>
                <w:sz w:val="20"/>
                <w:szCs w:val="20"/>
                <w:color w:val="auto"/>
              </w:rPr>
            </w:pPr>
            <w:r>
              <w:rPr>
                <w:rFonts w:ascii="Arial" w:cs="Arial" w:eastAsia="Arial" w:hAnsi="Arial"/>
                <w:sz w:val="16"/>
                <w:szCs w:val="16"/>
                <w:color w:val="auto"/>
              </w:rPr>
              <w:t>Outstanding at December 31, 2011</w:t>
            </w:r>
          </w:p>
        </w:tc>
        <w:tc>
          <w:tcPr>
            <w:tcW w:w="3240" w:type="dxa"/>
            <w:vAlign w:val="bottom"/>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751,499</w:t>
            </w:r>
          </w:p>
        </w:tc>
        <w:tc>
          <w:tcPr>
            <w:tcW w:w="3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25.33</w:t>
            </w:r>
          </w:p>
        </w:tc>
        <w:tc>
          <w:tcPr>
            <w:tcW w:w="1180" w:type="dxa"/>
            <w:vAlign w:val="bottom"/>
          </w:tcPr>
          <w:p>
            <w:pPr>
              <w:spacing w:after="0"/>
              <w:rPr>
                <w:sz w:val="19"/>
                <w:szCs w:val="19"/>
                <w:color w:val="auto"/>
              </w:rPr>
            </w:pPr>
          </w:p>
        </w:tc>
      </w:tr>
      <w:tr>
        <w:trPr>
          <w:trHeight w:val="60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20" w:type="dxa"/>
            <w:vAlign w:val="bottom"/>
            <w:gridSpan w:val="2"/>
          </w:tcPr>
          <w:p>
            <w:pPr>
              <w:jc w:val="right"/>
              <w:ind w:right="3021"/>
              <w:spacing w:after="0"/>
              <w:rPr>
                <w:sz w:val="20"/>
                <w:szCs w:val="20"/>
                <w:color w:val="auto"/>
              </w:rPr>
            </w:pPr>
            <w:r>
              <w:rPr>
                <w:rFonts w:ascii="Arial" w:cs="Arial" w:eastAsia="Arial" w:hAnsi="Arial"/>
                <w:sz w:val="16"/>
                <w:szCs w:val="16"/>
                <w:color w:val="auto"/>
              </w:rPr>
              <w:t>F-33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5"/>
        </w:trPr>
        <w:tc>
          <w:tcPr>
            <w:tcW w:w="11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2520" w:type="dxa"/>
            <w:vAlign w:val="bottom"/>
            <w:tcBorders>
              <w:bottom w:val="single" w:sz="8" w:color="808080"/>
            </w:tcBorders>
          </w:tcPr>
          <w:p>
            <w:pPr>
              <w:spacing w:after="0"/>
              <w:rPr>
                <w:sz w:val="17"/>
                <w:szCs w:val="17"/>
                <w:color w:val="auto"/>
              </w:rPr>
            </w:pPr>
          </w:p>
        </w:tc>
        <w:tc>
          <w:tcPr>
            <w:tcW w:w="324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79"/>
        <w:spacing w:after="0" w:line="319" w:lineRule="auto"/>
        <w:rPr>
          <w:sz w:val="20"/>
          <w:szCs w:val="20"/>
          <w:color w:val="auto"/>
        </w:rPr>
      </w:pPr>
      <w:r>
        <w:rPr>
          <w:rFonts w:ascii="Arial" w:cs="Arial" w:eastAsia="Arial" w:hAnsi="Arial"/>
          <w:sz w:val="14"/>
          <w:szCs w:val="14"/>
          <w:color w:val="auto"/>
        </w:rPr>
        <w:t>The Company recognized non-cash stock-based compensation expense from Restricted Stock awards of $5.7 million, $2.4 million, and $2.2 million in 2011, 2010, and 2009, respectively. As of December 31, 2011, there were 751,499 unvested shares of Restricted Stock outstanding and $9.8 million of stock-based compensation cost related to these unvested shares which had not yet been recognized. The Company expects to recognize this compensation cost over a weighted-average period of 1.4 years.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Executive Stock Purchase Plan</w:t>
      </w:r>
    </w:p>
    <w:p>
      <w:pPr>
        <w:spacing w:after="0" w:line="233" w:lineRule="exact"/>
        <w:rPr>
          <w:sz w:val="20"/>
          <w:szCs w:val="20"/>
          <w:color w:val="auto"/>
        </w:rPr>
      </w:pPr>
    </w:p>
    <w:p>
      <w:pPr>
        <w:jc w:val="both"/>
        <w:ind w:firstLine="279"/>
        <w:spacing w:after="0" w:line="278" w:lineRule="auto"/>
        <w:rPr>
          <w:sz w:val="20"/>
          <w:szCs w:val="20"/>
          <w:color w:val="auto"/>
        </w:rPr>
      </w:pPr>
      <w:r>
        <w:rPr>
          <w:rFonts w:ascii="Arial" w:cs="Arial" w:eastAsia="Arial" w:hAnsi="Arial"/>
          <w:sz w:val="15"/>
          <w:szCs w:val="15"/>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2011, there were 44,246 shares available for future grants under the Plan.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Employee Savings Plan</w:t>
      </w:r>
    </w:p>
    <w:p>
      <w:pPr>
        <w:spacing w:after="0" w:line="233" w:lineRule="exact"/>
        <w:rPr>
          <w:sz w:val="20"/>
          <w:szCs w:val="20"/>
          <w:color w:val="auto"/>
        </w:rPr>
      </w:pPr>
    </w:p>
    <w:p>
      <w:pPr>
        <w:jc w:val="both"/>
        <w:ind w:firstLine="303"/>
        <w:spacing w:after="0" w:line="278" w:lineRule="auto"/>
        <w:rPr>
          <w:sz w:val="20"/>
          <w:szCs w:val="20"/>
          <w:color w:val="auto"/>
        </w:rPr>
      </w:pPr>
      <w:r>
        <w:rPr>
          <w:rFonts w:ascii="Arial" w:cs="Arial" w:eastAsia="Arial" w:hAnsi="Arial"/>
          <w:sz w:val="15"/>
          <w:szCs w:val="15"/>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recognized $4.1 million, $3.2 million, and $2.6 million of Contribution expense in 2011, 2010, and 2009, respectively. At December 31, 2011 and 2010, accrued Contribution expense totaled $3.6 million and $2.9 million, respectively. During the first quarter of 2012 and 2011, the Company contributed 63,937 and 91,761 shares, respectively, of Common Stock to the Savings Plan in satisfaction of these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Income Taxes</w:t>
      </w:r>
    </w:p>
    <w:p>
      <w:pPr>
        <w:spacing w:after="0" w:line="233"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6"/>
          <w:szCs w:val="16"/>
          <w:color w:val="auto"/>
        </w:rPr>
        <w:t>For the year ended December 31, 2011, the Company incurred a net loss for tax purposes and recognized a full valuation allowance against deferred taxes. In 2011, the Company recognized a $1.1 million income tax benefit, consisting of (i) $0.7 million related to tax legislation that allowed the Company to claim a refund for a portion of its unused pre-2006 research tax credits and (ii) $0.4 million in connection with the net tax effect of the change in the Company’s unrealized gain (loss) on “available for sale” marketable securities, which is included in other comprehensive income (loss).</w:t>
      </w:r>
    </w:p>
    <w:p>
      <w:pPr>
        <w:spacing w:after="0" w:line="198" w:lineRule="exact"/>
        <w:rPr>
          <w:sz w:val="20"/>
          <w:szCs w:val="20"/>
          <w:color w:val="auto"/>
        </w:rPr>
      </w:pPr>
    </w:p>
    <w:p>
      <w:pPr>
        <w:jc w:val="both"/>
        <w:ind w:firstLine="303"/>
        <w:spacing w:after="0" w:line="274" w:lineRule="auto"/>
        <w:rPr>
          <w:sz w:val="20"/>
          <w:szCs w:val="20"/>
          <w:color w:val="auto"/>
        </w:rPr>
      </w:pPr>
      <w:r>
        <w:rPr>
          <w:rFonts w:ascii="Arial" w:cs="Arial" w:eastAsia="Arial" w:hAnsi="Arial"/>
          <w:sz w:val="16"/>
          <w:szCs w:val="16"/>
          <w:color w:val="auto"/>
        </w:rPr>
        <w:t>For the year ended December 31, 2010, the Company incurred a net loss for tax purposes and recognized a full valuation allowance against deferred taxes. No provision or benefit for income taxes was recognized by the Company in 2010.</w:t>
      </w:r>
    </w:p>
    <w:p>
      <w:pPr>
        <w:spacing w:after="0" w:line="187" w:lineRule="exact"/>
        <w:rPr>
          <w:sz w:val="20"/>
          <w:szCs w:val="20"/>
          <w:color w:val="auto"/>
        </w:rPr>
      </w:pPr>
    </w:p>
    <w:p>
      <w:pPr>
        <w:jc w:val="both"/>
        <w:ind w:firstLine="340"/>
        <w:spacing w:after="0" w:line="280" w:lineRule="auto"/>
        <w:rPr>
          <w:sz w:val="20"/>
          <w:szCs w:val="20"/>
          <w:color w:val="auto"/>
        </w:rPr>
      </w:pPr>
      <w:r>
        <w:rPr>
          <w:rFonts w:ascii="Arial" w:cs="Arial" w:eastAsia="Arial" w:hAnsi="Arial"/>
          <w:sz w:val="15"/>
          <w:szCs w:val="15"/>
          <w:color w:val="auto"/>
        </w:rPr>
        <w:t>For the year ended December 31, 2009, the Company incurred a net loss for tax purposes and recognized a full valuation allowance against deferred taxes. In 2009, the Company recognized a $4.1 million income tax benefit, consisting of (i) $2.7 million resulting from tax legislation that allowed the Company to claim a refund of U.S. federal alternative minimum tax (“AMT”) that the Company paid in connection with its 2007 U.S. federal income tax return, (ii) $0.7 million resulting from tax legislation that allowed the Company to claim a refund for a portion of its unused pre-2006 research tax credits on its 2009 U.S. federal income tax return, and (iii) $0.7 million in connection with the net tax effect of the Company’s unrealized gain on “available-for-sale” marketable securities, which is included in other comprehensive income in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right="40" w:firstLine="255"/>
        <w:spacing w:after="0" w:line="274" w:lineRule="auto"/>
        <w:rPr>
          <w:sz w:val="20"/>
          <w:szCs w:val="20"/>
          <w:color w:val="auto"/>
        </w:rPr>
      </w:pPr>
      <w:r>
        <w:rPr>
          <w:rFonts w:ascii="Arial" w:cs="Arial" w:eastAsia="Arial" w:hAnsi="Arial"/>
          <w:sz w:val="16"/>
          <w:szCs w:val="16"/>
          <w:color w:val="auto"/>
        </w:rPr>
        <w:t>The tax effect of temporary differences, net operating loss carry-forwards, and research and experimental and other tax credit carry-forwards as of December 31, 2011 and 2010 is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340" w:type="dxa"/>
            <w:vAlign w:val="bottom"/>
            <w:gridSpan w:val="2"/>
          </w:tcPr>
          <w:p>
            <w:pPr>
              <w:jc w:val="right"/>
              <w:ind w:right="141"/>
              <w:spacing w:after="0"/>
              <w:rPr>
                <w:sz w:val="20"/>
                <w:szCs w:val="20"/>
                <w:color w:val="auto"/>
              </w:rPr>
            </w:pPr>
            <w:r>
              <w:rPr>
                <w:rFonts w:ascii="Arial" w:cs="Arial" w:eastAsia="Arial" w:hAnsi="Arial"/>
                <w:sz w:val="16"/>
                <w:szCs w:val="16"/>
                <w:b w:val="1"/>
                <w:bCs w:val="1"/>
                <w:color w:val="auto"/>
              </w:rPr>
              <w:t>2011</w:t>
            </w:r>
          </w:p>
        </w:tc>
        <w:tc>
          <w:tcPr>
            <w:tcW w:w="98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auto"/>
              </w:rPr>
              <w:t>2010</w:t>
            </w:r>
          </w:p>
        </w:tc>
      </w:tr>
      <w:tr>
        <w:trPr>
          <w:trHeight w:val="206"/>
        </w:trPr>
        <w:tc>
          <w:tcPr>
            <w:tcW w:w="20" w:type="dxa"/>
            <w:vAlign w:val="bottom"/>
          </w:tcPr>
          <w:p>
            <w:pPr>
              <w:spacing w:after="0"/>
              <w:rPr>
                <w:sz w:val="17"/>
                <w:szCs w:val="17"/>
                <w:color w:val="auto"/>
              </w:rPr>
            </w:pPr>
          </w:p>
        </w:tc>
        <w:tc>
          <w:tcPr>
            <w:tcW w:w="5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6"/>
                <w:szCs w:val="16"/>
                <w:color w:val="auto"/>
              </w:rPr>
              <w:t>Deferred tax assets:</w:t>
            </w:r>
          </w:p>
        </w:tc>
        <w:tc>
          <w:tcPr>
            <w:tcW w:w="1600" w:type="dxa"/>
            <w:vAlign w:val="bottom"/>
            <w:tcBorders>
              <w:top w:val="single" w:sz="8" w:color="C0C0C0"/>
            </w:tcBorders>
            <w:shd w:val="clear" w:color="auto" w:fill="C0C0C0"/>
          </w:tcPr>
          <w:p>
            <w:pPr>
              <w:spacing w:after="0"/>
              <w:rPr>
                <w:sz w:val="17"/>
                <w:szCs w:val="17"/>
                <w:color w:val="auto"/>
              </w:rPr>
            </w:pPr>
          </w:p>
        </w:tc>
        <w:tc>
          <w:tcPr>
            <w:tcW w:w="74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740" w:type="dxa"/>
            <w:vAlign w:val="bottom"/>
            <w:tcBorders>
              <w:top w:val="single" w:sz="8" w:color="auto"/>
            </w:tcBorders>
            <w:shd w:val="clear" w:color="auto" w:fill="C0C0C0"/>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Net operating loss carry-forward</w:t>
            </w:r>
          </w:p>
        </w:tc>
        <w:tc>
          <w:tcPr>
            <w:tcW w:w="2340" w:type="dxa"/>
            <w:vAlign w:val="bottom"/>
            <w:gridSpan w:val="2"/>
          </w:tcPr>
          <w:p>
            <w:pPr>
              <w:jc w:val="right"/>
              <w:ind w:right="1"/>
              <w:spacing w:after="0"/>
              <w:rPr>
                <w:sz w:val="20"/>
                <w:szCs w:val="20"/>
                <w:color w:val="auto"/>
              </w:rPr>
            </w:pPr>
            <w:r>
              <w:rPr>
                <w:rFonts w:ascii="Arial" w:cs="Arial" w:eastAsia="Arial" w:hAnsi="Arial"/>
                <w:sz w:val="16"/>
                <w:szCs w:val="16"/>
                <w:color w:val="auto"/>
              </w:rPr>
              <w:t>$ 282,480</w:t>
            </w:r>
          </w:p>
        </w:tc>
        <w:tc>
          <w:tcPr>
            <w:tcW w:w="980" w:type="dxa"/>
            <w:vAlign w:val="bottom"/>
            <w:gridSpan w:val="2"/>
          </w:tcPr>
          <w:p>
            <w:pPr>
              <w:jc w:val="right"/>
              <w:ind w:right="1"/>
              <w:spacing w:after="0"/>
              <w:rPr>
                <w:sz w:val="20"/>
                <w:szCs w:val="20"/>
                <w:color w:val="auto"/>
              </w:rPr>
            </w:pPr>
            <w:r>
              <w:rPr>
                <w:rFonts w:ascii="Arial" w:cs="Arial" w:eastAsia="Arial" w:hAnsi="Arial"/>
                <w:sz w:val="16"/>
                <w:szCs w:val="16"/>
                <w:color w:val="auto"/>
              </w:rPr>
              <w:t>$ 243,893</w:t>
            </w:r>
          </w:p>
        </w:tc>
      </w:tr>
      <w:tr>
        <w:trPr>
          <w:trHeight w:val="226"/>
        </w:trPr>
        <w:tc>
          <w:tcPr>
            <w:tcW w:w="20" w:type="dxa"/>
            <w:vAlign w:val="bottom"/>
          </w:tcPr>
          <w:p>
            <w:pPr>
              <w:spacing w:after="0"/>
              <w:rPr>
                <w:sz w:val="19"/>
                <w:szCs w:val="19"/>
                <w:color w:val="auto"/>
              </w:rPr>
            </w:pPr>
          </w:p>
        </w:tc>
        <w:tc>
          <w:tcPr>
            <w:tcW w:w="5800" w:type="dxa"/>
            <w:vAlign w:val="bottom"/>
            <w:shd w:val="clear" w:color="auto" w:fill="C0C0C0"/>
          </w:tcPr>
          <w:p>
            <w:pPr>
              <w:ind w:left="260"/>
              <w:spacing w:after="0"/>
              <w:rPr>
                <w:sz w:val="20"/>
                <w:szCs w:val="20"/>
                <w:color w:val="auto"/>
              </w:rPr>
            </w:pPr>
            <w:r>
              <w:rPr>
                <w:rFonts w:ascii="Arial" w:cs="Arial" w:eastAsia="Arial" w:hAnsi="Arial"/>
                <w:sz w:val="16"/>
                <w:szCs w:val="16"/>
                <w:color w:val="auto"/>
              </w:rPr>
              <w:t>Fixed assets</w:t>
            </w:r>
          </w:p>
        </w:tc>
        <w:tc>
          <w:tcPr>
            <w:tcW w:w="234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14,847</w:t>
            </w:r>
          </w:p>
        </w:tc>
        <w:tc>
          <w:tcPr>
            <w:tcW w:w="98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13,600</w:t>
            </w:r>
          </w:p>
        </w:tc>
      </w:tr>
      <w:tr>
        <w:trPr>
          <w:trHeight w:val="211"/>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340" w:type="dxa"/>
            <w:vAlign w:val="bottom"/>
            <w:gridSpan w:val="2"/>
          </w:tcPr>
          <w:p>
            <w:pPr>
              <w:jc w:val="right"/>
              <w:ind w:right="1"/>
              <w:spacing w:after="0"/>
              <w:rPr>
                <w:sz w:val="20"/>
                <w:szCs w:val="20"/>
                <w:color w:val="auto"/>
              </w:rPr>
            </w:pPr>
            <w:r>
              <w:rPr>
                <w:rFonts w:ascii="Arial" w:cs="Arial" w:eastAsia="Arial" w:hAnsi="Arial"/>
                <w:sz w:val="16"/>
                <w:szCs w:val="16"/>
                <w:color w:val="auto"/>
              </w:rPr>
              <w:t>120,490</w:t>
            </w:r>
          </w:p>
        </w:tc>
        <w:tc>
          <w:tcPr>
            <w:tcW w:w="980" w:type="dxa"/>
            <w:vAlign w:val="bottom"/>
            <w:gridSpan w:val="2"/>
          </w:tcPr>
          <w:p>
            <w:pPr>
              <w:jc w:val="right"/>
              <w:ind w:right="1"/>
              <w:spacing w:after="0"/>
              <w:rPr>
                <w:sz w:val="20"/>
                <w:szCs w:val="20"/>
                <w:color w:val="auto"/>
              </w:rPr>
            </w:pPr>
            <w:r>
              <w:rPr>
                <w:rFonts w:ascii="Arial" w:cs="Arial" w:eastAsia="Arial" w:hAnsi="Arial"/>
                <w:sz w:val="16"/>
                <w:szCs w:val="16"/>
                <w:color w:val="auto"/>
              </w:rPr>
              <w:t>70,443</w:t>
            </w:r>
          </w:p>
        </w:tc>
      </w:tr>
      <w:tr>
        <w:trPr>
          <w:trHeight w:val="226"/>
        </w:trPr>
        <w:tc>
          <w:tcPr>
            <w:tcW w:w="20" w:type="dxa"/>
            <w:vAlign w:val="bottom"/>
          </w:tcPr>
          <w:p>
            <w:pPr>
              <w:spacing w:after="0"/>
              <w:rPr>
                <w:sz w:val="19"/>
                <w:szCs w:val="19"/>
                <w:color w:val="auto"/>
              </w:rPr>
            </w:pPr>
          </w:p>
        </w:tc>
        <w:tc>
          <w:tcPr>
            <w:tcW w:w="5800" w:type="dxa"/>
            <w:vAlign w:val="bottom"/>
            <w:shd w:val="clear" w:color="auto" w:fill="C0C0C0"/>
          </w:tcPr>
          <w:p>
            <w:pPr>
              <w:ind w:left="260"/>
              <w:spacing w:after="0"/>
              <w:rPr>
                <w:sz w:val="20"/>
                <w:szCs w:val="20"/>
                <w:color w:val="auto"/>
              </w:rPr>
            </w:pPr>
            <w:r>
              <w:rPr>
                <w:rFonts w:ascii="Arial" w:cs="Arial" w:eastAsia="Arial" w:hAnsi="Arial"/>
                <w:sz w:val="16"/>
                <w:szCs w:val="16"/>
                <w:color w:val="auto"/>
              </w:rPr>
              <w:t>Deferred compensation</w:t>
            </w:r>
          </w:p>
        </w:tc>
        <w:tc>
          <w:tcPr>
            <w:tcW w:w="234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47,092</w:t>
            </w:r>
          </w:p>
        </w:tc>
        <w:tc>
          <w:tcPr>
            <w:tcW w:w="98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39,120</w:t>
            </w:r>
          </w:p>
        </w:tc>
      </w:tr>
      <w:tr>
        <w:trPr>
          <w:trHeight w:val="211"/>
        </w:trPr>
        <w:tc>
          <w:tcPr>
            <w:tcW w:w="20" w:type="dxa"/>
            <w:vAlign w:val="bottom"/>
          </w:tcPr>
          <w:p>
            <w:pPr>
              <w:spacing w:after="0"/>
              <w:rPr>
                <w:sz w:val="18"/>
                <w:szCs w:val="18"/>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Research and experimental and other tax credit carry-forwards</w:t>
            </w:r>
          </w:p>
        </w:tc>
        <w:tc>
          <w:tcPr>
            <w:tcW w:w="2340" w:type="dxa"/>
            <w:vAlign w:val="bottom"/>
            <w:gridSpan w:val="2"/>
          </w:tcPr>
          <w:p>
            <w:pPr>
              <w:jc w:val="right"/>
              <w:ind w:right="1"/>
              <w:spacing w:after="0"/>
              <w:rPr>
                <w:sz w:val="20"/>
                <w:szCs w:val="20"/>
                <w:color w:val="auto"/>
              </w:rPr>
            </w:pPr>
            <w:r>
              <w:rPr>
                <w:rFonts w:ascii="Arial" w:cs="Arial" w:eastAsia="Arial" w:hAnsi="Arial"/>
                <w:sz w:val="16"/>
                <w:szCs w:val="16"/>
                <w:color w:val="auto"/>
              </w:rPr>
              <w:t>67,734</w:t>
            </w:r>
          </w:p>
        </w:tc>
        <w:tc>
          <w:tcPr>
            <w:tcW w:w="980" w:type="dxa"/>
            <w:vAlign w:val="bottom"/>
            <w:gridSpan w:val="2"/>
          </w:tcPr>
          <w:p>
            <w:pPr>
              <w:jc w:val="right"/>
              <w:ind w:right="1"/>
              <w:spacing w:after="0"/>
              <w:rPr>
                <w:sz w:val="20"/>
                <w:szCs w:val="20"/>
                <w:color w:val="auto"/>
              </w:rPr>
            </w:pPr>
            <w:r>
              <w:rPr>
                <w:rFonts w:ascii="Arial" w:cs="Arial" w:eastAsia="Arial" w:hAnsi="Arial"/>
                <w:sz w:val="16"/>
                <w:szCs w:val="16"/>
                <w:color w:val="auto"/>
              </w:rPr>
              <w:t>45,588</w:t>
            </w:r>
          </w:p>
        </w:tc>
      </w:tr>
      <w:tr>
        <w:trPr>
          <w:trHeight w:val="226"/>
        </w:trPr>
        <w:tc>
          <w:tcPr>
            <w:tcW w:w="20" w:type="dxa"/>
            <w:vAlign w:val="bottom"/>
          </w:tcPr>
          <w:p>
            <w:pPr>
              <w:spacing w:after="0"/>
              <w:rPr>
                <w:sz w:val="19"/>
                <w:szCs w:val="19"/>
                <w:color w:val="auto"/>
              </w:rPr>
            </w:pPr>
          </w:p>
        </w:tc>
        <w:tc>
          <w:tcPr>
            <w:tcW w:w="5800" w:type="dxa"/>
            <w:vAlign w:val="bottom"/>
            <w:shd w:val="clear" w:color="auto" w:fill="C0C0C0"/>
          </w:tcPr>
          <w:p>
            <w:pPr>
              <w:ind w:left="260"/>
              <w:spacing w:after="0"/>
              <w:rPr>
                <w:sz w:val="20"/>
                <w:szCs w:val="20"/>
                <w:color w:val="auto"/>
              </w:rPr>
            </w:pPr>
            <w:r>
              <w:rPr>
                <w:rFonts w:ascii="Arial" w:cs="Arial" w:eastAsia="Arial" w:hAnsi="Arial"/>
                <w:sz w:val="16"/>
                <w:szCs w:val="16"/>
                <w:color w:val="auto"/>
              </w:rPr>
              <w:t>Capitalized research and development costs</w:t>
            </w:r>
          </w:p>
        </w:tc>
        <w:tc>
          <w:tcPr>
            <w:tcW w:w="234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31,371</w:t>
            </w:r>
          </w:p>
        </w:tc>
        <w:tc>
          <w:tcPr>
            <w:tcW w:w="98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38,865</w:t>
            </w:r>
          </w:p>
        </w:tc>
      </w:tr>
      <w:tr>
        <w:trPr>
          <w:trHeight w:val="211"/>
        </w:trPr>
        <w:tc>
          <w:tcPr>
            <w:tcW w:w="20" w:type="dxa"/>
            <w:vAlign w:val="bottom"/>
          </w:tcPr>
          <w:p>
            <w:pPr>
              <w:spacing w:after="0"/>
              <w:rPr>
                <w:sz w:val="18"/>
                <w:szCs w:val="18"/>
                <w:color w:val="auto"/>
              </w:rPr>
            </w:pPr>
          </w:p>
        </w:tc>
        <w:tc>
          <w:tcPr>
            <w:tcW w:w="5800" w:type="dxa"/>
            <w:vAlign w:val="bottom"/>
            <w:tcBorders>
              <w:bottom w:val="single" w:sz="8" w:color="C0C0C0"/>
            </w:tcBorders>
          </w:tcPr>
          <w:p>
            <w:pPr>
              <w:ind w:left="26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0C0C0"/>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15,956</w:t>
            </w:r>
          </w:p>
        </w:tc>
        <w:tc>
          <w:tcPr>
            <w:tcW w:w="240" w:type="dxa"/>
            <w:vAlign w:val="bottom"/>
            <w:tcBorders>
              <w:bottom w:val="single" w:sz="8" w:color="C0C0C0"/>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10,863</w:t>
            </w:r>
          </w:p>
        </w:tc>
      </w:tr>
      <w:tr>
        <w:trPr>
          <w:trHeight w:val="218"/>
        </w:trPr>
        <w:tc>
          <w:tcPr>
            <w:tcW w:w="20" w:type="dxa"/>
            <w:vAlign w:val="bottom"/>
          </w:tcPr>
          <w:p>
            <w:pPr>
              <w:spacing w:after="0"/>
              <w:rPr>
                <w:sz w:val="18"/>
                <w:szCs w:val="18"/>
                <w:color w:val="auto"/>
              </w:rPr>
            </w:pPr>
          </w:p>
        </w:tc>
        <w:tc>
          <w:tcPr>
            <w:tcW w:w="5800" w:type="dxa"/>
            <w:vAlign w:val="bottom"/>
            <w:shd w:val="clear" w:color="auto" w:fill="C0C0C0"/>
          </w:tcPr>
          <w:p>
            <w:pPr>
              <w:spacing w:after="0"/>
              <w:rPr>
                <w:sz w:val="18"/>
                <w:szCs w:val="18"/>
                <w:color w:val="auto"/>
              </w:rPr>
            </w:pPr>
          </w:p>
        </w:tc>
        <w:tc>
          <w:tcPr>
            <w:tcW w:w="234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579,790</w:t>
            </w:r>
          </w:p>
        </w:tc>
        <w:tc>
          <w:tcPr>
            <w:tcW w:w="98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462,372</w:t>
            </w:r>
          </w:p>
        </w:tc>
      </w:tr>
      <w:tr>
        <w:trPr>
          <w:trHeight w:val="191"/>
        </w:trPr>
        <w:tc>
          <w:tcPr>
            <w:tcW w:w="582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16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0C0C0"/>
          </w:tcPr>
          <w:p>
            <w:pPr>
              <w:ind w:left="260"/>
              <w:spacing w:after="0"/>
              <w:rPr>
                <w:sz w:val="20"/>
                <w:szCs w:val="20"/>
                <w:color w:val="auto"/>
              </w:rPr>
            </w:pPr>
            <w:r>
              <w:rPr>
                <w:rFonts w:ascii="Arial" w:cs="Arial" w:eastAsia="Arial" w:hAnsi="Arial"/>
                <w:sz w:val="16"/>
                <w:szCs w:val="16"/>
                <w:color w:val="auto"/>
              </w:rPr>
              <w:t>Convertible senior notes</w:t>
            </w:r>
          </w:p>
        </w:tc>
        <w:tc>
          <w:tcPr>
            <w:tcW w:w="234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(1,428)</w:t>
            </w:r>
          </w:p>
        </w:tc>
        <w:tc>
          <w:tcPr>
            <w:tcW w:w="240" w:type="dxa"/>
            <w:vAlign w:val="bottom"/>
            <w:shd w:val="clear" w:color="auto" w:fill="C0C0C0"/>
          </w:tcPr>
          <w:p>
            <w:pPr>
              <w:spacing w:after="0"/>
              <w:rPr>
                <w:sz w:val="18"/>
                <w:szCs w:val="18"/>
                <w:color w:val="auto"/>
              </w:rPr>
            </w:pPr>
          </w:p>
        </w:tc>
        <w:tc>
          <w:tcPr>
            <w:tcW w:w="740" w:type="dxa"/>
            <w:vAlign w:val="bottom"/>
            <w:shd w:val="clear" w:color="auto" w:fill="C0C0C0"/>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0C0C0"/>
          </w:tcPr>
          <w:p>
            <w:pPr>
              <w:spacing w:after="0"/>
              <w:rPr>
                <w:sz w:val="20"/>
                <w:szCs w:val="20"/>
                <w:color w:val="auto"/>
              </w:rPr>
            </w:pPr>
            <w:r>
              <w:rPr>
                <w:rFonts w:ascii="Arial" w:cs="Arial" w:eastAsia="Arial" w:hAnsi="Arial"/>
                <w:sz w:val="16"/>
                <w:szCs w:val="16"/>
                <w:color w:val="auto"/>
              </w:rPr>
              <w:t>Net deferred tax assets</w:t>
            </w:r>
          </w:p>
        </w:tc>
        <w:tc>
          <w:tcPr>
            <w:tcW w:w="2340" w:type="dxa"/>
            <w:vAlign w:val="bottom"/>
            <w:gridSpan w:val="2"/>
            <w:shd w:val="clear" w:color="auto" w:fill="C0C0C0"/>
          </w:tcPr>
          <w:p>
            <w:pPr>
              <w:jc w:val="right"/>
              <w:ind w:right="1"/>
              <w:spacing w:after="0"/>
              <w:rPr>
                <w:sz w:val="20"/>
                <w:szCs w:val="20"/>
                <w:color w:val="auto"/>
              </w:rPr>
            </w:pPr>
            <w:r>
              <w:rPr>
                <w:rFonts w:ascii="Arial" w:cs="Arial" w:eastAsia="Arial" w:hAnsi="Arial"/>
                <w:sz w:val="16"/>
                <w:szCs w:val="16"/>
                <w:color w:val="auto"/>
              </w:rPr>
              <w:t>578,542</w:t>
            </w:r>
          </w:p>
        </w:tc>
        <w:tc>
          <w:tcPr>
            <w:tcW w:w="240" w:type="dxa"/>
            <w:vAlign w:val="bottom"/>
            <w:shd w:val="clear" w:color="auto" w:fill="C0C0C0"/>
          </w:tcPr>
          <w:p>
            <w:pPr>
              <w:spacing w:after="0"/>
              <w:rPr>
                <w:sz w:val="18"/>
                <w:szCs w:val="18"/>
                <w:color w:val="auto"/>
              </w:rPr>
            </w:pPr>
          </w:p>
        </w:tc>
        <w:tc>
          <w:tcPr>
            <w:tcW w:w="740" w:type="dxa"/>
            <w:vAlign w:val="bottom"/>
            <w:shd w:val="clear" w:color="auto" w:fill="C0C0C0"/>
          </w:tcPr>
          <w:p>
            <w:pPr>
              <w:spacing w:after="0"/>
              <w:rPr>
                <w:sz w:val="18"/>
                <w:szCs w:val="18"/>
                <w:color w:val="auto"/>
              </w:rPr>
            </w:pPr>
          </w:p>
        </w:tc>
      </w:tr>
      <w:tr>
        <w:trPr>
          <w:trHeight w:val="211"/>
        </w:trPr>
        <w:tc>
          <w:tcPr>
            <w:tcW w:w="5820" w:type="dxa"/>
            <w:vAlign w:val="bottom"/>
            <w:gridSpan w:val="2"/>
          </w:tcPr>
          <w:p>
            <w:pPr>
              <w:spacing w:after="0"/>
              <w:rPr>
                <w:sz w:val="20"/>
                <w:szCs w:val="20"/>
                <w:color w:val="auto"/>
              </w:rPr>
            </w:pPr>
            <w:r>
              <w:rPr>
                <w:rFonts w:ascii="Arial" w:cs="Arial" w:eastAsia="Arial" w:hAnsi="Arial"/>
                <w:sz w:val="16"/>
                <w:szCs w:val="16"/>
                <w:color w:val="auto"/>
              </w:rPr>
              <w:t>Valuation allowance</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(578,542)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(462,372)</w:t>
            </w:r>
          </w:p>
        </w:tc>
      </w:tr>
      <w:tr>
        <w:trPr>
          <w:trHeight w:val="222"/>
        </w:trPr>
        <w:tc>
          <w:tcPr>
            <w:tcW w:w="20" w:type="dxa"/>
            <w:vAlign w:val="bottom"/>
          </w:tcPr>
          <w:p>
            <w:pPr>
              <w:spacing w:after="0"/>
              <w:rPr>
                <w:sz w:val="19"/>
                <w:szCs w:val="19"/>
                <w:color w:val="auto"/>
              </w:rPr>
            </w:pPr>
          </w:p>
        </w:tc>
        <w:tc>
          <w:tcPr>
            <w:tcW w:w="5800" w:type="dxa"/>
            <w:vAlign w:val="bottom"/>
            <w:tcBorders>
              <w:top w:val="single" w:sz="8" w:color="C0C0C0"/>
              <w:bottom w:val="single" w:sz="8" w:color="C0C0C0"/>
            </w:tcBorders>
            <w:shd w:val="clear" w:color="auto" w:fill="C0C0C0"/>
          </w:tcPr>
          <w:p>
            <w:pPr>
              <w:spacing w:after="0"/>
              <w:rPr>
                <w:sz w:val="19"/>
                <w:szCs w:val="19"/>
                <w:color w:val="auto"/>
              </w:rPr>
            </w:pPr>
          </w:p>
        </w:tc>
        <w:tc>
          <w:tcPr>
            <w:tcW w:w="1600" w:type="dxa"/>
            <w:vAlign w:val="bottom"/>
            <w:tcBorders>
              <w:top w:val="single" w:sz="8" w:color="C0C0C0"/>
              <w:bottom w:val="single" w:sz="8" w:color="C0C0C0"/>
            </w:tcBorders>
            <w:shd w:val="clear" w:color="auto" w:fill="C0C0C0"/>
          </w:tcPr>
          <w:p>
            <w:pPr>
              <w:spacing w:after="0"/>
              <w:rPr>
                <w:sz w:val="19"/>
                <w:szCs w:val="19"/>
                <w:color w:val="auto"/>
              </w:rPr>
            </w:pPr>
          </w:p>
        </w:tc>
        <w:tc>
          <w:tcPr>
            <w:tcW w:w="740" w:type="dxa"/>
            <w:vAlign w:val="bottom"/>
            <w:tcBorders>
              <w:top w:val="single" w:sz="8" w:color="auto"/>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0C0C0"/>
              <w:bottom w:val="single" w:sz="8" w:color="C0C0C0"/>
            </w:tcBorders>
            <w:shd w:val="clear" w:color="auto" w:fill="C0C0C0"/>
          </w:tcPr>
          <w:p>
            <w:pPr>
              <w:spacing w:after="0"/>
              <w:rPr>
                <w:sz w:val="19"/>
                <w:szCs w:val="19"/>
                <w:color w:val="auto"/>
              </w:rPr>
            </w:pPr>
          </w:p>
        </w:tc>
        <w:tc>
          <w:tcPr>
            <w:tcW w:w="740" w:type="dxa"/>
            <w:vAlign w:val="bottom"/>
            <w:tcBorders>
              <w:top w:val="single" w:sz="8" w:color="auto"/>
              <w:bottom w:val="single" w:sz="8" w:color="auto"/>
            </w:tcBorders>
            <w:shd w:val="clear" w:color="auto" w:fill="C0C0C0"/>
          </w:tcPr>
          <w:p>
            <w:pPr>
              <w:jc w:val="right"/>
              <w:ind w:right="1"/>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8" w:lineRule="exact"/>
        <w:rPr>
          <w:sz w:val="20"/>
          <w:szCs w:val="20"/>
          <w:color w:val="auto"/>
        </w:rPr>
      </w:pPr>
    </w:p>
    <w:p>
      <w:pPr>
        <w:jc w:val="both"/>
        <w:ind w:right="40" w:firstLine="291"/>
        <w:spacing w:after="0" w:line="264" w:lineRule="auto"/>
        <w:rPr>
          <w:sz w:val="20"/>
          <w:szCs w:val="20"/>
          <w:color w:val="auto"/>
        </w:rPr>
      </w:pPr>
      <w:r>
        <w:rPr>
          <w:rFonts w:ascii="Arial" w:cs="Arial" w:eastAsia="Arial" w:hAnsi="Arial"/>
          <w:sz w:val="16"/>
          <w:szCs w:val="16"/>
          <w:color w:val="auto"/>
        </w:rPr>
        <w:t>The Company’s valuation allowance increased by $116.2 million in 2011, due primarily to increases in the Company’s net operating loss carry-forward and tax credit carry-forwards and the full recognition of the $165.0 million up-front payment received from Astellas in 2010 as taxable income in 2011. The Company’s valuation allowance increased by $63.0 million in 2010, due primarily to increases in the net operating loss carry-forward and tax credit carry-forwards.</w:t>
      </w:r>
    </w:p>
    <w:p>
      <w:pPr>
        <w:spacing w:after="0" w:line="194" w:lineRule="exact"/>
        <w:rPr>
          <w:sz w:val="20"/>
          <w:szCs w:val="20"/>
          <w:color w:val="auto"/>
        </w:rPr>
      </w:pPr>
    </w:p>
    <w:p>
      <w:pPr>
        <w:jc w:val="both"/>
        <w:ind w:right="20" w:firstLine="315"/>
        <w:spacing w:after="0" w:line="283" w:lineRule="auto"/>
        <w:rPr>
          <w:sz w:val="20"/>
          <w:szCs w:val="20"/>
          <w:color w:val="auto"/>
        </w:rPr>
      </w:pPr>
      <w:r>
        <w:rPr>
          <w:rFonts w:ascii="Arial" w:cs="Arial" w:eastAsia="Arial" w:hAnsi="Arial"/>
          <w:sz w:val="15"/>
          <w:szCs w:val="15"/>
          <w:color w:val="auto"/>
        </w:rPr>
        <w:t>The Company is primarily subject to U.S. federal and New York State income taxes. The difference between the Company’s effective income tax rate and the U.S federal statutory rate of 35% is primarily attributable to an increase in the deferred tax valuation allowance. In 2011 and early 2012, U.S. federal tax authorities concluded examinations of the Company’s 2007, 2008, and 2009 federal income tax returns. The Company’s 2010 federal income tax return is currently being examined by the U.S. federal tax authorities. In addition, tax years subsequent to 2007 remain open to examination by New York State tax authorities.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2011 and 2010, the Company had no accruals for interest or penalties related to income tax matters.</w:t>
      </w:r>
    </w:p>
    <w:p>
      <w:pPr>
        <w:spacing w:after="0" w:line="229" w:lineRule="exact"/>
        <w:rPr>
          <w:sz w:val="20"/>
          <w:szCs w:val="20"/>
          <w:color w:val="auto"/>
        </w:rPr>
      </w:pPr>
    </w:p>
    <w:p>
      <w:pPr>
        <w:jc w:val="both"/>
        <w:ind w:right="20" w:firstLine="243"/>
        <w:spacing w:after="0" w:line="278" w:lineRule="auto"/>
        <w:rPr>
          <w:sz w:val="20"/>
          <w:szCs w:val="20"/>
          <w:color w:val="auto"/>
        </w:rPr>
      </w:pPr>
      <w:r>
        <w:rPr>
          <w:rFonts w:ascii="Arial" w:cs="Arial" w:eastAsia="Arial" w:hAnsi="Arial"/>
          <w:sz w:val="15"/>
          <w:szCs w:val="15"/>
          <w:color w:val="auto"/>
        </w:rPr>
        <w:t>As of December 31, 2011, the Company had available for tax purposes unused net operating loss carry-forwards of $800.2 million which will expire in various years from 2018 to 2031 and included $96.2 million of net operating loss carry-forwards related to exercises of Nonqualified Stock Options and disqualifying dispositions of Incentive Stock Options, the tax benefit from which, if realized, will be credited to additional paid-in capital. The Company's research and experimental and other tax credit carry-forwards expire in various years from 2012 to 2031.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80" w:type="dxa"/>
            <w:vAlign w:val="bottom"/>
            <w:gridSpan w:val="5"/>
          </w:tcPr>
          <w:p>
            <w:pPr>
              <w:jc w:val="right"/>
              <w:ind w:right="241"/>
              <w:spacing w:after="0"/>
              <w:rPr>
                <w:sz w:val="20"/>
                <w:szCs w:val="20"/>
                <w:color w:val="auto"/>
              </w:rPr>
            </w:pPr>
            <w:r>
              <w:rPr>
                <w:rFonts w:ascii="Arial" w:cs="Arial" w:eastAsia="Arial" w:hAnsi="Arial"/>
                <w:sz w:val="16"/>
                <w:szCs w:val="16"/>
                <w:color w:val="auto"/>
                <w:w w:val="91"/>
              </w:rPr>
              <w:t>The following table summarizes the gross amounts of unrecognized tax benefits at the beginning and end of 2011 and 2010: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8"/>
        </w:trPr>
        <w:tc>
          <w:tcPr>
            <w:tcW w:w="2300" w:type="dxa"/>
            <w:vAlign w:val="bottom"/>
          </w:tcPr>
          <w:p>
            <w:pPr>
              <w:spacing w:after="0"/>
              <w:rPr>
                <w:sz w:val="24"/>
                <w:szCs w:val="24"/>
                <w:color w:val="auto"/>
              </w:rPr>
            </w:pPr>
          </w:p>
        </w:tc>
        <w:tc>
          <w:tcPr>
            <w:tcW w:w="326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5"/>
              </w:rPr>
              <w:t>2011</w:t>
            </w:r>
          </w:p>
        </w:tc>
        <w:tc>
          <w:tcPr>
            <w:tcW w:w="240" w:type="dxa"/>
            <w:vAlign w:val="bottom"/>
            <w:tcBorders>
              <w:bottom w:val="single" w:sz="8" w:color="C0C0C0"/>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2010</w:t>
            </w:r>
          </w:p>
        </w:tc>
        <w:tc>
          <w:tcPr>
            <w:tcW w:w="2320" w:type="dxa"/>
            <w:vAlign w:val="bottom"/>
          </w:tcPr>
          <w:p>
            <w:pPr>
              <w:spacing w:after="0"/>
              <w:rPr>
                <w:sz w:val="24"/>
                <w:szCs w:val="24"/>
                <w:color w:val="auto"/>
              </w:rPr>
            </w:pPr>
          </w:p>
        </w:tc>
      </w:tr>
      <w:tr>
        <w:trPr>
          <w:trHeight w:val="218"/>
        </w:trPr>
        <w:tc>
          <w:tcPr>
            <w:tcW w:w="2300" w:type="dxa"/>
            <w:vAlign w:val="bottom"/>
          </w:tcPr>
          <w:p>
            <w:pPr>
              <w:spacing w:after="0"/>
              <w:rPr>
                <w:sz w:val="18"/>
                <w:szCs w:val="18"/>
                <w:color w:val="auto"/>
              </w:rPr>
            </w:pPr>
          </w:p>
        </w:tc>
        <w:tc>
          <w:tcPr>
            <w:tcW w:w="3260" w:type="dxa"/>
            <w:vAlign w:val="bottom"/>
            <w:shd w:val="clear" w:color="auto" w:fill="C0C0C0"/>
          </w:tcPr>
          <w:p>
            <w:pPr>
              <w:spacing w:after="0"/>
              <w:rPr>
                <w:sz w:val="20"/>
                <w:szCs w:val="20"/>
                <w:color w:val="auto"/>
              </w:rPr>
            </w:pPr>
            <w:r>
              <w:rPr>
                <w:rFonts w:ascii="Arial" w:cs="Arial" w:eastAsia="Arial" w:hAnsi="Arial"/>
                <w:sz w:val="16"/>
                <w:szCs w:val="16"/>
                <w:color w:val="auto"/>
              </w:rPr>
              <w:t>Balance as of January 1</w:t>
            </w:r>
          </w:p>
        </w:tc>
        <w:tc>
          <w:tcPr>
            <w:tcW w:w="2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5"/>
              </w:rPr>
              <w:t>12,819</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18"/>
                <w:szCs w:val="18"/>
                <w:color w:val="auto"/>
              </w:rPr>
            </w:pPr>
          </w:p>
        </w:tc>
      </w:tr>
      <w:tr>
        <w:trPr>
          <w:trHeight w:val="211"/>
        </w:trPr>
        <w:tc>
          <w:tcPr>
            <w:tcW w:w="5560" w:type="dxa"/>
            <w:vAlign w:val="bottom"/>
            <w:gridSpan w:val="2"/>
          </w:tcPr>
          <w:p>
            <w:pPr>
              <w:ind w:left="2280"/>
              <w:spacing w:after="0"/>
              <w:rPr>
                <w:sz w:val="20"/>
                <w:szCs w:val="20"/>
                <w:color w:val="auto"/>
              </w:rPr>
            </w:pPr>
            <w:r>
              <w:rPr>
                <w:rFonts w:ascii="Arial" w:cs="Arial" w:eastAsia="Arial" w:hAnsi="Arial"/>
                <w:sz w:val="16"/>
                <w:szCs w:val="16"/>
                <w:color w:val="auto"/>
                <w:w w:val="88"/>
              </w:rPr>
              <w:t>Gross increases related to current year tax positions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3,550</w:t>
            </w:r>
          </w:p>
        </w:tc>
        <w:tc>
          <w:tcPr>
            <w:tcW w:w="2320" w:type="dxa"/>
            <w:vAlign w:val="bottom"/>
          </w:tcPr>
          <w:p>
            <w:pPr>
              <w:spacing w:after="0"/>
              <w:rPr>
                <w:sz w:val="18"/>
                <w:szCs w:val="18"/>
                <w:color w:val="auto"/>
              </w:rPr>
            </w:pPr>
          </w:p>
        </w:tc>
      </w:tr>
      <w:tr>
        <w:trPr>
          <w:trHeight w:val="226"/>
        </w:trPr>
        <w:tc>
          <w:tcPr>
            <w:tcW w:w="2300" w:type="dxa"/>
            <w:vAlign w:val="bottom"/>
          </w:tcPr>
          <w:p>
            <w:pPr>
              <w:spacing w:after="0"/>
              <w:rPr>
                <w:sz w:val="19"/>
                <w:szCs w:val="19"/>
                <w:color w:val="auto"/>
              </w:rPr>
            </w:pPr>
          </w:p>
        </w:tc>
        <w:tc>
          <w:tcPr>
            <w:tcW w:w="3260" w:type="dxa"/>
            <w:vAlign w:val="bottom"/>
            <w:shd w:val="clear" w:color="auto" w:fill="C0C0C0"/>
          </w:tcPr>
          <w:p>
            <w:pPr>
              <w:spacing w:after="0"/>
              <w:rPr>
                <w:sz w:val="20"/>
                <w:szCs w:val="20"/>
                <w:color w:val="auto"/>
              </w:rPr>
            </w:pPr>
            <w:r>
              <w:rPr>
                <w:rFonts w:ascii="Arial" w:cs="Arial" w:eastAsia="Arial" w:hAnsi="Arial"/>
                <w:sz w:val="16"/>
                <w:szCs w:val="16"/>
                <w:color w:val="auto"/>
                <w:w w:val="91"/>
              </w:rPr>
              <w:t>Gross increases related to prior year tax positions</w:t>
            </w:r>
          </w:p>
        </w:tc>
        <w:tc>
          <w:tcPr>
            <w:tcW w:w="2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rPr>
              <w:t>9,269</w:t>
            </w:r>
          </w:p>
        </w:tc>
        <w:tc>
          <w:tcPr>
            <w:tcW w:w="2320" w:type="dxa"/>
            <w:vAlign w:val="bottom"/>
          </w:tcPr>
          <w:p>
            <w:pPr>
              <w:spacing w:after="0"/>
              <w:rPr>
                <w:sz w:val="19"/>
                <w:szCs w:val="19"/>
                <w:color w:val="auto"/>
              </w:rPr>
            </w:pPr>
          </w:p>
        </w:tc>
      </w:tr>
      <w:tr>
        <w:trPr>
          <w:trHeight w:val="211"/>
        </w:trPr>
        <w:tc>
          <w:tcPr>
            <w:tcW w:w="5560" w:type="dxa"/>
            <w:vAlign w:val="bottom"/>
            <w:gridSpan w:val="2"/>
          </w:tcPr>
          <w:p>
            <w:pPr>
              <w:ind w:left="2280"/>
              <w:spacing w:after="0"/>
              <w:rPr>
                <w:sz w:val="20"/>
                <w:szCs w:val="20"/>
                <w:color w:val="auto"/>
              </w:rPr>
            </w:pPr>
            <w:r>
              <w:rPr>
                <w:rFonts w:ascii="Arial" w:cs="Arial" w:eastAsia="Arial" w:hAnsi="Arial"/>
                <w:sz w:val="16"/>
                <w:szCs w:val="16"/>
                <w:color w:val="auto"/>
              </w:rPr>
              <w:t>Gross decreases due to settlements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(9,415)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shd w:val="clear" w:color="auto" w:fill="C0C0C0"/>
          </w:tcPr>
          <w:p>
            <w:pPr>
              <w:spacing w:after="0" w:line="20" w:lineRule="exact"/>
              <w:rPr>
                <w:sz w:val="1"/>
                <w:szCs w:val="1"/>
                <w:color w:val="auto"/>
              </w:rPr>
            </w:pPr>
          </w:p>
        </w:tc>
        <w:tc>
          <w:tcPr>
            <w:tcW w:w="2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2"/>
        </w:trPr>
        <w:tc>
          <w:tcPr>
            <w:tcW w:w="2300" w:type="dxa"/>
            <w:vAlign w:val="bottom"/>
          </w:tcPr>
          <w:p>
            <w:pPr>
              <w:spacing w:after="0"/>
              <w:rPr>
                <w:sz w:val="19"/>
                <w:szCs w:val="19"/>
                <w:color w:val="auto"/>
              </w:rPr>
            </w:pPr>
          </w:p>
        </w:tc>
        <w:tc>
          <w:tcPr>
            <w:tcW w:w="3260" w:type="dxa"/>
            <w:vAlign w:val="bottom"/>
            <w:shd w:val="clear" w:color="auto" w:fill="C0C0C0"/>
          </w:tcPr>
          <w:p>
            <w:pPr>
              <w:spacing w:after="0"/>
              <w:rPr>
                <w:sz w:val="20"/>
                <w:szCs w:val="20"/>
                <w:color w:val="auto"/>
              </w:rPr>
            </w:pPr>
            <w:r>
              <w:rPr>
                <w:rFonts w:ascii="Arial" w:cs="Arial" w:eastAsia="Arial" w:hAnsi="Arial"/>
                <w:sz w:val="16"/>
                <w:szCs w:val="16"/>
                <w:color w:val="auto"/>
              </w:rPr>
              <w:t>Balance as of December 31</w:t>
            </w:r>
          </w:p>
        </w:tc>
        <w:tc>
          <w:tcPr>
            <w:tcW w:w="2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5,596</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5"/>
              </w:rPr>
              <w:t>12,819</w:t>
            </w:r>
          </w:p>
        </w:tc>
        <w:tc>
          <w:tcPr>
            <w:tcW w:w="2320" w:type="dxa"/>
            <w:vAlign w:val="bottom"/>
          </w:tcPr>
          <w:p>
            <w:pPr>
              <w:spacing w:after="0"/>
              <w:rPr>
                <w:sz w:val="19"/>
                <w:szCs w:val="19"/>
                <w:color w:val="auto"/>
              </w:rPr>
            </w:pPr>
          </w:p>
        </w:tc>
      </w:tr>
      <w:tr>
        <w:trPr>
          <w:trHeight w:val="604"/>
        </w:trPr>
        <w:tc>
          <w:tcPr>
            <w:tcW w:w="2300" w:type="dxa"/>
            <w:vAlign w:val="bottom"/>
          </w:tcPr>
          <w:p>
            <w:pPr>
              <w:spacing w:after="0"/>
              <w:rPr>
                <w:sz w:val="24"/>
                <w:szCs w:val="24"/>
                <w:color w:val="auto"/>
              </w:rPr>
            </w:pPr>
          </w:p>
        </w:tc>
        <w:tc>
          <w:tcPr>
            <w:tcW w:w="3260" w:type="dxa"/>
            <w:vAlign w:val="bottom"/>
            <w:tcBorders>
              <w:top w:val="single" w:sz="8" w:color="C0C0C0"/>
            </w:tcBorders>
          </w:tcPr>
          <w:p>
            <w:pPr>
              <w:spacing w:after="0"/>
              <w:rPr>
                <w:sz w:val="24"/>
                <w:szCs w:val="24"/>
                <w:color w:val="auto"/>
              </w:rPr>
            </w:pPr>
          </w:p>
        </w:tc>
        <w:tc>
          <w:tcPr>
            <w:tcW w:w="2240" w:type="dxa"/>
            <w:vAlign w:val="bottom"/>
            <w:tcBorders>
              <w:top w:val="single" w:sz="8" w:color="C0C0C0"/>
            </w:tcBorders>
          </w:tcPr>
          <w:p>
            <w:pPr>
              <w:spacing w:after="0"/>
              <w:rPr>
                <w:sz w:val="20"/>
                <w:szCs w:val="20"/>
                <w:color w:val="auto"/>
              </w:rPr>
            </w:pPr>
            <w:r>
              <w:rPr>
                <w:rFonts w:ascii="Arial" w:cs="Arial" w:eastAsia="Arial" w:hAnsi="Arial"/>
                <w:sz w:val="16"/>
                <w:szCs w:val="16"/>
                <w:color w:val="auto"/>
              </w:rPr>
              <w:t>F-35</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205"/>
        </w:trPr>
        <w:tc>
          <w:tcPr>
            <w:tcW w:w="2300" w:type="dxa"/>
            <w:vAlign w:val="bottom"/>
            <w:tcBorders>
              <w:bottom w:val="single" w:sz="8" w:color="808080"/>
            </w:tcBorders>
          </w:tcPr>
          <w:p>
            <w:pPr>
              <w:spacing w:after="0"/>
              <w:rPr>
                <w:sz w:val="17"/>
                <w:szCs w:val="17"/>
                <w:color w:val="auto"/>
              </w:rPr>
            </w:pPr>
          </w:p>
        </w:tc>
        <w:tc>
          <w:tcPr>
            <w:tcW w:w="3260" w:type="dxa"/>
            <w:vAlign w:val="bottom"/>
            <w:tcBorders>
              <w:bottom w:val="single" w:sz="8" w:color="808080"/>
            </w:tcBorders>
          </w:tcPr>
          <w:p>
            <w:pPr>
              <w:spacing w:after="0"/>
              <w:rPr>
                <w:sz w:val="17"/>
                <w:szCs w:val="17"/>
                <w:color w:val="auto"/>
              </w:rPr>
            </w:pPr>
          </w:p>
        </w:tc>
        <w:tc>
          <w:tcPr>
            <w:tcW w:w="22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39" w:right="1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jc w:val="both"/>
        <w:ind w:firstLine="279"/>
        <w:spacing w:after="0" w:line="256" w:lineRule="auto"/>
        <w:rPr>
          <w:sz w:val="20"/>
          <w:szCs w:val="20"/>
          <w:color w:val="auto"/>
        </w:rPr>
      </w:pPr>
      <w:r>
        <w:rPr>
          <w:rFonts w:ascii="Arial" w:cs="Arial" w:eastAsia="Arial" w:hAnsi="Arial"/>
          <w:sz w:val="16"/>
          <w:szCs w:val="16"/>
          <w:color w:val="auto"/>
        </w:rPr>
        <w:t>In 2011, the gross decrease in unrecognized tax benefits related to prior year tax positions was primarily due to the conclusion of examinations of the Company’s 2007, 2008, and 2009 federal income tax returns by U.S. federal tax authorities. In 2010, the gross increases in unrecognized tax benefits related to prior year tax positions was primarily due to the Company’s calculations of certain pre-2010 tax credits. Due to the amounts of the Company’s net operating loss carry-forward and tax credit carry-forwards, the Company has not accrued interest or penalties related to these unrecognized tax benefits. In addition, unrecognized tax benefits at December 31, 2011 and 2010, if recognized, would not affect the Company’s effective tax rate since the adjustments to deferred tax assets would be fully offset by adjustments to the Company’s valuation allowance. For the year ended December 31, 2009, income tax positions that were deemed uncertain under the recognition thresholds and measurement attributes prescribed in FASB authoritative guidance were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Legal Matters</w:t>
      </w:r>
    </w:p>
    <w:p>
      <w:pPr>
        <w:spacing w:after="0" w:line="233"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6"/>
          <w:szCs w:val="16"/>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Genentech Patent Litigation</w:t>
      </w:r>
    </w:p>
    <w:p>
      <w:pPr>
        <w:spacing w:after="0" w:line="229" w:lineRule="exact"/>
        <w:rPr>
          <w:sz w:val="20"/>
          <w:szCs w:val="20"/>
          <w:color w:val="auto"/>
        </w:rPr>
      </w:pPr>
    </w:p>
    <w:p>
      <w:pPr>
        <w:jc w:val="both"/>
        <w:ind w:firstLine="255"/>
        <w:spacing w:after="0" w:line="239" w:lineRule="auto"/>
        <w:rPr>
          <w:sz w:val="20"/>
          <w:szCs w:val="20"/>
          <w:color w:val="auto"/>
        </w:rPr>
      </w:pPr>
      <w:r>
        <w:rPr>
          <w:rFonts w:ascii="Arial" w:cs="Arial" w:eastAsia="Arial" w:hAnsi="Arial"/>
          <w:sz w:val="16"/>
          <w:szCs w:val="16"/>
          <w:color w:val="auto"/>
        </w:rPr>
        <w:t>The Company is aware of issued patents and pending patent applications owned by Genentech that claim certain chimeric VEGF receptors. The Company does not believe that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infringe any valid claim in these patents or patent applications. The Company is involved in five patent litigations with Genentech, two in the United States and three in Europe. 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five Davis-Smyth patents and requested a judgment against the Company for damages, including for willful infringement, and other relief as the Court deems appropriate.</w:t>
      </w:r>
    </w:p>
    <w:p>
      <w:pPr>
        <w:spacing w:after="0" w:line="196"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On December 31, 2011, the Company entered into a Non-Exclusive License and Partial Settlement Agreement with Genentech that covers making, using, and selling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United States for the prevention and treatment of human eye diseases and disorders in the United States. Under the Genentech Agreement, the Company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the Company to make payments to</w:t>
      </w:r>
    </w:p>
    <w:p>
      <w:pPr>
        <w:spacing w:after="0" w:line="4" w:lineRule="exact"/>
        <w:rPr>
          <w:sz w:val="20"/>
          <w:szCs w:val="20"/>
          <w:color w:val="auto"/>
        </w:rPr>
      </w:pPr>
    </w:p>
    <w:p>
      <w:pPr>
        <w:jc w:val="both"/>
        <w:spacing w:after="0" w:line="212" w:lineRule="auto"/>
        <w:rPr>
          <w:sz w:val="20"/>
          <w:szCs w:val="20"/>
          <w:color w:val="auto"/>
        </w:rPr>
      </w:pPr>
      <w:r>
        <w:rPr>
          <w:rFonts w:ascii="Arial" w:cs="Arial" w:eastAsia="Arial" w:hAnsi="Arial"/>
          <w:sz w:val="14"/>
          <w:szCs w:val="14"/>
          <w:color w:val="auto"/>
        </w:rPr>
        <w:t>Genentech based on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through May 7, 2016, the date the Davis-Smyth patents expire. The Company will make a lump-sum payment of $60 million once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reach $400 million. The Company will also pay royalties of 4.75% on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between $400 million and $3 billion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and 5.5% on any cumulative U.S. sales of EYLEA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6"/>
          <w:szCs w:val="16"/>
          <w:color w:val="auto"/>
        </w:rPr>
        <w:t>excluding EYLEA</w:t>
      </w:r>
      <w:r>
        <w:rPr>
          <w:rFonts w:ascii="Arial" w:cs="Arial" w:eastAsia="Arial" w:hAnsi="Arial"/>
          <w:sz w:val="26"/>
          <w:szCs w:val="26"/>
          <w:color w:val="auto"/>
          <w:vertAlign w:val="superscript"/>
        </w:rPr>
        <w:t>®</w:t>
      </w:r>
      <w:r>
        <w:rPr>
          <w:rFonts w:ascii="Arial" w:cs="Arial" w:eastAsia="Arial" w:hAnsi="Arial"/>
          <w:sz w:val="16"/>
          <w:szCs w:val="16"/>
          <w:color w:val="auto"/>
        </w:rPr>
        <w:t>) (the “Second Davis-Smyth Case”). As in the First Davis-Smyth Case, in the new complaint Genentech requests a judgment against the Company for damages, including for willful infringement, and other relief as the Court deems appropriate.</w:t>
      </w:r>
    </w:p>
    <w:p>
      <w:pPr>
        <w:spacing w:after="0" w:line="212" w:lineRule="exact"/>
        <w:rPr>
          <w:sz w:val="20"/>
          <w:szCs w:val="20"/>
          <w:color w:val="auto"/>
        </w:rPr>
      </w:pPr>
    </w:p>
    <w:p>
      <w:pPr>
        <w:jc w:val="both"/>
        <w:ind w:firstLine="279"/>
        <w:spacing w:after="0" w:line="264" w:lineRule="auto"/>
        <w:rPr>
          <w:sz w:val="20"/>
          <w:szCs w:val="20"/>
          <w:color w:val="auto"/>
        </w:rPr>
      </w:pPr>
      <w:r>
        <w:rPr>
          <w:rFonts w:ascii="Arial" w:cs="Arial" w:eastAsia="Arial" w:hAnsi="Arial"/>
          <w:sz w:val="16"/>
          <w:szCs w:val="16"/>
          <w:color w:val="auto"/>
        </w:rPr>
        <w:t>The Company believes Genentech's claims in the First Davis Smyth Case and the Second Davis Smyth Case are without merit and intend to continue to defend against all of Genentech’s remaining claims vigorously. As this litigation is at an early stage, at this time the Company is not able to predict the probability of the outcome or an estimate of loss, if any, related to these matters.</w:t>
      </w:r>
    </w:p>
    <w:p>
      <w:pPr>
        <w:spacing w:after="0" w:line="194" w:lineRule="exact"/>
        <w:rPr>
          <w:sz w:val="20"/>
          <w:szCs w:val="20"/>
          <w:color w:val="auto"/>
        </w:rPr>
      </w:pPr>
    </w:p>
    <w:p>
      <w:pPr>
        <w:jc w:val="both"/>
        <w:ind w:firstLine="291"/>
        <w:spacing w:after="0" w:line="264" w:lineRule="auto"/>
        <w:rPr>
          <w:sz w:val="20"/>
          <w:szCs w:val="20"/>
          <w:color w:val="auto"/>
        </w:rPr>
      </w:pPr>
      <w:r>
        <w:rPr>
          <w:rFonts w:ascii="Arial" w:cs="Arial" w:eastAsia="Arial" w:hAnsi="Arial"/>
          <w:sz w:val="16"/>
          <w:szCs w:val="16"/>
          <w:color w:val="auto"/>
        </w:rPr>
        <w:t>The Company has initiated patent-related actions against Genentech in Germany, the United Kingdom, and Italy, and may initiate other actions in other countries outside the United States, which could have similar or other adverse outcomes that would materially harm its business and which, irrespective of the outcomes, may also entail significant costs and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Net Loss Per Share Data</w:t>
      </w:r>
    </w:p>
    <w:p>
      <w:pPr>
        <w:spacing w:after="0" w:line="233"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5"/>
          <w:szCs w:val="15"/>
          <w:color w:val="auto"/>
        </w:rPr>
        <w:t>The Company’s basic net loss per share amounts have been computed by dividing net loss by the weighted average number of Common and Class A shares outstanding. Net loss per share is presented on a combined basis, inclusive of Common Stock and Class A Stock outstanding, as each class of stock has equivalent economic rights. In 2011, 2010, and 2009,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26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2011</w:t>
            </w:r>
          </w:p>
        </w:tc>
        <w:tc>
          <w:tcPr>
            <w:tcW w:w="24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2010</w:t>
            </w:r>
          </w:p>
        </w:tc>
        <w:tc>
          <w:tcPr>
            <w:tcW w:w="140" w:type="dxa"/>
            <w:vAlign w:val="bottom"/>
            <w:tcBorders>
              <w:bottom w:val="single" w:sz="8" w:color="C0C0C0"/>
            </w:tcBorders>
          </w:tcPr>
          <w:p>
            <w:pPr>
              <w:spacing w:after="0"/>
              <w:rPr>
                <w:sz w:val="18"/>
                <w:szCs w:val="18"/>
                <w:color w:val="auto"/>
              </w:rPr>
            </w:pPr>
          </w:p>
        </w:tc>
        <w:tc>
          <w:tcPr>
            <w:tcW w:w="100" w:type="dxa"/>
            <w:vAlign w:val="bottom"/>
            <w:tcBorders>
              <w:bottom w:val="single" w:sz="8" w:color="C0C0C0"/>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2009</w:t>
            </w:r>
          </w:p>
        </w:tc>
      </w:tr>
      <w:tr>
        <w:trPr>
          <w:trHeight w:val="218"/>
        </w:trPr>
        <w:tc>
          <w:tcPr>
            <w:tcW w:w="20" w:type="dxa"/>
            <w:vAlign w:val="bottom"/>
          </w:tcPr>
          <w:p>
            <w:pPr>
              <w:spacing w:after="0"/>
              <w:rPr>
                <w:sz w:val="18"/>
                <w:szCs w:val="18"/>
                <w:color w:val="auto"/>
              </w:rPr>
            </w:pPr>
          </w:p>
        </w:tc>
        <w:tc>
          <w:tcPr>
            <w:tcW w:w="6260" w:type="dxa"/>
            <w:vAlign w:val="bottom"/>
            <w:shd w:val="clear" w:color="auto" w:fill="C0C0C0"/>
          </w:tcPr>
          <w:p>
            <w:pPr>
              <w:spacing w:after="0"/>
              <w:rPr>
                <w:sz w:val="20"/>
                <w:szCs w:val="20"/>
                <w:color w:val="auto"/>
              </w:rPr>
            </w:pPr>
            <w:r>
              <w:rPr>
                <w:rFonts w:ascii="Arial" w:cs="Arial" w:eastAsia="Arial" w:hAnsi="Arial"/>
                <w:sz w:val="16"/>
                <w:szCs w:val="16"/>
                <w:color w:val="auto"/>
              </w:rPr>
              <w:t>Net loss (Numerator)</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7"/>
              </w:rPr>
              <w:t>(221,760)</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87"/>
              </w:rPr>
              <w:t>(104,468)</w:t>
            </w:r>
          </w:p>
        </w:tc>
        <w:tc>
          <w:tcPr>
            <w:tcW w:w="140" w:type="dxa"/>
            <w:vAlign w:val="bottom"/>
            <w:shd w:val="clear" w:color="auto" w:fill="C0C0C0"/>
          </w:tcPr>
          <w:p>
            <w:pPr>
              <w:spacing w:after="0"/>
              <w:rPr>
                <w:sz w:val="18"/>
                <w:szCs w:val="18"/>
                <w:color w:val="auto"/>
              </w:rPr>
            </w:pPr>
          </w:p>
        </w:tc>
        <w:tc>
          <w:tcPr>
            <w:tcW w:w="1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w w:val="90"/>
              </w:rPr>
              <w:t>(67,830)</w:t>
            </w:r>
          </w:p>
        </w:tc>
      </w:tr>
      <w:tr>
        <w:trPr>
          <w:trHeight w:val="218"/>
        </w:trPr>
        <w:tc>
          <w:tcPr>
            <w:tcW w:w="6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260" w:type="dxa"/>
            <w:vAlign w:val="bottom"/>
            <w:shd w:val="clear" w:color="auto" w:fill="C0C0C0"/>
          </w:tcPr>
          <w:p>
            <w:pPr>
              <w:spacing w:after="0"/>
              <w:rPr>
                <w:sz w:val="20"/>
                <w:szCs w:val="20"/>
                <w:color w:val="auto"/>
              </w:rPr>
            </w:pPr>
            <w:r>
              <w:rPr>
                <w:rFonts w:ascii="Arial" w:cs="Arial" w:eastAsia="Arial" w:hAnsi="Arial"/>
                <w:sz w:val="16"/>
                <w:szCs w:val="16"/>
                <w:color w:val="auto"/>
              </w:rPr>
              <w:t>Weighted-average shares, in thousands</w:t>
            </w:r>
          </w:p>
        </w:tc>
        <w:tc>
          <w:tcPr>
            <w:tcW w:w="2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6260" w:type="dxa"/>
            <w:vAlign w:val="bottom"/>
            <w:shd w:val="clear" w:color="auto" w:fill="C0C0C0"/>
          </w:tcPr>
          <w:p>
            <w:pPr>
              <w:ind w:left="260"/>
              <w:spacing w:after="0"/>
              <w:rPr>
                <w:sz w:val="20"/>
                <w:szCs w:val="20"/>
                <w:color w:val="auto"/>
              </w:rPr>
            </w:pPr>
            <w:r>
              <w:rPr>
                <w:rFonts w:ascii="Arial" w:cs="Arial" w:eastAsia="Arial" w:hAnsi="Arial"/>
                <w:sz w:val="16"/>
                <w:szCs w:val="16"/>
                <w:color w:val="auto"/>
              </w:rPr>
              <w:t>(Denominator)</w:t>
            </w:r>
          </w:p>
        </w:tc>
        <w:tc>
          <w:tcPr>
            <w:tcW w:w="2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90,610</w:t>
            </w:r>
          </w:p>
        </w:tc>
        <w:tc>
          <w:tcPr>
            <w:tcW w:w="2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6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82,926</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80" w:type="dxa"/>
            <w:vAlign w:val="bottom"/>
            <w:shd w:val="clear" w:color="auto" w:fill="C0C0C0"/>
          </w:tcPr>
          <w:p>
            <w:pPr>
              <w:jc w:val="right"/>
              <w:ind w:right="1"/>
              <w:spacing w:after="0"/>
              <w:rPr>
                <w:sz w:val="20"/>
                <w:szCs w:val="20"/>
                <w:color w:val="auto"/>
              </w:rPr>
            </w:pPr>
            <w:r>
              <w:rPr>
                <w:rFonts w:ascii="Arial" w:cs="Arial" w:eastAsia="Arial" w:hAnsi="Arial"/>
                <w:sz w:val="16"/>
                <w:szCs w:val="16"/>
                <w:color w:val="auto"/>
                <w:w w:val="98"/>
              </w:rPr>
              <w:t>79,782</w:t>
            </w:r>
          </w:p>
        </w:tc>
      </w:tr>
      <w:tr>
        <w:trPr>
          <w:trHeight w:val="218"/>
        </w:trPr>
        <w:tc>
          <w:tcPr>
            <w:tcW w:w="6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0C0C0"/>
          </w:tcPr>
          <w:p>
            <w:pPr>
              <w:spacing w:after="0"/>
              <w:rPr>
                <w:sz w:val="20"/>
                <w:szCs w:val="20"/>
                <w:color w:val="auto"/>
              </w:rPr>
            </w:pPr>
            <w:r>
              <w:rPr>
                <w:rFonts w:ascii="Arial" w:cs="Arial" w:eastAsia="Arial" w:hAnsi="Arial"/>
                <w:sz w:val="16"/>
                <w:szCs w:val="16"/>
                <w:color w:val="auto"/>
              </w:rPr>
              <w:t>Basic and diluted net loss per share</w:t>
            </w:r>
          </w:p>
        </w:tc>
        <w:tc>
          <w:tcPr>
            <w:tcW w:w="32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(2.45)</w:t>
            </w: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0C0C0"/>
          </w:tcPr>
          <w:p>
            <w:pPr>
              <w:spacing w:after="0"/>
              <w:rPr>
                <w:sz w:val="18"/>
                <w:szCs w:val="18"/>
                <w:color w:val="auto"/>
              </w:rPr>
            </w:pPr>
          </w:p>
        </w:tc>
        <w:tc>
          <w:tcPr>
            <w:tcW w:w="1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(0.85)</w:t>
            </w:r>
          </w:p>
        </w:tc>
      </w:tr>
    </w:tbl>
    <w:p>
      <w:pPr>
        <w:spacing w:after="0" w:line="200" w:lineRule="exact"/>
        <w:rPr>
          <w:sz w:val="20"/>
          <w:szCs w:val="20"/>
          <w:color w:val="auto"/>
        </w:rPr>
      </w:pPr>
    </w:p>
    <w:p>
      <w:pPr>
        <w:spacing w:after="0" w:line="228"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6"/>
          <w:szCs w:val="16"/>
          <w:color w:val="auto"/>
        </w:rPr>
        <w:t>Shares issuable upon the exercise of options and warrants, vesting of restricted stock awards, and conversion of convertible senior notes, which have been excluded from the diluted per share amounts because their effect would have been antidilutive, include the following:</w:t>
      </w:r>
    </w:p>
    <w:p>
      <w:pPr>
        <w:spacing w:after="0" w:line="171"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December 31,</w:t>
      </w: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2011</w:t>
            </w: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2010</w:t>
            </w: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2009</w:t>
            </w:r>
          </w:p>
        </w:tc>
      </w:tr>
      <w:tr>
        <w:trPr>
          <w:trHeight w:val="205"/>
        </w:trPr>
        <w:tc>
          <w:tcPr>
            <w:tcW w:w="20" w:type="dxa"/>
            <w:vAlign w:val="bottom"/>
          </w:tcPr>
          <w:p>
            <w:pPr>
              <w:spacing w:after="0"/>
              <w:rPr>
                <w:sz w:val="17"/>
                <w:szCs w:val="17"/>
                <w:color w:val="auto"/>
              </w:rPr>
            </w:pPr>
          </w:p>
        </w:tc>
        <w:tc>
          <w:tcPr>
            <w:tcW w:w="49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6"/>
                <w:szCs w:val="16"/>
                <w:color w:val="auto"/>
              </w:rPr>
              <w:t>Options:</w:t>
            </w:r>
          </w:p>
        </w:tc>
        <w:tc>
          <w:tcPr>
            <w:tcW w:w="2160" w:type="dxa"/>
            <w:vAlign w:val="bottom"/>
            <w:tcBorders>
              <w:top w:val="single" w:sz="8" w:color="C0C0C0"/>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260"/>
              <w:spacing w:after="0"/>
              <w:rPr>
                <w:sz w:val="20"/>
                <w:szCs w:val="20"/>
                <w:color w:val="auto"/>
              </w:rPr>
            </w:pPr>
            <w:r>
              <w:rPr>
                <w:rFonts w:ascii="Arial" w:cs="Arial" w:eastAsia="Arial" w:hAnsi="Arial"/>
                <w:sz w:val="16"/>
                <w:szCs w:val="16"/>
                <w:color w:val="auto"/>
              </w:rPr>
              <w:t>Weighted average number, in thousands</w:t>
            </w:r>
          </w:p>
        </w:tc>
        <w:tc>
          <w:tcPr>
            <w:tcW w:w="2680" w:type="dxa"/>
            <w:vAlign w:val="bottom"/>
            <w:gridSpan w:val="2"/>
          </w:tcPr>
          <w:p>
            <w:pPr>
              <w:jc w:val="right"/>
              <w:spacing w:after="0"/>
              <w:rPr>
                <w:sz w:val="20"/>
                <w:szCs w:val="20"/>
                <w:color w:val="auto"/>
              </w:rPr>
            </w:pPr>
            <w:r>
              <w:rPr>
                <w:rFonts w:ascii="Arial" w:cs="Arial" w:eastAsia="Arial" w:hAnsi="Arial"/>
                <w:sz w:val="16"/>
                <w:szCs w:val="16"/>
                <w:color w:val="auto"/>
              </w:rPr>
              <w:t>20,942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21,428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20,040</w:t>
            </w:r>
          </w:p>
        </w:tc>
      </w:tr>
      <w:tr>
        <w:trPr>
          <w:trHeight w:val="226"/>
        </w:trPr>
        <w:tc>
          <w:tcPr>
            <w:tcW w:w="20" w:type="dxa"/>
            <w:vAlign w:val="bottom"/>
          </w:tcPr>
          <w:p>
            <w:pPr>
              <w:spacing w:after="0"/>
              <w:rPr>
                <w:sz w:val="19"/>
                <w:szCs w:val="19"/>
                <w:color w:val="auto"/>
              </w:rPr>
            </w:pPr>
          </w:p>
        </w:tc>
        <w:tc>
          <w:tcPr>
            <w:tcW w:w="4920" w:type="dxa"/>
            <w:vAlign w:val="bottom"/>
            <w:shd w:val="clear" w:color="auto" w:fill="C0C0C0"/>
          </w:tcPr>
          <w:p>
            <w:pPr>
              <w:ind w:left="260"/>
              <w:spacing w:after="0"/>
              <w:rPr>
                <w:sz w:val="20"/>
                <w:szCs w:val="20"/>
                <w:color w:val="auto"/>
              </w:rPr>
            </w:pPr>
            <w:r>
              <w:rPr>
                <w:rFonts w:ascii="Arial" w:cs="Arial" w:eastAsia="Arial" w:hAnsi="Arial"/>
                <w:sz w:val="16"/>
                <w:szCs w:val="16"/>
                <w:color w:val="auto"/>
              </w:rPr>
              <w:t>Weighted average exercise price</w:t>
            </w:r>
          </w:p>
        </w:tc>
        <w:tc>
          <w:tcPr>
            <w:tcW w:w="268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$ 21.21</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$ 18.80</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6"/>
                <w:szCs w:val="16"/>
                <w:color w:val="auto"/>
              </w:rPr>
              <w:t>$ 17.66</w:t>
            </w:r>
          </w:p>
        </w:tc>
      </w:tr>
      <w:tr>
        <w:trPr>
          <w:trHeight w:val="218"/>
        </w:trPr>
        <w:tc>
          <w:tcPr>
            <w:tcW w:w="49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0C0C0"/>
          </w:tcPr>
          <w:p>
            <w:pPr>
              <w:spacing w:after="0"/>
              <w:rPr>
                <w:sz w:val="20"/>
                <w:szCs w:val="20"/>
                <w:color w:val="auto"/>
              </w:rPr>
            </w:pPr>
            <w:r>
              <w:rPr>
                <w:rFonts w:ascii="Arial" w:cs="Arial" w:eastAsia="Arial" w:hAnsi="Arial"/>
                <w:sz w:val="16"/>
                <w:szCs w:val="16"/>
                <w:color w:val="auto"/>
              </w:rPr>
              <w:t>Restricted Stock:</w:t>
            </w:r>
          </w:p>
        </w:tc>
        <w:tc>
          <w:tcPr>
            <w:tcW w:w="216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920" w:type="dxa"/>
            <w:vAlign w:val="bottom"/>
          </w:tcPr>
          <w:p>
            <w:pPr>
              <w:ind w:left="260"/>
              <w:spacing w:after="0"/>
              <w:rPr>
                <w:sz w:val="20"/>
                <w:szCs w:val="20"/>
                <w:color w:val="auto"/>
              </w:rPr>
            </w:pPr>
            <w:r>
              <w:rPr>
                <w:rFonts w:ascii="Arial" w:cs="Arial" w:eastAsia="Arial" w:hAnsi="Arial"/>
                <w:sz w:val="16"/>
                <w:szCs w:val="16"/>
                <w:color w:val="auto"/>
              </w:rPr>
              <w:t>Weighted average number, in thousands</w:t>
            </w:r>
          </w:p>
        </w:tc>
        <w:tc>
          <w:tcPr>
            <w:tcW w:w="2680" w:type="dxa"/>
            <w:vAlign w:val="bottom"/>
            <w:gridSpan w:val="2"/>
          </w:tcPr>
          <w:p>
            <w:pPr>
              <w:jc w:val="right"/>
              <w:spacing w:after="0"/>
              <w:rPr>
                <w:sz w:val="20"/>
                <w:szCs w:val="20"/>
                <w:color w:val="auto"/>
              </w:rPr>
            </w:pPr>
            <w:r>
              <w:rPr>
                <w:rFonts w:ascii="Arial" w:cs="Arial" w:eastAsia="Arial" w:hAnsi="Arial"/>
                <w:sz w:val="16"/>
                <w:szCs w:val="16"/>
                <w:color w:val="auto"/>
              </w:rPr>
              <w:t>846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526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500</w:t>
            </w:r>
          </w:p>
        </w:tc>
      </w:tr>
      <w:tr>
        <w:trPr>
          <w:trHeight w:val="233"/>
        </w:trPr>
        <w:tc>
          <w:tcPr>
            <w:tcW w:w="4940" w:type="dxa"/>
            <w:vAlign w:val="bottom"/>
            <w:gridSpan w:val="2"/>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0C0C0"/>
          </w:tcPr>
          <w:p>
            <w:pPr>
              <w:spacing w:after="0"/>
              <w:rPr>
                <w:sz w:val="20"/>
                <w:szCs w:val="20"/>
                <w:color w:val="auto"/>
              </w:rPr>
            </w:pPr>
            <w:r>
              <w:rPr>
                <w:rFonts w:ascii="Arial" w:cs="Arial" w:eastAsia="Arial" w:hAnsi="Arial"/>
                <w:sz w:val="16"/>
                <w:szCs w:val="16"/>
                <w:color w:val="auto"/>
              </w:rPr>
              <w:t>Convertible Senior Notes:</w:t>
            </w:r>
          </w:p>
        </w:tc>
        <w:tc>
          <w:tcPr>
            <w:tcW w:w="216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920" w:type="dxa"/>
            <w:vAlign w:val="bottom"/>
          </w:tcPr>
          <w:p>
            <w:pPr>
              <w:ind w:left="260"/>
              <w:spacing w:after="0"/>
              <w:rPr>
                <w:sz w:val="20"/>
                <w:szCs w:val="20"/>
                <w:color w:val="auto"/>
              </w:rPr>
            </w:pPr>
            <w:r>
              <w:rPr>
                <w:rFonts w:ascii="Arial" w:cs="Arial" w:eastAsia="Arial" w:hAnsi="Arial"/>
                <w:sz w:val="16"/>
                <w:szCs w:val="16"/>
                <w:color w:val="auto"/>
              </w:rPr>
              <w:t>Weighted average number, in thousands</w:t>
            </w:r>
          </w:p>
        </w:tc>
        <w:tc>
          <w:tcPr>
            <w:tcW w:w="2680" w:type="dxa"/>
            <w:vAlign w:val="bottom"/>
            <w:gridSpan w:val="2"/>
          </w:tcPr>
          <w:p>
            <w:pPr>
              <w:jc w:val="right"/>
              <w:spacing w:after="0"/>
              <w:rPr>
                <w:sz w:val="20"/>
                <w:szCs w:val="20"/>
                <w:color w:val="auto"/>
              </w:rPr>
            </w:pPr>
            <w:r>
              <w:rPr>
                <w:rFonts w:ascii="Arial" w:cs="Arial" w:eastAsia="Arial" w:hAnsi="Arial"/>
                <w:sz w:val="16"/>
                <w:szCs w:val="16"/>
                <w:color w:val="auto"/>
              </w:rPr>
              <w:t>939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3"/>
        </w:trPr>
        <w:tc>
          <w:tcPr>
            <w:tcW w:w="4940" w:type="dxa"/>
            <w:vAlign w:val="bottom"/>
            <w:gridSpan w:val="2"/>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0C0C0"/>
          </w:tcPr>
          <w:p>
            <w:pPr>
              <w:spacing w:after="0"/>
              <w:rPr>
                <w:sz w:val="20"/>
                <w:szCs w:val="20"/>
                <w:color w:val="auto"/>
              </w:rPr>
            </w:pPr>
            <w:r>
              <w:rPr>
                <w:rFonts w:ascii="Arial" w:cs="Arial" w:eastAsia="Arial" w:hAnsi="Arial"/>
                <w:sz w:val="16"/>
                <w:szCs w:val="16"/>
                <w:color w:val="auto"/>
              </w:rPr>
              <w:t>Warrants:</w:t>
            </w:r>
          </w:p>
        </w:tc>
        <w:tc>
          <w:tcPr>
            <w:tcW w:w="216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20" w:type="dxa"/>
            <w:vAlign w:val="bottom"/>
            <w:shd w:val="clear" w:color="auto" w:fill="C0C0C0"/>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920" w:type="dxa"/>
            <w:vAlign w:val="bottom"/>
          </w:tcPr>
          <w:p>
            <w:pPr>
              <w:ind w:left="260"/>
              <w:spacing w:after="0"/>
              <w:rPr>
                <w:sz w:val="20"/>
                <w:szCs w:val="20"/>
                <w:color w:val="auto"/>
              </w:rPr>
            </w:pPr>
            <w:r>
              <w:rPr>
                <w:rFonts w:ascii="Arial" w:cs="Arial" w:eastAsia="Arial" w:hAnsi="Arial"/>
                <w:sz w:val="16"/>
                <w:szCs w:val="16"/>
                <w:color w:val="auto"/>
              </w:rPr>
              <w:t>Weighted average number, in thousands</w:t>
            </w:r>
          </w:p>
        </w:tc>
        <w:tc>
          <w:tcPr>
            <w:tcW w:w="2680" w:type="dxa"/>
            <w:vAlign w:val="bottom"/>
            <w:gridSpan w:val="2"/>
          </w:tcPr>
          <w:p>
            <w:pPr>
              <w:jc w:val="right"/>
              <w:spacing w:after="0"/>
              <w:rPr>
                <w:sz w:val="20"/>
                <w:szCs w:val="20"/>
                <w:color w:val="auto"/>
              </w:rPr>
            </w:pPr>
            <w:r>
              <w:rPr>
                <w:rFonts w:ascii="Arial" w:cs="Arial" w:eastAsia="Arial" w:hAnsi="Arial"/>
                <w:sz w:val="16"/>
                <w:szCs w:val="16"/>
                <w:color w:val="auto"/>
              </w:rPr>
              <w:t>939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Statement of Cash Flows</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Supplemental disclosure of noncash investing and financing activities:</w:t>
      </w:r>
    </w:p>
    <w:p>
      <w:pPr>
        <w:spacing w:after="0" w:line="229" w:lineRule="exact"/>
        <w:rPr>
          <w:sz w:val="20"/>
          <w:szCs w:val="20"/>
          <w:color w:val="auto"/>
        </w:rPr>
      </w:pPr>
    </w:p>
    <w:p>
      <w:pPr>
        <w:jc w:val="both"/>
        <w:ind w:firstLine="267"/>
        <w:spacing w:after="0" w:line="274" w:lineRule="auto"/>
        <w:rPr>
          <w:sz w:val="20"/>
          <w:szCs w:val="20"/>
          <w:color w:val="auto"/>
        </w:rPr>
      </w:pPr>
      <w:r>
        <w:rPr>
          <w:rFonts w:ascii="Arial" w:cs="Arial" w:eastAsia="Arial" w:hAnsi="Arial"/>
          <w:sz w:val="16"/>
          <w:szCs w:val="16"/>
          <w:color w:val="auto"/>
        </w:rPr>
        <w:t>Included in accounts payable and accrued expenses at December 31, 2011, 2010, and 2009 were $6.2 million, $10.7 million, and $9.8 million of accrued capital expenditures, respectively.</w:t>
      </w:r>
    </w:p>
    <w:p>
      <w:pPr>
        <w:spacing w:after="0" w:line="187" w:lineRule="exact"/>
        <w:rPr>
          <w:sz w:val="20"/>
          <w:szCs w:val="20"/>
          <w:color w:val="auto"/>
        </w:rPr>
      </w:pPr>
    </w:p>
    <w:p>
      <w:pPr>
        <w:jc w:val="both"/>
        <w:ind w:firstLine="303"/>
        <w:spacing w:after="0" w:line="289" w:lineRule="auto"/>
        <w:rPr>
          <w:sz w:val="20"/>
          <w:szCs w:val="20"/>
          <w:color w:val="auto"/>
        </w:rPr>
      </w:pPr>
      <w:r>
        <w:rPr>
          <w:rFonts w:ascii="Arial" w:cs="Arial" w:eastAsia="Arial" w:hAnsi="Arial"/>
          <w:sz w:val="15"/>
          <w:szCs w:val="15"/>
          <w:color w:val="auto"/>
        </w:rPr>
        <w:t>Pursuant to the application of FASB authoritative guidance to the Company’s lease of office and laboratory facilities in Tarrytown, New York (see Note 12a), the Company recognized a facility lease obligation of $0.2 million and $31.7 million during 2010 and 2009, respectively, in connection with capitalizing, on the Company’s books, the landlord’s costs of constructing new facilities that the Company has leased. The Company did not recognize any such facility lease obligations during 2011.</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Included in facility lease obligations and property, plant, and equipment at December 31, 2010 was $3.7 million of capitalized and deferred interest for the year ended December 31, 2010, as the related facilities being leased by the Company were under construction and lease payments on these facilities did not commence until January 2011. For the years ended December 31, 2011 and 2009, the Company did not capitalize any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21" w:name="page122"/>
    <w:bookmarkEnd w:id="121"/>
    <w:p>
      <w:pPr>
        <w:jc w:val="center"/>
        <w:ind w:right="17"/>
        <w:spacing w:after="0"/>
        <w:rPr>
          <w:sz w:val="20"/>
          <w:szCs w:val="20"/>
          <w:color w:val="auto"/>
        </w:rPr>
      </w:pPr>
      <w:r>
        <w:rPr>
          <w:rFonts w:ascii="Arial" w:cs="Arial" w:eastAsia="Arial" w:hAnsi="Arial"/>
          <w:sz w:val="16"/>
          <w:szCs w:val="16"/>
          <w:b w:val="1"/>
          <w:bCs w:val="1"/>
          <w:color w:val="auto"/>
        </w:rPr>
        <w:t>REGENERON PHARMACEUTICALS, INC.</w:t>
      </w:r>
    </w:p>
    <w:p>
      <w:pPr>
        <w:spacing w:after="0" w:line="21"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NOTES TO FINANCIAL STATEMENTS (Continued)</w:t>
      </w:r>
    </w:p>
    <w:p>
      <w:pPr>
        <w:spacing w:after="0" w:line="10"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i w:val="1"/>
          <w:iCs w:val="1"/>
          <w:color w:val="auto"/>
        </w:rPr>
        <w:t>(Unless otherwise noted, dollars in thousands, except per share data)</w:t>
      </w:r>
    </w:p>
    <w:p>
      <w:pPr>
        <w:spacing w:after="0" w:line="222" w:lineRule="exact"/>
        <w:rPr>
          <w:sz w:val="20"/>
          <w:szCs w:val="20"/>
          <w:color w:val="auto"/>
        </w:rPr>
      </w:pPr>
    </w:p>
    <w:p>
      <w:pPr>
        <w:ind w:left="243"/>
        <w:spacing w:after="0"/>
        <w:rPr>
          <w:sz w:val="20"/>
          <w:szCs w:val="20"/>
          <w:color w:val="auto"/>
        </w:rPr>
      </w:pPr>
      <w:r>
        <w:rPr>
          <w:rFonts w:ascii="Arial" w:cs="Arial" w:eastAsia="Arial" w:hAnsi="Arial"/>
          <w:sz w:val="16"/>
          <w:szCs w:val="16"/>
          <w:color w:val="auto"/>
        </w:rPr>
        <w:t>The Company incurred capital lease obligations of $0.7 and $2.9 million during 2011 and 2010 in connection with acquisitions of new equipment.</w:t>
      </w:r>
    </w:p>
    <w:p>
      <w:pPr>
        <w:spacing w:after="0" w:line="229" w:lineRule="exact"/>
        <w:rPr>
          <w:sz w:val="20"/>
          <w:szCs w:val="20"/>
          <w:color w:val="auto"/>
        </w:rPr>
      </w:pPr>
    </w:p>
    <w:p>
      <w:pPr>
        <w:ind w:left="243"/>
        <w:spacing w:after="0"/>
        <w:rPr>
          <w:sz w:val="20"/>
          <w:szCs w:val="20"/>
          <w:color w:val="auto"/>
        </w:rPr>
      </w:pPr>
      <w:r>
        <w:rPr>
          <w:rFonts w:ascii="Arial" w:cs="Arial" w:eastAsia="Arial" w:hAnsi="Arial"/>
          <w:sz w:val="15"/>
          <w:szCs w:val="15"/>
          <w:color w:val="auto"/>
        </w:rPr>
        <w:t>Included in marketable securities at December 31, 2011, 2010, and 2009 were $0.7 million, $1.4 million, and $0.6 million of accrued interest income, respectively.</w:t>
      </w:r>
    </w:p>
    <w:p>
      <w:pPr>
        <w:spacing w:after="0" w:line="212" w:lineRule="exact"/>
        <w:rPr>
          <w:sz w:val="20"/>
          <w:szCs w:val="20"/>
          <w:color w:val="auto"/>
        </w:rPr>
      </w:pPr>
    </w:p>
    <w:p>
      <w:pPr>
        <w:ind w:left="243" w:hanging="243"/>
        <w:spacing w:after="0"/>
        <w:tabs>
          <w:tab w:leader="none" w:pos="243"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Unaudited Quarterly Results</w:t>
      </w:r>
    </w:p>
    <w:p>
      <w:pPr>
        <w:spacing w:after="0" w:line="232" w:lineRule="exact"/>
        <w:rPr>
          <w:rFonts w:ascii="Arial" w:cs="Arial" w:eastAsia="Arial" w:hAnsi="Arial"/>
          <w:sz w:val="16"/>
          <w:szCs w:val="16"/>
          <w:b w:val="1"/>
          <w:bCs w:val="1"/>
          <w:color w:val="auto"/>
        </w:rPr>
      </w:pPr>
    </w:p>
    <w:p>
      <w:pPr>
        <w:ind w:left="243"/>
        <w:spacing w:after="0"/>
        <w:rPr>
          <w:rFonts w:ascii="Arial" w:cs="Arial" w:eastAsia="Arial" w:hAnsi="Arial"/>
          <w:sz w:val="16"/>
          <w:szCs w:val="16"/>
          <w:b w:val="1"/>
          <w:bCs w:val="1"/>
          <w:color w:val="auto"/>
        </w:rPr>
      </w:pPr>
      <w:r>
        <w:rPr>
          <w:rFonts w:ascii="Arial" w:cs="Arial" w:eastAsia="Arial" w:hAnsi="Arial"/>
          <w:sz w:val="16"/>
          <w:szCs w:val="16"/>
          <w:color w:val="auto"/>
        </w:rPr>
        <w:t>Summarized quarterly financial data for the years ended December 31, 2011 and 2010 are set forth in the following tables.</w:t>
      </w:r>
    </w:p>
    <w:p>
      <w:pPr>
        <w:spacing w:after="0" w:line="213"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21"/>
              <w:spacing w:after="0"/>
              <w:rPr>
                <w:sz w:val="20"/>
                <w:szCs w:val="20"/>
                <w:color w:val="auto"/>
              </w:rPr>
            </w:pPr>
            <w:r>
              <w:rPr>
                <w:rFonts w:ascii="Arial" w:cs="Arial" w:eastAsia="Arial" w:hAnsi="Arial"/>
                <w:sz w:val="16"/>
                <w:szCs w:val="16"/>
                <w:b w:val="1"/>
                <w:bCs w:val="1"/>
                <w:color w:val="auto"/>
                <w:w w:val="94"/>
              </w:rPr>
              <w:t>First Quarter</w:t>
            </w:r>
          </w:p>
        </w:tc>
        <w:tc>
          <w:tcPr>
            <w:tcW w:w="220" w:type="dxa"/>
            <w:vAlign w:val="bottom"/>
          </w:tcPr>
          <w:p>
            <w:pPr>
              <w:spacing w:after="0"/>
              <w:rPr>
                <w:sz w:val="17"/>
                <w:szCs w:val="17"/>
                <w:color w:val="auto"/>
              </w:rPr>
            </w:pPr>
          </w:p>
        </w:tc>
        <w:tc>
          <w:tcPr>
            <w:tcW w:w="126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Second Quarter</w:t>
            </w:r>
          </w:p>
        </w:tc>
        <w:tc>
          <w:tcPr>
            <w:tcW w:w="220" w:type="dxa"/>
            <w:vAlign w:val="bottom"/>
          </w:tcPr>
          <w:p>
            <w:pPr>
              <w:spacing w:after="0"/>
              <w:rPr>
                <w:sz w:val="17"/>
                <w:szCs w:val="17"/>
                <w:color w:val="auto"/>
              </w:rPr>
            </w:pPr>
          </w:p>
        </w:tc>
        <w:tc>
          <w:tcPr>
            <w:tcW w:w="1520" w:type="dxa"/>
            <w:vAlign w:val="bottom"/>
          </w:tcPr>
          <w:p>
            <w:pPr>
              <w:jc w:val="center"/>
              <w:ind w:right="101"/>
              <w:spacing w:after="0"/>
              <w:rPr>
                <w:sz w:val="20"/>
                <w:szCs w:val="20"/>
                <w:color w:val="auto"/>
              </w:rPr>
            </w:pPr>
            <w:r>
              <w:rPr>
                <w:rFonts w:ascii="Arial" w:cs="Arial" w:eastAsia="Arial" w:hAnsi="Arial"/>
                <w:sz w:val="16"/>
                <w:szCs w:val="16"/>
                <w:b w:val="1"/>
                <w:bCs w:val="1"/>
                <w:color w:val="auto"/>
                <w:w w:val="95"/>
              </w:rPr>
              <w:t>Third Quarter</w:t>
            </w:r>
          </w:p>
        </w:tc>
        <w:tc>
          <w:tcPr>
            <w:tcW w:w="220" w:type="dxa"/>
            <w:vAlign w:val="bottom"/>
          </w:tcPr>
          <w:p>
            <w:pPr>
              <w:spacing w:after="0"/>
              <w:rPr>
                <w:sz w:val="17"/>
                <w:szCs w:val="17"/>
                <w:color w:val="auto"/>
              </w:rPr>
            </w:pP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w w:val="93"/>
              </w:rPr>
              <w:t>Fourth Quarter</w:t>
            </w:r>
          </w:p>
        </w:tc>
        <w:tc>
          <w:tcPr>
            <w:tcW w:w="20" w:type="dxa"/>
            <w:vAlign w:val="bottom"/>
          </w:tcPr>
          <w:p>
            <w:pPr>
              <w:spacing w:after="0"/>
              <w:rPr>
                <w:sz w:val="17"/>
                <w:szCs w:val="17"/>
                <w:color w:val="auto"/>
              </w:rPr>
            </w:pPr>
          </w:p>
        </w:tc>
      </w:tr>
      <w:tr>
        <w:trPr>
          <w:trHeight w:val="21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8"/>
                <w:szCs w:val="18"/>
                <w:color w:val="auto"/>
              </w:rPr>
            </w:pPr>
          </w:p>
        </w:tc>
        <w:tc>
          <w:tcPr>
            <w:tcW w:w="152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8"/>
                <w:szCs w:val="18"/>
                <w:color w:val="auto"/>
              </w:rPr>
            </w:pP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w w:val="85"/>
              </w:rPr>
              <w:t>Ended</w:t>
            </w:r>
          </w:p>
        </w:tc>
        <w:tc>
          <w:tcPr>
            <w:tcW w:w="20" w:type="dxa"/>
            <w:vAlign w:val="bottom"/>
          </w:tcPr>
          <w:p>
            <w:pPr>
              <w:spacing w:after="0"/>
              <w:rPr>
                <w:sz w:val="18"/>
                <w:szCs w:val="18"/>
                <w:color w:val="auto"/>
              </w:rPr>
            </w:pPr>
          </w:p>
        </w:tc>
      </w:tr>
      <w:tr>
        <w:trPr>
          <w:trHeight w:val="226"/>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91"/>
              </w:rPr>
              <w:t>March 31, 2011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6"/>
              </w:rPr>
              <w:t>June 30, 2011</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6"/>
              </w:rPr>
              <w:t>September 30, 2011</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7"/>
              </w:rPr>
              <w:t>December 31, 2011</w:t>
            </w:r>
          </w:p>
        </w:tc>
        <w:tc>
          <w:tcPr>
            <w:tcW w:w="20" w:type="dxa"/>
            <w:vAlign w:val="bottom"/>
          </w:tcPr>
          <w:p>
            <w:pPr>
              <w:spacing w:after="0"/>
              <w:rPr>
                <w:sz w:val="19"/>
                <w:szCs w:val="19"/>
                <w:color w:val="auto"/>
              </w:rPr>
            </w:pPr>
          </w:p>
        </w:tc>
      </w:tr>
      <w:tr>
        <w:trPr>
          <w:trHeight w:val="211"/>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3"/>
          </w:tcPr>
          <w:p>
            <w:pPr>
              <w:jc w:val="right"/>
              <w:ind w:right="981"/>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5020" w:type="dxa"/>
            <w:vAlign w:val="bottom"/>
            <w:shd w:val="clear" w:color="auto" w:fill="C0C0C0"/>
          </w:tcPr>
          <w:p>
            <w:pPr>
              <w:spacing w:after="0"/>
              <w:rPr>
                <w:sz w:val="20"/>
                <w:szCs w:val="20"/>
                <w:color w:val="auto"/>
              </w:rPr>
            </w:pPr>
            <w:r>
              <w:rPr>
                <w:rFonts w:ascii="Arial" w:cs="Arial" w:eastAsia="Arial" w:hAnsi="Arial"/>
                <w:sz w:val="16"/>
                <w:szCs w:val="16"/>
                <w:color w:val="auto"/>
              </w:rPr>
              <w:t>Revenues</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112,204</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107,810</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0C0C0"/>
          </w:tcPr>
          <w:p>
            <w:pPr>
              <w:jc w:val="right"/>
              <w:ind w:right="121"/>
              <w:spacing w:after="0"/>
              <w:rPr>
                <w:sz w:val="20"/>
                <w:szCs w:val="20"/>
                <w:color w:val="auto"/>
              </w:rPr>
            </w:pPr>
            <w:r>
              <w:rPr>
                <w:rFonts w:ascii="Arial" w:cs="Arial" w:eastAsia="Arial" w:hAnsi="Arial"/>
                <w:sz w:val="16"/>
                <w:szCs w:val="16"/>
                <w:color w:val="auto"/>
              </w:rPr>
              <w:t>102,833</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122,977</w:t>
            </w:r>
          </w:p>
        </w:tc>
        <w:tc>
          <w:tcPr>
            <w:tcW w:w="20" w:type="dxa"/>
            <w:vAlign w:val="bottom"/>
          </w:tcPr>
          <w:p>
            <w:pPr>
              <w:spacing w:after="0"/>
              <w:rPr>
                <w:sz w:val="19"/>
                <w:szCs w:val="19"/>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(43,447)</w:t>
            </w:r>
          </w:p>
        </w:tc>
        <w:tc>
          <w:tcPr>
            <w:tcW w:w="22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(62,505)</w:t>
            </w:r>
          </w:p>
        </w:tc>
        <w:tc>
          <w:tcPr>
            <w:tcW w:w="220" w:type="dxa"/>
            <w:vAlign w:val="bottom"/>
          </w:tcPr>
          <w:p>
            <w:pPr>
              <w:spacing w:after="0"/>
              <w:rPr>
                <w:sz w:val="18"/>
                <w:szCs w:val="18"/>
                <w:color w:val="auto"/>
              </w:rPr>
            </w:pPr>
          </w:p>
        </w:tc>
        <w:tc>
          <w:tcPr>
            <w:tcW w:w="1520" w:type="dxa"/>
            <w:vAlign w:val="bottom"/>
          </w:tcPr>
          <w:p>
            <w:pPr>
              <w:jc w:val="right"/>
              <w:ind w:right="61"/>
              <w:spacing w:after="0"/>
              <w:rPr>
                <w:sz w:val="20"/>
                <w:szCs w:val="20"/>
                <w:color w:val="auto"/>
              </w:rPr>
            </w:pPr>
            <w:r>
              <w:rPr>
                <w:rFonts w:ascii="Arial" w:cs="Arial" w:eastAsia="Arial" w:hAnsi="Arial"/>
                <w:sz w:val="16"/>
                <w:szCs w:val="16"/>
                <w:color w:val="auto"/>
              </w:rPr>
              <w:t>(62,365)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(53,443)</w:t>
            </w:r>
          </w:p>
        </w:tc>
        <w:tc>
          <w:tcPr>
            <w:tcW w:w="20" w:type="dxa"/>
            <w:vAlign w:val="bottom"/>
          </w:tcPr>
          <w:p>
            <w:pPr>
              <w:spacing w:after="0"/>
              <w:rPr>
                <w:sz w:val="18"/>
                <w:szCs w:val="18"/>
                <w:color w:val="auto"/>
              </w:rPr>
            </w:pPr>
          </w:p>
        </w:tc>
      </w:tr>
      <w:tr>
        <w:trPr>
          <w:trHeight w:val="211"/>
        </w:trPr>
        <w:tc>
          <w:tcPr>
            <w:tcW w:w="5020" w:type="dxa"/>
            <w:vAlign w:val="bottom"/>
            <w:shd w:val="clear" w:color="auto" w:fill="C0C0C0"/>
          </w:tcPr>
          <w:p>
            <w:pPr>
              <w:spacing w:after="0"/>
              <w:rPr>
                <w:sz w:val="20"/>
                <w:szCs w:val="20"/>
                <w:color w:val="auto"/>
              </w:rPr>
            </w:pPr>
            <w:r>
              <w:rPr>
                <w:rFonts w:ascii="Arial" w:cs="Arial" w:eastAsia="Arial" w:hAnsi="Arial"/>
                <w:sz w:val="16"/>
                <w:szCs w:val="16"/>
                <w:color w:val="auto"/>
              </w:rPr>
              <w:t>Net loss per share, basic</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2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5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4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50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and diluted</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(0.49)</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(0.69)</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0C0C0"/>
          </w:tcPr>
          <w:p>
            <w:pPr>
              <w:jc w:val="right"/>
              <w:ind w:right="61"/>
              <w:spacing w:after="0"/>
              <w:rPr>
                <w:sz w:val="20"/>
                <w:szCs w:val="20"/>
                <w:color w:val="auto"/>
              </w:rPr>
            </w:pPr>
            <w:r>
              <w:rPr>
                <w:rFonts w:ascii="Arial" w:cs="Arial" w:eastAsia="Arial" w:hAnsi="Arial"/>
                <w:sz w:val="16"/>
                <w:szCs w:val="16"/>
                <w:color w:val="auto"/>
              </w:rPr>
              <w:t>(0.68)</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(0.58)</w:t>
            </w:r>
          </w:p>
        </w:tc>
        <w:tc>
          <w:tcPr>
            <w:tcW w:w="20" w:type="dxa"/>
            <w:vAlign w:val="bottom"/>
          </w:tcPr>
          <w:p>
            <w:pPr>
              <w:spacing w:after="0"/>
              <w:rPr>
                <w:sz w:val="20"/>
                <w:szCs w:val="20"/>
                <w:color w:val="auto"/>
              </w:rPr>
            </w:pPr>
          </w:p>
        </w:tc>
      </w:tr>
      <w:tr>
        <w:trPr>
          <w:trHeight w:val="422"/>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21"/>
              <w:spacing w:after="0"/>
              <w:rPr>
                <w:sz w:val="20"/>
                <w:szCs w:val="20"/>
                <w:color w:val="auto"/>
              </w:rPr>
            </w:pPr>
            <w:r>
              <w:rPr>
                <w:rFonts w:ascii="Arial" w:cs="Arial" w:eastAsia="Arial" w:hAnsi="Arial"/>
                <w:sz w:val="16"/>
                <w:szCs w:val="16"/>
                <w:b w:val="1"/>
                <w:bCs w:val="1"/>
                <w:color w:val="auto"/>
                <w:w w:val="94"/>
              </w:rPr>
              <w:t>First Quarter</w:t>
            </w:r>
          </w:p>
        </w:tc>
        <w:tc>
          <w:tcPr>
            <w:tcW w:w="220" w:type="dxa"/>
            <w:vAlign w:val="bottom"/>
          </w:tcPr>
          <w:p>
            <w:pPr>
              <w:spacing w:after="0"/>
              <w:rPr>
                <w:sz w:val="24"/>
                <w:szCs w:val="24"/>
                <w:color w:val="auto"/>
              </w:rPr>
            </w:pPr>
          </w:p>
        </w:tc>
        <w:tc>
          <w:tcPr>
            <w:tcW w:w="126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Second Quarter</w:t>
            </w:r>
          </w:p>
        </w:tc>
        <w:tc>
          <w:tcPr>
            <w:tcW w:w="220" w:type="dxa"/>
            <w:vAlign w:val="bottom"/>
          </w:tcPr>
          <w:p>
            <w:pPr>
              <w:spacing w:after="0"/>
              <w:rPr>
                <w:sz w:val="24"/>
                <w:szCs w:val="24"/>
                <w:color w:val="auto"/>
              </w:rPr>
            </w:pPr>
          </w:p>
        </w:tc>
        <w:tc>
          <w:tcPr>
            <w:tcW w:w="1520" w:type="dxa"/>
            <w:vAlign w:val="bottom"/>
          </w:tcPr>
          <w:p>
            <w:pPr>
              <w:jc w:val="center"/>
              <w:ind w:right="101"/>
              <w:spacing w:after="0"/>
              <w:rPr>
                <w:sz w:val="20"/>
                <w:szCs w:val="20"/>
                <w:color w:val="auto"/>
              </w:rPr>
            </w:pPr>
            <w:r>
              <w:rPr>
                <w:rFonts w:ascii="Arial" w:cs="Arial" w:eastAsia="Arial" w:hAnsi="Arial"/>
                <w:sz w:val="16"/>
                <w:szCs w:val="16"/>
                <w:b w:val="1"/>
                <w:bCs w:val="1"/>
                <w:color w:val="auto"/>
                <w:w w:val="95"/>
              </w:rPr>
              <w:t>Third Quarter</w:t>
            </w:r>
          </w:p>
        </w:tc>
        <w:tc>
          <w:tcPr>
            <w:tcW w:w="220" w:type="dxa"/>
            <w:vAlign w:val="bottom"/>
          </w:tcPr>
          <w:p>
            <w:pPr>
              <w:spacing w:after="0"/>
              <w:rPr>
                <w:sz w:val="24"/>
                <w:szCs w:val="24"/>
                <w:color w:val="auto"/>
              </w:rPr>
            </w:pP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w w:val="93"/>
              </w:rPr>
              <w:t>Fourth Quarter</w:t>
            </w:r>
          </w:p>
        </w:tc>
        <w:tc>
          <w:tcPr>
            <w:tcW w:w="20" w:type="dxa"/>
            <w:vAlign w:val="bottom"/>
          </w:tcPr>
          <w:p>
            <w:pPr>
              <w:spacing w:after="0"/>
              <w:rPr>
                <w:sz w:val="24"/>
                <w:szCs w:val="24"/>
                <w:color w:val="auto"/>
              </w:rPr>
            </w:pPr>
          </w:p>
        </w:tc>
      </w:tr>
      <w:tr>
        <w:trPr>
          <w:trHeight w:val="21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8"/>
                <w:szCs w:val="18"/>
                <w:color w:val="auto"/>
              </w:rPr>
            </w:pPr>
          </w:p>
        </w:tc>
        <w:tc>
          <w:tcPr>
            <w:tcW w:w="1520" w:type="dxa"/>
            <w:vAlign w:val="bottom"/>
          </w:tcPr>
          <w:p>
            <w:pPr>
              <w:jc w:val="center"/>
              <w:ind w:right="121"/>
              <w:spacing w:after="0"/>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8"/>
                <w:szCs w:val="18"/>
                <w:color w:val="auto"/>
              </w:rPr>
            </w:pPr>
          </w:p>
        </w:tc>
        <w:tc>
          <w:tcPr>
            <w:tcW w:w="1400" w:type="dxa"/>
            <w:vAlign w:val="bottom"/>
          </w:tcPr>
          <w:p>
            <w:pPr>
              <w:jc w:val="center"/>
              <w:ind w:right="21"/>
              <w:spacing w:after="0"/>
              <w:rPr>
                <w:sz w:val="20"/>
                <w:szCs w:val="20"/>
                <w:color w:val="auto"/>
              </w:rPr>
            </w:pPr>
            <w:r>
              <w:rPr>
                <w:rFonts w:ascii="Arial" w:cs="Arial" w:eastAsia="Arial" w:hAnsi="Arial"/>
                <w:sz w:val="16"/>
                <w:szCs w:val="16"/>
                <w:b w:val="1"/>
                <w:bCs w:val="1"/>
                <w:color w:val="auto"/>
                <w:w w:val="85"/>
              </w:rPr>
              <w:t>Ended</w:t>
            </w:r>
          </w:p>
        </w:tc>
        <w:tc>
          <w:tcPr>
            <w:tcW w:w="20" w:type="dxa"/>
            <w:vAlign w:val="bottom"/>
          </w:tcPr>
          <w:p>
            <w:pPr>
              <w:spacing w:after="0"/>
              <w:rPr>
                <w:sz w:val="18"/>
                <w:szCs w:val="18"/>
                <w:color w:val="auto"/>
              </w:rPr>
            </w:pPr>
          </w:p>
        </w:tc>
      </w:tr>
      <w:tr>
        <w:trPr>
          <w:trHeight w:val="226"/>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91"/>
              </w:rPr>
              <w:t>March 31, 2010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8"/>
              </w:rPr>
              <w:t>June 30, 2010</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8"/>
              </w:rPr>
              <w:t>September 30, 2010</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7"/>
              </w:rPr>
              <w:t>December 31, 2010</w:t>
            </w:r>
          </w:p>
        </w:tc>
        <w:tc>
          <w:tcPr>
            <w:tcW w:w="20" w:type="dxa"/>
            <w:vAlign w:val="bottom"/>
          </w:tcPr>
          <w:p>
            <w:pPr>
              <w:spacing w:after="0"/>
              <w:rPr>
                <w:sz w:val="19"/>
                <w:szCs w:val="19"/>
                <w:color w:val="auto"/>
              </w:rPr>
            </w:pPr>
          </w:p>
        </w:tc>
      </w:tr>
      <w:tr>
        <w:trPr>
          <w:trHeight w:val="211"/>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3"/>
          </w:tcPr>
          <w:p>
            <w:pPr>
              <w:jc w:val="right"/>
              <w:ind w:right="981"/>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5020" w:type="dxa"/>
            <w:vAlign w:val="bottom"/>
            <w:shd w:val="clear" w:color="auto" w:fill="C0C0C0"/>
          </w:tcPr>
          <w:p>
            <w:pPr>
              <w:spacing w:after="0"/>
              <w:rPr>
                <w:sz w:val="20"/>
                <w:szCs w:val="20"/>
                <w:color w:val="auto"/>
              </w:rPr>
            </w:pPr>
            <w:r>
              <w:rPr>
                <w:rFonts w:ascii="Arial" w:cs="Arial" w:eastAsia="Arial" w:hAnsi="Arial"/>
                <w:sz w:val="16"/>
                <w:szCs w:val="16"/>
                <w:color w:val="auto"/>
              </w:rPr>
              <w:t>Revenues</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103,534</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0C0C0"/>
          </w:tcPr>
          <w:p>
            <w:pPr>
              <w:jc w:val="right"/>
              <w:ind w:right="101"/>
              <w:spacing w:after="0"/>
              <w:rPr>
                <w:sz w:val="20"/>
                <w:szCs w:val="20"/>
                <w:color w:val="auto"/>
              </w:rPr>
            </w:pPr>
            <w:r>
              <w:rPr>
                <w:rFonts w:ascii="Arial" w:cs="Arial" w:eastAsia="Arial" w:hAnsi="Arial"/>
                <w:sz w:val="16"/>
                <w:szCs w:val="16"/>
                <w:color w:val="auto"/>
              </w:rPr>
              <w:t>115,886</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0C0C0"/>
          </w:tcPr>
          <w:p>
            <w:pPr>
              <w:jc w:val="right"/>
              <w:ind w:right="121"/>
              <w:spacing w:after="0"/>
              <w:rPr>
                <w:sz w:val="20"/>
                <w:szCs w:val="20"/>
                <w:color w:val="auto"/>
              </w:rPr>
            </w:pPr>
            <w:r>
              <w:rPr>
                <w:rFonts w:ascii="Arial" w:cs="Arial" w:eastAsia="Arial" w:hAnsi="Arial"/>
                <w:sz w:val="16"/>
                <w:szCs w:val="16"/>
                <w:color w:val="auto"/>
              </w:rPr>
              <w:t>105,979</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0C0C0"/>
          </w:tcPr>
          <w:p>
            <w:pPr>
              <w:jc w:val="right"/>
              <w:ind w:right="21"/>
              <w:spacing w:after="0"/>
              <w:rPr>
                <w:sz w:val="20"/>
                <w:szCs w:val="20"/>
                <w:color w:val="auto"/>
              </w:rPr>
            </w:pPr>
            <w:r>
              <w:rPr>
                <w:rFonts w:ascii="Arial" w:cs="Arial" w:eastAsia="Arial" w:hAnsi="Arial"/>
                <w:sz w:val="16"/>
                <w:szCs w:val="16"/>
                <w:color w:val="auto"/>
              </w:rPr>
              <w:t>133,675</w:t>
            </w:r>
          </w:p>
        </w:tc>
        <w:tc>
          <w:tcPr>
            <w:tcW w:w="20" w:type="dxa"/>
            <w:vAlign w:val="bottom"/>
          </w:tcPr>
          <w:p>
            <w:pPr>
              <w:spacing w:after="0"/>
              <w:rPr>
                <w:sz w:val="19"/>
                <w:szCs w:val="19"/>
                <w:color w:val="auto"/>
              </w:rPr>
            </w:pPr>
          </w:p>
        </w:tc>
      </w:tr>
      <w:tr>
        <w:trPr>
          <w:trHeight w:val="211"/>
        </w:trPr>
        <w:tc>
          <w:tcPr>
            <w:tcW w:w="502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(30,522)</w:t>
            </w:r>
          </w:p>
        </w:tc>
        <w:tc>
          <w:tcPr>
            <w:tcW w:w="22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(25,474)</w:t>
            </w:r>
          </w:p>
        </w:tc>
        <w:tc>
          <w:tcPr>
            <w:tcW w:w="220" w:type="dxa"/>
            <w:vAlign w:val="bottom"/>
          </w:tcPr>
          <w:p>
            <w:pPr>
              <w:spacing w:after="0"/>
              <w:rPr>
                <w:sz w:val="18"/>
                <w:szCs w:val="18"/>
                <w:color w:val="auto"/>
              </w:rPr>
            </w:pPr>
          </w:p>
        </w:tc>
        <w:tc>
          <w:tcPr>
            <w:tcW w:w="1520" w:type="dxa"/>
            <w:vAlign w:val="bottom"/>
          </w:tcPr>
          <w:p>
            <w:pPr>
              <w:jc w:val="right"/>
              <w:ind w:right="61"/>
              <w:spacing w:after="0"/>
              <w:rPr>
                <w:sz w:val="20"/>
                <w:szCs w:val="20"/>
                <w:color w:val="auto"/>
              </w:rPr>
            </w:pPr>
            <w:r>
              <w:rPr>
                <w:rFonts w:ascii="Arial" w:cs="Arial" w:eastAsia="Arial" w:hAnsi="Arial"/>
                <w:sz w:val="16"/>
                <w:szCs w:val="16"/>
                <w:color w:val="auto"/>
              </w:rPr>
              <w:t>(33,875)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(14,597)</w:t>
            </w:r>
          </w:p>
        </w:tc>
        <w:tc>
          <w:tcPr>
            <w:tcW w:w="20" w:type="dxa"/>
            <w:vAlign w:val="bottom"/>
          </w:tcPr>
          <w:p>
            <w:pPr>
              <w:spacing w:after="0"/>
              <w:rPr>
                <w:sz w:val="18"/>
                <w:szCs w:val="18"/>
                <w:color w:val="auto"/>
              </w:rPr>
            </w:pPr>
          </w:p>
        </w:tc>
      </w:tr>
      <w:tr>
        <w:trPr>
          <w:trHeight w:val="211"/>
        </w:trPr>
        <w:tc>
          <w:tcPr>
            <w:tcW w:w="5020" w:type="dxa"/>
            <w:vAlign w:val="bottom"/>
            <w:shd w:val="clear" w:color="auto" w:fill="C0C0C0"/>
          </w:tcPr>
          <w:p>
            <w:pPr>
              <w:spacing w:after="0"/>
              <w:rPr>
                <w:sz w:val="20"/>
                <w:szCs w:val="20"/>
                <w:color w:val="auto"/>
              </w:rPr>
            </w:pPr>
            <w:r>
              <w:rPr>
                <w:rFonts w:ascii="Arial" w:cs="Arial" w:eastAsia="Arial" w:hAnsi="Arial"/>
                <w:sz w:val="16"/>
                <w:szCs w:val="16"/>
                <w:color w:val="auto"/>
              </w:rPr>
              <w:t>Net loss per share, basic</w:t>
            </w:r>
          </w:p>
        </w:tc>
        <w:tc>
          <w:tcPr>
            <w:tcW w:w="2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2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5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4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5020" w:type="dxa"/>
            <w:vAlign w:val="bottom"/>
            <w:shd w:val="clear" w:color="auto" w:fill="C0C0C0"/>
          </w:tcPr>
          <w:p>
            <w:pPr>
              <w:ind w:left="280"/>
              <w:spacing w:after="0"/>
              <w:rPr>
                <w:sz w:val="20"/>
                <w:szCs w:val="20"/>
                <w:color w:val="auto"/>
              </w:rPr>
            </w:pPr>
            <w:r>
              <w:rPr>
                <w:rFonts w:ascii="Arial" w:cs="Arial" w:eastAsia="Arial" w:hAnsi="Arial"/>
                <w:sz w:val="16"/>
                <w:szCs w:val="16"/>
                <w:color w:val="auto"/>
              </w:rPr>
              <w:t>and diluted</w:t>
            </w:r>
          </w:p>
        </w:tc>
        <w:tc>
          <w:tcPr>
            <w:tcW w:w="340" w:type="dxa"/>
            <w:vAlign w:val="bottom"/>
            <w:gridSpan w:val="2"/>
            <w:shd w:val="clear" w:color="auto" w:fill="C0C0C0"/>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(0.38)</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0C0C0"/>
          </w:tcPr>
          <w:p>
            <w:pPr>
              <w:jc w:val="right"/>
              <w:ind w:right="41"/>
              <w:spacing w:after="0"/>
              <w:rPr>
                <w:sz w:val="20"/>
                <w:szCs w:val="20"/>
                <w:color w:val="auto"/>
              </w:rPr>
            </w:pPr>
            <w:r>
              <w:rPr>
                <w:rFonts w:ascii="Arial" w:cs="Arial" w:eastAsia="Arial" w:hAnsi="Arial"/>
                <w:sz w:val="16"/>
                <w:szCs w:val="16"/>
                <w:color w:val="auto"/>
              </w:rPr>
              <w:t>(0.31)</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0C0C0"/>
          </w:tcPr>
          <w:p>
            <w:pPr>
              <w:jc w:val="right"/>
              <w:ind w:right="61"/>
              <w:spacing w:after="0"/>
              <w:rPr>
                <w:sz w:val="20"/>
                <w:szCs w:val="20"/>
                <w:color w:val="auto"/>
              </w:rPr>
            </w:pPr>
            <w:r>
              <w:rPr>
                <w:rFonts w:ascii="Arial" w:cs="Arial" w:eastAsia="Arial" w:hAnsi="Arial"/>
                <w:sz w:val="16"/>
                <w:szCs w:val="16"/>
                <w:color w:val="auto"/>
              </w:rPr>
              <w:t>(0.41)</w:t>
            </w:r>
          </w:p>
        </w:tc>
        <w:tc>
          <w:tcPr>
            <w:tcW w:w="2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0C0C0"/>
          </w:tcPr>
          <w:p>
            <w:pPr>
              <w:jc w:val="right"/>
              <w:spacing w:after="0"/>
              <w:rPr>
                <w:sz w:val="20"/>
                <w:szCs w:val="20"/>
                <w:color w:val="auto"/>
              </w:rPr>
            </w:pPr>
            <w:r>
              <w:rPr>
                <w:rFonts w:ascii="Arial" w:cs="Arial" w:eastAsia="Arial" w:hAnsi="Arial"/>
                <w:sz w:val="16"/>
                <w:szCs w:val="16"/>
                <w:color w:val="auto"/>
              </w:rPr>
              <w:t>(0.17)</w:t>
            </w:r>
          </w:p>
        </w:tc>
        <w:tc>
          <w:tcPr>
            <w:tcW w:w="20" w:type="dxa"/>
            <w:vAlign w:val="bottom"/>
          </w:tcPr>
          <w:p>
            <w:pPr>
              <w:spacing w:after="0"/>
              <w:rPr>
                <w:sz w:val="20"/>
                <w:szCs w:val="20"/>
                <w:color w:val="auto"/>
              </w:rPr>
            </w:pPr>
          </w:p>
        </w:tc>
      </w:tr>
      <w:tr>
        <w:trPr>
          <w:trHeight w:val="604"/>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661"/>
              <w:spacing w:after="0"/>
              <w:rPr>
                <w:sz w:val="20"/>
                <w:szCs w:val="20"/>
                <w:color w:val="auto"/>
              </w:rPr>
            </w:pPr>
            <w:r>
              <w:rPr>
                <w:rFonts w:ascii="Arial" w:cs="Arial" w:eastAsia="Arial" w:hAnsi="Arial"/>
                <w:sz w:val="16"/>
                <w:szCs w:val="16"/>
                <w:color w:val="auto"/>
              </w:rPr>
              <w:t>F-38</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50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7265670</wp:posOffset>
            </wp:positionH>
            <wp:positionV relativeFrom="paragraph">
              <wp:posOffset>-13335</wp:posOffset>
            </wp:positionV>
            <wp:extent cx="1270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3"/>
          </w:cols>
          <w:pgMar w:left="237" w:top="539" w:right="1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059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3960" w:type="dxa"/>
            <w:vAlign w:val="bottom"/>
          </w:tcPr>
          <w:p>
            <w:pPr>
              <w:spacing w:after="0"/>
              <w:rPr>
                <w:sz w:val="17"/>
                <w:szCs w:val="17"/>
                <w:color w:val="auto"/>
              </w:rPr>
            </w:pPr>
          </w:p>
        </w:tc>
        <w:tc>
          <w:tcPr>
            <w:tcW w:w="7480" w:type="dxa"/>
            <w:vAlign w:val="bottom"/>
            <w:gridSpan w:val="3"/>
          </w:tcPr>
          <w:p>
            <w:pPr>
              <w:ind w:left="1720"/>
              <w:spacing w:after="0"/>
              <w:rPr>
                <w:sz w:val="20"/>
                <w:szCs w:val="20"/>
                <w:color w:val="auto"/>
              </w:rPr>
            </w:pPr>
            <w:r>
              <w:rPr>
                <w:rFonts w:ascii="Arial" w:cs="Arial" w:eastAsia="Arial" w:hAnsi="Arial"/>
                <w:sz w:val="16"/>
                <w:szCs w:val="16"/>
                <w:b w:val="1"/>
                <w:bCs w:val="1"/>
                <w:color w:val="auto"/>
              </w:rPr>
              <w:t>Regeneron Pharmaceuticals, Inc.</w:t>
            </w:r>
          </w:p>
        </w:tc>
        <w:tc>
          <w:tcPr>
            <w:tcW w:w="0" w:type="dxa"/>
            <w:vAlign w:val="bottom"/>
          </w:tcPr>
          <w:p>
            <w:pPr>
              <w:spacing w:after="0"/>
              <w:rPr>
                <w:sz w:val="1"/>
                <w:szCs w:val="1"/>
                <w:color w:val="auto"/>
              </w:rPr>
            </w:pPr>
          </w:p>
        </w:tc>
      </w:tr>
      <w:tr>
        <w:trPr>
          <w:trHeight w:val="218"/>
        </w:trPr>
        <w:tc>
          <w:tcPr>
            <w:tcW w:w="3960" w:type="dxa"/>
            <w:vAlign w:val="bottom"/>
          </w:tcPr>
          <w:p>
            <w:pPr>
              <w:spacing w:after="0"/>
              <w:rPr>
                <w:sz w:val="18"/>
                <w:szCs w:val="18"/>
                <w:color w:val="auto"/>
              </w:rPr>
            </w:pPr>
          </w:p>
        </w:tc>
        <w:tc>
          <w:tcPr>
            <w:tcW w:w="2600" w:type="dxa"/>
            <w:vAlign w:val="bottom"/>
          </w:tcPr>
          <w:p>
            <w:pPr>
              <w:ind w:left="1720"/>
              <w:spacing w:after="0"/>
              <w:rPr>
                <w:sz w:val="20"/>
                <w:szCs w:val="20"/>
                <w:color w:val="auto"/>
              </w:rPr>
            </w:pPr>
            <w:r>
              <w:rPr>
                <w:rFonts w:ascii="Arial" w:cs="Arial" w:eastAsia="Arial" w:hAnsi="Arial"/>
                <w:sz w:val="16"/>
                <w:szCs w:val="16"/>
                <w:b w:val="1"/>
                <w:bCs w:val="1"/>
                <w:color w:val="auto"/>
              </w:rPr>
              <w:t xml:space="preserve">ID: </w:t>
            </w:r>
            <w:r>
              <w:rPr>
                <w:rFonts w:ascii="Arial" w:cs="Arial" w:eastAsia="Arial" w:hAnsi="Arial"/>
                <w:sz w:val="16"/>
                <w:szCs w:val="16"/>
                <w:color w:val="auto"/>
              </w:rPr>
              <w:t>[</w:t>
            </w:r>
          </w:p>
        </w:tc>
        <w:tc>
          <w:tcPr>
            <w:tcW w:w="980" w:type="dxa"/>
            <w:vAlign w:val="bottom"/>
          </w:tcPr>
          <w:p>
            <w:pPr>
              <w:jc w:val="right"/>
              <w:ind w:right="592"/>
              <w:spacing w:after="0"/>
              <w:rPr>
                <w:sz w:val="20"/>
                <w:szCs w:val="20"/>
                <w:color w:val="auto"/>
              </w:rPr>
            </w:pPr>
            <w:r>
              <w:rPr>
                <w:rFonts w:ascii="Arial" w:cs="Arial" w:eastAsia="Arial" w:hAnsi="Arial"/>
                <w:sz w:val="16"/>
                <w:szCs w:val="16"/>
                <w:color w:val="auto"/>
              </w:rPr>
              <w:t>]</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60" w:type="dxa"/>
            <w:vAlign w:val="bottom"/>
          </w:tcPr>
          <w:p>
            <w:pPr>
              <w:spacing w:after="0"/>
              <w:rPr>
                <w:sz w:val="20"/>
                <w:szCs w:val="20"/>
                <w:color w:val="auto"/>
              </w:rPr>
            </w:pPr>
            <w:r>
              <w:rPr>
                <w:rFonts w:ascii="Arial" w:cs="Arial" w:eastAsia="Arial" w:hAnsi="Arial"/>
                <w:sz w:val="16"/>
                <w:szCs w:val="16"/>
                <w:b w:val="1"/>
                <w:bCs w:val="1"/>
                <w:color w:val="auto"/>
              </w:rPr>
              <w:t>Notice of Grant of Stock Options</w:t>
            </w:r>
          </w:p>
        </w:tc>
        <w:tc>
          <w:tcPr>
            <w:tcW w:w="7480" w:type="dxa"/>
            <w:vAlign w:val="bottom"/>
            <w:gridSpan w:val="3"/>
          </w:tcPr>
          <w:p>
            <w:pPr>
              <w:ind w:left="1720"/>
              <w:spacing w:after="0"/>
              <w:rPr>
                <w:sz w:val="20"/>
                <w:szCs w:val="20"/>
                <w:color w:val="auto"/>
              </w:rPr>
            </w:pPr>
            <w:r>
              <w:rPr>
                <w:rFonts w:ascii="Arial" w:cs="Arial" w:eastAsia="Arial" w:hAnsi="Arial"/>
                <w:sz w:val="16"/>
                <w:szCs w:val="16"/>
                <w:color w:val="auto"/>
              </w:rPr>
              <w:t>777 Old Saw Mill River Road</w:t>
            </w:r>
          </w:p>
        </w:tc>
        <w:tc>
          <w:tcPr>
            <w:tcW w:w="0" w:type="dxa"/>
            <w:vAlign w:val="bottom"/>
          </w:tcPr>
          <w:p>
            <w:pPr>
              <w:spacing w:after="0"/>
              <w:rPr>
                <w:sz w:val="1"/>
                <w:szCs w:val="1"/>
                <w:color w:val="auto"/>
              </w:rPr>
            </w:pPr>
          </w:p>
        </w:tc>
      </w:tr>
      <w:tr>
        <w:trPr>
          <w:trHeight w:val="218"/>
        </w:trPr>
        <w:tc>
          <w:tcPr>
            <w:tcW w:w="3960" w:type="dxa"/>
            <w:vAlign w:val="bottom"/>
          </w:tcPr>
          <w:p>
            <w:pPr>
              <w:spacing w:after="0"/>
              <w:rPr>
                <w:sz w:val="20"/>
                <w:szCs w:val="20"/>
                <w:color w:val="auto"/>
              </w:rPr>
            </w:pPr>
            <w:r>
              <w:rPr>
                <w:rFonts w:ascii="Arial" w:cs="Arial" w:eastAsia="Arial" w:hAnsi="Arial"/>
                <w:sz w:val="16"/>
                <w:szCs w:val="16"/>
                <w:b w:val="1"/>
                <w:bCs w:val="1"/>
                <w:color w:val="auto"/>
              </w:rPr>
              <w:t>and Option Agreement</w:t>
            </w:r>
          </w:p>
        </w:tc>
        <w:tc>
          <w:tcPr>
            <w:tcW w:w="3580" w:type="dxa"/>
            <w:vAlign w:val="bottom"/>
            <w:gridSpan w:val="2"/>
          </w:tcPr>
          <w:p>
            <w:pPr>
              <w:ind w:left="1720"/>
              <w:spacing w:after="0"/>
              <w:rPr>
                <w:sz w:val="20"/>
                <w:szCs w:val="20"/>
                <w:color w:val="auto"/>
              </w:rPr>
            </w:pPr>
            <w:r>
              <w:rPr>
                <w:rFonts w:ascii="Arial" w:cs="Arial" w:eastAsia="Arial" w:hAnsi="Arial"/>
                <w:sz w:val="16"/>
                <w:szCs w:val="16"/>
                <w:color w:val="auto"/>
                <w:w w:val="92"/>
              </w:rPr>
              <w:t>Tarrytown, New York 10591</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3960" w:type="dxa"/>
            <w:vAlign w:val="bottom"/>
          </w:tcPr>
          <w:p>
            <w:pPr>
              <w:spacing w:after="0"/>
              <w:rPr>
                <w:sz w:val="24"/>
                <w:szCs w:val="24"/>
                <w:color w:val="auto"/>
              </w:rPr>
            </w:pPr>
          </w:p>
        </w:tc>
        <w:tc>
          <w:tcPr>
            <w:tcW w:w="2600" w:type="dxa"/>
            <w:vAlign w:val="bottom"/>
          </w:tcPr>
          <w:p>
            <w:pPr>
              <w:ind w:left="1720"/>
              <w:spacing w:after="0"/>
              <w:rPr>
                <w:sz w:val="20"/>
                <w:szCs w:val="20"/>
                <w:color w:val="auto"/>
              </w:rPr>
            </w:pPr>
            <w:r>
              <w:rPr>
                <w:rFonts w:ascii="Arial" w:cs="Arial" w:eastAsia="Arial" w:hAnsi="Arial"/>
                <w:sz w:val="16"/>
                <w:szCs w:val="16"/>
                <w:b w:val="1"/>
                <w:bCs w:val="1"/>
                <w:color w:val="auto"/>
              </w:rPr>
              <w:t>Option</w:t>
            </w:r>
          </w:p>
        </w:tc>
        <w:tc>
          <w:tcPr>
            <w:tcW w:w="980" w:type="dxa"/>
            <w:vAlign w:val="bottom"/>
            <w:vMerge w:val="restart"/>
          </w:tcPr>
          <w:p>
            <w:pPr>
              <w:ind w:left="340"/>
              <w:spacing w:after="0"/>
              <w:rPr>
                <w:sz w:val="20"/>
                <w:szCs w:val="20"/>
                <w:color w:val="auto"/>
              </w:rPr>
            </w:pPr>
            <w:r>
              <w:rPr>
                <w:rFonts w:ascii="Arial" w:cs="Arial" w:eastAsia="Arial" w:hAnsi="Arial"/>
                <w:sz w:val="19"/>
                <w:szCs w:val="19"/>
                <w:b w:val="1"/>
                <w:bCs w:val="1"/>
                <w:color w:val="auto"/>
              </w:rPr>
              <w:t>[</w:t>
            </w:r>
          </w:p>
        </w:tc>
        <w:tc>
          <w:tcPr>
            <w:tcW w:w="3900" w:type="dxa"/>
            <w:vAlign w:val="bottom"/>
            <w:vMerge w:val="restart"/>
          </w:tcPr>
          <w:p>
            <w:pPr>
              <w:jc w:val="right"/>
              <w:ind w:right="3723"/>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232"/>
        </w:trPr>
        <w:tc>
          <w:tcPr>
            <w:tcW w:w="3960" w:type="dxa"/>
            <w:vAlign w:val="bottom"/>
          </w:tcPr>
          <w:p>
            <w:pPr>
              <w:spacing w:after="0"/>
              <w:rPr>
                <w:sz w:val="20"/>
                <w:szCs w:val="20"/>
                <w:color w:val="auto"/>
              </w:rPr>
            </w:pPr>
            <w:r>
              <w:rPr>
                <w:rFonts w:ascii="Arial" w:cs="Arial" w:eastAsia="Arial" w:hAnsi="Arial"/>
                <w:sz w:val="16"/>
                <w:szCs w:val="16"/>
                <w:b w:val="1"/>
                <w:bCs w:val="1"/>
                <w:color w:val="auto"/>
              </w:rPr>
              <w:t>[OPTIONEE NAME]</w:t>
            </w:r>
          </w:p>
        </w:tc>
        <w:tc>
          <w:tcPr>
            <w:tcW w:w="2600" w:type="dxa"/>
            <w:vAlign w:val="bottom"/>
          </w:tcPr>
          <w:p>
            <w:pPr>
              <w:ind w:left="1720"/>
              <w:spacing w:after="0"/>
              <w:rPr>
                <w:sz w:val="20"/>
                <w:szCs w:val="20"/>
                <w:color w:val="auto"/>
              </w:rPr>
            </w:pPr>
            <w:r>
              <w:rPr>
                <w:rFonts w:ascii="Arial" w:cs="Arial" w:eastAsia="Arial" w:hAnsi="Arial"/>
                <w:sz w:val="16"/>
                <w:szCs w:val="16"/>
                <w:b w:val="1"/>
                <w:bCs w:val="1"/>
                <w:color w:val="auto"/>
              </w:rPr>
              <w:t>Number:</w:t>
            </w:r>
          </w:p>
        </w:tc>
        <w:tc>
          <w:tcPr>
            <w:tcW w:w="980" w:type="dxa"/>
            <w:vAlign w:val="bottom"/>
            <w:vMerge w:val="continue"/>
          </w:tcPr>
          <w:p>
            <w:pPr>
              <w:spacing w:after="0"/>
              <w:rPr>
                <w:sz w:val="20"/>
                <w:szCs w:val="20"/>
                <w:color w:val="auto"/>
              </w:rPr>
            </w:pPr>
          </w:p>
        </w:tc>
        <w:tc>
          <w:tcPr>
            <w:tcW w:w="3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60" w:type="dxa"/>
            <w:vAlign w:val="bottom"/>
          </w:tcPr>
          <w:p>
            <w:pPr>
              <w:spacing w:after="0"/>
              <w:rPr>
                <w:sz w:val="20"/>
                <w:szCs w:val="20"/>
                <w:color w:val="auto"/>
              </w:rPr>
            </w:pPr>
            <w:r>
              <w:rPr>
                <w:rFonts w:ascii="Arial" w:cs="Arial" w:eastAsia="Arial" w:hAnsi="Arial"/>
                <w:sz w:val="16"/>
                <w:szCs w:val="16"/>
                <w:b w:val="1"/>
                <w:bCs w:val="1"/>
                <w:color w:val="auto"/>
              </w:rPr>
              <w:t>[OPTIONEE ADDRESS]</w:t>
            </w:r>
          </w:p>
        </w:tc>
        <w:tc>
          <w:tcPr>
            <w:tcW w:w="2600" w:type="dxa"/>
            <w:vAlign w:val="bottom"/>
          </w:tcPr>
          <w:p>
            <w:pPr>
              <w:ind w:left="1720"/>
              <w:spacing w:after="0"/>
              <w:rPr>
                <w:sz w:val="20"/>
                <w:szCs w:val="20"/>
                <w:color w:val="auto"/>
              </w:rPr>
            </w:pPr>
            <w:r>
              <w:rPr>
                <w:rFonts w:ascii="Arial" w:cs="Arial" w:eastAsia="Arial" w:hAnsi="Arial"/>
                <w:sz w:val="16"/>
                <w:szCs w:val="16"/>
                <w:b w:val="1"/>
                <w:bCs w:val="1"/>
                <w:color w:val="auto"/>
              </w:rPr>
              <w:t>Plan:</w:t>
            </w:r>
          </w:p>
        </w:tc>
        <w:tc>
          <w:tcPr>
            <w:tcW w:w="980" w:type="dxa"/>
            <w:vAlign w:val="bottom"/>
          </w:tcPr>
          <w:p>
            <w:pPr>
              <w:ind w:left="340"/>
              <w:spacing w:after="0"/>
              <w:rPr>
                <w:sz w:val="20"/>
                <w:szCs w:val="20"/>
                <w:color w:val="auto"/>
              </w:rPr>
            </w:pPr>
            <w:r>
              <w:rPr>
                <w:rFonts w:ascii="Arial" w:cs="Arial" w:eastAsia="Arial" w:hAnsi="Arial"/>
                <w:sz w:val="16"/>
                <w:szCs w:val="16"/>
                <w:b w:val="1"/>
                <w:bCs w:val="1"/>
                <w:color w:val="auto"/>
              </w:rPr>
              <w:t>04</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960" w:type="dxa"/>
            <w:vAlign w:val="bottom"/>
          </w:tcPr>
          <w:p>
            <w:pPr>
              <w:spacing w:after="0"/>
              <w:rPr>
                <w:sz w:val="22"/>
                <w:szCs w:val="22"/>
                <w:color w:val="auto"/>
              </w:rPr>
            </w:pPr>
          </w:p>
        </w:tc>
        <w:tc>
          <w:tcPr>
            <w:tcW w:w="2600" w:type="dxa"/>
            <w:vAlign w:val="bottom"/>
          </w:tcPr>
          <w:p>
            <w:pPr>
              <w:ind w:left="1720"/>
              <w:spacing w:after="0"/>
              <w:rPr>
                <w:sz w:val="20"/>
                <w:szCs w:val="20"/>
                <w:color w:val="auto"/>
              </w:rPr>
            </w:pPr>
            <w:r>
              <w:rPr>
                <w:rFonts w:ascii="Arial" w:cs="Arial" w:eastAsia="Arial" w:hAnsi="Arial"/>
                <w:sz w:val="16"/>
                <w:szCs w:val="16"/>
                <w:b w:val="1"/>
                <w:bCs w:val="1"/>
                <w:color w:val="auto"/>
              </w:rPr>
              <w:t>ID</w:t>
            </w:r>
          </w:p>
        </w:tc>
        <w:tc>
          <w:tcPr>
            <w:tcW w:w="980" w:type="dxa"/>
            <w:vAlign w:val="bottom"/>
          </w:tcPr>
          <w:p>
            <w:pPr>
              <w:ind w:left="340"/>
              <w:spacing w:after="0"/>
              <w:rPr>
                <w:sz w:val="20"/>
                <w:szCs w:val="20"/>
                <w:color w:val="auto"/>
              </w:rPr>
            </w:pPr>
            <w:r>
              <w:rPr>
                <w:rFonts w:ascii="Arial" w:cs="Arial" w:eastAsia="Arial" w:hAnsi="Arial"/>
                <w:sz w:val="19"/>
                <w:szCs w:val="19"/>
                <w:b w:val="1"/>
                <w:bCs w:val="1"/>
                <w:color w:val="auto"/>
              </w:rPr>
              <w:t>[</w:t>
            </w:r>
          </w:p>
        </w:tc>
        <w:tc>
          <w:tcPr>
            <w:tcW w:w="3900" w:type="dxa"/>
            <w:vAlign w:val="bottom"/>
          </w:tcPr>
          <w:p>
            <w:pPr>
              <w:jc w:val="right"/>
              <w:ind w:right="3723"/>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 w:right="20"/>
        <w:spacing w:after="0" w:line="274" w:lineRule="auto"/>
        <w:rPr>
          <w:sz w:val="20"/>
          <w:szCs w:val="20"/>
          <w:color w:val="auto"/>
        </w:rPr>
      </w:pPr>
      <w:r>
        <w:rPr>
          <w:rFonts w:ascii="Arial" w:cs="Arial" w:eastAsia="Arial" w:hAnsi="Arial"/>
          <w:sz w:val="16"/>
          <w:szCs w:val="16"/>
          <w:color w:val="auto"/>
        </w:rPr>
        <w:t>Effective &lt;date&gt; (the Grant Date) you have been granted a Non-Qualified Stock Option to buy [ ] shares of Regeneron Pharmaceuticals, Inc. (the Company) stock at [$ ] per share.</w:t>
      </w:r>
    </w:p>
    <w:p>
      <w:pPr>
        <w:spacing w:after="0" w:line="163" w:lineRule="exact"/>
        <w:rPr>
          <w:sz w:val="20"/>
          <w:szCs w:val="20"/>
          <w:color w:val="auto"/>
        </w:rPr>
      </w:pPr>
    </w:p>
    <w:p>
      <w:pPr>
        <w:ind w:left="3"/>
        <w:spacing w:after="0"/>
        <w:tabs>
          <w:tab w:leader="none" w:pos="3202" w:val="left"/>
        </w:tabs>
        <w:rPr>
          <w:sz w:val="20"/>
          <w:szCs w:val="20"/>
          <w:color w:val="auto"/>
        </w:rPr>
      </w:pPr>
      <w:r>
        <w:rPr>
          <w:rFonts w:ascii="Arial" w:cs="Arial" w:eastAsia="Arial" w:hAnsi="Arial"/>
          <w:sz w:val="15"/>
          <w:szCs w:val="15"/>
          <w:color w:val="auto"/>
        </w:rPr>
        <w:t>The total option price of the shares granted is [$</w:t>
      </w:r>
      <w:r>
        <w:rPr>
          <w:sz w:val="20"/>
          <w:szCs w:val="20"/>
          <w:color w:val="auto"/>
        </w:rPr>
        <w:tab/>
      </w:r>
      <w:r>
        <w:rPr>
          <w:rFonts w:ascii="Arial" w:cs="Arial" w:eastAsia="Arial" w:hAnsi="Arial"/>
          <w:sz w:val="16"/>
          <w:szCs w:val="16"/>
          <w:color w:val="auto"/>
        </w:rPr>
        <w:t>].</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201"/>
        </w:trPr>
        <w:tc>
          <w:tcPr>
            <w:tcW w:w="5580" w:type="dxa"/>
            <w:vAlign w:val="bottom"/>
            <w:gridSpan w:val="2"/>
          </w:tcPr>
          <w:p>
            <w:pPr>
              <w:spacing w:after="0"/>
              <w:rPr>
                <w:sz w:val="20"/>
                <w:szCs w:val="20"/>
                <w:color w:val="auto"/>
              </w:rPr>
            </w:pPr>
            <w:r>
              <w:rPr>
                <w:rFonts w:ascii="Arial" w:cs="Arial" w:eastAsia="Arial" w:hAnsi="Arial"/>
                <w:sz w:val="16"/>
                <w:szCs w:val="16"/>
                <w:color w:val="auto"/>
              </w:rPr>
              <w:t>Shares in each period will become fully vested on the date shown.</w:t>
            </w: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20"/>
        </w:trPr>
        <w:tc>
          <w:tcPr>
            <w:tcW w:w="558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4"/>
                <w:szCs w:val="2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Vest Type</w:t>
            </w:r>
          </w:p>
        </w:tc>
        <w:tc>
          <w:tcPr>
            <w:tcW w:w="1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Full Vest</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Expiration Date</w:t>
            </w:r>
          </w:p>
        </w:tc>
      </w:tr>
      <w:tr>
        <w:trPr>
          <w:trHeight w:val="204"/>
        </w:trPr>
        <w:tc>
          <w:tcPr>
            <w:tcW w:w="280" w:type="dxa"/>
            <w:vAlign w:val="bottom"/>
          </w:tcPr>
          <w:p>
            <w:pPr>
              <w:spacing w:after="0"/>
              <w:rPr>
                <w:sz w:val="17"/>
                <w:szCs w:val="17"/>
                <w:color w:val="auto"/>
              </w:rPr>
            </w:pPr>
          </w:p>
        </w:tc>
        <w:tc>
          <w:tcPr>
            <w:tcW w:w="530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160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162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C0C0C0"/>
            </w:tcBorders>
            <w:shd w:val="clear" w:color="auto" w:fill="C0C0C0"/>
          </w:tcPr>
          <w:p>
            <w:pPr>
              <w:spacing w:after="0"/>
              <w:rPr>
                <w:sz w:val="17"/>
                <w:szCs w:val="17"/>
                <w:color w:val="auto"/>
              </w:rPr>
            </w:pPr>
          </w:p>
        </w:tc>
        <w:tc>
          <w:tcPr>
            <w:tcW w:w="162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6"/>
                <w:szCs w:val="16"/>
                <w:color w:val="auto"/>
                <w:w w:val="91"/>
              </w:rPr>
              <w:t>[10 years from Grant</w:t>
            </w:r>
          </w:p>
        </w:tc>
      </w:tr>
      <w:tr>
        <w:trPr>
          <w:trHeight w:val="233"/>
        </w:trPr>
        <w:tc>
          <w:tcPr>
            <w:tcW w:w="280" w:type="dxa"/>
            <w:vAlign w:val="bottom"/>
          </w:tcPr>
          <w:p>
            <w:pPr>
              <w:spacing w:after="0"/>
              <w:rPr>
                <w:sz w:val="20"/>
                <w:szCs w:val="20"/>
                <w:color w:val="auto"/>
              </w:rPr>
            </w:pPr>
          </w:p>
        </w:tc>
        <w:tc>
          <w:tcPr>
            <w:tcW w:w="530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0C0C0"/>
          </w:tcPr>
          <w:p>
            <w:pPr>
              <w:spacing w:after="0"/>
              <w:rPr>
                <w:sz w:val="20"/>
                <w:szCs w:val="20"/>
                <w:color w:val="auto"/>
              </w:rPr>
            </w:pPr>
          </w:p>
        </w:tc>
        <w:tc>
          <w:tcPr>
            <w:tcW w:w="1840" w:type="dxa"/>
            <w:vAlign w:val="bottom"/>
            <w:gridSpan w:val="2"/>
            <w:shd w:val="clear" w:color="auto" w:fill="C0C0C0"/>
          </w:tcPr>
          <w:p>
            <w:pPr>
              <w:jc w:val="center"/>
              <w:ind w:right="240"/>
              <w:spacing w:after="0"/>
              <w:rPr>
                <w:sz w:val="20"/>
                <w:szCs w:val="20"/>
                <w:color w:val="auto"/>
              </w:rPr>
            </w:pPr>
            <w:r>
              <w:rPr>
                <w:rFonts w:ascii="Arial" w:cs="Arial" w:eastAsia="Arial" w:hAnsi="Arial"/>
                <w:sz w:val="16"/>
                <w:szCs w:val="16"/>
                <w:color w:val="auto"/>
                <w:w w:val="87"/>
              </w:rPr>
              <w:t>On Vest Date</w:t>
            </w:r>
          </w:p>
        </w:tc>
        <w:tc>
          <w:tcPr>
            <w:tcW w:w="162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98"/>
              </w:rPr>
              <w:t>[__/__/__]**</w:t>
            </w:r>
          </w:p>
        </w:tc>
        <w:tc>
          <w:tcPr>
            <w:tcW w:w="240" w:type="dxa"/>
            <w:vAlign w:val="bottom"/>
            <w:shd w:val="clear" w:color="auto" w:fill="C0C0C0"/>
          </w:tcPr>
          <w:p>
            <w:pPr>
              <w:spacing w:after="0"/>
              <w:rPr>
                <w:sz w:val="20"/>
                <w:szCs w:val="20"/>
                <w:color w:val="auto"/>
              </w:rPr>
            </w:pPr>
          </w:p>
        </w:tc>
        <w:tc>
          <w:tcPr>
            <w:tcW w:w="162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88"/>
              </w:rPr>
              <w:t>Date]</w:t>
            </w:r>
          </w:p>
        </w:tc>
      </w:tr>
      <w:tr>
        <w:trPr>
          <w:trHeight w:val="204"/>
        </w:trPr>
        <w:tc>
          <w:tcPr>
            <w:tcW w:w="2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[10 years from Grant</w:t>
            </w:r>
          </w:p>
        </w:tc>
      </w:tr>
      <w:tr>
        <w:trPr>
          <w:trHeight w:val="226"/>
        </w:trPr>
        <w:tc>
          <w:tcPr>
            <w:tcW w:w="5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On Vest Date</w:t>
            </w:r>
          </w:p>
        </w:tc>
        <w:tc>
          <w:tcPr>
            <w:tcW w:w="1620" w:type="dxa"/>
            <w:vAlign w:val="bottom"/>
          </w:tcPr>
          <w:p>
            <w:pPr>
              <w:jc w:val="center"/>
              <w:spacing w:after="0"/>
              <w:rPr>
                <w:sz w:val="20"/>
                <w:szCs w:val="20"/>
                <w:color w:val="auto"/>
              </w:rPr>
            </w:pPr>
            <w:r>
              <w:rPr>
                <w:rFonts w:ascii="Arial" w:cs="Arial" w:eastAsia="Arial" w:hAnsi="Arial"/>
                <w:sz w:val="16"/>
                <w:szCs w:val="16"/>
                <w:color w:val="auto"/>
                <w:w w:val="98"/>
              </w:rPr>
              <w:t>[__/__/__]**</w:t>
            </w:r>
          </w:p>
        </w:tc>
        <w:tc>
          <w:tcPr>
            <w:tcW w:w="2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8"/>
              </w:rPr>
              <w:t>Date]</w:t>
            </w:r>
          </w:p>
        </w:tc>
      </w:tr>
      <w:tr>
        <w:trPr>
          <w:trHeight w:val="211"/>
        </w:trPr>
        <w:tc>
          <w:tcPr>
            <w:tcW w:w="280" w:type="dxa"/>
            <w:vAlign w:val="bottom"/>
          </w:tcPr>
          <w:p>
            <w:pPr>
              <w:spacing w:after="0"/>
              <w:rPr>
                <w:sz w:val="18"/>
                <w:szCs w:val="18"/>
                <w:color w:val="auto"/>
              </w:rPr>
            </w:pPr>
          </w:p>
        </w:tc>
        <w:tc>
          <w:tcPr>
            <w:tcW w:w="53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62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91"/>
              </w:rPr>
              <w:t>[10 years from Grant</w:t>
            </w:r>
          </w:p>
        </w:tc>
      </w:tr>
      <w:tr>
        <w:trPr>
          <w:trHeight w:val="233"/>
        </w:trPr>
        <w:tc>
          <w:tcPr>
            <w:tcW w:w="280" w:type="dxa"/>
            <w:vAlign w:val="bottom"/>
          </w:tcPr>
          <w:p>
            <w:pPr>
              <w:spacing w:after="0"/>
              <w:rPr>
                <w:sz w:val="20"/>
                <w:szCs w:val="20"/>
                <w:color w:val="auto"/>
              </w:rPr>
            </w:pPr>
          </w:p>
        </w:tc>
        <w:tc>
          <w:tcPr>
            <w:tcW w:w="5300" w:type="dxa"/>
            <w:vAlign w:val="bottom"/>
            <w:shd w:val="clear" w:color="auto" w:fill="C0C0C0"/>
          </w:tcPr>
          <w:p>
            <w:pPr>
              <w:spacing w:after="0"/>
              <w:rPr>
                <w:sz w:val="20"/>
                <w:szCs w:val="20"/>
                <w:color w:val="auto"/>
              </w:rPr>
            </w:pPr>
            <w:r>
              <w:rPr>
                <w:rFonts w:ascii="Arial" w:cs="Arial" w:eastAsia="Arial" w:hAnsi="Arial"/>
                <w:sz w:val="16"/>
                <w:szCs w:val="16"/>
                <w:color w:val="auto"/>
              </w:rPr>
              <w:t>**</w:t>
            </w:r>
          </w:p>
        </w:tc>
        <w:tc>
          <w:tcPr>
            <w:tcW w:w="240" w:type="dxa"/>
            <w:vAlign w:val="bottom"/>
            <w:shd w:val="clear" w:color="auto" w:fill="C0C0C0"/>
          </w:tcPr>
          <w:p>
            <w:pPr>
              <w:spacing w:after="0"/>
              <w:rPr>
                <w:sz w:val="20"/>
                <w:szCs w:val="20"/>
                <w:color w:val="auto"/>
              </w:rPr>
            </w:pPr>
          </w:p>
        </w:tc>
        <w:tc>
          <w:tcPr>
            <w:tcW w:w="1840" w:type="dxa"/>
            <w:vAlign w:val="bottom"/>
            <w:gridSpan w:val="2"/>
            <w:shd w:val="clear" w:color="auto" w:fill="C0C0C0"/>
          </w:tcPr>
          <w:p>
            <w:pPr>
              <w:jc w:val="center"/>
              <w:ind w:right="240"/>
              <w:spacing w:after="0"/>
              <w:rPr>
                <w:sz w:val="20"/>
                <w:szCs w:val="20"/>
                <w:color w:val="auto"/>
              </w:rPr>
            </w:pPr>
            <w:r>
              <w:rPr>
                <w:rFonts w:ascii="Arial" w:cs="Arial" w:eastAsia="Arial" w:hAnsi="Arial"/>
                <w:sz w:val="16"/>
                <w:szCs w:val="16"/>
                <w:color w:val="auto"/>
                <w:w w:val="87"/>
              </w:rPr>
              <w:t>On Vest Date</w:t>
            </w:r>
          </w:p>
        </w:tc>
        <w:tc>
          <w:tcPr>
            <w:tcW w:w="162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98"/>
              </w:rPr>
              <w:t>[__/__/__]**</w:t>
            </w:r>
          </w:p>
        </w:tc>
        <w:tc>
          <w:tcPr>
            <w:tcW w:w="240" w:type="dxa"/>
            <w:vAlign w:val="bottom"/>
            <w:shd w:val="clear" w:color="auto" w:fill="C0C0C0"/>
          </w:tcPr>
          <w:p>
            <w:pPr>
              <w:spacing w:after="0"/>
              <w:rPr>
                <w:sz w:val="20"/>
                <w:szCs w:val="20"/>
                <w:color w:val="auto"/>
              </w:rPr>
            </w:pPr>
          </w:p>
        </w:tc>
        <w:tc>
          <w:tcPr>
            <w:tcW w:w="162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88"/>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26059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
        <w:spacing w:after="0" w:line="274"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Company’s Second Amended and Restated 2000 Long-Term Incentive Plan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26059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181" w:lineRule="exact"/>
        <w:rPr>
          <w:sz w:val="20"/>
          <w:szCs w:val="20"/>
          <w:color w:val="auto"/>
        </w:rPr>
      </w:pPr>
    </w:p>
    <w:p>
      <w:pPr>
        <w:ind w:left="3"/>
        <w:spacing w:after="0"/>
        <w:rPr>
          <w:sz w:val="20"/>
          <w:szCs w:val="20"/>
          <w:color w:val="auto"/>
        </w:rPr>
      </w:pPr>
      <w:r>
        <w:rPr>
          <w:rFonts w:ascii="Arial" w:cs="Arial" w:eastAsia="Arial" w:hAnsi="Arial"/>
          <w:sz w:val="19"/>
          <w:szCs w:val="19"/>
          <w:color w:val="auto"/>
        </w:rPr>
        <w:t>____________________</w:t>
      </w:r>
    </w:p>
    <w:p>
      <w:pPr>
        <w:spacing w:after="0" w:line="229" w:lineRule="exact"/>
        <w:rPr>
          <w:sz w:val="20"/>
          <w:szCs w:val="20"/>
          <w:color w:val="auto"/>
        </w:rPr>
      </w:pPr>
    </w:p>
    <w:p>
      <w:pPr>
        <w:ind w:left="483" w:right="20" w:hanging="483"/>
        <w:spacing w:after="0" w:line="274" w:lineRule="auto"/>
        <w:tabs>
          <w:tab w:leader="none" w:pos="4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Options for non-employee directors will vest in approximately equal annual 33-1/3% installments. Full Vest Dates will occur on the first, second, and third anniversaries of the Grant Date.</w:t>
      </w:r>
    </w:p>
    <w:p>
      <w:pPr>
        <w:spacing w:after="0" w:line="186" w:lineRule="exact"/>
        <w:rPr>
          <w:rFonts w:ascii="Arial" w:cs="Arial" w:eastAsia="Arial" w:hAnsi="Arial"/>
          <w:sz w:val="16"/>
          <w:szCs w:val="16"/>
          <w:color w:val="auto"/>
        </w:rPr>
      </w:pPr>
    </w:p>
    <w:p>
      <w:pPr>
        <w:ind w:left="483" w:hanging="483"/>
        <w:spacing w:after="0"/>
        <w:tabs>
          <w:tab w:leader="none" w:pos="4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Date to be 10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7280910"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39" w:right="2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5"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Non-Qualified Stock Option</w:t>
      </w:r>
    </w:p>
    <w:p>
      <w:pPr>
        <w:spacing w:after="0" w:line="194" w:lineRule="exact"/>
        <w:rPr>
          <w:sz w:val="20"/>
          <w:szCs w:val="20"/>
          <w:color w:val="auto"/>
        </w:rPr>
      </w:pPr>
    </w:p>
    <w:p>
      <w:pPr>
        <w:ind w:left="4680"/>
        <w:spacing w:after="0"/>
        <w:rPr>
          <w:sz w:val="20"/>
          <w:szCs w:val="20"/>
          <w:color w:val="auto"/>
        </w:rPr>
      </w:pPr>
      <w:r>
        <w:rPr>
          <w:rFonts w:ascii="Arial" w:cs="Arial" w:eastAsia="Arial" w:hAnsi="Arial"/>
          <w:sz w:val="19"/>
          <w:szCs w:val="19"/>
          <w:b w:val="1"/>
          <w:bCs w:val="1"/>
          <w:color w:val="auto"/>
        </w:rPr>
        <w:t>OPTION AGREEMENT</w:t>
      </w:r>
    </w:p>
    <w:p>
      <w:pPr>
        <w:spacing w:after="0" w:line="22" w:lineRule="exact"/>
        <w:rPr>
          <w:sz w:val="20"/>
          <w:szCs w:val="20"/>
          <w:color w:val="auto"/>
        </w:rPr>
      </w:pPr>
    </w:p>
    <w:p>
      <w:pPr>
        <w:jc w:val="center"/>
        <w:ind w:right="20"/>
        <w:spacing w:after="0" w:line="246" w:lineRule="auto"/>
        <w:rPr>
          <w:sz w:val="20"/>
          <w:szCs w:val="20"/>
          <w:color w:val="auto"/>
        </w:rPr>
      </w:pPr>
      <w:r>
        <w:rPr>
          <w:rFonts w:ascii="Arial" w:cs="Arial" w:eastAsia="Arial" w:hAnsi="Arial"/>
          <w:sz w:val="19"/>
          <w:szCs w:val="19"/>
          <w:b w:val="1"/>
          <w:bCs w:val="1"/>
          <w:color w:val="auto"/>
        </w:rPr>
        <w:t>PURSUANT TO THE REGENERON PHARMACEUTICALS, INC. SECOND AMENDED AND RESTATED 2000 LONG-TERM INCENTIVE PLAN (Non-Employee Director Grant)</w:t>
      </w:r>
    </w:p>
    <w:p>
      <w:pPr>
        <w:spacing w:after="0" w:line="196" w:lineRule="exact"/>
        <w:rPr>
          <w:sz w:val="20"/>
          <w:szCs w:val="20"/>
          <w:color w:val="auto"/>
        </w:rPr>
      </w:pPr>
    </w:p>
    <w:p>
      <w:pPr>
        <w:jc w:val="both"/>
        <w:ind w:right="20" w:firstLine="680"/>
        <w:spacing w:after="0" w:line="274" w:lineRule="auto"/>
        <w:rPr>
          <w:sz w:val="20"/>
          <w:szCs w:val="20"/>
          <w:color w:val="auto"/>
        </w:rPr>
      </w:pPr>
      <w:r>
        <w:rPr>
          <w:rFonts w:ascii="Arial" w:cs="Arial" w:eastAsia="Arial" w:hAnsi="Arial"/>
          <w:sz w:val="16"/>
          <w:szCs w:val="16"/>
          <w:color w:val="auto"/>
        </w:rPr>
        <w:t xml:space="preserve">THIS AGREEMENT, made as of the date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by and between Regeneron Pharmaceuticals, Inc., a New York corporation (the "Company"), and the individual named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(the "Grantee");</w:t>
      </w:r>
    </w:p>
    <w:p>
      <w:pPr>
        <w:spacing w:after="0" w:line="187" w:lineRule="exact"/>
        <w:rPr>
          <w:sz w:val="20"/>
          <w:szCs w:val="20"/>
          <w:color w:val="auto"/>
        </w:rPr>
      </w:pPr>
    </w:p>
    <w:p>
      <w:pPr>
        <w:jc w:val="both"/>
        <w:ind w:right="20" w:firstLine="510"/>
        <w:spacing w:after="0" w:line="309" w:lineRule="auto"/>
        <w:rPr>
          <w:sz w:val="20"/>
          <w:szCs w:val="20"/>
          <w:color w:val="auto"/>
        </w:rPr>
      </w:pPr>
      <w:r>
        <w:rPr>
          <w:rFonts w:ascii="Arial" w:cs="Arial" w:eastAsia="Arial" w:hAnsi="Arial"/>
          <w:sz w:val="15"/>
          <w:szCs w:val="15"/>
          <w:color w:val="auto"/>
        </w:rPr>
        <w:t>WHEREAS, the Grantee is a non-employee member of the board of directors of the Company (the "Board") and the Company desires to afford the Grantee the opportunity to acquire or enlarge the Grantee's stock ownership in the Company so that the Grantee may have a direct proprietary interest in the Company's success; and</w:t>
      </w:r>
    </w:p>
    <w:p>
      <w:pPr>
        <w:spacing w:after="0" w:line="163" w:lineRule="exact"/>
        <w:rPr>
          <w:sz w:val="20"/>
          <w:szCs w:val="20"/>
          <w:color w:val="auto"/>
        </w:rPr>
      </w:pPr>
    </w:p>
    <w:p>
      <w:pPr>
        <w:jc w:val="both"/>
        <w:ind w:right="20" w:firstLine="546"/>
        <w:spacing w:after="0" w:line="264" w:lineRule="auto"/>
        <w:rPr>
          <w:sz w:val="20"/>
          <w:szCs w:val="20"/>
          <w:color w:val="auto"/>
        </w:rPr>
      </w:pPr>
      <w:r>
        <w:rPr>
          <w:rFonts w:ascii="Arial" w:cs="Arial" w:eastAsia="Arial" w:hAnsi="Arial"/>
          <w:sz w:val="16"/>
          <w:szCs w:val="16"/>
          <w:color w:val="auto"/>
        </w:rPr>
        <w:t xml:space="preserve">WHEREAS, the Committee administering the Company's Second Amended and Restated 2000 Long-Term Incentive Plan (as amended from time to time, the "Plan")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Grantee a Stock Option to purchase the number of shares of the Company's Common Stock ($.001 par value) (the "Common Stock")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NOW, THEREFORE, in consideration of the covenants and agreements herein contained, the parties agree as follows:</w:t>
      </w:r>
    </w:p>
    <w:p>
      <w:pPr>
        <w:spacing w:after="0" w:line="225" w:lineRule="exact"/>
        <w:rPr>
          <w:sz w:val="20"/>
          <w:szCs w:val="20"/>
          <w:color w:val="auto"/>
        </w:rPr>
      </w:pPr>
    </w:p>
    <w:p>
      <w:pPr>
        <w:jc w:val="both"/>
        <w:ind w:right="20" w:firstLine="264"/>
        <w:spacing w:after="0" w:line="262" w:lineRule="auto"/>
        <w:tabs>
          <w:tab w:leader="none" w:pos="431"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 subject further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set forth here, the option to purchase from the Company all or any part of an aggregate of shares of Common Stock at the purchase price per share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"Code").</w:t>
      </w:r>
    </w:p>
    <w:p>
      <w:pPr>
        <w:spacing w:after="0" w:line="191" w:lineRule="exact"/>
        <w:rPr>
          <w:rFonts w:ascii="Arial" w:cs="Arial" w:eastAsia="Arial" w:hAnsi="Arial"/>
          <w:sz w:val="16"/>
          <w:szCs w:val="16"/>
          <w:b w:val="1"/>
          <w:bCs w:val="1"/>
          <w:color w:val="auto"/>
        </w:rPr>
      </w:pPr>
    </w:p>
    <w:p>
      <w:pPr>
        <w:jc w:val="both"/>
        <w:ind w:firstLine="276"/>
        <w:spacing w:after="0" w:line="276" w:lineRule="auto"/>
        <w:tabs>
          <w:tab w:leader="none" w:pos="445" w:val="left"/>
        </w:tabs>
        <w:numPr>
          <w:ilvl w:val="1"/>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Vesting; Exercise. </w:t>
      </w:r>
      <w:r>
        <w:rPr>
          <w:rFonts w:ascii="Arial" w:cs="Arial" w:eastAsia="Arial" w:hAnsi="Arial"/>
          <w:sz w:val="15"/>
          <w:szCs w:val="15"/>
          <w:color w:val="auto"/>
        </w:rPr>
        <w:t>(a) The Option is exercisable in installments as provided on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To the extent that the Option has become exercisable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respect to the number of shares of Common Stock as provided on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and subject to the terms and conditions of the Plan, including without limitation, Section 7(c)(2),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Grantee acknowledges that it is the Grantee's responsibility to satisfy any federal, state and local tax requirements related to the exercise of the Option.</w:t>
      </w:r>
    </w:p>
    <w:p>
      <w:pPr>
        <w:spacing w:after="0" w:line="189" w:lineRule="exact"/>
        <w:rPr>
          <w:sz w:val="20"/>
          <w:szCs w:val="20"/>
          <w:color w:val="auto"/>
        </w:rPr>
      </w:pPr>
    </w:p>
    <w:p>
      <w:pPr>
        <w:jc w:val="both"/>
        <w:ind w:right="20" w:firstLine="264"/>
        <w:spacing w:after="0" w:line="296" w:lineRule="auto"/>
        <w:tabs>
          <w:tab w:leader="none" w:pos="49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Notice of Grant of Stock Options</w:t>
      </w:r>
      <w:r>
        <w:rPr>
          <w:rFonts w:ascii="Arial" w:cs="Arial" w:eastAsia="Arial" w:hAnsi="Arial"/>
          <w:sz w:val="14"/>
          <w:szCs w:val="14"/>
          <w:color w:val="auto"/>
        </w:rPr>
        <w:t xml:space="preserve"> indicates each date upon which the Grantee shall be entitled to exercise the Option with respect to the number of shares of Common Stock granted as indicated provided that (except as set forth below with respect to Retirement)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4"/>
          <w:szCs w:val="14"/>
          <w:i w:val="1"/>
          <w:iCs w:val="1"/>
          <w:color w:val="auto"/>
        </w:rPr>
        <w:t>Notice of Grant of Stock Options</w:t>
      </w:r>
      <w:r>
        <w:rPr>
          <w:rFonts w:ascii="Arial" w:cs="Arial" w:eastAsia="Arial" w:hAnsi="Arial"/>
          <w:sz w:val="14"/>
          <w:szCs w:val="14"/>
          <w:color w:val="auto"/>
        </w:rPr>
        <w:t xml:space="preserve"> and all vesting shall occur only on the Full Vest Dates. Except as otherwise provided below or in the </w:t>
      </w:r>
      <w:r>
        <w:rPr>
          <w:rFonts w:ascii="Arial" w:cs="Arial" w:eastAsia="Arial" w:hAnsi="Arial"/>
          <w:sz w:val="14"/>
          <w:szCs w:val="14"/>
          <w:i w:val="1"/>
          <w:iCs w:val="1"/>
          <w:color w:val="auto"/>
        </w:rPr>
        <w:t>Notice of Grant of Stock Options</w:t>
      </w:r>
      <w:r>
        <w:rPr>
          <w:rFonts w:ascii="Arial" w:cs="Arial" w:eastAsia="Arial" w:hAnsi="Arial"/>
          <w:sz w:val="14"/>
          <w:szCs w:val="14"/>
          <w:color w:val="auto"/>
        </w:rPr>
        <w:t xml:space="preserve"> or as may be otherwise determined by the Committee in accordance with Section 7(e) of the Plan, no vesting shall occur after such date as the Grantee ceases to be on the Board and all unvested Options shall be forfeited at such time. Notwithstanding the preceding sentence, upon the Grantee’s Retirement from service on the Board, the Option shall continue to vest in installments as provided on the </w:t>
      </w:r>
      <w:r>
        <w:rPr>
          <w:rFonts w:ascii="Arial" w:cs="Arial" w:eastAsia="Arial" w:hAnsi="Arial"/>
          <w:sz w:val="14"/>
          <w:szCs w:val="14"/>
          <w:i w:val="1"/>
          <w:iCs w:val="1"/>
          <w:color w:val="auto"/>
        </w:rPr>
        <w:t>Notice of Grant of Stock Options</w:t>
      </w:r>
      <w:r>
        <w:rPr>
          <w:rFonts w:ascii="Arial" w:cs="Arial" w:eastAsia="Arial" w:hAnsi="Arial"/>
          <w:sz w:val="14"/>
          <w:szCs w:val="14"/>
          <w:color w:val="auto"/>
        </w:rPr>
        <w:t xml:space="preserve"> as if the Grantee had remained in service on the Board. For purposes of this Agreement, "Retirement" shall mean a voluntary 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pacing w:after="0" w:line="179" w:lineRule="exact"/>
        <w:rPr>
          <w:rFonts w:ascii="Arial" w:cs="Arial" w:eastAsia="Arial" w:hAnsi="Arial"/>
          <w:sz w:val="14"/>
          <w:szCs w:val="14"/>
          <w:color w:val="auto"/>
        </w:rPr>
      </w:pPr>
    </w:p>
    <w:p>
      <w:pPr>
        <w:jc w:val="both"/>
        <w:ind w:firstLine="313"/>
        <w:spacing w:after="0" w:line="295" w:lineRule="auto"/>
        <w:tabs>
          <w:tab w:leader="none" w:pos="546" w:val="left"/>
        </w:tabs>
        <w:numPr>
          <w:ilvl w:val="1"/>
          <w:numId w:val="20"/>
        </w:numPr>
        <w:rPr>
          <w:rFonts w:ascii="Arial" w:cs="Arial" w:eastAsia="Arial" w:hAnsi="Arial"/>
          <w:sz w:val="14"/>
          <w:szCs w:val="14"/>
          <w:color w:val="auto"/>
        </w:rPr>
      </w:pPr>
      <w:r>
        <w:rPr>
          <w:rFonts w:ascii="Arial" w:cs="Arial" w:eastAsia="Arial" w:hAnsi="Arial"/>
          <w:sz w:val="14"/>
          <w:szCs w:val="14"/>
          <w:color w:val="auto"/>
        </w:rPr>
        <w:t xml:space="preserve">Notwithstanding anything herein or in the </w:t>
      </w:r>
      <w:r>
        <w:rPr>
          <w:rFonts w:ascii="Arial" w:cs="Arial" w:eastAsia="Arial" w:hAnsi="Arial"/>
          <w:sz w:val="14"/>
          <w:szCs w:val="14"/>
          <w:i w:val="1"/>
          <w:iCs w:val="1"/>
          <w:color w:val="auto"/>
        </w:rPr>
        <w:t>Notice of Grant of Stock Options</w:t>
      </w:r>
      <w:r>
        <w:rPr>
          <w:rFonts w:ascii="Arial" w:cs="Arial" w:eastAsia="Arial" w:hAnsi="Arial"/>
          <w:sz w:val="14"/>
          <w:szCs w:val="14"/>
          <w:color w:val="auto"/>
        </w:rPr>
        <w:t xml:space="preserve"> to the contrary, the Option shall be fully vested on the date of a Change in Control. If the application of the provision in the foregoing sentence, similar provisions in other stock option or restricted stock grants, and other payments and benefits payable to the Grantee in connection with a Change in Control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124" w:name="page125"/>
    <w:bookmarkEnd w:id="124"/>
    <w:p>
      <w:pPr>
        <w:jc w:val="both"/>
        <w:ind w:firstLine="264"/>
        <w:spacing w:after="0" w:line="279" w:lineRule="auto"/>
        <w:tabs>
          <w:tab w:leader="none" w:pos="429" w:val="left"/>
        </w:tabs>
        <w:numPr>
          <w:ilvl w:val="2"/>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Option Term. </w:t>
      </w:r>
      <w:r>
        <w:rPr>
          <w:rFonts w:ascii="Arial" w:cs="Arial" w:eastAsia="Arial" w:hAnsi="Arial"/>
          <w:sz w:val="15"/>
          <w:szCs w:val="15"/>
          <w:color w:val="auto"/>
        </w:rPr>
        <w:t>Except as otherwise provided in the next sentence or in the Plan, the Option shall expire on the tenth anniversary of the grant of the Option as shown on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In the event of termination of service as a member of the Board of the Company, except as may be otherwise determined by the Committee in</w:t>
      </w:r>
      <w:r>
        <w:rPr>
          <w:rFonts w:ascii="Arial" w:cs="Arial" w:eastAsia="Arial" w:hAnsi="Arial"/>
          <w:sz w:val="15"/>
          <w:szCs w:val="15"/>
          <w:i w:val="1"/>
          <w:iCs w:val="1"/>
          <w:color w:val="auto"/>
        </w:rPr>
        <w:t xml:space="preserve"> </w:t>
      </w:r>
      <w:r>
        <w:rPr>
          <w:rFonts w:ascii="Arial" w:cs="Arial" w:eastAsia="Arial" w:hAnsi="Arial"/>
          <w:sz w:val="15"/>
          <w:szCs w:val="15"/>
          <w:color w:val="auto"/>
        </w:rPr>
        <w:t>accordance with Section 7(e) of the Plan, the vested portion of the Option shall expire on the earlier of (i) the tenth anniversary of this grant, or (ii)(A) subject to (D) below, three months after such termination if such termination is for any reason other than death, Retirement, or long-term disability, (B) the tenth anniversary of this grant if such termination is due to the Grantee's Retirement, (C) one year after the termination if such termination is due to the Grantee's death or long-term disability or (D) one year after such termination if such termination is at any time within two years after the occurrence of a Change in Control.</w:t>
      </w:r>
    </w:p>
    <w:p>
      <w:pPr>
        <w:spacing w:after="0" w:line="180" w:lineRule="exact"/>
        <w:rPr>
          <w:rFonts w:ascii="Arial" w:cs="Arial" w:eastAsia="Arial" w:hAnsi="Arial"/>
          <w:sz w:val="15"/>
          <w:szCs w:val="15"/>
          <w:b w:val="1"/>
          <w:bCs w:val="1"/>
          <w:color w:val="auto"/>
        </w:rPr>
      </w:pPr>
    </w:p>
    <w:p>
      <w:pPr>
        <w:jc w:val="both"/>
        <w:ind w:right="20" w:firstLine="252"/>
        <w:spacing w:after="0" w:line="298" w:lineRule="auto"/>
        <w:tabs>
          <w:tab w:leader="none" w:pos="415" w:val="left"/>
        </w:tabs>
        <w:numPr>
          <w:ilvl w:val="1"/>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Restrictions on Transfer of Option. </w:t>
      </w:r>
      <w:r>
        <w:rPr>
          <w:rFonts w:ascii="Arial" w:cs="Arial" w:eastAsia="Arial" w:hAnsi="Arial"/>
          <w:sz w:val="14"/>
          <w:szCs w:val="14"/>
          <w:color w:val="auto"/>
        </w:rPr>
        <w:t>The Option granted hereby shall not be transferable other than by will or by the laws of descent and distribution. During the lifetime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72" w:lineRule="exact"/>
        <w:rPr>
          <w:rFonts w:ascii="Arial" w:cs="Arial" w:eastAsia="Arial" w:hAnsi="Arial"/>
          <w:sz w:val="14"/>
          <w:szCs w:val="14"/>
          <w:b w:val="1"/>
          <w:bCs w:val="1"/>
          <w:color w:val="auto"/>
        </w:rPr>
      </w:pPr>
    </w:p>
    <w:p>
      <w:pPr>
        <w:jc w:val="both"/>
        <w:ind w:right="20" w:firstLine="240"/>
        <w:spacing w:after="0" w:line="266" w:lineRule="auto"/>
        <w:tabs>
          <w:tab w:leader="none" w:pos="4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of a Stockholder. </w:t>
      </w:r>
      <w:r>
        <w:rPr>
          <w:rFonts w:ascii="Arial" w:cs="Arial" w:eastAsia="Arial" w:hAnsi="Arial"/>
          <w:sz w:val="16"/>
          <w:szCs w:val="16"/>
          <w:color w:val="auto"/>
        </w:rPr>
        <w:t>The Grantee shall have no rights as a stockholder with respect to any shares of Common Stock subject to this Option prior to the date of issuance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89" w:lineRule="exact"/>
        <w:rPr>
          <w:rFonts w:ascii="Arial" w:cs="Arial" w:eastAsia="Arial" w:hAnsi="Arial"/>
          <w:sz w:val="16"/>
          <w:szCs w:val="16"/>
          <w:b w:val="1"/>
          <w:bCs w:val="1"/>
          <w:color w:val="auto"/>
        </w:rPr>
      </w:pPr>
    </w:p>
    <w:p>
      <w:pPr>
        <w:jc w:val="both"/>
        <w:ind w:firstLine="264"/>
        <w:spacing w:after="0" w:line="275" w:lineRule="auto"/>
        <w:tabs>
          <w:tab w:leader="none" w:pos="431" w:val="left"/>
        </w:tabs>
        <w:numPr>
          <w:ilvl w:val="2"/>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Compliance with Law and Regulations. </w:t>
      </w:r>
      <w:r>
        <w:rPr>
          <w:rFonts w:ascii="Arial" w:cs="Arial" w:eastAsia="Arial" w:hAnsi="Arial"/>
          <w:sz w:val="15"/>
          <w:szCs w:val="15"/>
          <w:color w:val="auto"/>
        </w:rPr>
        <w:t>This award and any obligation of the Company hereunder shall be subject to all applicable federal, state and local laws, rules and</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87" w:lineRule="exact"/>
        <w:rPr>
          <w:rFonts w:ascii="Arial" w:cs="Arial" w:eastAsia="Arial" w:hAnsi="Arial"/>
          <w:sz w:val="15"/>
          <w:szCs w:val="15"/>
          <w:b w:val="1"/>
          <w:bCs w:val="1"/>
          <w:color w:val="auto"/>
        </w:rPr>
      </w:pPr>
    </w:p>
    <w:p>
      <w:pPr>
        <w:jc w:val="both"/>
        <w:ind w:firstLine="264"/>
        <w:spacing w:after="0" w:line="322" w:lineRule="auto"/>
        <w:tabs>
          <w:tab w:leader="none" w:pos="432" w:val="left"/>
        </w:tabs>
        <w:numPr>
          <w:ilvl w:val="2"/>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Grantee Bound by Plan. </w:t>
      </w:r>
      <w:r>
        <w:rPr>
          <w:rFonts w:ascii="Arial" w:cs="Arial" w:eastAsia="Arial" w:hAnsi="Arial"/>
          <w:sz w:val="14"/>
          <w:szCs w:val="14"/>
          <w:color w:val="auto"/>
        </w:rPr>
        <w:t>The Grantee acknowledges receipt of a copy of the Plan and agrees to be bound by all the terms and provisions thereof. The Plan is incorporated</w:t>
      </w:r>
      <w:r>
        <w:rPr>
          <w:rFonts w:ascii="Arial" w:cs="Arial" w:eastAsia="Arial" w:hAnsi="Arial"/>
          <w:sz w:val="14"/>
          <w:szCs w:val="14"/>
          <w:b w:val="1"/>
          <w:bCs w:val="1"/>
          <w:color w:val="auto"/>
        </w:rPr>
        <w:t xml:space="preserve"> </w:t>
      </w:r>
      <w:r>
        <w:rPr>
          <w:rFonts w:ascii="Arial" w:cs="Arial" w:eastAsia="Arial" w:hAnsi="Arial"/>
          <w:sz w:val="14"/>
          <w:szCs w:val="14"/>
          <w:color w:val="auto"/>
        </w:rPr>
        <w:t>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53" w:lineRule="exact"/>
        <w:rPr>
          <w:rFonts w:ascii="Arial" w:cs="Arial" w:eastAsia="Arial" w:hAnsi="Arial"/>
          <w:sz w:val="14"/>
          <w:szCs w:val="14"/>
          <w:b w:val="1"/>
          <w:bCs w:val="1"/>
          <w:color w:val="auto"/>
        </w:rPr>
      </w:pPr>
    </w:p>
    <w:p>
      <w:pPr>
        <w:jc w:val="both"/>
        <w:ind w:right="20" w:firstLine="276"/>
        <w:spacing w:after="0" w:line="311" w:lineRule="auto"/>
        <w:tabs>
          <w:tab w:leader="none" w:pos="443" w:val="left"/>
        </w:tabs>
        <w:numPr>
          <w:ilvl w:val="3"/>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Any notice or communication given hereunder shall be in writing and shall be deemed given when delivered in person, or by United States mail, at the following</w:t>
      </w:r>
      <w:r>
        <w:rPr>
          <w:rFonts w:ascii="Arial" w:cs="Arial" w:eastAsia="Arial" w:hAnsi="Arial"/>
          <w:sz w:val="14"/>
          <w:szCs w:val="14"/>
          <w:b w:val="1"/>
          <w:bCs w:val="1"/>
          <w:color w:val="auto"/>
        </w:rPr>
        <w:t xml:space="preserve"> </w:t>
      </w:r>
      <w:r>
        <w:rPr>
          <w:rFonts w:ascii="Arial" w:cs="Arial" w:eastAsia="Arial" w:hAnsi="Arial"/>
          <w:sz w:val="14"/>
          <w:szCs w:val="14"/>
          <w:color w:val="auto"/>
        </w:rPr>
        <w:t>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10.26</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Portions of this Exhibit Have Been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Omitted and Separately Filed</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with the Securities And Exchange</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Commission with a Request For</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NON-EXCLUSIVE LICENSE AND PARTIAL SETTLEMENT AGREEMENT</w:t>
      </w:r>
    </w:p>
    <w:p>
      <w:pPr>
        <w:spacing w:after="0" w:line="233" w:lineRule="exact"/>
        <w:rPr>
          <w:sz w:val="20"/>
          <w:szCs w:val="20"/>
          <w:color w:val="auto"/>
        </w:rPr>
      </w:pPr>
    </w:p>
    <w:p>
      <w:pPr>
        <w:jc w:val="both"/>
        <w:ind w:right="20" w:firstLine="352"/>
        <w:spacing w:after="0" w:line="264" w:lineRule="auto"/>
        <w:rPr>
          <w:sz w:val="20"/>
          <w:szCs w:val="20"/>
          <w:color w:val="auto"/>
        </w:rPr>
      </w:pPr>
      <w:r>
        <w:rPr>
          <w:rFonts w:ascii="Arial" w:cs="Arial" w:eastAsia="Arial" w:hAnsi="Arial"/>
          <w:sz w:val="16"/>
          <w:szCs w:val="16"/>
          <w:color w:val="auto"/>
        </w:rPr>
        <w:t>This Non-Exclusive License and Partial Settlement Agreement (“Agreement”) is entered into as of the Effective Date by and between Genentech, Inc. (“Genentech”), a Delaware corporation having its principal place of business at 1 DNA Way, South San Francisco, California 94080 and Regeneron Pharmaceuticals, Inc. (“Licensee”), a New York corporation having its principal place of business at 777 Old Saw Mill River Road, Tarrytown, NY 10591.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4" w:lineRule="exact"/>
        <w:rPr>
          <w:sz w:val="20"/>
          <w:szCs w:val="20"/>
          <w:color w:val="auto"/>
        </w:rPr>
      </w:pPr>
    </w:p>
    <w:p>
      <w:pPr>
        <w:ind w:left="640" w:right="20" w:hanging="400"/>
        <w:spacing w:after="0" w:line="274"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Genentech and Licensee are parties to a patent litigation now pending in the United States District Court, Southern District of New York, captioned </w:t>
      </w:r>
      <w:r>
        <w:rPr>
          <w:rFonts w:ascii="Arial" w:cs="Arial" w:eastAsia="Arial" w:hAnsi="Arial"/>
          <w:sz w:val="16"/>
          <w:szCs w:val="16"/>
          <w:i w:val="1"/>
          <w:iCs w:val="1"/>
          <w:color w:val="auto"/>
        </w:rPr>
        <w:t>Regeneron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Pharmaceuticals, Inc. vs. Genentech, Inc. </w:t>
      </w:r>
      <w:r>
        <w:rPr>
          <w:rFonts w:ascii="Arial" w:cs="Arial" w:eastAsia="Arial" w:hAnsi="Arial"/>
          <w:sz w:val="16"/>
          <w:szCs w:val="16"/>
          <w:color w:val="auto"/>
        </w:rPr>
        <w:t>(Civil Action No. 11-CV-01156-VB) (the “Pending U.S. Litigation”);</w:t>
      </w:r>
    </w:p>
    <w:p>
      <w:pPr>
        <w:spacing w:after="0" w:line="186" w:lineRule="exact"/>
        <w:rPr>
          <w:rFonts w:ascii="Arial" w:cs="Arial" w:eastAsia="Arial" w:hAnsi="Arial"/>
          <w:sz w:val="16"/>
          <w:szCs w:val="16"/>
          <w:color w:val="auto"/>
        </w:rPr>
      </w:pPr>
    </w:p>
    <w:p>
      <w:pPr>
        <w:jc w:val="both"/>
        <w:ind w:left="640" w:right="20" w:hanging="400"/>
        <w:spacing w:after="0" w:line="264"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general, Genentech claims in the Pending U.S. Litigation that certain of Licensee’s activities with respect to the biopharmaceutical product known as aflibercept infringe and/or will infringe certain United States patents owned by Genentech, and Licensee claims that none of its activities with respect to aflibercept infringe any valid claim of such patents; and</w:t>
      </w:r>
    </w:p>
    <w:p>
      <w:pPr>
        <w:spacing w:after="0" w:line="193" w:lineRule="exact"/>
        <w:rPr>
          <w:rFonts w:ascii="Arial" w:cs="Arial" w:eastAsia="Arial" w:hAnsi="Arial"/>
          <w:sz w:val="16"/>
          <w:szCs w:val="16"/>
          <w:color w:val="auto"/>
        </w:rPr>
      </w:pPr>
    </w:p>
    <w:p>
      <w:pPr>
        <w:jc w:val="both"/>
        <w:ind w:left="640" w:right="20" w:hanging="400"/>
        <w:spacing w:after="0" w:line="264"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Genentech and Licensee now are willing to settle some of the matters in dispute in the Pending U.S. Litigation, by means of Genentech’s granting to Licensee certain non-exclusive patent licenses desired by Licensee, and Licensee’s paying to Genentech certain monetary consideration for the grant of such rights, all on the specific terms and conditions set forth herein.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NOW, THEREFORE, in consideration of the promises and mutual covenants recited herein, the Parties agree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Article 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DEFINITIONS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words and phrases shall have meanings set forth below solely for purposes of this Agreement:</w:t>
      </w:r>
    </w:p>
    <w:p>
      <w:pPr>
        <w:spacing w:after="0" w:line="225" w:lineRule="exact"/>
        <w:rPr>
          <w:sz w:val="20"/>
          <w:szCs w:val="20"/>
          <w:color w:val="auto"/>
        </w:rPr>
      </w:pPr>
    </w:p>
    <w:p>
      <w:pPr>
        <w:jc w:val="both"/>
        <w:ind w:firstLine="267"/>
        <w:spacing w:after="0" w:line="258"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color w:val="auto"/>
        </w:rPr>
        <w:t>“Affiliate” shall mean any Person that, on or after the Effective Date, controls, is controlled by, or is under common control with, a Party. For purposes of this definition</w:t>
      </w:r>
      <w:r>
        <w:rPr>
          <w:rFonts w:ascii="Arial" w:cs="Arial" w:eastAsia="Arial" w:hAnsi="Arial"/>
          <w:sz w:val="16"/>
          <w:szCs w:val="16"/>
          <w:b w:val="1"/>
          <w:bCs w:val="1"/>
          <w:color w:val="auto"/>
        </w:rPr>
        <w:t xml:space="preserve"> </w:t>
      </w:r>
      <w:r>
        <w:rPr>
          <w:rFonts w:ascii="Arial" w:cs="Arial" w:eastAsia="Arial" w:hAnsi="Arial"/>
          <w:sz w:val="16"/>
          <w:szCs w:val="16"/>
          <w:color w:val="auto"/>
        </w:rPr>
        <w:t>only, “controlled” and “control” shall mean (i) owning, directly or indirectly, at least fifty percent (50%) of the outstanding voting securities or other ownership interest of a Person, or (ii) possessing, directly or indirectly, the power to manage, direct, or cause the direction of the management and policies of a Person or the power to elect or appoint fifty percent (50%) or more of the members of the governing body of the Person. A Person shall be an Affiliate only during such period of time that such Person meets the definition set forth in this Section 1.01. With respect to Genentech, the term “Affiliate” shall not include Chugai Pharmaceutical Co., Ltd. (“Chugai”) unless and until Genentech provides written notice to Licensee specifying Chugai as an Affiliate of Genentech.</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“Calendar Quarter” shall mean each three month period commencing January 1, April 1, July 1 and October 1 of each calendar year.</w:t>
      </w:r>
    </w:p>
    <w:p>
      <w:pPr>
        <w:spacing w:after="0" w:line="229" w:lineRule="exact"/>
        <w:rPr>
          <w:sz w:val="20"/>
          <w:szCs w:val="20"/>
          <w:color w:val="auto"/>
        </w:rPr>
      </w:pPr>
    </w:p>
    <w:p>
      <w:pPr>
        <w:jc w:val="both"/>
        <w:ind w:right="20" w:firstLine="255"/>
        <w:spacing w:after="0" w:line="281" w:lineRule="auto"/>
        <w:rPr>
          <w:sz w:val="20"/>
          <w:szCs w:val="20"/>
          <w:color w:val="auto"/>
        </w:rPr>
      </w:pPr>
      <w:r>
        <w:rPr>
          <w:rFonts w:ascii="Arial" w:cs="Arial" w:eastAsia="Arial" w:hAnsi="Arial"/>
          <w:sz w:val="15"/>
          <w:szCs w:val="15"/>
          <w:b w:val="1"/>
          <w:bCs w:val="1"/>
          <w:color w:val="auto"/>
        </w:rPr>
        <w:t xml:space="preserve">1.03. </w:t>
      </w:r>
      <w:r>
        <w:rPr>
          <w:rFonts w:ascii="Arial" w:cs="Arial" w:eastAsia="Arial" w:hAnsi="Arial"/>
          <w:sz w:val="15"/>
          <w:szCs w:val="15"/>
          <w:color w:val="auto"/>
        </w:rPr>
        <w:t>“Designee” shall mean any Person (other than an Affiliate of Licensee) that is employed by or otherwise under written contract with Licensee to make, use, sell, offer for</w:t>
      </w:r>
      <w:r>
        <w:rPr>
          <w:rFonts w:ascii="Arial" w:cs="Arial" w:eastAsia="Arial" w:hAnsi="Arial"/>
          <w:sz w:val="15"/>
          <w:szCs w:val="15"/>
          <w:b w:val="1"/>
          <w:bCs w:val="1"/>
          <w:color w:val="auto"/>
        </w:rPr>
        <w:t xml:space="preserve"> </w:t>
      </w:r>
      <w:r>
        <w:rPr>
          <w:rFonts w:ascii="Arial" w:cs="Arial" w:eastAsia="Arial" w:hAnsi="Arial"/>
          <w:sz w:val="15"/>
          <w:szCs w:val="15"/>
          <w:color w:val="auto"/>
        </w:rPr>
        <w:t>sale, promote, distribute, or market Licensed Product in the Field in the Territory on behalf of, or in collaboration or partnership with, Licensee; provided however, the term “Designee” shall not apply to any such Person to which Licensed Product is sold by Licensee solely for resale by such Person to Third Parties in the Field in the Territory, where such Person (i) does not pay any consideration to Licensee or any Affiliate of Licensee in connection with its resale of Licensed Product, and (ii) has no significant contractual obligations to Licensee or any Affiliate of Licensee with regard to marketing or promotion of the Licensed Product.</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color w:val="auto"/>
        </w:rPr>
        <w:t>“Effective Date” shall mean December 31, 2011.</w:t>
      </w:r>
    </w:p>
    <w:p>
      <w:pPr>
        <w:spacing w:after="0" w:line="229" w:lineRule="exact"/>
        <w:rPr>
          <w:sz w:val="20"/>
          <w:szCs w:val="20"/>
          <w:color w:val="auto"/>
        </w:rPr>
      </w:pPr>
    </w:p>
    <w:p>
      <w:pPr>
        <w:jc w:val="both"/>
        <w:ind w:right="20" w:firstLine="267"/>
        <w:spacing w:after="0" w:line="305" w:lineRule="auto"/>
        <w:rPr>
          <w:sz w:val="20"/>
          <w:szCs w:val="20"/>
          <w:color w:val="auto"/>
        </w:rPr>
      </w:pPr>
      <w:r>
        <w:rPr>
          <w:rFonts w:ascii="Arial" w:cs="Arial" w:eastAsia="Arial" w:hAnsi="Arial"/>
          <w:sz w:val="14"/>
          <w:szCs w:val="14"/>
          <w:b w:val="1"/>
          <w:bCs w:val="1"/>
          <w:color w:val="auto"/>
        </w:rPr>
        <w:t xml:space="preserve">1.05. </w:t>
      </w:r>
      <w:r>
        <w:rPr>
          <w:rFonts w:ascii="Arial" w:cs="Arial" w:eastAsia="Arial" w:hAnsi="Arial"/>
          <w:sz w:val="14"/>
          <w:szCs w:val="14"/>
          <w:color w:val="auto"/>
        </w:rPr>
        <w:t>“Encumbered Patent” shall mean any U.S. patent or U.S. patent application, other than those within the Excluded Patents, that is owned or co-owned by Genentech as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Effective Date, and with respect to which Genentech has entered into a written agreement prior to the Effective Date that grants one or more Third Parties a license, co-license, co-ownership, control, right to enforce, or other right in regards to such patent or patent application, as a consequence of which Genentech is contractually precluded, as of the Effective Date, from granting to Licensee a license under such patent or patent application, or under a U.S. patent that issues from or claims priority to such patent application, of the scope set forth in Section 2.01, without breaching such written agreement or owing a royalty or other financial obligation to one or more of such Third Parties.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color w:val="auto"/>
        </w:rPr>
        <w:t>“Europe” shall mean the member states of the European Union together with the member states of the European Economic Area and Switzerland.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27" w:name="page128"/>
    <w:bookmarkEnd w:id="127"/>
    <w:p>
      <w:pPr>
        <w:jc w:val="both"/>
        <w:ind w:right="20" w:firstLine="352"/>
        <w:spacing w:after="0" w:line="311" w:lineRule="auto"/>
        <w:rPr>
          <w:sz w:val="20"/>
          <w:szCs w:val="20"/>
          <w:color w:val="auto"/>
        </w:rPr>
      </w:pPr>
      <w:r>
        <w:rPr>
          <w:rFonts w:ascii="Arial" w:cs="Arial" w:eastAsia="Arial" w:hAnsi="Arial"/>
          <w:sz w:val="14"/>
          <w:szCs w:val="14"/>
          <w:b w:val="1"/>
          <w:bCs w:val="1"/>
          <w:color w:val="auto"/>
        </w:rPr>
        <w:t xml:space="preserve">1.07. </w:t>
      </w:r>
      <w:r>
        <w:rPr>
          <w:rFonts w:ascii="Arial" w:cs="Arial" w:eastAsia="Arial" w:hAnsi="Arial"/>
          <w:sz w:val="14"/>
          <w:szCs w:val="14"/>
          <w:color w:val="auto"/>
        </w:rPr>
        <w:t>“Excluded Patents” shall mean (i) the U.S. patents listed on Exhibit A hereto; (ii) any U.S. patent issuing at any time from any patent application to which any patent</w:t>
      </w:r>
      <w:r>
        <w:rPr>
          <w:rFonts w:ascii="Arial" w:cs="Arial" w:eastAsia="Arial" w:hAnsi="Arial"/>
          <w:sz w:val="14"/>
          <w:szCs w:val="14"/>
          <w:b w:val="1"/>
          <w:bCs w:val="1"/>
          <w:color w:val="auto"/>
        </w:rPr>
        <w:t xml:space="preserve"> </w:t>
      </w:r>
      <w:r>
        <w:rPr>
          <w:rFonts w:ascii="Arial" w:cs="Arial" w:eastAsia="Arial" w:hAnsi="Arial"/>
          <w:sz w:val="14"/>
          <w:szCs w:val="14"/>
          <w:color w:val="auto"/>
        </w:rPr>
        <w:t>listed on Exhibit A claims priority; (iii) any U.S. patent issuing at any time from a divisional, continuation, or continuation-in-part of any patent application to which any patent listed on Exhibit A claims priority; (iv) all reissues, reexaminations, and extensions of any of the foregoing (i), (ii), and (iii); and (v) all non-U.S. patents and non-U.S. patent applications that are owned or co-owned by Genentech prior to or after the Effective Date, and all extensions thereof (for example, any Supplementary Protection Certificate).</w:t>
      </w:r>
    </w:p>
    <w:p>
      <w:pPr>
        <w:spacing w:after="0" w:line="161" w:lineRule="exact"/>
        <w:rPr>
          <w:sz w:val="20"/>
          <w:szCs w:val="20"/>
          <w:color w:val="auto"/>
        </w:rPr>
      </w:pPr>
    </w:p>
    <w:p>
      <w:pPr>
        <w:jc w:val="both"/>
        <w:ind w:right="20" w:firstLine="315"/>
        <w:spacing w:after="0" w:line="258" w:lineRule="auto"/>
        <w:rPr>
          <w:sz w:val="20"/>
          <w:szCs w:val="20"/>
          <w:color w:val="auto"/>
        </w:rPr>
      </w:pPr>
      <w:r>
        <w:rPr>
          <w:rFonts w:ascii="Arial" w:cs="Arial" w:eastAsia="Arial" w:hAnsi="Arial"/>
          <w:sz w:val="16"/>
          <w:szCs w:val="16"/>
          <w:b w:val="1"/>
          <w:bCs w:val="1"/>
          <w:color w:val="auto"/>
        </w:rPr>
        <w:t xml:space="preserve">1.08. </w:t>
      </w:r>
      <w:r>
        <w:rPr>
          <w:rFonts w:ascii="Arial" w:cs="Arial" w:eastAsia="Arial" w:hAnsi="Arial"/>
          <w:sz w:val="16"/>
          <w:szCs w:val="16"/>
          <w:color w:val="auto"/>
        </w:rPr>
        <w:t>“Field” shall mean and be limited to the prevention or treatment of eye diseases and eye disorders in a human through the administration of Licensed Product to the eye,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the prevention or treatment of age-related macular degeneration, central retinal vein occlusion, diabetic macular edema, and/or myopic choroidal neovascularization in a human). The Parties acknowledge and agree, for the sake of clarity, that “Field” does not mean, and therefore excludes, the use of Licensed Product for any other purpose, including prevention or treatment of any other diseases or disorders other than eye diseases and eye disorders in a human. By way of example only, and without limitation, “Field” excludes any use of Licensed Product for the prevention or treatment of any form of breast cancer, colorectal cancer, lung cancer, ovarian cancer, or prostate cancer in a human.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 xml:space="preserve">1.09. </w:t>
      </w:r>
      <w:r>
        <w:rPr>
          <w:rFonts w:ascii="Arial" w:cs="Arial" w:eastAsia="Arial" w:hAnsi="Arial"/>
          <w:sz w:val="14"/>
          <w:szCs w:val="14"/>
          <w:color w:val="auto"/>
        </w:rPr>
        <w:t>“First Commercial Sale” shall mean the first sale in the Territory of Licensed Product by Licensee or any of its Affiliates or Designees to a Third Party for use in the Field.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That sale shall be deemed to have occurred on the date of the first invoice to the Third Party for the Licensed Product (which date may be prior to the Effective Date).</w:t>
      </w:r>
    </w:p>
    <w:p>
      <w:pPr>
        <w:spacing w:after="0" w:line="230" w:lineRule="exact"/>
        <w:rPr>
          <w:sz w:val="20"/>
          <w:szCs w:val="20"/>
          <w:color w:val="auto"/>
        </w:rPr>
      </w:pPr>
    </w:p>
    <w:p>
      <w:pPr>
        <w:jc w:val="both"/>
        <w:ind w:right="20" w:firstLine="315"/>
        <w:spacing w:after="0" w:line="262" w:lineRule="auto"/>
        <w:rPr>
          <w:sz w:val="20"/>
          <w:szCs w:val="20"/>
          <w:color w:val="auto"/>
        </w:rPr>
      </w:pPr>
      <w:r>
        <w:rPr>
          <w:rFonts w:ascii="Arial" w:cs="Arial" w:eastAsia="Arial" w:hAnsi="Arial"/>
          <w:sz w:val="16"/>
          <w:szCs w:val="16"/>
          <w:b w:val="1"/>
          <w:bCs w:val="1"/>
          <w:color w:val="auto"/>
        </w:rPr>
        <w:t xml:space="preserve">1.10. </w:t>
      </w:r>
      <w:r>
        <w:rPr>
          <w:rFonts w:ascii="Arial" w:cs="Arial" w:eastAsia="Arial" w:hAnsi="Arial"/>
          <w:sz w:val="16"/>
          <w:szCs w:val="16"/>
          <w:color w:val="auto"/>
        </w:rPr>
        <w:t>“Genentech Technology Patents” shall mean all U.S. patents (whether issued prior to or after the Effective Date), other than the Licensed Patents, Excluded Patents,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Encumbered Patents, that (i) are owned or co-owned by Genentech as of the Effective Date or (ii) are issued after the Effective Date and claim priority to a patent application owned or co-owned by Genentech as of the Effective Date; and that, in each of cases (i) and (ii), would be infringed by any activity licensed under Section 2.01 but for the license granted under Section 2.02.</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“Gross Sales” shall have the meaning given in Section 1.15.</w:t>
      </w:r>
    </w:p>
    <w:p>
      <w:pPr>
        <w:spacing w:after="0" w:line="229" w:lineRule="exact"/>
        <w:rPr>
          <w:sz w:val="20"/>
          <w:szCs w:val="20"/>
          <w:color w:val="auto"/>
        </w:rPr>
      </w:pPr>
    </w:p>
    <w:p>
      <w:pPr>
        <w:jc w:val="both"/>
        <w:ind w:right="20" w:firstLine="425"/>
        <w:spacing w:after="0" w:line="280"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“Legal Proceeding” shall mean any legal or administrative proceeding in any country, including, but not limited to, the Pending U.S. Litigation and any 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proceeding in Europe, now or in the future, involving [**************].</w:t>
      </w:r>
    </w:p>
    <w:p>
      <w:pPr>
        <w:spacing w:after="0" w:line="178" w:lineRule="exact"/>
        <w:rPr>
          <w:sz w:val="20"/>
          <w:szCs w:val="20"/>
          <w:color w:val="auto"/>
        </w:rPr>
      </w:pPr>
    </w:p>
    <w:p>
      <w:pPr>
        <w:jc w:val="both"/>
        <w:ind w:right="20" w:firstLine="328"/>
        <w:spacing w:after="0" w:line="279" w:lineRule="auto"/>
        <w:rPr>
          <w:sz w:val="20"/>
          <w:szCs w:val="20"/>
          <w:color w:val="auto"/>
        </w:rPr>
      </w:pPr>
      <w:r>
        <w:rPr>
          <w:rFonts w:ascii="Arial" w:cs="Arial" w:eastAsia="Arial" w:hAnsi="Arial"/>
          <w:sz w:val="15"/>
          <w:szCs w:val="15"/>
          <w:b w:val="1"/>
          <w:bCs w:val="1"/>
          <w:color w:val="auto"/>
        </w:rPr>
        <w:t xml:space="preserve">1.13. </w:t>
      </w:r>
      <w:r>
        <w:rPr>
          <w:rFonts w:ascii="Arial" w:cs="Arial" w:eastAsia="Arial" w:hAnsi="Arial"/>
          <w:sz w:val="15"/>
          <w:szCs w:val="15"/>
          <w:color w:val="auto"/>
        </w:rPr>
        <w:t>“Licensed Patents” shall mean (i) U.S. Patent Nos. 5,952,199; 6,100,071; 6,383,486; 6,897,294; and 7,771,721; (ii) any U.S. patent issuing at any time from any patent</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 to which any of the foregoing patents claim priority; (iii) any U.S. patent issuing at any time from a divisional, continuation, or continuation-in-part of any patent application to which any of the foregoing patents claims priority; and (iv) all reissues, reexaminations, and extensions of any of the foregoing (i), (ii), and (iii). Under no circumstance shall a Licensed Patent be deemed to be within the definition of Excluded Patents. The Parties acknowledge and agree, for the sake of clarity, that the definition of Licensed Patents set forth in this Section 1.13 includes any U.S. patent issuing from any patent application, or any divisional, continuation, or continuation-in-part of any patent application, that is in the chain of applications through which any of the U.S. patents listed in clause (i) claims priority.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28" w:name="page129"/>
    <w:bookmarkEnd w:id="128"/>
    <w:p>
      <w:pPr>
        <w:ind w:right="20" w:firstLine="255"/>
        <w:spacing w:after="0" w:line="280"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color w:val="auto"/>
        </w:rPr>
        <w:t>“Licensed Product” shall mean aflibercept, which is being sold in the Field in the Territory under the trade name Eylea™ as of the Effective Date, and any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formulation containing aflibercept that is intended for use in the Field in the Territory.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color w:val="auto"/>
        </w:rPr>
        <w:t>“Net Sales” shall mean:</w:t>
      </w:r>
    </w:p>
    <w:p>
      <w:pPr>
        <w:spacing w:after="0" w:line="233" w:lineRule="exact"/>
        <w:rPr>
          <w:sz w:val="20"/>
          <w:szCs w:val="20"/>
          <w:color w:val="auto"/>
        </w:rPr>
      </w:pPr>
    </w:p>
    <w:p>
      <w:pPr>
        <w:ind w:firstLine="495"/>
        <w:spacing w:after="0" w:line="348" w:lineRule="auto"/>
        <w:tabs>
          <w:tab w:leader="none" w:pos="671" w:val="left"/>
        </w:tabs>
        <w:numPr>
          <w:ilvl w:val="1"/>
          <w:numId w:val="25"/>
        </w:numPr>
        <w:rPr>
          <w:rFonts w:ascii="Arial" w:cs="Arial" w:eastAsia="Arial" w:hAnsi="Arial"/>
          <w:sz w:val="14"/>
          <w:szCs w:val="14"/>
          <w:color w:val="auto"/>
        </w:rPr>
      </w:pPr>
      <w:r>
        <w:rPr>
          <w:rFonts w:ascii="Arial" w:cs="Arial" w:eastAsia="Arial" w:hAnsi="Arial"/>
          <w:sz w:val="14"/>
          <w:szCs w:val="14"/>
          <w:color w:val="auto"/>
        </w:rPr>
        <w:t>The gross amounts invoiced for sales of all Licensed Product, commencing with the First Commercial Sale, sold in the Territory by Licensee, its Affiliates and Designees to Third Parties for use in the Field (such invoiced amounts referred to hereinafter as “Gross Sales”), less the following deductions from Gross Sales which are actually incurred:</w:t>
      </w:r>
    </w:p>
    <w:p>
      <w:pPr>
        <w:spacing w:after="0" w:line="115" w:lineRule="exact"/>
        <w:rPr>
          <w:rFonts w:ascii="Arial" w:cs="Arial" w:eastAsia="Arial" w:hAnsi="Arial"/>
          <w:sz w:val="14"/>
          <w:szCs w:val="14"/>
          <w:color w:val="auto"/>
        </w:rPr>
      </w:pPr>
    </w:p>
    <w:p>
      <w:pPr>
        <w:ind w:left="760" w:hanging="520"/>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credits or allowances granted for billing errors or for damaged, outdated, returned, rejected or recalled Licensed Product;</w:t>
      </w:r>
    </w:p>
    <w:p>
      <w:pPr>
        <w:spacing w:after="0" w:line="252" w:lineRule="exact"/>
        <w:rPr>
          <w:rFonts w:ascii="Arial" w:cs="Arial" w:eastAsia="Arial" w:hAnsi="Arial"/>
          <w:sz w:val="16"/>
          <w:szCs w:val="16"/>
          <w:color w:val="auto"/>
        </w:rPr>
      </w:pPr>
    </w:p>
    <w:p>
      <w:pPr>
        <w:ind w:left="760" w:hanging="520"/>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uncollectible amounts on previously sold Licensed Product and retroactive price reductions;</w:t>
      </w:r>
    </w:p>
    <w:p>
      <w:pPr>
        <w:spacing w:after="0" w:line="228" w:lineRule="exact"/>
        <w:rPr>
          <w:rFonts w:ascii="Arial" w:cs="Arial" w:eastAsia="Arial" w:hAnsi="Arial"/>
          <w:sz w:val="16"/>
          <w:szCs w:val="16"/>
          <w:color w:val="auto"/>
        </w:rPr>
      </w:pPr>
    </w:p>
    <w:p>
      <w:pPr>
        <w:ind w:left="760" w:hanging="520"/>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reasonable trade, cash and quantity discounts or rebates;</w:t>
      </w:r>
    </w:p>
    <w:p>
      <w:pPr>
        <w:spacing w:after="0" w:line="228" w:lineRule="exact"/>
        <w:rPr>
          <w:rFonts w:ascii="Arial" w:cs="Arial" w:eastAsia="Arial" w:hAnsi="Arial"/>
          <w:sz w:val="16"/>
          <w:szCs w:val="16"/>
          <w:color w:val="auto"/>
        </w:rPr>
      </w:pPr>
    </w:p>
    <w:p>
      <w:pPr>
        <w:ind w:left="760" w:right="20" w:hanging="520"/>
        <w:spacing w:after="0" w:line="274"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taxes, duties and any other governmental charges or levies imposed upon or measured by the manufacture, use, or sale of a Licensed Product, as adjusted by any rebates or refunds;</w:t>
      </w:r>
    </w:p>
    <w:p>
      <w:pPr>
        <w:spacing w:after="0" w:line="186" w:lineRule="exact"/>
        <w:rPr>
          <w:rFonts w:ascii="Arial" w:cs="Arial" w:eastAsia="Arial" w:hAnsi="Arial"/>
          <w:sz w:val="16"/>
          <w:szCs w:val="16"/>
          <w:color w:val="auto"/>
        </w:rPr>
      </w:pPr>
    </w:p>
    <w:p>
      <w:pPr>
        <w:ind w:left="760" w:right="20" w:hanging="520"/>
        <w:spacing w:after="0" w:line="274"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chargebacks and rebates, including those granted to managed health care organizations, wholesalers, buying groups, retailers or to federal, state, local and other governments, their agencies and purchasers and reimbursers;</w:t>
      </w:r>
    </w:p>
    <w:p>
      <w:pPr>
        <w:spacing w:after="0" w:line="186" w:lineRule="exact"/>
        <w:rPr>
          <w:rFonts w:ascii="Arial" w:cs="Arial" w:eastAsia="Arial" w:hAnsi="Arial"/>
          <w:sz w:val="16"/>
          <w:szCs w:val="16"/>
          <w:color w:val="auto"/>
        </w:rPr>
      </w:pPr>
    </w:p>
    <w:p>
      <w:pPr>
        <w:jc w:val="both"/>
        <w:ind w:left="760" w:right="20" w:hanging="520"/>
        <w:spacing w:after="0" w:line="289" w:lineRule="auto"/>
        <w:tabs>
          <w:tab w:leader="none" w:pos="7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freight, insurance, data, distribution-related fees, and other charges or fees directly related to the handling or distribution of Licensed Product or services provided in connection with the handling or distribution of Licensed Product (to the extent not paid by a Third Party customer), subject, however, to the limitation that only fifty percent (50%) of any charges and fees associated with any credit card transactions may be included in the deductions; and</w:t>
      </w:r>
    </w:p>
    <w:p>
      <w:pPr>
        <w:spacing w:after="0" w:line="177" w:lineRule="exact"/>
        <w:rPr>
          <w:rFonts w:ascii="Arial" w:cs="Arial" w:eastAsia="Arial" w:hAnsi="Arial"/>
          <w:sz w:val="15"/>
          <w:szCs w:val="15"/>
          <w:color w:val="auto"/>
        </w:rPr>
      </w:pPr>
    </w:p>
    <w:p>
      <w:pPr>
        <w:ind w:left="760" w:right="20" w:hanging="520"/>
        <w:spacing w:after="0" w:line="274"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nursing fees, and inventory management fees, discounts or credits; and credits and allowances made for wastage replacement, indigent patients, patients unable to satisfy co-pay obligations and similar programs;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All of the foregoing elements of Net Sales calculations shall be determined and recorded in accordance with U.S. Generally Accepted Accounting Principles, consistently applied. Where actual data for a particular deduction is not reasonably available at the time that a royalty payment is due under this Agreement with respect to relevant Gross Sales, Licensee shall make a reasonable estimate of that deduction for purposes of calculating Net Sales due for a particular Calendar Quarter. Licensee will subsequently make any required adjustment with respect to that deduction in the royalty payment owed for the Calendar Quarter in which actual data for a particular deduction does reasonably become available. In the case of actual data for a particular deduction that is not reasonably available until after the Royalty Term, Licensee’s royalty payments made during the Royalty Term shall be adjusted by a subsequent payment to Genentech or refund to Licensee (as the case may be) as required based on such actual data, provided, however, that (i) Licensee shall report such actual data to Genentech as soon as it reasonably becomes available to Licensee, and (ii) any such refund to Licensee shall not in any event exceed five million U.S. dollars ($5,000,000).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29" w:name="page130"/>
    <w:bookmarkEnd w:id="129"/>
    <w:p>
      <w:pPr>
        <w:jc w:val="both"/>
        <w:ind w:right="20" w:firstLine="543"/>
        <w:spacing w:after="0" w:line="260" w:lineRule="auto"/>
        <w:tabs>
          <w:tab w:leader="none" w:pos="7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event a Licensed Product is sold in combination with one or more other active ingredients that are not the subject of this Agreement (as used in this definition of Net Sales, a “Combination”), then the gross amount invoiced for that Licensed Product shall be calculated by multiplying the gross amount invoiced for such Combination by the fraction A/(A+B), where “A” is the gross amount invoiced for the Licensed Product sold separately and “B” is the gross amount invoiced for the other active ingredient(s) sold separately.</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the event that the other active ingredient(s) is not sold separately, then the gross amount invoiced for that Licensed Product shall be calculated by multiplying the gross amount invoiced for the Combination by the fraction A/C, where “A” is the gross invoice amount for the Licensed Product, if sold separately, and “C” is the gross invoice amount for the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no such separate sales are made, Net Sales for royalty determination shall be determined by the Parties in good faith.</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“Party” shall mean either Genentech or Licensee, and when used in the plural shall mean both Genentech and Licensee.</w:t>
      </w:r>
    </w:p>
    <w:p>
      <w:pPr>
        <w:spacing w:after="0" w:line="229" w:lineRule="exact"/>
        <w:rPr>
          <w:sz w:val="20"/>
          <w:szCs w:val="20"/>
          <w:color w:val="auto"/>
        </w:rPr>
      </w:pPr>
    </w:p>
    <w:p>
      <w:pPr>
        <w:jc w:val="both"/>
        <w:ind w:right="20" w:firstLine="340"/>
        <w:spacing w:after="0" w:line="280"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“Person” shall mean an individual, trust, corporation, partnership, joint venture, limited liability company, association, unincorporated organization or other 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entity.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“Royalty Term” shall mean the period commencing on the date of the First Commercial Sale and ending on May 7, 2016.</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“Term of this Agreement” shall have the meaning given in Section 7.01.</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1.20. </w:t>
      </w:r>
      <w:r>
        <w:rPr>
          <w:rFonts w:ascii="Arial" w:cs="Arial" w:eastAsia="Arial" w:hAnsi="Arial"/>
          <w:sz w:val="16"/>
          <w:szCs w:val="16"/>
          <w:color w:val="auto"/>
        </w:rPr>
        <w:t>“Territory” shall mean the United States of America only, including its territories and possessions.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“Third Party” shall mean any Person other than Genentech or Licensee or any of their respective Affiliates and Designees.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“U.S.” and “United States” shall mean the United States of America, including its territories and possessions.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auto"/>
        </w:rPr>
        <w:t>Article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GRANTS</w:t>
      </w:r>
    </w:p>
    <w:p>
      <w:pPr>
        <w:spacing w:after="0" w:line="225" w:lineRule="exact"/>
        <w:rPr>
          <w:sz w:val="20"/>
          <w:szCs w:val="20"/>
          <w:color w:val="auto"/>
        </w:rPr>
      </w:pPr>
    </w:p>
    <w:p>
      <w:pPr>
        <w:ind w:firstLine="291"/>
        <w:spacing w:after="0" w:line="280" w:lineRule="auto"/>
        <w:rPr>
          <w:sz w:val="20"/>
          <w:szCs w:val="20"/>
          <w:color w:val="auto"/>
        </w:rPr>
      </w:pPr>
      <w:r>
        <w:rPr>
          <w:rFonts w:ascii="Arial" w:cs="Arial" w:eastAsia="Arial" w:hAnsi="Arial"/>
          <w:sz w:val="16"/>
          <w:szCs w:val="16"/>
          <w:b w:val="1"/>
          <w:bCs w:val="1"/>
          <w:color w:val="auto"/>
        </w:rPr>
        <w:t xml:space="preserve">2.01. </w:t>
      </w:r>
      <w:r>
        <w:rPr>
          <w:rFonts w:ascii="Arial" w:cs="Arial" w:eastAsia="Arial" w:hAnsi="Arial"/>
          <w:sz w:val="16"/>
          <w:szCs w:val="16"/>
          <w:u w:val="single" w:color="auto"/>
          <w:color w:val="auto"/>
        </w:rPr>
        <w:t>License to Licensed Patents</w:t>
      </w:r>
      <w:r>
        <w:rPr>
          <w:rFonts w:ascii="Arial" w:cs="Arial" w:eastAsia="Arial" w:hAnsi="Arial"/>
          <w:sz w:val="16"/>
          <w:szCs w:val="16"/>
          <w:color w:val="auto"/>
        </w:rPr>
        <w:t>. Subject to the terms and conditions of this Agreement, Genentech hereby grants to Licensee and Licensee hereby accepts a non-exclusive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under the Licensed Patents for the Term of this Agreement to:</w:t>
      </w:r>
    </w:p>
    <w:p>
      <w:pPr>
        <w:spacing w:after="0" w:line="157" w:lineRule="exact"/>
        <w:rPr>
          <w:sz w:val="20"/>
          <w:szCs w:val="20"/>
          <w:color w:val="auto"/>
        </w:rPr>
      </w:pPr>
    </w:p>
    <w:p>
      <w:pPr>
        <w:jc w:val="both"/>
        <w:ind w:left="720" w:right="20" w:hanging="480"/>
        <w:spacing w:after="0" w:line="264"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make and have made Licensed Product in the Territory solely for use or sale in the Field in the Territory, and to export Licensed Product that is initially made in bulk or other non-finished form in the Territory solely for the purpose of converting such Licensed Product to filled and/or finished form outside the Territory for reimportation into the Territory pursuant to Section 2.01(ii);</w:t>
      </w:r>
    </w:p>
    <w:p>
      <w:pPr>
        <w:spacing w:after="0" w:line="193" w:lineRule="exact"/>
        <w:rPr>
          <w:rFonts w:ascii="Arial" w:cs="Arial" w:eastAsia="Arial" w:hAnsi="Arial"/>
          <w:sz w:val="16"/>
          <w:szCs w:val="16"/>
          <w:color w:val="auto"/>
        </w:rPr>
      </w:pPr>
    </w:p>
    <w:p>
      <w:pPr>
        <w:ind w:left="720" w:right="20" w:hanging="480"/>
        <w:spacing w:after="0" w:line="348"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reimport Licensed Product into the Territory that initially is made in bulk or other non-finished form in the Territory pursuant to the preceding subsection 2.01(i) and subsequently converted to filled and/or finished form outside the Territory, which reimported Licensed Product is solely for use or sale in the Field in the Territory;</w:t>
      </w:r>
    </w:p>
    <w:p>
      <w:pPr>
        <w:spacing w:after="0" w:line="140" w:lineRule="exact"/>
        <w:rPr>
          <w:rFonts w:ascii="Arial" w:cs="Arial" w:eastAsia="Arial" w:hAnsi="Arial"/>
          <w:sz w:val="14"/>
          <w:szCs w:val="14"/>
          <w:color w:val="auto"/>
        </w:rPr>
      </w:pPr>
    </w:p>
    <w:p>
      <w:pPr>
        <w:ind w:left="720" w:right="20" w:hanging="480"/>
        <w:spacing w:after="0" w:line="274"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import Licensed Product into the Territory that is made on or after October 29, 2012 outside the Territory for export to the Territory, which imported Licensed Product is solely for use or sale in the Field in the Territory; and</w:t>
      </w:r>
    </w:p>
    <w:p>
      <w:pPr>
        <w:spacing w:after="0" w:line="186" w:lineRule="exact"/>
        <w:rPr>
          <w:rFonts w:ascii="Arial" w:cs="Arial" w:eastAsia="Arial" w:hAnsi="Arial"/>
          <w:sz w:val="16"/>
          <w:szCs w:val="16"/>
          <w:color w:val="auto"/>
        </w:rPr>
      </w:pPr>
    </w:p>
    <w:p>
      <w:pPr>
        <w:ind w:left="720" w:right="20" w:hanging="480"/>
        <w:spacing w:after="0" w:line="274"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use, sell, offer for sale, and have sold Licensed Product made or had made pursuant to the preceding subsection 2.01(i), or reimported pursuant to the preceding subsection 2.01(ii), or imported pursuant to the preceding subsection 2.01(iii), in each case solely in the Field in the Territory.</w:t>
      </w:r>
    </w:p>
    <w:p>
      <w:pPr>
        <w:spacing w:after="0" w:line="183" w:lineRule="exact"/>
        <w:rPr>
          <w:sz w:val="20"/>
          <w:szCs w:val="20"/>
          <w:color w:val="auto"/>
        </w:rPr>
      </w:pPr>
    </w:p>
    <w:p>
      <w:pPr>
        <w:ind w:firstLine="243"/>
        <w:spacing w:after="0" w:line="314" w:lineRule="auto"/>
        <w:rPr>
          <w:sz w:val="20"/>
          <w:szCs w:val="20"/>
          <w:color w:val="auto"/>
        </w:rPr>
      </w:pPr>
      <w:r>
        <w:rPr>
          <w:rFonts w:ascii="Arial" w:cs="Arial" w:eastAsia="Arial" w:hAnsi="Arial"/>
          <w:sz w:val="15"/>
          <w:szCs w:val="15"/>
          <w:b w:val="1"/>
          <w:bCs w:val="1"/>
          <w:color w:val="auto"/>
        </w:rPr>
        <w:t xml:space="preserve">2.02. </w:t>
      </w:r>
      <w:r>
        <w:rPr>
          <w:rFonts w:ascii="Arial" w:cs="Arial" w:eastAsia="Arial" w:hAnsi="Arial"/>
          <w:sz w:val="15"/>
          <w:szCs w:val="15"/>
          <w:u w:val="single" w:color="auto"/>
          <w:color w:val="auto"/>
        </w:rPr>
        <w:t>License to Genentech Technology Patents</w:t>
      </w:r>
      <w:r>
        <w:rPr>
          <w:rFonts w:ascii="Arial" w:cs="Arial" w:eastAsia="Arial" w:hAnsi="Arial"/>
          <w:sz w:val="15"/>
          <w:szCs w:val="15"/>
          <w:color w:val="auto"/>
        </w:rPr>
        <w:t>. Subject to the terms and conditions of this Agreement, Genentech hereby grants to Licensee and Licensee hereby accepts a non-exclusive license under the Genentech Technology Patents for the Term of this Agreement solely to practice the license granted to Licensee in Section 2.01.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31" w:name="page132"/>
    <w:bookmarkEnd w:id="131"/>
    <w:p>
      <w:pPr>
        <w:jc w:val="both"/>
        <w:ind w:left="3" w:firstLine="267"/>
        <w:spacing w:after="0" w:line="298" w:lineRule="auto"/>
        <w:rPr>
          <w:sz w:val="20"/>
          <w:szCs w:val="20"/>
          <w:color w:val="auto"/>
        </w:rPr>
      </w:pPr>
      <w:r>
        <w:rPr>
          <w:rFonts w:ascii="Arial" w:cs="Arial" w:eastAsia="Arial" w:hAnsi="Arial"/>
          <w:sz w:val="14"/>
          <w:szCs w:val="14"/>
          <w:b w:val="1"/>
          <w:bCs w:val="1"/>
          <w:color w:val="auto"/>
        </w:rPr>
        <w:t xml:space="preserve">2.03. </w:t>
      </w:r>
      <w:r>
        <w:rPr>
          <w:rFonts w:ascii="Arial" w:cs="Arial" w:eastAsia="Arial" w:hAnsi="Arial"/>
          <w:sz w:val="14"/>
          <w:szCs w:val="14"/>
          <w:u w:val="single" w:color="auto"/>
          <w:color w:val="auto"/>
        </w:rPr>
        <w:t>Covenant Not To Sue For Activities Prior to Effective Date</w:t>
      </w:r>
      <w:r>
        <w:rPr>
          <w:rFonts w:ascii="Arial" w:cs="Arial" w:eastAsia="Arial" w:hAnsi="Arial"/>
          <w:sz w:val="14"/>
          <w:szCs w:val="14"/>
          <w:color w:val="auto"/>
        </w:rPr>
        <w:t>. Genentech, on behalf of itself and its predecessors, successors, assigns, and Affiliates, agrees and covenants</w:t>
      </w:r>
      <w:r>
        <w:rPr>
          <w:rFonts w:ascii="Arial" w:cs="Arial" w:eastAsia="Arial" w:hAnsi="Arial"/>
          <w:sz w:val="14"/>
          <w:szCs w:val="14"/>
          <w:b w:val="1"/>
          <w:bCs w:val="1"/>
          <w:color w:val="auto"/>
        </w:rPr>
        <w:t xml:space="preserve"> </w:t>
      </w:r>
      <w:r>
        <w:rPr>
          <w:rFonts w:ascii="Arial" w:cs="Arial" w:eastAsia="Arial" w:hAnsi="Arial"/>
          <w:sz w:val="14"/>
          <w:szCs w:val="14"/>
          <w:color w:val="auto"/>
        </w:rPr>
        <w:t>not to sue Licensee, its Affiliates or Designees for infringement of any of the Licensed Patents or Genentech Technology Patents based on any activity that occurred prior to the Effective Date that would be licensed under Section 2.01 had such activity occurred on or after the Effective Date; provided, however, that this covenant does not release Licensee, its Affiliates and Designees from any obligation under this Agreement, including, but not limited to, the obligation to pay the sales milestone and royalties and to maintain records and make reports under and in accordance with Articles III and IV with respect to all Net Sales of Licensed Product sold during the Royalty Term. The Parties acknowledge and agree, for the sake of clarity, that (i) the covenant in this Section 2.03 is given only with respect to the Licensed Patents and Genentech Technology Patents, and not any other patents, and (ii) nothing contained in this Agreement is intended or shall be deemed to prevent or limit either Party from seeking, in connection with any Legal Proceeding to the extent permitted by governing laws and rules, discovery from the other Party and its Affiliates and Designees relating to any activity that occurred prior to the Effective Date.</w:t>
      </w:r>
    </w:p>
    <w:p>
      <w:pPr>
        <w:spacing w:after="0" w:line="173" w:lineRule="exact"/>
        <w:rPr>
          <w:sz w:val="20"/>
          <w:szCs w:val="20"/>
          <w:color w:val="auto"/>
        </w:rPr>
      </w:pPr>
    </w:p>
    <w:p>
      <w:pPr>
        <w:jc w:val="both"/>
        <w:ind w:left="3" w:right="20" w:firstLine="255"/>
        <w:spacing w:after="0" w:line="302" w:lineRule="auto"/>
        <w:rPr>
          <w:sz w:val="20"/>
          <w:szCs w:val="20"/>
          <w:color w:val="auto"/>
        </w:rPr>
      </w:pPr>
      <w:r>
        <w:rPr>
          <w:rFonts w:ascii="Arial" w:cs="Arial" w:eastAsia="Arial" w:hAnsi="Arial"/>
          <w:sz w:val="14"/>
          <w:szCs w:val="14"/>
          <w:b w:val="1"/>
          <w:bCs w:val="1"/>
          <w:color w:val="auto"/>
        </w:rPr>
        <w:t xml:space="preserve">2.04. </w:t>
      </w:r>
      <w:r>
        <w:rPr>
          <w:rFonts w:ascii="Arial" w:cs="Arial" w:eastAsia="Arial" w:hAnsi="Arial"/>
          <w:sz w:val="14"/>
          <w:szCs w:val="14"/>
          <w:u w:val="single" w:color="auto"/>
          <w:color w:val="auto"/>
        </w:rPr>
        <w:t>Right of Licensee to Grant Sublicenses</w:t>
      </w:r>
      <w:r>
        <w:rPr>
          <w:rFonts w:ascii="Arial" w:cs="Arial" w:eastAsia="Arial" w:hAnsi="Arial"/>
          <w:sz w:val="14"/>
          <w:szCs w:val="14"/>
          <w:color w:val="auto"/>
        </w:rPr>
        <w:t>. Licensee shall have the right to grant sublicenses to its Affiliates and Designees under the licenses granted to Licensee in Sections</w:t>
      </w:r>
      <w:r>
        <w:rPr>
          <w:rFonts w:ascii="Arial" w:cs="Arial" w:eastAsia="Arial" w:hAnsi="Arial"/>
          <w:sz w:val="14"/>
          <w:szCs w:val="14"/>
          <w:b w:val="1"/>
          <w:bCs w:val="1"/>
          <w:color w:val="auto"/>
        </w:rPr>
        <w:t xml:space="preserve"> </w:t>
      </w:r>
      <w:r>
        <w:rPr>
          <w:rFonts w:ascii="Arial" w:cs="Arial" w:eastAsia="Arial" w:hAnsi="Arial"/>
          <w:sz w:val="14"/>
          <w:szCs w:val="14"/>
          <w:color w:val="auto"/>
        </w:rPr>
        <w:t>2.01 and 2.02; provided, however, that Licensee may not grant to any of its Designees a sublicense to have Licensed Product made for such Designee by a Third Party. Licensee shall always be responsible for the payment of royalties on Net Sales of Licensed Product sold during the Royalty Term by any of its Affiliates or Designees and for the performance by such Affiliates and Designees of obligations delegated to them by Licensee pursuant to this Agreement, irrespective of whether such Affiliate or Designee has formally been granted a sublicense by Licensee under this Section 2.04. No Affiliate or Designee of Licensee shall have the right to grant any further sublicenses to any Licensed Patents and/or Genentech Technology Patents, except that any Affiliate of Licensee may grant a sublicense to have Licensed Product made for such Affiliate.</w:t>
      </w:r>
    </w:p>
    <w:p>
      <w:pPr>
        <w:spacing w:after="0" w:line="168" w:lineRule="exact"/>
        <w:rPr>
          <w:sz w:val="20"/>
          <w:szCs w:val="20"/>
          <w:color w:val="auto"/>
        </w:rPr>
      </w:pPr>
    </w:p>
    <w:p>
      <w:pPr>
        <w:jc w:val="both"/>
        <w:ind w:left="3" w:right="20" w:firstLine="243"/>
        <w:spacing w:after="0" w:line="294" w:lineRule="auto"/>
        <w:rPr>
          <w:sz w:val="20"/>
          <w:szCs w:val="20"/>
          <w:color w:val="auto"/>
        </w:rPr>
      </w:pPr>
      <w:r>
        <w:rPr>
          <w:rFonts w:ascii="Arial" w:cs="Arial" w:eastAsia="Arial" w:hAnsi="Arial"/>
          <w:sz w:val="14"/>
          <w:szCs w:val="14"/>
          <w:b w:val="1"/>
          <w:bCs w:val="1"/>
          <w:color w:val="auto"/>
        </w:rPr>
        <w:t xml:space="preserve">2.05. </w:t>
      </w:r>
      <w:r>
        <w:rPr>
          <w:rFonts w:ascii="Arial" w:cs="Arial" w:eastAsia="Arial" w:hAnsi="Arial"/>
          <w:sz w:val="14"/>
          <w:szCs w:val="14"/>
          <w:u w:val="single" w:color="auto"/>
          <w:color w:val="auto"/>
        </w:rPr>
        <w:t>License Scope Limitations</w:t>
      </w:r>
      <w:r>
        <w:rPr>
          <w:rFonts w:ascii="Arial" w:cs="Arial" w:eastAsia="Arial" w:hAnsi="Arial"/>
          <w:sz w:val="14"/>
          <w:szCs w:val="14"/>
          <w:color w:val="auto"/>
        </w:rPr>
        <w:t>. Licensee acknowledges and agrees that the licenses granted to it in this Article II are limited in scope and, by way of example only and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limitation, do not confer on Licensee or its Affiliates or Designees any license (express or implied) or any other rights (i) under any Excluded Patent, including, but not limited to, [**************]; (ii) under any Encumbered Patent; (iii) to promote, distribute, market, sell, offer for sale, or have sold any Licensed Product outside the U.S. for any purpose;</w:t>
      </w:r>
    </w:p>
    <w:p>
      <w:pPr>
        <w:spacing w:after="0" w:line="1" w:lineRule="exact"/>
        <w:rPr>
          <w:sz w:val="20"/>
          <w:szCs w:val="20"/>
          <w:color w:val="auto"/>
        </w:rPr>
      </w:pPr>
    </w:p>
    <w:p>
      <w:pPr>
        <w:jc w:val="both"/>
        <w:ind w:left="3" w:hanging="3"/>
        <w:spacing w:after="0" w:line="274" w:lineRule="auto"/>
        <w:tabs>
          <w:tab w:leader="none" w:pos="27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 make or have made Licensed Product (in any form) in the U.S. for sale or offer for sale in any other country; (v) to make or have made Licensed Product (in any form) in the U.S. for export to any other country, except to the extent expressly permitted under Section 2.01(i); (vi) to make or have made Licensed Product (in any form) outside the U.S. for sale or offer for sale outside the U.S.; or (vii) to make, have made, use, promote, distribute, market, sell, offer for sale, or have sold any Licensed Product for any use outside the Field. Licensee further acknowledges and agrees that (a) nothing in Article II is intended or shall be deemed to grant, whether by implication, estoppel, or otherwise, any right or license under any non-U.S. patent or any extension thereof, including but not limited to [**************], and (b) any activities outside the U.S. involving or relating to Licensed Product continue to be subject to, and are conducted at risk of Genentech’s asserting at any time, all claims of patent infringement under non-U.S. patents and/or claims for violation of other non-U.S. legal rights, notwithstanding the licenses under the Licensed Patents and Genentech Technology Patents that are granted in Section 2.01 and Section 2.02 and the covenant that is granted in Section 2.03.</w:t>
      </w:r>
    </w:p>
    <w:p>
      <w:pPr>
        <w:spacing w:after="0" w:line="16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280910"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63" w:right="219" w:bottom="1440" w:gutter="0" w:footer="0" w:header="0"/>
        </w:sectPr>
      </w:pPr>
    </w:p>
    <w:bookmarkStart w:id="132" w:name="page133"/>
    <w:bookmarkEnd w:id="132"/>
    <w:p>
      <w:pPr>
        <w:jc w:val="both"/>
        <w:ind w:firstLine="243"/>
        <w:spacing w:after="0" w:line="311" w:lineRule="auto"/>
        <w:rPr>
          <w:sz w:val="20"/>
          <w:szCs w:val="20"/>
          <w:color w:val="auto"/>
        </w:rPr>
      </w:pPr>
      <w:r>
        <w:rPr>
          <w:rFonts w:ascii="Arial" w:cs="Arial" w:eastAsia="Arial" w:hAnsi="Arial"/>
          <w:sz w:val="14"/>
          <w:szCs w:val="14"/>
          <w:b w:val="1"/>
          <w:bCs w:val="1"/>
          <w:color w:val="auto"/>
        </w:rPr>
        <w:t xml:space="preserve">2.06. </w:t>
      </w:r>
      <w:r>
        <w:rPr>
          <w:rFonts w:ascii="Arial" w:cs="Arial" w:eastAsia="Arial" w:hAnsi="Arial"/>
          <w:sz w:val="14"/>
          <w:szCs w:val="14"/>
          <w:u w:val="single" w:color="auto"/>
          <w:color w:val="auto"/>
        </w:rPr>
        <w:t>Disputed Activities</w:t>
      </w:r>
      <w:r>
        <w:rPr>
          <w:rFonts w:ascii="Arial" w:cs="Arial" w:eastAsia="Arial" w:hAnsi="Arial"/>
          <w:sz w:val="14"/>
          <w:szCs w:val="14"/>
          <w:color w:val="auto"/>
        </w:rPr>
        <w:t>. The Parties acknowledge and agree, for the avoidance of doubt, that Licensee shall not be in breach of this Agreement by performing any activities, or</w:t>
      </w:r>
      <w:r>
        <w:rPr>
          <w:rFonts w:ascii="Arial" w:cs="Arial" w:eastAsia="Arial" w:hAnsi="Arial"/>
          <w:sz w:val="14"/>
          <w:szCs w:val="14"/>
          <w:b w:val="1"/>
          <w:bCs w:val="1"/>
          <w:color w:val="auto"/>
        </w:rPr>
        <w:t xml:space="preserve"> </w:t>
      </w:r>
      <w:r>
        <w:rPr>
          <w:rFonts w:ascii="Arial" w:cs="Arial" w:eastAsia="Arial" w:hAnsi="Arial"/>
          <w:sz w:val="14"/>
          <w:szCs w:val="14"/>
          <w:color w:val="auto"/>
        </w:rPr>
        <w:t>inducing or encouraging others to perform any activities, that Genentech contends are outside the scope of the licenses granted to Licensee pursuant to Sections 2.01 and 2.02 of this Agreement and/or the covenant granted to Licensee pursuant to Section 2.03; provided, however, that Genentech shall be entitled to seek any other relief that may be available at law and equity to redress such activities, including, but not limited to, filing an action against Licensee and/or such others for infringement of any patents.</w:t>
      </w:r>
    </w:p>
    <w:p>
      <w:pPr>
        <w:spacing w:after="0" w:line="161"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6"/>
          <w:szCs w:val="16"/>
          <w:b w:val="1"/>
          <w:bCs w:val="1"/>
          <w:color w:val="auto"/>
        </w:rPr>
        <w:t xml:space="preserve">2.07. </w:t>
      </w:r>
      <w:r>
        <w:rPr>
          <w:rFonts w:ascii="Arial" w:cs="Arial" w:eastAsia="Arial" w:hAnsi="Arial"/>
          <w:sz w:val="16"/>
          <w:szCs w:val="16"/>
          <w:u w:val="single" w:color="auto"/>
          <w:color w:val="auto"/>
        </w:rPr>
        <w:t>Acknowledgement</w:t>
      </w:r>
      <w:r>
        <w:rPr>
          <w:rFonts w:ascii="Arial" w:cs="Arial" w:eastAsia="Arial" w:hAnsi="Arial"/>
          <w:sz w:val="16"/>
          <w:szCs w:val="16"/>
          <w:color w:val="auto"/>
        </w:rPr>
        <w:t>, Licensee acknowledges that U.S. patents are publicly available documents and consequently Licensee had the ability prior to the Effective Date to</w:t>
      </w:r>
      <w:r>
        <w:rPr>
          <w:rFonts w:ascii="Arial" w:cs="Arial" w:eastAsia="Arial" w:hAnsi="Arial"/>
          <w:sz w:val="16"/>
          <w:szCs w:val="16"/>
          <w:b w:val="1"/>
          <w:bCs w:val="1"/>
          <w:color w:val="auto"/>
        </w:rPr>
        <w:t xml:space="preserve"> </w:t>
      </w:r>
      <w:r>
        <w:rPr>
          <w:rFonts w:ascii="Arial" w:cs="Arial" w:eastAsia="Arial" w:hAnsi="Arial"/>
          <w:sz w:val="16"/>
          <w:szCs w:val="16"/>
          <w:color w:val="auto"/>
        </w:rPr>
        <w:t>search for and identify those U.S. patents owned or co-owned by Genentech for which it believed a license was necessary or desirable to make, use, or sell Licensed Product in the Field in the Territory. Licensee further acknowledges that it could have sought from Genentech royalty-bearing licenses with respect to only one or several individual patents within the Licensed Patents and/or the Genentech Technology Patents prior to entering into this Agreement, but that for reasons of convenience, business certainty, and other considerations, Licensee agreed to enter into this Agreement and obtain the licenses herein with respect to all patents within the Licensed Patents and Genentech Technology Patents.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MILESTONE AND ROYALTIES OWED</w:t>
      </w:r>
    </w:p>
    <w:p>
      <w:pPr>
        <w:spacing w:after="0" w:line="225" w:lineRule="exact"/>
        <w:rPr>
          <w:sz w:val="20"/>
          <w:szCs w:val="20"/>
          <w:color w:val="auto"/>
        </w:rPr>
      </w:pPr>
    </w:p>
    <w:p>
      <w:pPr>
        <w:jc w:val="both"/>
        <w:ind w:firstLine="267"/>
        <w:spacing w:after="0" w:line="280" w:lineRule="auto"/>
        <w:rPr>
          <w:sz w:val="20"/>
          <w:szCs w:val="20"/>
          <w:color w:val="auto"/>
        </w:rPr>
      </w:pPr>
      <w:r>
        <w:rPr>
          <w:rFonts w:ascii="Arial" w:cs="Arial" w:eastAsia="Arial" w:hAnsi="Arial"/>
          <w:sz w:val="16"/>
          <w:szCs w:val="16"/>
          <w:b w:val="1"/>
          <w:bCs w:val="1"/>
          <w:color w:val="auto"/>
        </w:rPr>
        <w:t xml:space="preserve">3.01. </w:t>
      </w:r>
      <w:r>
        <w:rPr>
          <w:rFonts w:ascii="Arial" w:cs="Arial" w:eastAsia="Arial" w:hAnsi="Arial"/>
          <w:sz w:val="16"/>
          <w:szCs w:val="16"/>
          <w:u w:val="single" w:color="auto"/>
          <w:color w:val="auto"/>
        </w:rPr>
        <w:t>Sales Milestone</w:t>
      </w:r>
      <w:r>
        <w:rPr>
          <w:rFonts w:ascii="Arial" w:cs="Arial" w:eastAsia="Arial" w:hAnsi="Arial"/>
          <w:sz w:val="16"/>
          <w:szCs w:val="16"/>
          <w:color w:val="auto"/>
        </w:rPr>
        <w:t>. Within thirty (30) days following the date when total cumulative Net Sales of Licensed Product reach four hundred million U.S. dollars ($400,000,000),</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shall make a one-time, non-refundable, non-creditable payment of sixty million U.S. dollars ($60,000,000) to Genentech.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33" w:name="page134"/>
    <w:bookmarkEnd w:id="133"/>
    <w:p>
      <w:pPr>
        <w:ind w:left="240"/>
        <w:spacing w:after="0"/>
        <w:rPr>
          <w:sz w:val="20"/>
          <w:szCs w:val="20"/>
          <w:color w:val="auto"/>
        </w:rPr>
      </w:pPr>
      <w:r>
        <w:rPr>
          <w:rFonts w:ascii="Arial" w:cs="Arial" w:eastAsia="Arial" w:hAnsi="Arial"/>
          <w:sz w:val="16"/>
          <w:szCs w:val="16"/>
          <w:b w:val="1"/>
          <w:bCs w:val="1"/>
          <w:color w:val="auto"/>
        </w:rPr>
        <w:t xml:space="preserve">3.02. </w:t>
      </w:r>
      <w:r>
        <w:rPr>
          <w:rFonts w:ascii="Arial" w:cs="Arial" w:eastAsia="Arial" w:hAnsi="Arial"/>
          <w:sz w:val="16"/>
          <w:szCs w:val="16"/>
          <w:u w:val="single" w:color="auto"/>
          <w:color w:val="auto"/>
        </w:rPr>
        <w:t>Royalties</w:t>
      </w:r>
      <w:r>
        <w:rPr>
          <w:rFonts w:ascii="Arial" w:cs="Arial" w:eastAsia="Arial" w:hAnsi="Arial"/>
          <w:sz w:val="16"/>
          <w:szCs w:val="16"/>
          <w:color w:val="auto"/>
        </w:rPr>
        <w:t>. Licensee shall pay to Genentech the following royalties as a percentage of Net Sales of Licensed Product sold during the Royalty Term:</w:t>
      </w:r>
    </w:p>
    <w:p>
      <w:pPr>
        <w:spacing w:after="0" w:line="208" w:lineRule="exact"/>
        <w:rPr>
          <w:sz w:val="20"/>
          <w:szCs w:val="20"/>
          <w:color w:val="auto"/>
        </w:rPr>
      </w:pPr>
    </w:p>
    <w:p>
      <w:pPr>
        <w:ind w:left="680" w:hanging="440"/>
        <w:spacing w:after="0"/>
        <w:tabs>
          <w:tab w:leader="none" w:pos="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4.75% on total cumulative Net Sales of Licensed Product between four hundred million U.S. dollars ($400,000,000) and three billion U.S. dollars ($3,000,000,000); and</w:t>
      </w:r>
    </w:p>
    <w:p>
      <w:pPr>
        <w:spacing w:after="0" w:line="275" w:lineRule="exact"/>
        <w:rPr>
          <w:rFonts w:ascii="Arial" w:cs="Arial" w:eastAsia="Arial" w:hAnsi="Arial"/>
          <w:sz w:val="14"/>
          <w:szCs w:val="14"/>
          <w:color w:val="auto"/>
        </w:rPr>
      </w:pPr>
    </w:p>
    <w:p>
      <w:pPr>
        <w:ind w:left="680" w:hanging="440"/>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5.50% on total cumulative Net Sales of Licensed Product in excess of three billion U.S. dollars ($3,000,000,000).</w:t>
      </w:r>
    </w:p>
    <w:p>
      <w:pPr>
        <w:spacing w:after="0" w:line="204" w:lineRule="exact"/>
        <w:rPr>
          <w:sz w:val="20"/>
          <w:szCs w:val="20"/>
          <w:color w:val="auto"/>
        </w:rPr>
      </w:pPr>
    </w:p>
    <w:p>
      <w:pPr>
        <w:jc w:val="both"/>
        <w:ind w:right="20"/>
        <w:spacing w:after="0" w:line="309" w:lineRule="auto"/>
        <w:rPr>
          <w:sz w:val="20"/>
          <w:szCs w:val="20"/>
          <w:color w:val="auto"/>
        </w:rPr>
      </w:pPr>
      <w:r>
        <w:rPr>
          <w:rFonts w:ascii="Arial" w:cs="Arial" w:eastAsia="Arial" w:hAnsi="Arial"/>
          <w:sz w:val="14"/>
          <w:szCs w:val="14"/>
          <w:color w:val="auto"/>
        </w:rPr>
        <w:t>Royalties shall be paid within sixty (60) days after the end of each full or partial Calendar Quarter during the Royalty Term in which sales subject to royalties occur. For the purpose of calculating royalties under this Section 3.02, the sale of a unit of Licensed Product shall be deemed to occur on the date of the first invoice to a Third Party for the Licensed Product. Royalties owed under this Section 3.02 are in addition to the sales milestone owed under Section 3.01. The Parties acknowledge and agree, for the sake of clarity, that no royalties shall be owed on any Licensed Product that is sold after the last day of the Royalty Term (even if such Licensed Product was made during the Royalty Term).</w:t>
      </w:r>
    </w:p>
    <w:p>
      <w:pPr>
        <w:spacing w:after="0" w:line="162" w:lineRule="exact"/>
        <w:rPr>
          <w:sz w:val="20"/>
          <w:szCs w:val="20"/>
          <w:color w:val="auto"/>
        </w:rPr>
      </w:pPr>
    </w:p>
    <w:p>
      <w:pPr>
        <w:jc w:val="both"/>
        <w:ind w:right="20" w:firstLine="315"/>
        <w:spacing w:after="0" w:line="266" w:lineRule="auto"/>
        <w:rPr>
          <w:sz w:val="20"/>
          <w:szCs w:val="20"/>
          <w:color w:val="auto"/>
        </w:rPr>
      </w:pPr>
      <w:r>
        <w:rPr>
          <w:rFonts w:ascii="Arial" w:cs="Arial" w:eastAsia="Arial" w:hAnsi="Arial"/>
          <w:sz w:val="16"/>
          <w:szCs w:val="16"/>
          <w:b w:val="1"/>
          <w:bCs w:val="1"/>
          <w:color w:val="auto"/>
        </w:rPr>
        <w:t xml:space="preserve">3.03. </w:t>
      </w:r>
      <w:r>
        <w:rPr>
          <w:rFonts w:ascii="Arial" w:cs="Arial" w:eastAsia="Arial" w:hAnsi="Arial"/>
          <w:sz w:val="16"/>
          <w:szCs w:val="16"/>
          <w:u w:val="single" w:color="auto"/>
          <w:color w:val="auto"/>
        </w:rPr>
        <w:t>Sales To or Between Licensee, Affiliates, and Designees</w:t>
      </w:r>
      <w:r>
        <w:rPr>
          <w:rFonts w:ascii="Arial" w:cs="Arial" w:eastAsia="Arial" w:hAnsi="Arial"/>
          <w:sz w:val="16"/>
          <w:szCs w:val="16"/>
          <w:color w:val="auto"/>
        </w:rPr>
        <w:t>. No royalties shall be paid upon sales of Licensed Product to or between any of Licensee, its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Designees for further sale; provided, however, that in such cases royalties shall be paid based on the first sale of each unit of Licensed Product by Licensee, or any of its Affiliates or Designees, to a Third Party in an arm’s length transaction.</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5"/>
          <w:szCs w:val="15"/>
          <w:b w:val="1"/>
          <w:bCs w:val="1"/>
          <w:color w:val="auto"/>
        </w:rPr>
        <w:t xml:space="preserve">3.04. </w:t>
      </w:r>
      <w:r>
        <w:rPr>
          <w:rFonts w:ascii="Arial" w:cs="Arial" w:eastAsia="Arial" w:hAnsi="Arial"/>
          <w:sz w:val="15"/>
          <w:szCs w:val="15"/>
          <w:u w:val="single" w:color="auto"/>
          <w:color w:val="auto"/>
        </w:rPr>
        <w:t>No Other Consideration</w:t>
      </w:r>
      <w:r>
        <w:rPr>
          <w:rFonts w:ascii="Arial" w:cs="Arial" w:eastAsia="Arial" w:hAnsi="Arial"/>
          <w:sz w:val="15"/>
          <w:szCs w:val="15"/>
          <w:color w:val="auto"/>
        </w:rPr>
        <w:t>. Without the prior written consent of Genentech, Licensee and its Affiliates and Designees shall not solicit or accept any consideration for the sale</w:t>
      </w:r>
      <w:r>
        <w:rPr>
          <w:rFonts w:ascii="Arial" w:cs="Arial" w:eastAsia="Arial" w:hAnsi="Arial"/>
          <w:sz w:val="15"/>
          <w:szCs w:val="15"/>
          <w:b w:val="1"/>
          <w:bCs w:val="1"/>
          <w:color w:val="auto"/>
        </w:rPr>
        <w:t xml:space="preserve"> </w:t>
      </w:r>
      <w:r>
        <w:rPr>
          <w:rFonts w:ascii="Arial" w:cs="Arial" w:eastAsia="Arial" w:hAnsi="Arial"/>
          <w:sz w:val="15"/>
          <w:szCs w:val="15"/>
          <w:color w:val="auto"/>
        </w:rPr>
        <w:t>of Licensed Product other than as will be accurately reflected in Net Sales; provided, however, that the supply or other disposition of Licensed Product, without charge, in the Field in the Territory (i) as samples, (ii) as replacement for damaged or otherwise unusable Licensed Product (provided that such replacement is not with respect to damaged or otherwise unusable Licensed Product for which a deduction from Net Sales has or will be taken under Section 1.15); (iii) for use in clinical studies conducted in the Territory to obtain U.S. regulatory approval(s) or for post-marketing surveillance purposes in the U.S. (also referred to as Phase IV clinical trials); or (iv) for use in any tests or studies reasonably necessary to comply with any applicable U.S. law or U.S. regulation, or any request by a U.S. regulatory or U.S. governmental authority, in each of cases (i), (ii), (iii), and (iv) in an amount that is commercially reasonable, shall not be included in the computation of Net Sales.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auto"/>
        </w:rPr>
        <w:t>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RECORDS, REPORTS AND PAYMENTS</w:t>
      </w:r>
    </w:p>
    <w:p>
      <w:pPr>
        <w:spacing w:after="0" w:line="225" w:lineRule="exact"/>
        <w:rPr>
          <w:sz w:val="20"/>
          <w:szCs w:val="20"/>
          <w:color w:val="auto"/>
        </w:rPr>
      </w:pPr>
    </w:p>
    <w:p>
      <w:pPr>
        <w:jc w:val="both"/>
        <w:ind w:firstLine="267"/>
        <w:spacing w:after="0" w:line="293" w:lineRule="auto"/>
        <w:rPr>
          <w:sz w:val="20"/>
          <w:szCs w:val="20"/>
          <w:color w:val="auto"/>
        </w:rPr>
      </w:pPr>
      <w:r>
        <w:rPr>
          <w:rFonts w:ascii="Arial" w:cs="Arial" w:eastAsia="Arial" w:hAnsi="Arial"/>
          <w:sz w:val="14"/>
          <w:szCs w:val="14"/>
          <w:b w:val="1"/>
          <w:bCs w:val="1"/>
          <w:color w:val="auto"/>
        </w:rPr>
        <w:t xml:space="preserve">4.01. </w:t>
      </w:r>
      <w:r>
        <w:rPr>
          <w:rFonts w:ascii="Arial" w:cs="Arial" w:eastAsia="Arial" w:hAnsi="Arial"/>
          <w:sz w:val="14"/>
          <w:szCs w:val="14"/>
          <w:u w:val="single" w:color="auto"/>
          <w:color w:val="auto"/>
        </w:rPr>
        <w:t>Records Retention</w:t>
      </w:r>
      <w:r>
        <w:rPr>
          <w:rFonts w:ascii="Arial" w:cs="Arial" w:eastAsia="Arial" w:hAnsi="Arial"/>
          <w:sz w:val="14"/>
          <w:szCs w:val="14"/>
          <w:color w:val="auto"/>
        </w:rPr>
        <w:t>. Licensee and its Affiliates shall keep true, complete, and accurate records of all sales of all Licensed Product in the Field in the Territory in sufficient</w:t>
      </w:r>
      <w:r>
        <w:rPr>
          <w:rFonts w:ascii="Arial" w:cs="Arial" w:eastAsia="Arial" w:hAnsi="Arial"/>
          <w:sz w:val="14"/>
          <w:szCs w:val="14"/>
          <w:b w:val="1"/>
          <w:bCs w:val="1"/>
          <w:color w:val="auto"/>
        </w:rPr>
        <w:t xml:space="preserve"> </w:t>
      </w:r>
      <w:r>
        <w:rPr>
          <w:rFonts w:ascii="Arial" w:cs="Arial" w:eastAsia="Arial" w:hAnsi="Arial"/>
          <w:sz w:val="14"/>
          <w:szCs w:val="14"/>
          <w:color w:val="auto"/>
        </w:rPr>
        <w:t>detail to permit Genentech to confirm the accuracy of Licensee’s Net Sales calculations and royalty calculations, including for sales by a Designee. At Genentech’s request and expense, Licensee shall permit not more than once in a twelve (12) month period an independent certified public accountant appointed by Genentech and approved by Licensee (such approval not to be unreasonably withheld or delayed) to examine at a mutually agreeable location in New York, NY or another city as to which the Parties may mutually agree, upon reasonable notice and at reasonable times, such records to the extent necessary for Genentech to confirm the accuracy of Licensee’s Net Sales calculations (including the details of all deductions taken from Gross Sales to arrive at Net Sales) and royalty calculations. Licensee shall be responsible for providing the appointed accountant access at such location to such records that in the ordinary course of business are in the possession, custody, or control of Licensee and its Affiliates. In addition, Licensee shall (a) require its Designees to keep and maintain true, complete, and accurate records of all Net Sales and the calculation of royalties due on such Net Sales for at least three (3) years from the Calendar Quarter in which such Net Sales are made, ensure compliance with such obligation by its Designees, and require quarterly written reports to Licensee of all Net Sales and all deductions therefrom, and (b) use commercially reasonable efforts to cause its Designees to make available for inspection by the appointed accountant, at a mutually convenient location in the United States, true, complete, and accurate records of Designee’s sales of all Licensed Product in the Field in the Territory in sufficient detail to permit Genentech to confirm the accuracy of Licensee’s Net Sales calculations and royalty calculations based on such Designee’s sales. The appointed accountant shall enter into a confidentiality agreement with Licensee upon terms comparable to those in Section 8.13, which confidentiality agreement shall continue to apply to any information provided to such accountant for the examination unless and until such information (i) becomes generally available to the public other than through any breach of the confidentiality agreement by such accountant or (ii) becomes known to such accountant other than from or through a Person having an obligation to Licensee not to disclose such information. Such examination of the records of Licensee, its Affiliates and Designees shall be limited to a period of time no more than three (3) years immediately preceding the request for examination. The report of any such examination shall be made simultaneously to Genentech and Licensee and shall include a statement of the amount, if any, by which Licensee has underpaid or overpaid its royalties, and a description of the nature and basis of the underpayment or overpayment. In the event of an underpayment of royalties, Licensee shall promptly pay the deficiency plus interest pursuant to Section 4.05 to Genentech; and if royalties to Genentech were underpaid by more than five (5) percent, then Licensee shall additionally reimburse Genentech for its reasonable costs incurred in examining such records.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35" w:name="page136"/>
    <w:bookmarkEnd w:id="135"/>
    <w:p>
      <w:pPr>
        <w:jc w:val="both"/>
        <w:ind w:right="20" w:firstLine="267"/>
        <w:spacing w:after="0" w:line="322" w:lineRule="auto"/>
        <w:rPr>
          <w:sz w:val="20"/>
          <w:szCs w:val="20"/>
          <w:color w:val="auto"/>
        </w:rPr>
      </w:pPr>
      <w:r>
        <w:rPr>
          <w:rFonts w:ascii="Arial" w:cs="Arial" w:eastAsia="Arial" w:hAnsi="Arial"/>
          <w:sz w:val="14"/>
          <w:szCs w:val="14"/>
          <w:b w:val="1"/>
          <w:bCs w:val="1"/>
          <w:color w:val="auto"/>
        </w:rPr>
        <w:t xml:space="preserve">4.02. </w:t>
      </w:r>
      <w:r>
        <w:rPr>
          <w:rFonts w:ascii="Arial" w:cs="Arial" w:eastAsia="Arial" w:hAnsi="Arial"/>
          <w:sz w:val="14"/>
          <w:szCs w:val="14"/>
          <w:u w:val="single" w:color="auto"/>
          <w:color w:val="auto"/>
        </w:rPr>
        <w:t>Reports</w:t>
      </w:r>
      <w:r>
        <w:rPr>
          <w:rFonts w:ascii="Arial" w:cs="Arial" w:eastAsia="Arial" w:hAnsi="Arial"/>
          <w:sz w:val="14"/>
          <w:szCs w:val="14"/>
          <w:color w:val="auto"/>
        </w:rPr>
        <w:t>. Within sixty (60) days after the end of each full or partial Calendar Quarter during the Royalty Term, Licensee shall furnish to Genentech a written report of all</w:t>
      </w:r>
      <w:r>
        <w:rPr>
          <w:rFonts w:ascii="Arial" w:cs="Arial" w:eastAsia="Arial" w:hAnsi="Arial"/>
          <w:sz w:val="14"/>
          <w:szCs w:val="14"/>
          <w:b w:val="1"/>
          <w:bCs w:val="1"/>
          <w:color w:val="auto"/>
        </w:rPr>
        <w:t xml:space="preserve"> </w:t>
      </w:r>
      <w:r>
        <w:rPr>
          <w:rFonts w:ascii="Arial" w:cs="Arial" w:eastAsia="Arial" w:hAnsi="Arial"/>
          <w:sz w:val="14"/>
          <w:szCs w:val="14"/>
          <w:color w:val="auto"/>
        </w:rPr>
        <w:t>sales of all Licensed Product during such Calendar Quarter. Such report shall separately state with respect to such sales (i) the total Gross Sales, (ii) the Net Sales, and (iii) for all Net Sales subject to royalties pursuant to Section 3.02, the amount of royalties owed. Genentech shall maintain this report as confidential pursuant to Section 8.13.</w:t>
      </w:r>
    </w:p>
    <w:p>
      <w:pPr>
        <w:spacing w:after="0" w:line="153" w:lineRule="exact"/>
        <w:rPr>
          <w:sz w:val="20"/>
          <w:szCs w:val="20"/>
          <w:color w:val="auto"/>
        </w:rPr>
      </w:pPr>
    </w:p>
    <w:p>
      <w:pPr>
        <w:jc w:val="both"/>
        <w:ind w:right="20" w:firstLine="255"/>
        <w:spacing w:after="0" w:line="266" w:lineRule="auto"/>
        <w:rPr>
          <w:sz w:val="20"/>
          <w:szCs w:val="20"/>
          <w:color w:val="auto"/>
        </w:rPr>
      </w:pPr>
      <w:r>
        <w:rPr>
          <w:rFonts w:ascii="Arial" w:cs="Arial" w:eastAsia="Arial" w:hAnsi="Arial"/>
          <w:sz w:val="16"/>
          <w:szCs w:val="16"/>
          <w:b w:val="1"/>
          <w:bCs w:val="1"/>
          <w:color w:val="auto"/>
        </w:rPr>
        <w:t xml:space="preserve">4.03. </w:t>
      </w:r>
      <w:r>
        <w:rPr>
          <w:rFonts w:ascii="Arial" w:cs="Arial" w:eastAsia="Arial" w:hAnsi="Arial"/>
          <w:sz w:val="16"/>
          <w:szCs w:val="16"/>
          <w:u w:val="single" w:color="auto"/>
          <w:color w:val="auto"/>
        </w:rPr>
        <w:t>Payments</w:t>
      </w:r>
      <w:r>
        <w:rPr>
          <w:rFonts w:ascii="Arial" w:cs="Arial" w:eastAsia="Arial" w:hAnsi="Arial"/>
          <w:sz w:val="16"/>
          <w:szCs w:val="16"/>
          <w:color w:val="auto"/>
        </w:rPr>
        <w:t>. The sales milestone (Section 3.01), royalties (Section 3.02), and any other amounts owed by Licensee to Genentech under this Agreement shall be paid in U.S.</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and, unless otherwise agreed to by Genentech in writing, shall be made by wire transfer of immediately available funds to such bank account as Genentech may from time to time designate in writing. All payments shall be free and clear of any taxes, duties, levies, fees or charges.</w:t>
      </w:r>
    </w:p>
    <w:p>
      <w:pPr>
        <w:spacing w:after="0" w:line="189" w:lineRule="exact"/>
        <w:rPr>
          <w:sz w:val="20"/>
          <w:szCs w:val="20"/>
          <w:color w:val="auto"/>
        </w:rPr>
      </w:pPr>
    </w:p>
    <w:p>
      <w:pPr>
        <w:jc w:val="both"/>
        <w:ind w:right="20" w:firstLine="267"/>
        <w:spacing w:after="0" w:line="262" w:lineRule="auto"/>
        <w:rPr>
          <w:sz w:val="20"/>
          <w:szCs w:val="20"/>
          <w:color w:val="auto"/>
        </w:rPr>
      </w:pPr>
      <w:r>
        <w:rPr>
          <w:rFonts w:ascii="Arial" w:cs="Arial" w:eastAsia="Arial" w:hAnsi="Arial"/>
          <w:sz w:val="16"/>
          <w:szCs w:val="16"/>
          <w:b w:val="1"/>
          <w:bCs w:val="1"/>
          <w:color w:val="auto"/>
        </w:rPr>
        <w:t xml:space="preserve">4.04. </w:t>
      </w:r>
      <w:r>
        <w:rPr>
          <w:rFonts w:ascii="Arial" w:cs="Arial" w:eastAsia="Arial" w:hAnsi="Arial"/>
          <w:sz w:val="16"/>
          <w:szCs w:val="16"/>
          <w:u w:val="single" w:color="auto"/>
          <w:color w:val="auto"/>
        </w:rPr>
        <w:t>Finality</w:t>
      </w:r>
      <w:r>
        <w:rPr>
          <w:rFonts w:ascii="Arial" w:cs="Arial" w:eastAsia="Arial" w:hAnsi="Arial"/>
          <w:sz w:val="16"/>
          <w:szCs w:val="16"/>
          <w:color w:val="auto"/>
        </w:rPr>
        <w:t>. Except in the event of Genentech’s material breach of Section 2.01, 2.02, and/or 2.03, as established in an arbitration proceeding conducted pursuant to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8.10, Licensee hereby releases and forever waives any right to challenge or dispute any amounts paid or owed on Licensed Product pursuant to the terms and conditions of this Agreement after the Effective Date, except to the extent the Parties have a disagreement with respect to the calculation of Net Sales or the timing of the royalty payments owed on Net Sales of Licensed Product.</w:t>
      </w:r>
    </w:p>
    <w:p>
      <w:pPr>
        <w:spacing w:after="0" w:line="192" w:lineRule="exact"/>
        <w:rPr>
          <w:sz w:val="20"/>
          <w:szCs w:val="20"/>
          <w:color w:val="auto"/>
        </w:rPr>
      </w:pPr>
    </w:p>
    <w:p>
      <w:pPr>
        <w:jc w:val="both"/>
        <w:ind w:right="20" w:firstLine="243"/>
        <w:spacing w:after="0" w:line="280" w:lineRule="auto"/>
        <w:rPr>
          <w:sz w:val="20"/>
          <w:szCs w:val="20"/>
          <w:color w:val="auto"/>
        </w:rPr>
      </w:pPr>
      <w:r>
        <w:rPr>
          <w:rFonts w:ascii="Arial" w:cs="Arial" w:eastAsia="Arial" w:hAnsi="Arial"/>
          <w:sz w:val="16"/>
          <w:szCs w:val="16"/>
          <w:b w:val="1"/>
          <w:bCs w:val="1"/>
          <w:color w:val="auto"/>
        </w:rPr>
        <w:t xml:space="preserve">4.05. </w:t>
      </w:r>
      <w:r>
        <w:rPr>
          <w:rFonts w:ascii="Arial" w:cs="Arial" w:eastAsia="Arial" w:hAnsi="Arial"/>
          <w:sz w:val="16"/>
          <w:szCs w:val="16"/>
          <w:u w:val="single" w:color="auto"/>
          <w:color w:val="auto"/>
        </w:rPr>
        <w:t>Interest</w:t>
      </w:r>
      <w:r>
        <w:rPr>
          <w:rFonts w:ascii="Arial" w:cs="Arial" w:eastAsia="Arial" w:hAnsi="Arial"/>
          <w:sz w:val="16"/>
          <w:szCs w:val="16"/>
          <w:color w:val="auto"/>
        </w:rPr>
        <w:t>. Any payment not made when due shall bear interest, calculated from the date such payment was due, at the annual rate of one percent (1%) over the prime rate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 as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AND WARRANTIES; COVENANTS</w:t>
      </w:r>
    </w:p>
    <w:p>
      <w:pPr>
        <w:spacing w:after="0" w:line="225" w:lineRule="exact"/>
        <w:rPr>
          <w:sz w:val="20"/>
          <w:szCs w:val="20"/>
          <w:color w:val="auto"/>
        </w:rPr>
      </w:pPr>
    </w:p>
    <w:p>
      <w:pPr>
        <w:jc w:val="both"/>
        <w:ind w:right="20" w:firstLine="315"/>
        <w:spacing w:after="0" w:line="280"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color w:val="auto"/>
        </w:rPr>
        <w:t>Each Party represents and warrants that it has been represented by independent legal counsel of its own choosing in connection with this Agreement, and that it had</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opportunity to consult with such counsel prior to the execution of this Agreement.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 xml:space="preserve">5.02. </w:t>
      </w:r>
      <w:r>
        <w:rPr>
          <w:rFonts w:ascii="Arial" w:cs="Arial" w:eastAsia="Arial" w:hAnsi="Arial"/>
          <w:sz w:val="14"/>
          <w:szCs w:val="14"/>
          <w:color w:val="auto"/>
        </w:rPr>
        <w:t>Genentech represents and warrants that, as of the Effective Date, it is the owner of the Licensed Patents, and that it has the right to grant the licenses set forth in Article II.</w:t>
      </w:r>
    </w:p>
    <w:p>
      <w:pPr>
        <w:spacing w:after="0" w:line="25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5"/>
          <w:szCs w:val="15"/>
          <w:b w:val="1"/>
          <w:bCs w:val="1"/>
          <w:color w:val="auto"/>
        </w:rPr>
        <w:t xml:space="preserve">5.03. </w:t>
      </w:r>
      <w:r>
        <w:rPr>
          <w:rFonts w:ascii="Arial" w:cs="Arial" w:eastAsia="Arial" w:hAnsi="Arial"/>
          <w:sz w:val="15"/>
          <w:szCs w:val="15"/>
          <w:color w:val="auto"/>
        </w:rPr>
        <w:t>Genentech represents that, to the best of its knowledge as of the Effective Date, it did not within the six months preceding the Effective Date assign to any of its Affiliates</w:t>
      </w:r>
      <w:r>
        <w:rPr>
          <w:rFonts w:ascii="Arial" w:cs="Arial" w:eastAsia="Arial" w:hAnsi="Arial"/>
          <w:sz w:val="15"/>
          <w:szCs w:val="15"/>
          <w:b w:val="1"/>
          <w:bCs w:val="1"/>
          <w:color w:val="auto"/>
        </w:rPr>
        <w:t xml:space="preserve"> </w:t>
      </w:r>
      <w:r>
        <w:rPr>
          <w:rFonts w:ascii="Arial" w:cs="Arial" w:eastAsia="Arial" w:hAnsi="Arial"/>
          <w:sz w:val="15"/>
          <w:szCs w:val="15"/>
          <w:color w:val="auto"/>
        </w:rPr>
        <w:t>or any Third Party ownership of, or grant to any of its Affiliates or any Third Party an exclusive license under, any U.S. patent that (i) would be infringed by Licensee’s practice of the license granted to it in Section 2.01, and (ii) but for such assignment or exclusive license, would have been within the definition of Genentech Technology Patents as of the Effective Date. As used in this paragraph, “knowledge” means actual knowledge following reasonable inquiry within Genentech’s Legal Department based on whatever facts Genentech has regarding, for example, the structure, composition, formulation, and manufacture of the Licensed Product.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36" w:name="page137"/>
    <w:bookmarkEnd w:id="136"/>
    <w:p>
      <w:pPr>
        <w:jc w:val="both"/>
        <w:ind w:firstLine="255"/>
        <w:spacing w:after="0" w:line="262" w:lineRule="auto"/>
        <w:rPr>
          <w:sz w:val="20"/>
          <w:szCs w:val="20"/>
          <w:color w:val="auto"/>
        </w:rPr>
      </w:pPr>
      <w:r>
        <w:rPr>
          <w:rFonts w:ascii="Arial" w:cs="Arial" w:eastAsia="Arial" w:hAnsi="Arial"/>
          <w:sz w:val="16"/>
          <w:szCs w:val="16"/>
          <w:b w:val="1"/>
          <w:bCs w:val="1"/>
          <w:color w:val="auto"/>
        </w:rPr>
        <w:t xml:space="preserve">5.04. </w:t>
      </w:r>
      <w:r>
        <w:rPr>
          <w:rFonts w:ascii="Arial" w:cs="Arial" w:eastAsia="Arial" w:hAnsi="Arial"/>
          <w:sz w:val="16"/>
          <w:szCs w:val="16"/>
          <w:color w:val="auto"/>
        </w:rPr>
        <w:t>Genentech represents that, to the best of its knowledge as of the Effective Date, Licensee’s practice of the license granted to it in Section 2.01 would not infringe any U.S.</w:t>
      </w:r>
      <w:r>
        <w:rPr>
          <w:rFonts w:ascii="Arial" w:cs="Arial" w:eastAsia="Arial" w:hAnsi="Arial"/>
          <w:sz w:val="16"/>
          <w:szCs w:val="16"/>
          <w:b w:val="1"/>
          <w:bCs w:val="1"/>
          <w:color w:val="auto"/>
        </w:rPr>
        <w:t xml:space="preserve"> </w:t>
      </w:r>
      <w:r>
        <w:rPr>
          <w:rFonts w:ascii="Arial" w:cs="Arial" w:eastAsia="Arial" w:hAnsi="Arial"/>
          <w:sz w:val="16"/>
          <w:szCs w:val="16"/>
          <w:color w:val="auto"/>
        </w:rPr>
        <w:t>patent within the Encumbered Patents issued and existing as of the Effective Date. As used in this paragraph, “knowledge” means actual knowledge following reasonable inquiry within Genentech’s Legal Department based on whatever facts Genentech has regarding, for example, the structure, composition, formulation, and manufacture of the Licensed Product.</w:t>
      </w:r>
    </w:p>
    <w:p>
      <w:pPr>
        <w:spacing w:after="0" w:line="192" w:lineRule="exact"/>
        <w:rPr>
          <w:sz w:val="20"/>
          <w:szCs w:val="20"/>
          <w:color w:val="auto"/>
        </w:rPr>
      </w:pPr>
    </w:p>
    <w:p>
      <w:pPr>
        <w:jc w:val="both"/>
        <w:ind w:right="20" w:firstLine="291"/>
        <w:spacing w:after="0" w:line="322" w:lineRule="auto"/>
        <w:rPr>
          <w:sz w:val="20"/>
          <w:szCs w:val="20"/>
          <w:color w:val="auto"/>
        </w:rPr>
      </w:pPr>
      <w:r>
        <w:rPr>
          <w:rFonts w:ascii="Arial" w:cs="Arial" w:eastAsia="Arial" w:hAnsi="Arial"/>
          <w:sz w:val="14"/>
          <w:szCs w:val="14"/>
          <w:b w:val="1"/>
          <w:bCs w:val="1"/>
          <w:color w:val="auto"/>
        </w:rPr>
        <w:t xml:space="preserve">5.05. </w:t>
      </w:r>
      <w:r>
        <w:rPr>
          <w:rFonts w:ascii="Arial" w:cs="Arial" w:eastAsia="Arial" w:hAnsi="Arial"/>
          <w:sz w:val="14"/>
          <w:szCs w:val="14"/>
          <w:color w:val="auto"/>
        </w:rPr>
        <w:t>Licensee represents and warrants that it has obtained (or will obtain) the agreement of its Affiliates, Designees, and any Person to whom Licensee discloses any of the</w:t>
      </w:r>
      <w:r>
        <w:rPr>
          <w:rFonts w:ascii="Arial" w:cs="Arial" w:eastAsia="Arial" w:hAnsi="Arial"/>
          <w:sz w:val="14"/>
          <w:szCs w:val="14"/>
          <w:b w:val="1"/>
          <w:bCs w:val="1"/>
          <w:color w:val="auto"/>
        </w:rPr>
        <w:t xml:space="preserve"> </w:t>
      </w:r>
      <w:r>
        <w:rPr>
          <w:rFonts w:ascii="Arial" w:cs="Arial" w:eastAsia="Arial" w:hAnsi="Arial"/>
          <w:sz w:val="14"/>
          <w:szCs w:val="14"/>
          <w:color w:val="auto"/>
        </w:rPr>
        <w:t>terms of this Agreement under and in accordance with Section 8.13(iii), to be bound by Sections 8.08 and 8.15. Genentech represents and warrants that it will obtain the agreement of any Third Party to which Genentech discloses any of the terms of this Agreement under and in accordance with Section 8.13(iv) to be bound by Section 8.15.</w:t>
      </w:r>
    </w:p>
    <w:p>
      <w:pPr>
        <w:spacing w:after="0" w:line="153" w:lineRule="exact"/>
        <w:rPr>
          <w:sz w:val="20"/>
          <w:szCs w:val="20"/>
          <w:color w:val="auto"/>
        </w:rPr>
      </w:pPr>
    </w:p>
    <w:p>
      <w:pPr>
        <w:jc w:val="both"/>
        <w:ind w:firstLine="303"/>
        <w:spacing w:after="0" w:line="266"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color w:val="auto"/>
        </w:rPr>
        <w:t>Except in the event of Genentech’s material breach of Section 2.01, 2.02, and/or 2.03, as established in an arbitration proceeding conducted pursuant to Section 8.10,</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covenants that during the Term of this Agreement it will not fail or refuse to pay to Genentech the sales milestone (Section 3.01) and royalties (Section 3.02) owed with respect to Licensed Product pursuant to the terms and conditions of this Agreement.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5.07. </w:t>
      </w:r>
      <w:r>
        <w:rPr>
          <w:rFonts w:ascii="Arial" w:cs="Arial" w:eastAsia="Arial" w:hAnsi="Arial"/>
          <w:sz w:val="16"/>
          <w:szCs w:val="16"/>
          <w:color w:val="auto"/>
        </w:rPr>
        <w:t>Nothing in this Agreement is or shall be construed as:</w:t>
      </w:r>
    </w:p>
    <w:p>
      <w:pPr>
        <w:spacing w:after="0" w:line="208" w:lineRule="exact"/>
        <w:rPr>
          <w:sz w:val="20"/>
          <w:szCs w:val="20"/>
          <w:color w:val="auto"/>
        </w:rPr>
      </w:pPr>
    </w:p>
    <w:p>
      <w:pPr>
        <w:ind w:left="720" w:hanging="480"/>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warranty or representation by Genentech as to the scope of any claim or patent or patent application within the Licensed Patents or the Genentech Technology Patents;</w:t>
      </w:r>
    </w:p>
    <w:p>
      <w:pPr>
        <w:spacing w:after="0" w:line="275" w:lineRule="exact"/>
        <w:rPr>
          <w:rFonts w:ascii="Arial" w:cs="Arial" w:eastAsia="Arial" w:hAnsi="Arial"/>
          <w:sz w:val="14"/>
          <w:szCs w:val="14"/>
          <w:color w:val="auto"/>
        </w:rPr>
      </w:pPr>
    </w:p>
    <w:p>
      <w:pPr>
        <w:ind w:left="720" w:right="20" w:hanging="480"/>
        <w:spacing w:after="0" w:line="274"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warranty or representation by Genentech that anything made, used, offered for sale, sold, or otherwise disposed of under any license granted in this Agreement is or will be free from infringement of any patent rights or other intellectual property right of any Third Party;</w:t>
      </w:r>
    </w:p>
    <w:p>
      <w:pPr>
        <w:spacing w:after="0" w:line="186" w:lineRule="exact"/>
        <w:rPr>
          <w:rFonts w:ascii="Arial" w:cs="Arial" w:eastAsia="Arial" w:hAnsi="Arial"/>
          <w:sz w:val="16"/>
          <w:szCs w:val="16"/>
          <w:color w:val="auto"/>
        </w:rPr>
      </w:pPr>
    </w:p>
    <w:p>
      <w:pPr>
        <w:ind w:left="720" w:right="20" w:hanging="480"/>
        <w:spacing w:after="0" w:line="274"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grant by Genentech, whether by implication, estoppel, or otherwise, of any right or license under any non-U.S. patent or any extension thereof, including but not limited to [**************];</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137" w:name="page138"/>
    <w:bookmarkEnd w:id="137"/>
    <w:p>
      <w:pPr>
        <w:ind w:left="720" w:hanging="480"/>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grant by Genentech, whether by implication, estoppel, or otherwise, of any licenses other than those expressly granted under Article II; or</w:t>
      </w:r>
    </w:p>
    <w:p>
      <w:pPr>
        <w:spacing w:after="0" w:line="228" w:lineRule="exact"/>
        <w:rPr>
          <w:rFonts w:ascii="Arial" w:cs="Arial" w:eastAsia="Arial" w:hAnsi="Arial"/>
          <w:sz w:val="16"/>
          <w:szCs w:val="16"/>
          <w:color w:val="auto"/>
        </w:rPr>
      </w:pPr>
    </w:p>
    <w:p>
      <w:pPr>
        <w:ind w:left="720" w:right="20" w:hanging="480"/>
        <w:spacing w:after="0" w:line="274"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obligation on the part of Genentech to bring or prosecute actions or suits against any Third Party for infringement of any of the Licensed Patents or the Genentech Technology Patents.</w:t>
      </w:r>
    </w:p>
    <w:p>
      <w:pPr>
        <w:spacing w:after="0" w:line="18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6"/>
          <w:szCs w:val="16"/>
          <w:b w:val="1"/>
          <w:bCs w:val="1"/>
          <w:color w:val="auto"/>
        </w:rPr>
        <w:t xml:space="preserve">5.08. </w:t>
      </w:r>
      <w:r>
        <w:rPr>
          <w:rFonts w:ascii="Arial" w:cs="Arial" w:eastAsia="Arial" w:hAnsi="Arial"/>
          <w:sz w:val="16"/>
          <w:szCs w:val="16"/>
          <w:color w:val="auto"/>
        </w:rPr>
        <w:t>EXCEPT AS OTHERWISE SET FORTH IN THIS AGREEMENT, NO PARTY MAKES ANY REPRESENTATIONS OR WARRANTIES, EXPRESS OR IMPLIED,</w:t>
      </w:r>
      <w:r>
        <w:rPr>
          <w:rFonts w:ascii="Arial" w:cs="Arial" w:eastAsia="Arial" w:hAnsi="Arial"/>
          <w:sz w:val="16"/>
          <w:szCs w:val="16"/>
          <w:b w:val="1"/>
          <w:bCs w:val="1"/>
          <w:color w:val="auto"/>
        </w:rPr>
        <w:t xml:space="preserve"> </w:t>
      </w:r>
      <w:r>
        <w:rPr>
          <w:rFonts w:ascii="Arial" w:cs="Arial" w:eastAsia="Arial" w:hAnsi="Arial"/>
          <w:sz w:val="16"/>
          <w:szCs w:val="16"/>
          <w:color w:val="auto"/>
        </w:rPr>
        <w:t>EITHER IN FACT OR BY OPERATION OF LAW, BY STATUTE OR OTHERWISE, AND EACH PARTY SPECIFICALLY DISCLAIMS ANY EXPRESS OR IMPLIED REPRESENTATION OR WARRANTY WHATSOEVER. THE PARTIES SPECIFICALLY DISCLAIM ANY EXPRESS OR IMPLIED WARRANTY OF MERCHANTABILITY, FITNESS FOR A PARTICULAR PURPOSE, OR PATENTABILITY, VALIDITY, OR ENFORCEABILITY OF THE LICENSED PATENTS OR THE GENENTECH TECHNOLOGY PATENTS.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INDEMNIFICATION</w:t>
      </w:r>
    </w:p>
    <w:p>
      <w:pPr>
        <w:spacing w:after="0" w:line="225" w:lineRule="exact"/>
        <w:rPr>
          <w:sz w:val="20"/>
          <w:szCs w:val="20"/>
          <w:color w:val="auto"/>
        </w:rPr>
      </w:pPr>
    </w:p>
    <w:p>
      <w:pPr>
        <w:jc w:val="both"/>
        <w:ind w:firstLine="255"/>
        <w:spacing w:after="0" w:line="298" w:lineRule="auto"/>
        <w:rPr>
          <w:sz w:val="20"/>
          <w:szCs w:val="20"/>
          <w:color w:val="auto"/>
        </w:rPr>
      </w:pPr>
      <w:r>
        <w:rPr>
          <w:rFonts w:ascii="Arial" w:cs="Arial" w:eastAsia="Arial" w:hAnsi="Arial"/>
          <w:sz w:val="14"/>
          <w:szCs w:val="14"/>
          <w:b w:val="1"/>
          <w:bCs w:val="1"/>
          <w:color w:val="auto"/>
        </w:rPr>
        <w:t xml:space="preserve">6.01. </w:t>
      </w:r>
      <w:r>
        <w:rPr>
          <w:rFonts w:ascii="Arial" w:cs="Arial" w:eastAsia="Arial" w:hAnsi="Arial"/>
          <w:sz w:val="14"/>
          <w:szCs w:val="14"/>
          <w:u w:val="single" w:color="auto"/>
          <w:color w:val="auto"/>
        </w:rPr>
        <w:t>Indemnification by Licensee</w:t>
      </w:r>
      <w:r>
        <w:rPr>
          <w:rFonts w:ascii="Arial" w:cs="Arial" w:eastAsia="Arial" w:hAnsi="Arial"/>
          <w:sz w:val="14"/>
          <w:szCs w:val="14"/>
          <w:color w:val="auto"/>
        </w:rPr>
        <w:t>. Licensee shall indemnify, defend and hold harmless Genentech, its Affiliates, and each of their respective directors, officers, employees and</w:t>
      </w:r>
      <w:r>
        <w:rPr>
          <w:rFonts w:ascii="Arial" w:cs="Arial" w:eastAsia="Arial" w:hAnsi="Arial"/>
          <w:sz w:val="14"/>
          <w:szCs w:val="14"/>
          <w:b w:val="1"/>
          <w:bCs w:val="1"/>
          <w:color w:val="auto"/>
        </w:rPr>
        <w:t xml:space="preserve"> </w:t>
      </w:r>
      <w:r>
        <w:rPr>
          <w:rFonts w:ascii="Arial" w:cs="Arial" w:eastAsia="Arial" w:hAnsi="Arial"/>
          <w:sz w:val="14"/>
          <w:szCs w:val="14"/>
          <w:color w:val="auto"/>
        </w:rPr>
        <w:t>agents from and against any and all liabilities, claims, demands, expenses (including, without limitation, reasonable attorneys’ and professional fees and other costs of litigation), losses or causes of action (each, a “Liability”) arising out of or relating to a claim by a Third Party in any way based on (i) the possession, manufacture, use, sale or other disposition of Licensed Product, whether based on breach of warranty, negligence, product liability or otherwise, or (ii) the exercise of any right granted to Licensee or its Affiliates or Designees pursuant to this Agreement, except to the extent, in each case (i) and (ii), that such Liability is caused by the negligence or willful misconduct of Genentech as determined by a court or other tribunal having jurisdiction. Upon receiving notice of any such Liability from or with respect to any Third Party, Genentech shall promptly inform Licensee of such notice of Liability and permit Licensee to handle and control the defense (including litigation and settlement) of such Liability, at Licensee’s sole expense, provided, however, that Licensee shall not settle any such Liability without the prior written consent of Genentech (which consent shall not be unreasonably withheld or delayed).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38" w:name="page139"/>
    <w:bookmarkEnd w:id="138"/>
    <w:p>
      <w:pPr>
        <w:jc w:val="both"/>
        <w:ind w:right="20" w:firstLine="291"/>
        <w:spacing w:after="0" w:line="292" w:lineRule="auto"/>
        <w:rPr>
          <w:sz w:val="20"/>
          <w:szCs w:val="20"/>
          <w:color w:val="auto"/>
        </w:rPr>
      </w:pPr>
      <w:r>
        <w:rPr>
          <w:rFonts w:ascii="Arial" w:cs="Arial" w:eastAsia="Arial" w:hAnsi="Arial"/>
          <w:sz w:val="15"/>
          <w:szCs w:val="15"/>
          <w:b w:val="1"/>
          <w:bCs w:val="1"/>
          <w:color w:val="auto"/>
        </w:rPr>
        <w:t xml:space="preserve">6.02. </w:t>
      </w:r>
      <w:r>
        <w:rPr>
          <w:rFonts w:ascii="Arial" w:cs="Arial" w:eastAsia="Arial" w:hAnsi="Arial"/>
          <w:sz w:val="15"/>
          <w:szCs w:val="15"/>
          <w:u w:val="single" w:color="auto"/>
          <w:color w:val="auto"/>
        </w:rPr>
        <w:t>Indemnification for Breach of Warranty</w:t>
      </w:r>
      <w:r>
        <w:rPr>
          <w:rFonts w:ascii="Arial" w:cs="Arial" w:eastAsia="Arial" w:hAnsi="Arial"/>
          <w:sz w:val="15"/>
          <w:szCs w:val="15"/>
          <w:color w:val="auto"/>
        </w:rPr>
        <w:t>. Any Party that breaches any warranty set forth in Article V shall indemnify, defend and hold harmless the other Party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Affiliates, and each of their respective directors, officers, employees and agents, from and against any and all liabilities, claims, demands, expenses (including, without limitation, reasonable attorneys’ and professional fees and other costs of litigation), losses or causes of action arising out of or relating to any such breach of warranty.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TERM AND TERMINATION</w:t>
      </w:r>
    </w:p>
    <w:p>
      <w:pPr>
        <w:spacing w:after="0" w:line="225" w:lineRule="exact"/>
        <w:rPr>
          <w:sz w:val="20"/>
          <w:szCs w:val="20"/>
          <w:color w:val="auto"/>
        </w:rPr>
      </w:pPr>
    </w:p>
    <w:p>
      <w:pPr>
        <w:jc w:val="both"/>
        <w:ind w:firstLine="267"/>
        <w:spacing w:after="0" w:line="285" w:lineRule="auto"/>
        <w:rPr>
          <w:sz w:val="20"/>
          <w:szCs w:val="20"/>
          <w:color w:val="auto"/>
        </w:rPr>
      </w:pPr>
      <w:r>
        <w:rPr>
          <w:rFonts w:ascii="Arial" w:cs="Arial" w:eastAsia="Arial" w:hAnsi="Arial"/>
          <w:sz w:val="15"/>
          <w:szCs w:val="15"/>
          <w:b w:val="1"/>
          <w:bCs w:val="1"/>
          <w:color w:val="auto"/>
        </w:rPr>
        <w:t xml:space="preserve">7.01. </w:t>
      </w:r>
      <w:r>
        <w:rPr>
          <w:rFonts w:ascii="Arial" w:cs="Arial" w:eastAsia="Arial" w:hAnsi="Arial"/>
          <w:sz w:val="15"/>
          <w:szCs w:val="15"/>
          <w:u w:val="single" w:color="auto"/>
          <w:color w:val="auto"/>
        </w:rPr>
        <w:t>Term</w:t>
      </w:r>
      <w:r>
        <w:rPr>
          <w:rFonts w:ascii="Arial" w:cs="Arial" w:eastAsia="Arial" w:hAnsi="Arial"/>
          <w:sz w:val="15"/>
          <w:szCs w:val="15"/>
          <w:color w:val="auto"/>
        </w:rPr>
        <w:t>. This Agreement will commence on the Effective Date and remain in full force and effect until the expiration of the last patent within the Licensed Patents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Genentech Technology Patents (“Term of this Agreement”). Subject to the fulfillment by Licensee and its Affiliates and Designees of all the terms and conditions of this Agreement including, but not limited to, the payment of all amounts owed under Article III, following the Royalty Term the licenses under Sections 2.01 and 2.02 and any sublicense(s) granted in accordance with Section 2.04 shall become fully paid-up and royalty free for the remainder of the Term of this Agreement.</w:t>
      </w:r>
    </w:p>
    <w:p>
      <w:pPr>
        <w:spacing w:after="0" w:line="176" w:lineRule="exact"/>
        <w:rPr>
          <w:sz w:val="20"/>
          <w:szCs w:val="20"/>
          <w:color w:val="auto"/>
        </w:rPr>
      </w:pPr>
    </w:p>
    <w:p>
      <w:pPr>
        <w:jc w:val="both"/>
        <w:ind w:firstLine="279"/>
        <w:spacing w:after="0" w:line="302" w:lineRule="auto"/>
        <w:rPr>
          <w:sz w:val="20"/>
          <w:szCs w:val="20"/>
          <w:color w:val="auto"/>
        </w:rPr>
      </w:pPr>
      <w:r>
        <w:rPr>
          <w:rFonts w:ascii="Arial" w:cs="Arial" w:eastAsia="Arial" w:hAnsi="Arial"/>
          <w:sz w:val="14"/>
          <w:szCs w:val="14"/>
          <w:b w:val="1"/>
          <w:bCs w:val="1"/>
          <w:color w:val="auto"/>
        </w:rPr>
        <w:t xml:space="preserve">7.02. </w:t>
      </w:r>
      <w:r>
        <w:rPr>
          <w:rFonts w:ascii="Arial" w:cs="Arial" w:eastAsia="Arial" w:hAnsi="Arial"/>
          <w:sz w:val="14"/>
          <w:szCs w:val="14"/>
          <w:u w:val="single" w:color="auto"/>
          <w:color w:val="auto"/>
        </w:rPr>
        <w:t>Breach of Article III</w:t>
      </w:r>
      <w:r>
        <w:rPr>
          <w:rFonts w:ascii="Arial" w:cs="Arial" w:eastAsia="Arial" w:hAnsi="Arial"/>
          <w:sz w:val="14"/>
          <w:szCs w:val="14"/>
          <w:color w:val="auto"/>
        </w:rPr>
        <w:t>. Genentech is materially relying on Licensee’s agreement to comply fully and in all respects with Article III. Accordingly, Genentech and Licensee</w:t>
      </w:r>
      <w:r>
        <w:rPr>
          <w:rFonts w:ascii="Arial" w:cs="Arial" w:eastAsia="Arial" w:hAnsi="Arial"/>
          <w:sz w:val="14"/>
          <w:szCs w:val="14"/>
          <w:b w:val="1"/>
          <w:bCs w:val="1"/>
          <w:color w:val="auto"/>
        </w:rPr>
        <w:t xml:space="preserve"> </w:t>
      </w:r>
      <w:r>
        <w:rPr>
          <w:rFonts w:ascii="Arial" w:cs="Arial" w:eastAsia="Arial" w:hAnsi="Arial"/>
          <w:sz w:val="14"/>
          <w:szCs w:val="14"/>
          <w:color w:val="auto"/>
        </w:rPr>
        <w:t>agree that if Licensee fails to comply with any section of Article III in any respect, Genentech shall notify Licensee in writing of such failure to comply and Licensee shall have thirty (30) days to cure the failure to comply (“the Licensee Cure Period”). If Licensee fails to cure the non-compliance by the end of the Licensee Cure Period, Genentech shall be entitled to seek all relief available at law and equity in an arbitration proceeding conducted pursuant to Section 8.10. If the arbitration award includes an order terminating this Agreement on account of Licensee’s failure to comply with Article III, Genentech shall be entitled to file in a U.S. district court or other tribunal of competent jurisdiction a patent infringement lawsuit against Licensee, its Affiliates and/or Designees with respect to the Licensed Patents, Genentech Technology Patents, and/or any other patents.</w:t>
      </w:r>
    </w:p>
    <w:p>
      <w:pPr>
        <w:spacing w:after="0" w:line="168" w:lineRule="exact"/>
        <w:rPr>
          <w:sz w:val="20"/>
          <w:szCs w:val="20"/>
          <w:color w:val="auto"/>
        </w:rPr>
      </w:pPr>
    </w:p>
    <w:p>
      <w:pPr>
        <w:jc w:val="both"/>
        <w:ind w:firstLine="340"/>
        <w:spacing w:after="0" w:line="260" w:lineRule="auto"/>
        <w:rPr>
          <w:sz w:val="20"/>
          <w:szCs w:val="20"/>
          <w:color w:val="auto"/>
        </w:rPr>
      </w:pPr>
      <w:r>
        <w:rPr>
          <w:rFonts w:ascii="Arial" w:cs="Arial" w:eastAsia="Arial" w:hAnsi="Arial"/>
          <w:sz w:val="16"/>
          <w:szCs w:val="16"/>
          <w:b w:val="1"/>
          <w:bCs w:val="1"/>
          <w:color w:val="auto"/>
        </w:rPr>
        <w:t xml:space="preserve">7.03. </w:t>
      </w:r>
      <w:r>
        <w:rPr>
          <w:rFonts w:ascii="Arial" w:cs="Arial" w:eastAsia="Arial" w:hAnsi="Arial"/>
          <w:sz w:val="16"/>
          <w:szCs w:val="16"/>
          <w:u w:val="single" w:color="auto"/>
          <w:color w:val="auto"/>
        </w:rPr>
        <w:t>Breach of Article II.</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is materially relying on Genentech’s agreement to grant the licenses and covenant not to sue provided for in Article II. Accordingly,</w:t>
      </w:r>
      <w:r>
        <w:rPr>
          <w:rFonts w:ascii="Arial" w:cs="Arial" w:eastAsia="Arial" w:hAnsi="Arial"/>
          <w:sz w:val="16"/>
          <w:szCs w:val="16"/>
          <w:b w:val="1"/>
          <w:bCs w:val="1"/>
          <w:color w:val="auto"/>
        </w:rPr>
        <w:t xml:space="preserve"> </w:t>
      </w:r>
      <w:r>
        <w:rPr>
          <w:rFonts w:ascii="Arial" w:cs="Arial" w:eastAsia="Arial" w:hAnsi="Arial"/>
          <w:sz w:val="16"/>
          <w:szCs w:val="16"/>
          <w:color w:val="auto"/>
        </w:rPr>
        <w:t>Genentech and Licensee agree that if Genentech commits a material breach of Article II by revoking or terminating any of the licenses and/or covenant provided for therein, Licensee shall notify Genentech in writing of such material breach and Genentech shall have thirty (30) days to cure that material breach (“the Genentech Cure Period”). If Genentech fails to cure the material breach by the end of the Genentech Cure Period, Licensee shall be entitled to seek all relief available at law and equity in an arbitration proceeding conducted pursuant to Section 8.10.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b w:val="1"/>
          <w:bCs w:val="1"/>
          <w:color w:val="auto"/>
        </w:rPr>
        <w:t>Article VIII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MISCELLANEOUS PROVISIONS</w:t>
      </w:r>
    </w:p>
    <w:p>
      <w:pPr>
        <w:spacing w:after="0" w:line="225" w:lineRule="exact"/>
        <w:rPr>
          <w:sz w:val="20"/>
          <w:szCs w:val="20"/>
          <w:color w:val="auto"/>
        </w:rPr>
      </w:pPr>
    </w:p>
    <w:p>
      <w:pPr>
        <w:jc w:val="both"/>
        <w:ind w:firstLine="279"/>
        <w:spacing w:after="0" w:line="280" w:lineRule="auto"/>
        <w:rPr>
          <w:sz w:val="20"/>
          <w:szCs w:val="20"/>
          <w:color w:val="auto"/>
        </w:rPr>
      </w:pPr>
      <w:r>
        <w:rPr>
          <w:rFonts w:ascii="Arial" w:cs="Arial" w:eastAsia="Arial" w:hAnsi="Arial"/>
          <w:sz w:val="16"/>
          <w:szCs w:val="16"/>
          <w:b w:val="1"/>
          <w:bCs w:val="1"/>
          <w:color w:val="auto"/>
        </w:rPr>
        <w:t xml:space="preserve">8.01. </w:t>
      </w:r>
      <w:r>
        <w:rPr>
          <w:rFonts w:ascii="Arial" w:cs="Arial" w:eastAsia="Arial" w:hAnsi="Arial"/>
          <w:sz w:val="16"/>
          <w:szCs w:val="16"/>
          <w:u w:val="single" w:color="auto"/>
          <w:color w:val="auto"/>
        </w:rPr>
        <w:t>No Other License</w:t>
      </w:r>
      <w:r>
        <w:rPr>
          <w:rFonts w:ascii="Arial" w:cs="Arial" w:eastAsia="Arial" w:hAnsi="Arial"/>
          <w:sz w:val="16"/>
          <w:szCs w:val="16"/>
          <w:color w:val="auto"/>
        </w:rPr>
        <w:t>. No license other than those expressly set forth in Article II is or shall be deemed to have been granted under this Agreement whether by implication,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estoppel or otherwise.</w:t>
      </w:r>
    </w:p>
    <w:p>
      <w:pPr>
        <w:spacing w:after="0" w:line="178" w:lineRule="exact"/>
        <w:rPr>
          <w:sz w:val="20"/>
          <w:szCs w:val="20"/>
          <w:color w:val="auto"/>
        </w:rPr>
      </w:pPr>
    </w:p>
    <w:p>
      <w:pPr>
        <w:jc w:val="both"/>
        <w:ind w:right="20" w:firstLine="340"/>
        <w:spacing w:after="0" w:line="280" w:lineRule="auto"/>
        <w:rPr>
          <w:sz w:val="20"/>
          <w:szCs w:val="20"/>
          <w:color w:val="auto"/>
        </w:rPr>
      </w:pPr>
      <w:r>
        <w:rPr>
          <w:rFonts w:ascii="Arial" w:cs="Arial" w:eastAsia="Arial" w:hAnsi="Arial"/>
          <w:sz w:val="16"/>
          <w:szCs w:val="16"/>
          <w:b w:val="1"/>
          <w:bCs w:val="1"/>
          <w:color w:val="auto"/>
        </w:rPr>
        <w:t xml:space="preserve">8.02.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Nothing in this Agreement is intended or shall be deemed to constitute or give rise to a partnership, agency, distributorship, employer-employee, joint venture, or fiduciary relationship between the Parties. No Party shall incur any debts or make any commitments for the other.</w:t>
      </w:r>
    </w:p>
    <w:p>
      <w:pPr>
        <w:spacing w:after="0" w:line="178" w:lineRule="exact"/>
        <w:rPr>
          <w:sz w:val="20"/>
          <w:szCs w:val="20"/>
          <w:color w:val="auto"/>
        </w:rPr>
      </w:pPr>
    </w:p>
    <w:p>
      <w:pPr>
        <w:jc w:val="both"/>
        <w:ind w:right="20" w:firstLine="340"/>
        <w:spacing w:after="0" w:line="266" w:lineRule="auto"/>
        <w:rPr>
          <w:sz w:val="20"/>
          <w:szCs w:val="20"/>
          <w:color w:val="auto"/>
        </w:rPr>
      </w:pPr>
      <w:r>
        <w:rPr>
          <w:rFonts w:ascii="Arial" w:cs="Arial" w:eastAsia="Arial" w:hAnsi="Arial"/>
          <w:sz w:val="16"/>
          <w:szCs w:val="16"/>
          <w:b w:val="1"/>
          <w:bCs w:val="1"/>
          <w:color w:val="auto"/>
        </w:rPr>
        <w:t xml:space="preserve">8.03. </w:t>
      </w:r>
      <w:r>
        <w:rPr>
          <w:rFonts w:ascii="Arial" w:cs="Arial" w:eastAsia="Arial" w:hAnsi="Arial"/>
          <w:sz w:val="16"/>
          <w:szCs w:val="16"/>
          <w:u w:val="single" w:color="auto"/>
          <w:color w:val="auto"/>
        </w:rPr>
        <w:t>Patent Prosecution and Enforcement</w:t>
      </w:r>
      <w:r>
        <w:rPr>
          <w:rFonts w:ascii="Arial" w:cs="Arial" w:eastAsia="Arial" w:hAnsi="Arial"/>
          <w:sz w:val="16"/>
          <w:szCs w:val="16"/>
          <w:color w:val="auto"/>
        </w:rPr>
        <w:t>. Genentech shall be solely responsible, at its sole discretion and expense, for the prosecution, defense, and maintenance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Patents and Genentech Technology Patents (including whether to undertake such activities), and for enforcing the same against actual or suspected Third Party infringers (including whether to undertake such activities).</w:t>
      </w:r>
    </w:p>
    <w:p>
      <w:pPr>
        <w:spacing w:after="0" w:line="18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6"/>
          <w:szCs w:val="16"/>
          <w:b w:val="1"/>
          <w:bCs w:val="1"/>
          <w:color w:val="auto"/>
        </w:rPr>
        <w:t xml:space="preserve">8.04.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any of its rights or obligations hereunder except: (i) as incident to the merger, consolidation, reorganization or acquisition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or assets affecting substantially all of the assets or voting control of the assigning Party; (ii) to any Person to which it transfers all or substantially all of its assets related to the Licensed Product; (iii) to an Affiliate if the assigning Party remains liable and responsible for the performance and observance of all of the Affiliate’s duties and obligations hereunder; or (iv) with the prior written consent of the other Party (which consent shall not be unreasonably withheld). A Party making an assignment shall promptly give written notice thereof to the other Party.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8.04 shall be void.</w:t>
      </w:r>
    </w:p>
    <w:p>
      <w:pPr>
        <w:spacing w:after="0" w:line="199" w:lineRule="exact"/>
        <w:rPr>
          <w:sz w:val="20"/>
          <w:szCs w:val="20"/>
          <w:color w:val="auto"/>
        </w:rPr>
      </w:pPr>
    </w:p>
    <w:p>
      <w:pPr>
        <w:jc w:val="both"/>
        <w:ind w:right="20" w:firstLine="352"/>
        <w:spacing w:after="0" w:line="262" w:lineRule="auto"/>
        <w:rPr>
          <w:sz w:val="20"/>
          <w:szCs w:val="20"/>
          <w:color w:val="auto"/>
        </w:rPr>
      </w:pPr>
      <w:r>
        <w:rPr>
          <w:rFonts w:ascii="Arial" w:cs="Arial" w:eastAsia="Arial" w:hAnsi="Arial"/>
          <w:sz w:val="16"/>
          <w:szCs w:val="16"/>
          <w:b w:val="1"/>
          <w:bCs w:val="1"/>
          <w:color w:val="auto"/>
        </w:rPr>
        <w:t xml:space="preserve">8.05. </w:t>
      </w:r>
      <w:r>
        <w:rPr>
          <w:rFonts w:ascii="Arial" w:cs="Arial" w:eastAsia="Arial" w:hAnsi="Arial"/>
          <w:sz w:val="16"/>
          <w:szCs w:val="16"/>
          <w:u w:val="single" w:color="auto"/>
          <w:color w:val="auto"/>
        </w:rPr>
        <w:t>Trade Names and Trademarks</w:t>
      </w:r>
      <w:r>
        <w:rPr>
          <w:rFonts w:ascii="Arial" w:cs="Arial" w:eastAsia="Arial" w:hAnsi="Arial"/>
          <w:sz w:val="16"/>
          <w:szCs w:val="16"/>
          <w:color w:val="auto"/>
        </w:rPr>
        <w:t>. Except as otherwise provided herein, no right, expressed or implied, is granted by this Agreement to use in any manner the name</w:t>
      </w:r>
      <w:r>
        <w:rPr>
          <w:rFonts w:ascii="Arial" w:cs="Arial" w:eastAsia="Arial" w:hAnsi="Arial"/>
          <w:sz w:val="16"/>
          <w:szCs w:val="16"/>
          <w:b w:val="1"/>
          <w:bCs w:val="1"/>
          <w:color w:val="auto"/>
        </w:rPr>
        <w:t xml:space="preserve"> </w:t>
      </w:r>
      <w:r>
        <w:rPr>
          <w:rFonts w:ascii="Arial" w:cs="Arial" w:eastAsia="Arial" w:hAnsi="Arial"/>
          <w:sz w:val="16"/>
          <w:szCs w:val="16"/>
          <w:color w:val="auto"/>
        </w:rPr>
        <w:t>“Genentech” or any other trade name or trademark of Genentech in connection with the performance of this Agreement. Except as otherwise provided herein, no right, expressed or implied, is granted by this Agreement to use in any manner the name “Regeneron” or any other trade name or trademark of Licensee in connection with the performance of this Agreement.</w:t>
      </w:r>
    </w:p>
    <w:p>
      <w:pPr>
        <w:spacing w:after="0" w:line="192"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6"/>
          <w:szCs w:val="16"/>
          <w:b w:val="1"/>
          <w:bCs w:val="1"/>
          <w:color w:val="auto"/>
        </w:rPr>
        <w:t xml:space="preserve">8.06.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and contains the entire understanding and agreement of the Parties with respect to the subject matter hereof and cancels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any and all prior negotiations, correspondence, understandings and agreements, whether verbal or written, between the Parties with respect to subject matter hereof. No waiver, modification, or amendment of any provision of this Agreement shall be valid or effective unless made in writing and signed by a duly authorized representative of each of the Parties.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40" w:name="page141"/>
    <w:bookmarkEnd w:id="140"/>
    <w:p>
      <w:pPr>
        <w:jc w:val="both"/>
        <w:ind w:firstLine="255"/>
        <w:spacing w:after="0" w:line="281" w:lineRule="auto"/>
        <w:rPr>
          <w:sz w:val="20"/>
          <w:szCs w:val="20"/>
          <w:color w:val="auto"/>
        </w:rPr>
      </w:pPr>
      <w:r>
        <w:rPr>
          <w:rFonts w:ascii="Arial" w:cs="Arial" w:eastAsia="Arial" w:hAnsi="Arial"/>
          <w:sz w:val="15"/>
          <w:szCs w:val="15"/>
          <w:b w:val="1"/>
          <w:bCs w:val="1"/>
          <w:color w:val="auto"/>
        </w:rPr>
        <w:t xml:space="preserve">8.07. </w:t>
      </w:r>
      <w:r>
        <w:rPr>
          <w:rFonts w:ascii="Arial" w:cs="Arial" w:eastAsia="Arial" w:hAnsi="Arial"/>
          <w:sz w:val="15"/>
          <w:szCs w:val="15"/>
          <w:u w:val="single" w:color="auto"/>
          <w:color w:val="auto"/>
        </w:rPr>
        <w:t>No Effect on Other Agreements</w:t>
      </w:r>
      <w:r>
        <w:rPr>
          <w:rFonts w:ascii="Arial" w:cs="Arial" w:eastAsia="Arial" w:hAnsi="Arial"/>
          <w:sz w:val="15"/>
          <w:szCs w:val="15"/>
          <w:color w:val="auto"/>
        </w:rPr>
        <w:t>. Nothing in this Agreement is intended or shall be deemed to amend, alter, modify, or have any effect whatsoever on any of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of any other written agreement between the Parties entered into prior to the Effective Date that pertains to subject matter different from the subject matter of this Agreement. Nothing in this Agreement shall be used to construe or interpret any other written agreement between the Parties. By way of example only, and without limitation, nothing in this Agreement is intended or shall be deemed to amend, alter, modify, or have any effect on (i) that certain Confidentiality Agreement that was entered into by and between the Parties with respect to the settlement discussions that preceded this Agreement, and (ii) [**************].</w:t>
      </w:r>
    </w:p>
    <w:p>
      <w:pPr>
        <w:spacing w:after="0" w:line="180" w:lineRule="exact"/>
        <w:rPr>
          <w:sz w:val="20"/>
          <w:szCs w:val="20"/>
          <w:color w:val="auto"/>
        </w:rPr>
      </w:pPr>
    </w:p>
    <w:p>
      <w:pPr>
        <w:jc w:val="both"/>
        <w:ind w:firstLine="340"/>
        <w:spacing w:after="0" w:line="262" w:lineRule="auto"/>
        <w:rPr>
          <w:sz w:val="20"/>
          <w:szCs w:val="20"/>
          <w:color w:val="auto"/>
        </w:rPr>
      </w:pPr>
      <w:r>
        <w:rPr>
          <w:rFonts w:ascii="Arial" w:cs="Arial" w:eastAsia="Arial" w:hAnsi="Arial"/>
          <w:sz w:val="16"/>
          <w:szCs w:val="16"/>
          <w:b w:val="1"/>
          <w:bCs w:val="1"/>
          <w:color w:val="auto"/>
        </w:rPr>
        <w:t xml:space="preserve">8.08. </w:t>
      </w:r>
      <w:r>
        <w:rPr>
          <w:rFonts w:ascii="Arial" w:cs="Arial" w:eastAsia="Arial" w:hAnsi="Arial"/>
          <w:sz w:val="16"/>
          <w:szCs w:val="16"/>
          <w:u w:val="single" w:color="auto"/>
          <w:color w:val="auto"/>
        </w:rPr>
        <w:t>No Effect Outside the Territory</w:t>
      </w:r>
      <w:r>
        <w:rPr>
          <w:rFonts w:ascii="Arial" w:cs="Arial" w:eastAsia="Arial" w:hAnsi="Arial"/>
          <w:sz w:val="16"/>
          <w:szCs w:val="16"/>
          <w:color w:val="auto"/>
        </w:rPr>
        <w:t>. Nothing contained in this Agreement is intended or shall be deemed to have any effect whatsoever on any legal or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outside the Territory, now or in the future, between Genentech, on the one hand, and Licensee, its Affiliates, Designees, and/or any Third Party on the other hand, relating to Licensed Product. By way of example only, and without limitation, nothing contained in this Agreement has any effect whatsoever on legal or administrative proceedings in Europe, now or in the future, involving [**************].</w:t>
      </w:r>
    </w:p>
    <w:p>
      <w:pPr>
        <w:spacing w:after="0" w:line="192" w:lineRule="exact"/>
        <w:rPr>
          <w:sz w:val="20"/>
          <w:szCs w:val="20"/>
          <w:color w:val="auto"/>
        </w:rPr>
      </w:pPr>
    </w:p>
    <w:p>
      <w:pPr>
        <w:jc w:val="both"/>
        <w:ind w:right="20" w:firstLine="243"/>
        <w:spacing w:after="0" w:line="266" w:lineRule="auto"/>
        <w:rPr>
          <w:sz w:val="20"/>
          <w:szCs w:val="20"/>
          <w:color w:val="auto"/>
        </w:rPr>
      </w:pPr>
      <w:r>
        <w:rPr>
          <w:rFonts w:ascii="Arial" w:cs="Arial" w:eastAsia="Arial" w:hAnsi="Arial"/>
          <w:sz w:val="16"/>
          <w:szCs w:val="16"/>
          <w:b w:val="1"/>
          <w:bCs w:val="1"/>
          <w:color w:val="auto"/>
        </w:rPr>
        <w:t>8.09</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Waiver of Breach or Default</w:t>
      </w:r>
      <w:r>
        <w:rPr>
          <w:rFonts w:ascii="Arial" w:cs="Arial" w:eastAsia="Arial" w:hAnsi="Arial"/>
          <w:sz w:val="16"/>
          <w:szCs w:val="16"/>
          <w:color w:val="auto"/>
        </w:rPr>
        <w:t>. The waiver by a Party of any breach of or default under any of the provisions of this Agreement or the failure of a Party to enforce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or to exercise any right hereunder shall not constitute or be construed as a waiver of any other breach or default or as a waiver of any such rights or provisions 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41" w:name="page142"/>
    <w:bookmarkEnd w:id="141"/>
    <w:p>
      <w:pPr>
        <w:jc w:val="both"/>
        <w:ind w:firstLine="279"/>
        <w:spacing w:after="0" w:line="294" w:lineRule="auto"/>
        <w:rPr>
          <w:sz w:val="20"/>
          <w:szCs w:val="20"/>
          <w:color w:val="auto"/>
        </w:rPr>
      </w:pPr>
      <w:r>
        <w:rPr>
          <w:rFonts w:ascii="Arial" w:cs="Arial" w:eastAsia="Arial" w:hAnsi="Arial"/>
          <w:sz w:val="14"/>
          <w:szCs w:val="14"/>
          <w:b w:val="1"/>
          <w:bCs w:val="1"/>
          <w:color w:val="auto"/>
        </w:rPr>
        <w:t xml:space="preserve">8.10. </w:t>
      </w:r>
      <w:r>
        <w:rPr>
          <w:rFonts w:ascii="Arial" w:cs="Arial" w:eastAsia="Arial" w:hAnsi="Arial"/>
          <w:sz w:val="14"/>
          <w:szCs w:val="14"/>
          <w:u w:val="single" w:color="auto"/>
          <w:color w:val="auto"/>
        </w:rPr>
        <w:t>Dispute Resolution</w:t>
      </w:r>
      <w:r>
        <w:rPr>
          <w:rFonts w:ascii="Arial" w:cs="Arial" w:eastAsia="Arial" w:hAnsi="Arial"/>
          <w:sz w:val="14"/>
          <w:szCs w:val="14"/>
          <w:color w:val="auto"/>
        </w:rPr>
        <w:t>. Except as otherwise expressly provided in this Agreement, any dispute, controversy, or claim arising out of or in connection with or relating to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or the breach or alleged breach thereof (including any dispute regarding arbitrability), but not including any dispute, controversy, or claim concerning the patentability, validity, enforceability, or infringement of any patent, shall be finally and exclusively decided by binding arbitration under the then-current Commercial Arbitration Rules of the American Arbitration Association (“AAA”). If the arbitration is demanded by Genentech, the arbitration shall be held in New York, New York. If the arbitration is demanded by Licensee, the arbitration shall be held in San Francisco, California. The Parties shall choose, by mutual agreement, one (1) neutral arbitrator within thirty (30) days of receipt of the notice of the intent to arbitrate. If no arbitrator is appointed within that time or any extension thereof to which the Parties may mutually agree, the AAA shall make the appointment of the arbitrator within thirty (30) days of such failure, which arbitrator shall have substantial prior experience arbitrating patent licensing disputes. The Parties shall have the right to conduct discovery as provided for in the Federal Rules of Civil Procedure. All discovery shall be completed within two (2) months following the appointment of the arbitrator. The arbitrator’s decision and award in the arbitration shall be in writing setting forth the basis therefor and shall be rendered within six (6) months following the appointment of the arbitrator. The award rendered by the arbitrator shall include costs of the arbitration, reasonable attorneys’ fees, and reasonable costs for experts and other witnesses, and judgment on the award may be entered in any court having jurisdiction. To the extent permitted by law, the arbitration proceeding and arbitrator’s decision shall be confidential and the arbitrator shall issue appropriate protective orders to safeguard each Party’s confidential information. Nothing in this Agreement shall be deemed as preventing either Party from seeking temporary injunctive relief (or any other provisional remedy) from any court having jurisdiction over the Parties and the subject matter of the dispute but only to the extent necessary to protect such Party’s name, confidential information, or other similar proprietary rights, or to prevent any imminent irreparable harm. Each Party hereby consents to the jurisdiction and venue of the courts in the State of California and the State of New York for purposes of entering judgment on the arbitration award.</w:t>
      </w:r>
    </w:p>
    <w:p>
      <w:pPr>
        <w:spacing w:after="0" w:line="173" w:lineRule="exact"/>
        <w:rPr>
          <w:sz w:val="20"/>
          <w:szCs w:val="20"/>
          <w:color w:val="auto"/>
        </w:rPr>
      </w:pPr>
    </w:p>
    <w:p>
      <w:pPr>
        <w:jc w:val="both"/>
        <w:ind w:firstLine="352"/>
        <w:spacing w:after="0" w:line="280"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performance, construction, and effect of this Agreement and any arbitration conducted under Section 8.10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laws of the State of New York without regard to conflict of laws principles.</w:t>
      </w:r>
    </w:p>
    <w:p>
      <w:pPr>
        <w:spacing w:after="0" w:line="178" w:lineRule="exact"/>
        <w:rPr>
          <w:sz w:val="20"/>
          <w:szCs w:val="20"/>
          <w:color w:val="auto"/>
        </w:rPr>
      </w:pPr>
    </w:p>
    <w:p>
      <w:pPr>
        <w:jc w:val="both"/>
        <w:ind w:right="20" w:firstLine="243"/>
        <w:spacing w:after="0" w:line="260" w:lineRule="auto"/>
        <w:rPr>
          <w:sz w:val="20"/>
          <w:szCs w:val="20"/>
          <w:color w:val="auto"/>
        </w:rPr>
      </w:pPr>
      <w:r>
        <w:rPr>
          <w:rFonts w:ascii="Arial" w:cs="Arial" w:eastAsia="Arial" w:hAnsi="Arial"/>
          <w:sz w:val="16"/>
          <w:szCs w:val="16"/>
          <w:b w:val="1"/>
          <w:bCs w:val="1"/>
          <w:color w:val="auto"/>
        </w:rPr>
        <w:t xml:space="preserve">8.12.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consent, or other document required or permitted to be given under this Agreement or otherwise relating to this Agreement shall be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be deemed to have been sufficiently given if delivered in person, or sent by overnight courier or registered mail to the Party to whom it is directed at its address shown below or such other address as such Party shall have last given by notice to the other Party. Any such notice, request, delivery, approval or consent shall be deemed received on the date of hand delivery (provided that such date is a business day, otherwise it shall be deemed received on the next business day), or one (1) business day after dispatch by overnight courier, or five (5) business days after dispatch by registered mail.</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to Licensee, addressed to:</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Regeneron Pharmaceuticals, Inc.</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777 Old Saw Mill River Road</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Tarrytown, NY 10591</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Attn: General Counsel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142" w:name="page143"/>
    <w:bookmarkEnd w:id="142"/>
    <w:p>
      <w:pPr>
        <w:ind w:left="480"/>
        <w:spacing w:after="0"/>
        <w:rPr>
          <w:sz w:val="20"/>
          <w:szCs w:val="20"/>
          <w:color w:val="auto"/>
        </w:rPr>
      </w:pPr>
      <w:r>
        <w:rPr>
          <w:rFonts w:ascii="Arial" w:cs="Arial" w:eastAsia="Arial" w:hAnsi="Arial"/>
          <w:sz w:val="16"/>
          <w:szCs w:val="16"/>
          <w:color w:val="auto"/>
        </w:rPr>
        <w:t>If to Genentech, addressed to:</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Genentech, Inc.</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 DNA Way</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South San Francisco, CA 94080</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Attn: Corporate Secretary</w:t>
      </w:r>
    </w:p>
    <w:p>
      <w:pPr>
        <w:spacing w:after="0" w:line="218" w:lineRule="exact"/>
        <w:rPr>
          <w:sz w:val="20"/>
          <w:szCs w:val="20"/>
          <w:color w:val="auto"/>
        </w:rPr>
      </w:pPr>
    </w:p>
    <w:p>
      <w:pPr>
        <w:jc w:val="both"/>
        <w:ind w:firstLine="315"/>
        <w:spacing w:after="0" w:line="294" w:lineRule="auto"/>
        <w:rPr>
          <w:sz w:val="20"/>
          <w:szCs w:val="20"/>
          <w:color w:val="auto"/>
        </w:rPr>
      </w:pPr>
      <w:r>
        <w:rPr>
          <w:rFonts w:ascii="Arial" w:cs="Arial" w:eastAsia="Arial" w:hAnsi="Arial"/>
          <w:sz w:val="14"/>
          <w:szCs w:val="14"/>
          <w:b w:val="1"/>
          <w:bCs w:val="1"/>
          <w:color w:val="auto"/>
        </w:rPr>
        <w:t xml:space="preserve">8.13. </w:t>
      </w:r>
      <w:r>
        <w:rPr>
          <w:rFonts w:ascii="Arial" w:cs="Arial" w:eastAsia="Arial" w:hAnsi="Arial"/>
          <w:sz w:val="14"/>
          <w:szCs w:val="14"/>
          <w:u w:val="single" w:color="auto"/>
          <w:color w:val="auto"/>
        </w:rPr>
        <w:t>Confidentiality</w:t>
      </w:r>
      <w:r>
        <w:rPr>
          <w:rFonts w:ascii="Arial" w:cs="Arial" w:eastAsia="Arial" w:hAnsi="Arial"/>
          <w:sz w:val="14"/>
          <w:szCs w:val="14"/>
          <w:color w:val="auto"/>
        </w:rPr>
        <w:t>. Each Party agrees not to disclose any of the terms of this Agreement or any of the information contained in reports pursuant to Section 4.02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to any Person without the prior written consent of the other Party; provided, however, that each Party shall be free to disclose any such terms or information (i) to the extent that the Party is required to make such disclosure pursuant to any court order or subpoena, provided that the Party required to make such disclosure shall promptly notify the other Party and allow the other Party a reasonable opportunity to seek a protective order or injunctive relief from the obligation to make such disclosure; (ii) that in the opinion of such Party’s legal counsel is required to be disclosed by the securities laws or regulations of any jurisdiction or the rules or regulations of any relevant stock exchange, or by any other governmental law or regulation or by any order of a government agency, provided that to the extent possible under the circumstances the Party intending to make such disclosure shall provide prior notice thereof to the other Party and, in addition, shall request confidential treatment for any part of such disclosure for which such treatment may reasonably be expected to be granted; (iii) to its Affiliates, Designees, accountants, attorneys and other professional advisors, provided that such Persons are obligated to keep such terms or information confidential to the same extent as said Party and agree to be bound by Section 8.15; and [**************]. Each Party may disclose the terms of this Section 8.13, 8.15, and 8.16 (but no other terms of this Agreement) for the sole and exclusive purpose of seeking from any Person to whom a Party intends to make a disclosure under and in accordance with clause (iii) or (iv) that Person’s acceptance of the conditions of disclosure set forth in such clause. Licensee represents that, in the opinion of its counsel, the public disclosure of the financial terms of this Agreement is required by the securities laws and/or regulations of the United States as applied to Licensee. The confidentiality terms of this Section 8.13 shall survive any expiration of this Agreement or the Licensed Patents or the Genentech Technology Patents.</w:t>
      </w:r>
    </w:p>
    <w:p>
      <w:pPr>
        <w:spacing w:after="0" w:line="179" w:lineRule="exact"/>
        <w:rPr>
          <w:sz w:val="20"/>
          <w:szCs w:val="20"/>
          <w:color w:val="auto"/>
        </w:rPr>
      </w:pPr>
    </w:p>
    <w:p>
      <w:pPr>
        <w:jc w:val="both"/>
        <w:ind w:firstLine="243"/>
        <w:spacing w:after="0" w:line="300" w:lineRule="auto"/>
        <w:rPr>
          <w:sz w:val="20"/>
          <w:szCs w:val="20"/>
          <w:color w:val="auto"/>
        </w:rPr>
      </w:pPr>
      <w:r>
        <w:rPr>
          <w:rFonts w:ascii="Arial" w:cs="Arial" w:eastAsia="Arial" w:hAnsi="Arial"/>
          <w:sz w:val="14"/>
          <w:szCs w:val="14"/>
          <w:b w:val="1"/>
          <w:bCs w:val="1"/>
          <w:color w:val="auto"/>
        </w:rPr>
        <w:t>8.14</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Publicity</w:t>
      </w:r>
      <w:r>
        <w:rPr>
          <w:rFonts w:ascii="Arial" w:cs="Arial" w:eastAsia="Arial" w:hAnsi="Arial"/>
          <w:sz w:val="14"/>
          <w:szCs w:val="14"/>
          <w:color w:val="auto"/>
        </w:rPr>
        <w:t>. Neither Party shall issue any press release or other publicity material or make any public representation that refers to the existence of this Agreement without the</w:t>
      </w:r>
      <w:r>
        <w:rPr>
          <w:rFonts w:ascii="Arial" w:cs="Arial" w:eastAsia="Arial" w:hAnsi="Arial"/>
          <w:sz w:val="14"/>
          <w:szCs w:val="14"/>
          <w:b w:val="1"/>
          <w:bCs w:val="1"/>
          <w:color w:val="auto"/>
        </w:rPr>
        <w:t xml:space="preserve"> </w:t>
      </w:r>
      <w:r>
        <w:rPr>
          <w:rFonts w:ascii="Arial" w:cs="Arial" w:eastAsia="Arial" w:hAnsi="Arial"/>
          <w:sz w:val="14"/>
          <w:szCs w:val="14"/>
          <w:color w:val="auto"/>
        </w:rPr>
        <w:t>prior written consent of the other Party (which consent shall not be unreasonably withheld or delayed). Notwithstanding the generality of the foregoing, either Party may issue a press release that contains, or may otherwise disclose, any or all of the information set forth in Exhibit B. In addition, either Party may disclose that (i) this Agreement conveys no license or other rights under any non-U.S. patents or other non-U.S. legal rights, (ii) this Agreement conveys no license or other rights with respect to any diseases or disorders other than eye diseases and eye disorders in a human, and (iii) this Agreement shall have no effect upon any patent litigation or other patent dispute outside of the United States. The text set forth in Exhibit B is for reference in connection with this Section 8.14 only and shall not control or affect in any way the meaning or construction of any other provisions of this Agreement. This Section 8.14 and any announcement or disclosure permitted under this Section 8.14 shall in no way limit the provisions of Sections 8.15 and 8.16.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143" w:name="page144"/>
    <w:bookmarkEnd w:id="143"/>
    <w:p>
      <w:pPr>
        <w:ind w:left="280"/>
        <w:spacing w:after="0"/>
        <w:rPr>
          <w:sz w:val="20"/>
          <w:szCs w:val="20"/>
          <w:color w:val="auto"/>
        </w:rPr>
      </w:pPr>
      <w:r>
        <w:rPr>
          <w:rFonts w:ascii="Arial" w:cs="Arial" w:eastAsia="Arial" w:hAnsi="Arial"/>
          <w:sz w:val="14"/>
          <w:szCs w:val="14"/>
          <w:b w:val="1"/>
          <w:bCs w:val="1"/>
          <w:color w:val="auto"/>
        </w:rPr>
        <w:t xml:space="preserve">8.15. </w:t>
      </w:r>
      <w:r>
        <w:rPr>
          <w:rFonts w:ascii="Arial" w:cs="Arial" w:eastAsia="Arial" w:hAnsi="Arial"/>
          <w:sz w:val="14"/>
          <w:szCs w:val="14"/>
          <w:u w:val="single" w:color="auto"/>
          <w:color w:val="auto"/>
        </w:rPr>
        <w:t>Prohibited Use and Discovery of Agreement in Legal Proceedings</w:t>
      </w:r>
      <w:r>
        <w:rPr>
          <w:rFonts w:ascii="Arial" w:cs="Arial" w:eastAsia="Arial" w:hAnsi="Arial"/>
          <w:sz w:val="14"/>
          <w:szCs w:val="14"/>
          <w:color w:val="auto"/>
        </w:rPr>
        <w:t>. This Agreement is the result of settlement and compromise. Except as expressly set forth in Section</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8.16, no Party, or any of its Affiliates or Designees, or any other Person to which either Party discloses any of the terms of this Agreement under and in accordance with Section</w:t>
      </w:r>
    </w:p>
    <w:p>
      <w:pPr>
        <w:spacing w:after="0" w:line="3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8.13(iii) or 8.13(iv), shall seek to obtain through discovery, attempt to admit into evidence, or attempt to reference or use for any purpose, this Agreement or any of its terms in any Legal Proceeding, regardless of whether the Parties or any of their respective Affiliates or Designees or such other Persons are litigants in such Legal Proceeding, and regardless of the subject matter of such Legal Proceeding. Without in any way limiting the generality of the foregoing, except as expressly permitted under Section 8.16: No Party, or any of its Affiliates or Designees, or any other Person to which either Party discloses any of the terms of this Agreement under and in accordance with Section 8.13(iii) or 8.13(iv), shall reference or use this Agreement, or any facts relating to the terms or existence of this Agreement, in any Legal Proceeding for purposes of any statement, analysis, expert opinion, or argument relating to patent infringement, patent validity, liability, damages (including reasonable royalty and lost profits measures of damages), willful infringement, enhanced or augmented damages, or attorneys’ fees and costs. In addition, no Party, or any of its Affiliates or Designees, or any other Person to which either Party discloses any of the terms of this Agreement under and in accordance with Section 8.13(iii) or 8.13(iv), shall attempt to admit into evidence or make reference to in any Legal Proceeding the fact that Licensee, its Affiliates and/or Designees are able to perform the activities licensed under Article II with the permission of Genentech, or without interference or objection by Genentech, or the like.</w:t>
      </w:r>
    </w:p>
    <w:p>
      <w:pPr>
        <w:spacing w:after="0" w:line="188"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4"/>
          <w:szCs w:val="14"/>
          <w:b w:val="1"/>
          <w:bCs w:val="1"/>
          <w:color w:val="auto"/>
        </w:rPr>
        <w:t xml:space="preserve">8.16. </w:t>
      </w:r>
      <w:r>
        <w:rPr>
          <w:rFonts w:ascii="Arial" w:cs="Arial" w:eastAsia="Arial" w:hAnsi="Arial"/>
          <w:sz w:val="14"/>
          <w:szCs w:val="14"/>
          <w:u w:val="single" w:color="auto"/>
          <w:color w:val="auto"/>
        </w:rPr>
        <w:t>Limited Permitted Use of Agreement in Legal Proceedings.</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anything set forth in Section 8.15, the Parties may use or rely upon this Agreement in a Legal</w:t>
      </w:r>
      <w:r>
        <w:rPr>
          <w:rFonts w:ascii="Arial" w:cs="Arial" w:eastAsia="Arial" w:hAnsi="Arial"/>
          <w:sz w:val="14"/>
          <w:szCs w:val="14"/>
          <w:b w:val="1"/>
          <w:bCs w:val="1"/>
          <w:color w:val="auto"/>
        </w:rPr>
        <w:t xml:space="preserve"> </w:t>
      </w:r>
      <w:r>
        <w:rPr>
          <w:rFonts w:ascii="Arial" w:cs="Arial" w:eastAsia="Arial" w:hAnsi="Arial"/>
          <w:sz w:val="14"/>
          <w:szCs w:val="14"/>
          <w:color w:val="auto"/>
        </w:rPr>
        <w:t>Proceeding (i) to the limited extent necessary for the sole and exclusive purpose of enforcing this Agreement (including, for example, (a) proving or disproving a defense of license to any claim of patent infringement; (b) proving or disproving the right to add, prosecute, or defend against claims, counterclaims, allegations, or parties with respect to activities that are not licensed under Article II; or (c) in support of a motion in limine, a request for an injunction, or any similar motion or request to a court or other tribunal, to prevent or limit any reference to or use of this Agreement), or (ii) in response to this Agreement’s being admitted into evidence, or referenced or used, by any Third Party in any Legal Proceeding. In addition, notwithstanding anything set forth in Section 8.15, the Parties may disclose to the judge (but not the jury) in the Pending U.S. Litigation or any related U.S. litigation the existence of this Agreement and the Parties’ respective views regarding whether and to what extent the terms of this Agreement affect any substantive or procedural issues in such legal proceedings, so long as the disclosure is not made for any purpose prohibited by the third sentence of Section 8.15.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4" w:right="219" w:bottom="1440" w:gutter="0" w:footer="0" w:header="0"/>
        </w:sectPr>
      </w:pPr>
    </w:p>
    <w:bookmarkStart w:id="144" w:name="page145"/>
    <w:bookmarkEnd w:id="144"/>
    <w:p>
      <w:pPr>
        <w:jc w:val="both"/>
        <w:ind w:right="20" w:firstLine="255"/>
        <w:spacing w:after="0" w:line="305" w:lineRule="auto"/>
        <w:rPr>
          <w:sz w:val="20"/>
          <w:szCs w:val="20"/>
          <w:color w:val="auto"/>
        </w:rPr>
      </w:pPr>
      <w:r>
        <w:rPr>
          <w:rFonts w:ascii="Arial" w:cs="Arial" w:eastAsia="Arial" w:hAnsi="Arial"/>
          <w:sz w:val="14"/>
          <w:szCs w:val="14"/>
          <w:b w:val="1"/>
          <w:bCs w:val="1"/>
          <w:color w:val="auto"/>
        </w:rPr>
        <w:t xml:space="preserve">8.17. </w:t>
      </w:r>
      <w:r>
        <w:rPr>
          <w:rFonts w:ascii="Arial" w:cs="Arial" w:eastAsia="Arial" w:hAnsi="Arial"/>
          <w:sz w:val="14"/>
          <w:szCs w:val="14"/>
          <w:u w:val="single" w:color="auto"/>
          <w:color w:val="auto"/>
        </w:rPr>
        <w:t>No Admissions or Concessions</w:t>
      </w:r>
      <w:r>
        <w:rPr>
          <w:rFonts w:ascii="Arial" w:cs="Arial" w:eastAsia="Arial" w:hAnsi="Arial"/>
          <w:sz w:val="14"/>
          <w:szCs w:val="14"/>
          <w:color w:val="auto"/>
        </w:rPr>
        <w:t>. Nothing contained in this Agreement, nor any milestone or royalty payment made by Licensee pursuant to this Agreement, is intended or</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deemed to be, or offered in any Legal Proceeding as evidence of, any admission or concession (i) by Licensee that any Licensed Patent, Genentech Technology Patent, Encumbered Patent, Excluded Patent or any other patent owned or co-owned by Genentech is valid, enforceable, and/or infringed by Licensee or any of its Affiliates or Designees, or (ii) by Genentech, that it is willing or able to grant licenses under the Licensed Patents and/or Genentech Technology Patents, or as to what is or may be reasonable consideration for a license under the Licensed Patents, Genentech Technology Patents, and/or any other patent owned or co-owned by Genentech.</w:t>
      </w:r>
    </w:p>
    <w:p>
      <w:pPr>
        <w:spacing w:after="0" w:line="16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5"/>
          <w:szCs w:val="15"/>
          <w:b w:val="1"/>
          <w:bCs w:val="1"/>
          <w:color w:val="auto"/>
        </w:rPr>
        <w:t xml:space="preserve">8.18. </w:t>
      </w:r>
      <w:r>
        <w:rPr>
          <w:rFonts w:ascii="Arial" w:cs="Arial" w:eastAsia="Arial" w:hAnsi="Arial"/>
          <w:sz w:val="15"/>
          <w:szCs w:val="15"/>
          <w:u w:val="single" w:color="auto"/>
          <w:color w:val="auto"/>
        </w:rPr>
        <w:t>Effect of Agreement on Pending U.S. Litigation</w:t>
      </w:r>
      <w:r>
        <w:rPr>
          <w:rFonts w:ascii="Arial" w:cs="Arial" w:eastAsia="Arial" w:hAnsi="Arial"/>
          <w:sz w:val="15"/>
          <w:szCs w:val="15"/>
          <w:color w:val="auto"/>
        </w:rPr>
        <w:t>. Nothing contained in this Agreement shall preclude or otherwise have any effect on Licensee’s ability in the Pending U.S.</w:t>
      </w:r>
      <w:r>
        <w:rPr>
          <w:rFonts w:ascii="Arial" w:cs="Arial" w:eastAsia="Arial" w:hAnsi="Arial"/>
          <w:sz w:val="15"/>
          <w:szCs w:val="15"/>
          <w:b w:val="1"/>
          <w:bCs w:val="1"/>
          <w:color w:val="auto"/>
        </w:rPr>
        <w:t xml:space="preserve"> </w:t>
      </w:r>
      <w:r>
        <w:rPr>
          <w:rFonts w:ascii="Arial" w:cs="Arial" w:eastAsia="Arial" w:hAnsi="Arial"/>
          <w:sz w:val="15"/>
          <w:szCs w:val="15"/>
          <w:color w:val="auto"/>
        </w:rPr>
        <w:t>Litigation or the lawsuit referenced in the last sentence of Section 8.19, to the extent permitted by governing laws and rules, to (i) challenge the validity or enforceability of any patent; (ii) take any position with respect to the scope or interpretation of any patent or any claim of any patent; or (iii) seek to establish that Licensee (and its Affiliates and Designees) do not infringe any patent or to defend against any claim that Licensee (and its Affiliates and Designees) infringe any patent, in each of cases (i), (ii), and (iii) including, but not limited to, any Licensed Patent, Genentech Technology Patent, Excluded Patent, or Encumbered Patent. Nothing contained in this Agreement shall preclude or otherwise have any effect on Genentech’s ability, to the extent permitted by governing laws and rules, to amend its pleadings in the Pending U.S. Litigation at any time to add claims, counterclaims, allegations, or parties with respect to activities that are not licensed under Article II.</w:t>
      </w:r>
    </w:p>
    <w:p>
      <w:pPr>
        <w:spacing w:after="0" w:line="184" w:lineRule="exact"/>
        <w:rPr>
          <w:sz w:val="20"/>
          <w:szCs w:val="20"/>
          <w:color w:val="auto"/>
        </w:rPr>
      </w:pPr>
    </w:p>
    <w:p>
      <w:pPr>
        <w:jc w:val="both"/>
        <w:ind w:firstLine="328"/>
        <w:spacing w:after="0" w:line="296" w:lineRule="auto"/>
        <w:rPr>
          <w:sz w:val="20"/>
          <w:szCs w:val="20"/>
          <w:color w:val="auto"/>
        </w:rPr>
      </w:pPr>
      <w:r>
        <w:rPr>
          <w:rFonts w:ascii="Arial" w:cs="Arial" w:eastAsia="Arial" w:hAnsi="Arial"/>
          <w:sz w:val="14"/>
          <w:szCs w:val="14"/>
          <w:b w:val="1"/>
          <w:bCs w:val="1"/>
          <w:color w:val="auto"/>
        </w:rPr>
        <w:t xml:space="preserve">8.19. </w:t>
      </w:r>
      <w:r>
        <w:rPr>
          <w:rFonts w:ascii="Arial" w:cs="Arial" w:eastAsia="Arial" w:hAnsi="Arial"/>
          <w:sz w:val="14"/>
          <w:szCs w:val="14"/>
          <w:u w:val="single" w:color="auto"/>
          <w:color w:val="auto"/>
        </w:rPr>
        <w:t>Effect of Agreement on Any Future Litigation</w:t>
      </w:r>
      <w:r>
        <w:rPr>
          <w:rFonts w:ascii="Arial" w:cs="Arial" w:eastAsia="Arial" w:hAnsi="Arial"/>
          <w:sz w:val="14"/>
          <w:szCs w:val="14"/>
          <w:color w:val="auto"/>
        </w:rPr>
        <w:t>. Nothing contained in this Agreement shall preclude or otherwise have any effect on Licensee’s ability, to the extent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permitted by governing laws and rules, (i) to commence a new legal or administrative proceeding in any venue at any time challenging the validity, enforceability, or infringement of any patent (a) to which a license has not been granted to Licensee under Article II (including, but not limited to, the Excluded Patents and the Encumbered Patents) or (b) in connection with activities outside the scope of the licenses granted to Licensee under Article II; or (ii) to defend against any new legal or administrative proceeding commenced by Genentech against Licensee in any venue at any time by challenging the validity, enforceability or infringement of any patent asserted by Genentech against Licensee in that proceeding. Nothing contained in this Agreement shall preclude or otherwise have any effect on Genentech’s ability, to the extent permitted by governing laws and rules, to commence at any time a new action for infringement of (a) any Licensed Patent, but only in the United States District Court for the Southern District of New York, White Plains Division, with respect to activities that are not licensed under Section 2.01; or (b) any other patent (including, but not limited to, the Excluded Patents and the Encumbered Patents), in any venue, with respect to activities outside the scope of the licenses granted to Licensee under Article II. Nothing contained in this Agreement shall preclude or otherwise have any effect on Genentech’s maintaining and prosecuting, to the extent permitted by governing laws and rules, the infringement action it filed in the United States District Court for the Southern District of New York, captioned </w:t>
      </w:r>
      <w:r>
        <w:rPr>
          <w:rFonts w:ascii="Arial" w:cs="Arial" w:eastAsia="Arial" w:hAnsi="Arial"/>
          <w:sz w:val="14"/>
          <w:szCs w:val="14"/>
          <w:i w:val="1"/>
          <w:iCs w:val="1"/>
          <w:color w:val="auto"/>
        </w:rPr>
        <w:t>Genentech, Inc. vs. Regeneron Pharmaceuticals, Inc., Sanofi-Aventis U.S. LLC, et al.</w:t>
      </w:r>
      <w:r>
        <w:rPr>
          <w:rFonts w:ascii="Arial" w:cs="Arial" w:eastAsia="Arial" w:hAnsi="Arial"/>
          <w:sz w:val="14"/>
          <w:szCs w:val="14"/>
          <w:color w:val="auto"/>
        </w:rPr>
        <w:t xml:space="preserve"> (Civil Action No. 11-CV-09463).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3" w:right="219" w:bottom="1440" w:gutter="0" w:footer="0" w:header="0"/>
        </w:sectPr>
      </w:pPr>
    </w:p>
    <w:bookmarkStart w:id="145" w:name="page146"/>
    <w:bookmarkEnd w:id="145"/>
    <w:p>
      <w:pPr>
        <w:jc w:val="both"/>
        <w:ind w:firstLine="279"/>
        <w:spacing w:after="0" w:line="258" w:lineRule="auto"/>
        <w:rPr>
          <w:sz w:val="20"/>
          <w:szCs w:val="20"/>
          <w:color w:val="auto"/>
        </w:rPr>
      </w:pPr>
      <w:r>
        <w:rPr>
          <w:rFonts w:ascii="Arial" w:cs="Arial" w:eastAsia="Arial" w:hAnsi="Arial"/>
          <w:sz w:val="16"/>
          <w:szCs w:val="16"/>
          <w:b w:val="1"/>
          <w:bCs w:val="1"/>
          <w:color w:val="auto"/>
        </w:rPr>
        <w:t xml:space="preserve">8.20. </w:t>
      </w:r>
      <w:r>
        <w:rPr>
          <w:rFonts w:ascii="Arial" w:cs="Arial" w:eastAsia="Arial" w:hAnsi="Arial"/>
          <w:sz w:val="16"/>
          <w:szCs w:val="16"/>
          <w:u w:val="single" w:color="auto"/>
          <w:color w:val="auto"/>
        </w:rPr>
        <w:t>Amendment of Pleadings in Pending U.S.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 later than fifteen (15) business days after the Effective Date, Genentech shall file an unopposed motion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attached hereto as Exhibit C seeking leave to file the Second Amended Answer and Counterclaims in the form attached hereto as Exhibit D. The Parties acknowledge and agree, for the avoidance of doubt, that the Second Amended Answer and Counterclaims is intended to withdraw allegations that are inconsistent with the license and release granted pursuant to this Agreement. To the extent that the Second Amended Answer and Counterclaims includes any allegations that are inconsistent with the license and release granted pursuant to this Agreement, the terms of this Agreement shall control. Nothing contained in the Second Amended Answer and Counterclaims shall be used to construe any term or condition of this Agreement.</w:t>
      </w:r>
    </w:p>
    <w:p>
      <w:pPr>
        <w:spacing w:after="0" w:line="197" w:lineRule="exact"/>
        <w:rPr>
          <w:sz w:val="20"/>
          <w:szCs w:val="20"/>
          <w:color w:val="auto"/>
        </w:rPr>
      </w:pPr>
    </w:p>
    <w:p>
      <w:pPr>
        <w:jc w:val="both"/>
        <w:ind w:firstLine="291"/>
        <w:spacing w:after="0" w:line="266"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u w:val="single" w:color="auto"/>
          <w:color w:val="auto"/>
        </w:rPr>
        <w:t>Construction</w:t>
      </w:r>
      <w:r>
        <w:rPr>
          <w:rFonts w:ascii="Arial" w:cs="Arial" w:eastAsia="Arial" w:hAnsi="Arial"/>
          <w:sz w:val="16"/>
          <w:szCs w:val="16"/>
          <w:color w:val="auto"/>
        </w:rPr>
        <w:t>. Both Parties have been represented and advised by legal counsel in connection with the negotiation, drafting, and execution of this Agreement, and both</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through their respective counsel, have participated in the drafting of this Agreement and accordingly that this Agreement shall not be deemed to have been drafted by one Party or the other and will be construed accordingly.</w:t>
      </w:r>
    </w:p>
    <w:p>
      <w:pPr>
        <w:spacing w:after="0" w:line="189"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6"/>
          <w:szCs w:val="16"/>
          <w:b w:val="1"/>
          <w:bCs w:val="1"/>
          <w:color w:val="auto"/>
        </w:rPr>
        <w:t xml:space="preserve">8.22.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simultaneously in one or more counterparts (including in the form of a PDF or other electronic document), each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an original, but all of which together shall constitute one and the same instrument.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6" w:name="page147"/>
    <w:bookmarkEnd w:id="146"/>
    <w:p>
      <w:pPr>
        <w:ind w:left="240"/>
        <w:spacing w:after="0"/>
        <w:rPr>
          <w:sz w:val="20"/>
          <w:szCs w:val="20"/>
          <w:color w:val="auto"/>
        </w:rPr>
      </w:pPr>
      <w:r>
        <w:rPr>
          <w:rFonts w:ascii="Arial" w:cs="Arial" w:eastAsia="Arial" w:hAnsi="Arial"/>
          <w:sz w:val="16"/>
          <w:szCs w:val="16"/>
          <w:color w:val="auto"/>
        </w:rPr>
        <w:t>IN WITNESS WHEREOF, Genentech and Licensee have caused this Agreement to be executed by their duly authorized representatives.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40" w:type="dxa"/>
            <w:vAlign w:val="bottom"/>
            <w:gridSpan w:val="2"/>
          </w:tcPr>
          <w:p>
            <w:pPr>
              <w:spacing w:after="0"/>
              <w:rPr>
                <w:sz w:val="20"/>
                <w:szCs w:val="20"/>
                <w:color w:val="auto"/>
              </w:rPr>
            </w:pPr>
            <w:r>
              <w:rPr>
                <w:rFonts w:ascii="Arial" w:cs="Arial" w:eastAsia="Arial" w:hAnsi="Arial"/>
                <w:sz w:val="16"/>
                <w:szCs w:val="16"/>
                <w:color w:val="auto"/>
              </w:rPr>
              <w:t>GENENTECH, INC.</w:t>
            </w:r>
          </w:p>
        </w:tc>
        <w:tc>
          <w:tcPr>
            <w:tcW w:w="6000" w:type="dxa"/>
            <w:vAlign w:val="bottom"/>
            <w:gridSpan w:val="2"/>
          </w:tcPr>
          <w:p>
            <w:pPr>
              <w:ind w:left="240"/>
              <w:spacing w:after="0"/>
              <w:rPr>
                <w:sz w:val="20"/>
                <w:szCs w:val="20"/>
                <w:color w:val="auto"/>
              </w:rPr>
            </w:pPr>
            <w:r>
              <w:rPr>
                <w:rFonts w:ascii="Arial" w:cs="Arial" w:eastAsia="Arial" w:hAnsi="Arial"/>
                <w:sz w:val="16"/>
                <w:szCs w:val="16"/>
                <w:color w:val="auto"/>
              </w:rPr>
              <w:t>REGENERON PHARMACEUTICALS, INC.</w:t>
            </w:r>
          </w:p>
        </w:tc>
        <w:tc>
          <w:tcPr>
            <w:tcW w:w="20" w:type="dxa"/>
            <w:vAlign w:val="bottom"/>
          </w:tcPr>
          <w:p>
            <w:pPr>
              <w:spacing w:after="0"/>
              <w:rPr>
                <w:sz w:val="17"/>
                <w:szCs w:val="17"/>
                <w:color w:val="auto"/>
              </w:rPr>
            </w:pPr>
          </w:p>
        </w:tc>
      </w:tr>
      <w:tr>
        <w:trPr>
          <w:trHeight w:val="675"/>
        </w:trPr>
        <w:tc>
          <w:tcPr>
            <w:tcW w:w="340" w:type="dxa"/>
            <w:vAlign w:val="bottom"/>
          </w:tcPr>
          <w:p>
            <w:pPr>
              <w:spacing w:after="0"/>
              <w:rPr>
                <w:sz w:val="20"/>
                <w:szCs w:val="20"/>
                <w:color w:val="auto"/>
              </w:rPr>
            </w:pPr>
            <w:r>
              <w:rPr>
                <w:rFonts w:ascii="Arial" w:cs="Arial" w:eastAsia="Arial" w:hAnsi="Arial"/>
                <w:sz w:val="16"/>
                <w:szCs w:val="16"/>
                <w:color w:val="auto"/>
              </w:rPr>
              <w:t>By:</w:t>
            </w:r>
          </w:p>
        </w:tc>
        <w:tc>
          <w:tcPr>
            <w:tcW w:w="51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 Leonard Schleifer</w:t>
            </w:r>
          </w:p>
        </w:tc>
        <w:tc>
          <w:tcPr>
            <w:tcW w:w="580" w:type="dxa"/>
            <w:vAlign w:val="bottom"/>
          </w:tcPr>
          <w:p>
            <w:pPr>
              <w:ind w:left="240"/>
              <w:spacing w:after="0"/>
              <w:rPr>
                <w:sz w:val="20"/>
                <w:szCs w:val="20"/>
                <w:color w:val="auto"/>
              </w:rPr>
            </w:pPr>
            <w:r>
              <w:rPr>
                <w:rFonts w:ascii="Arial" w:cs="Arial" w:eastAsia="Arial" w:hAnsi="Arial"/>
                <w:sz w:val="16"/>
                <w:szCs w:val="16"/>
                <w:color w:val="auto"/>
              </w:rPr>
              <w:t>By:</w:t>
            </w:r>
          </w:p>
        </w:tc>
        <w:tc>
          <w:tcPr>
            <w:tcW w:w="5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 Frederick C. Kentz III</w:t>
            </w:r>
          </w:p>
        </w:tc>
        <w:tc>
          <w:tcPr>
            <w:tcW w:w="20" w:type="dxa"/>
            <w:vAlign w:val="bottom"/>
          </w:tcPr>
          <w:p>
            <w:pPr>
              <w:spacing w:after="0"/>
              <w:rPr>
                <w:sz w:val="24"/>
                <w:szCs w:val="24"/>
                <w:color w:val="auto"/>
              </w:rPr>
            </w:pPr>
          </w:p>
        </w:tc>
      </w:tr>
      <w:tr>
        <w:trPr>
          <w:trHeight w:val="660"/>
        </w:trPr>
        <w:tc>
          <w:tcPr>
            <w:tcW w:w="340" w:type="dxa"/>
            <w:vAlign w:val="bottom"/>
          </w:tcPr>
          <w:p>
            <w:pPr>
              <w:spacing w:after="0"/>
              <w:rPr>
                <w:sz w:val="20"/>
                <w:szCs w:val="20"/>
                <w:color w:val="auto"/>
              </w:rPr>
            </w:pPr>
            <w:r>
              <w:rPr>
                <w:rFonts w:ascii="Arial" w:cs="Arial" w:eastAsia="Arial" w:hAnsi="Arial"/>
                <w:sz w:val="16"/>
                <w:szCs w:val="16"/>
                <w:color w:val="auto"/>
                <w:w w:val="92"/>
              </w:rPr>
              <w:t>Title:</w:t>
            </w:r>
          </w:p>
        </w:tc>
        <w:tc>
          <w:tcPr>
            <w:tcW w:w="51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President &amp; CEO</w:t>
            </w:r>
          </w:p>
        </w:tc>
        <w:tc>
          <w:tcPr>
            <w:tcW w:w="580" w:type="dxa"/>
            <w:vAlign w:val="bottom"/>
          </w:tcPr>
          <w:p>
            <w:pPr>
              <w:ind w:left="240"/>
              <w:spacing w:after="0"/>
              <w:rPr>
                <w:sz w:val="20"/>
                <w:szCs w:val="20"/>
                <w:color w:val="auto"/>
              </w:rPr>
            </w:pPr>
            <w:r>
              <w:rPr>
                <w:rFonts w:ascii="Arial" w:cs="Arial" w:eastAsia="Arial" w:hAnsi="Arial"/>
                <w:sz w:val="16"/>
                <w:szCs w:val="16"/>
                <w:color w:val="auto"/>
                <w:w w:val="92"/>
              </w:rPr>
              <w:t>Title:</w:t>
            </w:r>
          </w:p>
        </w:tc>
        <w:tc>
          <w:tcPr>
            <w:tcW w:w="5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Sr. Vice President</w:t>
            </w:r>
          </w:p>
        </w:tc>
        <w:tc>
          <w:tcPr>
            <w:tcW w:w="20" w:type="dxa"/>
            <w:vAlign w:val="bottom"/>
          </w:tcPr>
          <w:p>
            <w:pPr>
              <w:spacing w:after="0"/>
              <w:rPr>
                <w:sz w:val="24"/>
                <w:szCs w:val="24"/>
                <w:color w:val="auto"/>
              </w:rPr>
            </w:pPr>
          </w:p>
        </w:tc>
      </w:tr>
      <w:tr>
        <w:trPr>
          <w:trHeight w:val="659"/>
        </w:trPr>
        <w:tc>
          <w:tcPr>
            <w:tcW w:w="340" w:type="dxa"/>
            <w:vAlign w:val="bottom"/>
          </w:tcPr>
          <w:p>
            <w:pPr>
              <w:spacing w:after="0"/>
              <w:rPr>
                <w:sz w:val="20"/>
                <w:szCs w:val="20"/>
                <w:color w:val="auto"/>
              </w:rPr>
            </w:pPr>
            <w:r>
              <w:rPr>
                <w:rFonts w:ascii="Arial" w:cs="Arial" w:eastAsia="Arial" w:hAnsi="Arial"/>
                <w:sz w:val="16"/>
                <w:szCs w:val="16"/>
                <w:color w:val="auto"/>
                <w:w w:val="83"/>
              </w:rPr>
              <w:t>Date:</w:t>
            </w:r>
          </w:p>
        </w:tc>
        <w:tc>
          <w:tcPr>
            <w:tcW w:w="51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December 31, 2011</w:t>
            </w:r>
          </w:p>
        </w:tc>
        <w:tc>
          <w:tcPr>
            <w:tcW w:w="580" w:type="dxa"/>
            <w:vAlign w:val="bottom"/>
          </w:tcPr>
          <w:p>
            <w:pPr>
              <w:ind w:left="240"/>
              <w:spacing w:after="0"/>
              <w:rPr>
                <w:sz w:val="20"/>
                <w:szCs w:val="20"/>
                <w:color w:val="auto"/>
              </w:rPr>
            </w:pPr>
            <w:r>
              <w:rPr>
                <w:rFonts w:ascii="Arial" w:cs="Arial" w:eastAsia="Arial" w:hAnsi="Arial"/>
                <w:sz w:val="16"/>
                <w:szCs w:val="16"/>
                <w:color w:val="auto"/>
                <w:w w:val="83"/>
              </w:rPr>
              <w:t>Date:</w:t>
            </w:r>
          </w:p>
        </w:tc>
        <w:tc>
          <w:tcPr>
            <w:tcW w:w="5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December 31, 2011</w:t>
            </w:r>
          </w:p>
        </w:tc>
        <w:tc>
          <w:tcPr>
            <w:tcW w:w="20" w:type="dxa"/>
            <w:vAlign w:val="bottom"/>
          </w:tcPr>
          <w:p>
            <w:pPr>
              <w:spacing w:after="0"/>
              <w:rPr>
                <w:sz w:val="24"/>
                <w:szCs w:val="24"/>
                <w:color w:val="auto"/>
              </w:rPr>
            </w:pPr>
          </w:p>
        </w:tc>
      </w:tr>
      <w:tr>
        <w:trPr>
          <w:trHeight w:val="604"/>
        </w:trPr>
        <w:tc>
          <w:tcPr>
            <w:tcW w:w="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w w:val="90"/>
              </w:rPr>
              <w:t>Page 22</w:t>
            </w: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340" w:type="dxa"/>
            <w:vAlign w:val="bottom"/>
            <w:tcBorders>
              <w:bottom w:val="single" w:sz="8" w:color="808080"/>
            </w:tcBorders>
          </w:tcPr>
          <w:p>
            <w:pPr>
              <w:spacing w:after="0"/>
              <w:rPr>
                <w:sz w:val="17"/>
                <w:szCs w:val="17"/>
                <w:color w:val="auto"/>
              </w:rPr>
            </w:pPr>
          </w:p>
        </w:tc>
        <w:tc>
          <w:tcPr>
            <w:tcW w:w="51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54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7263765</wp:posOffset>
            </wp:positionH>
            <wp:positionV relativeFrom="paragraph">
              <wp:posOffset>-13335</wp:posOffset>
            </wp:positionV>
            <wp:extent cx="127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68" w:right="19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u w:val="single" w:color="auto"/>
          <w:color w:val="auto"/>
        </w:rPr>
        <w:t>Exhibit A</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Excluded Patents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132715</wp:posOffset>
            </wp:positionV>
            <wp:extent cx="7280910"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9019"/>
          </w:cols>
          <w:pgMar w:left="1440" w:top="543"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u w:val="single" w:color="auto"/>
          <w:color w:val="auto"/>
        </w:rPr>
        <w:t>Exhibit B</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Regeneron Announces Settlement of Patent Litigation with Genentech for U.S. Ophthalmic Sales of EYLEA™ (aflibercept) Injection</w:t>
      </w:r>
    </w:p>
    <w:p>
      <w:pPr>
        <w:spacing w:after="0" w:line="204"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Tarrytown, NY, [date] </w:t>
      </w:r>
      <w:r>
        <w:rPr>
          <w:rFonts w:ascii="Arial" w:cs="Arial" w:eastAsia="Arial" w:hAnsi="Arial"/>
          <w:sz w:val="16"/>
          <w:szCs w:val="16"/>
          <w:color w:val="auto"/>
        </w:rPr>
        <w:t>-- Regeneron Pharmaceuticals, Inc. (NASDAQ: REGN) announced today that the Company has entered into a non-exclusive license and partial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(Agreement) with Genentech, Inc. relating to U.S. ophthalmic sales of EYLEA™ (aflibercept) Injection.</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Regeneron received a non-exclusive license to certain patents relating to VEGF receptor proteins, known as the Davis-Smyth patents, and other technology patents. The Davis-Smyth patents are the subject of patent litigation between Regeneron and Genentech now pending in the United States District Court, Southern District of New York. Patent litigation is continuing with respect to matters not covered by the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Under the terms of the Agreement, Regeneron will make payments to Genentech based on U.S. sales of EYLEA through May 7, 2016. Regeneron will pay $60 million upon cumulative U.S. sales of EYLEA reaching $400 million. Regeneron will also pay royalties of 4.75% on cumulative U.S sales of EYLEA between $400 million and $3 billion and 5.5% on any cumulative U.S sales of EYLEA over $3 billion.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Regeneron Pharmaceuticals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two products, ARCALYST® (rilonacept) Injection For Subcutaneous Use and EYLEA™ (aflibercept) Injection. Regeneron also has completed several Phase 3 studies and is conducting an additional Phase 3 clinical trial for the product candidate ZALTRAP® (aflibercept) Concentrate for Intravenous Infusion.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the Regeneron web site at www.regeneron.com.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Regeneron Forward Looking Statement</w:t>
      </w:r>
    </w:p>
    <w:p>
      <w:pPr>
        <w:spacing w:after="0" w:line="2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and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EYLEA and other products and drug candidates, competing drugs that may be superior to EYLEA and Regeneron’s products and drug candidates, uncertainty of market acceptance of EYLEA and Regeneron’s products and drug candidates, the possibility of EYLEA sales meeting or exceeding any of the cumulative U.S. sales targets triggering payments to Genentech described in this news release, the possibility of EYLEA sales meeting or exceeding any of the cumulative U.S. sales targets triggering payments to Genentech described in this news release,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Your Investor Relations Contact at Regeneron: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Michael Aberman, M.D. Tel. +1 (914) 345-7799</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E-Mail: michael.aberman@regeneron.com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Your Media Contact at Regeneron: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Peter Dworkin, Tel. +1 (914) 345-7640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E-Mail: peter.dworkin@regeneron.com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3400" w:type="dxa"/>
            <w:vAlign w:val="bottom"/>
            <w:gridSpan w:val="4"/>
          </w:tcPr>
          <w:p>
            <w:pPr>
              <w:ind w:left="540"/>
              <w:spacing w:after="0"/>
              <w:rPr>
                <w:sz w:val="20"/>
                <w:szCs w:val="20"/>
                <w:color w:val="auto"/>
              </w:rPr>
            </w:pPr>
            <w:r>
              <w:rPr>
                <w:rFonts w:ascii="Arial" w:cs="Arial" w:eastAsia="Arial" w:hAnsi="Arial"/>
                <w:sz w:val="16"/>
                <w:szCs w:val="16"/>
                <w:color w:val="auto"/>
              </w:rPr>
              <w:t>Exhibit C</w:t>
            </w:r>
          </w:p>
        </w:tc>
      </w:tr>
      <w:tr>
        <w:trPr>
          <w:trHeight w:val="392"/>
        </w:trPr>
        <w:tc>
          <w:tcPr>
            <w:tcW w:w="4860" w:type="dxa"/>
            <w:vAlign w:val="bottom"/>
          </w:tcPr>
          <w:p>
            <w:pPr>
              <w:spacing w:after="0"/>
              <w:rPr>
                <w:sz w:val="20"/>
                <w:szCs w:val="20"/>
                <w:color w:val="auto"/>
              </w:rPr>
            </w:pPr>
            <w:r>
              <w:rPr>
                <w:rFonts w:ascii="Arial" w:cs="Arial" w:eastAsia="Arial" w:hAnsi="Arial"/>
                <w:sz w:val="16"/>
                <w:szCs w:val="16"/>
                <w:b w:val="1"/>
                <w:bCs w:val="1"/>
                <w:color w:val="auto"/>
              </w:rPr>
              <w:t>UNITED STATES DISTRICT COURT</w:t>
            </w:r>
          </w:p>
        </w:tc>
        <w:tc>
          <w:tcPr>
            <w:tcW w:w="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6"/>
                <w:szCs w:val="16"/>
                <w:b w:val="1"/>
                <w:bCs w:val="1"/>
                <w:color w:val="auto"/>
              </w:rPr>
              <w:t>SOUTHERN DISTRICT OF NEW YORK</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7"/>
        </w:trPr>
        <w:tc>
          <w:tcPr>
            <w:tcW w:w="4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0"/>
        </w:trPr>
        <w:tc>
          <w:tcPr>
            <w:tcW w:w="4860" w:type="dxa"/>
            <w:vAlign w:val="bottom"/>
          </w:tcPr>
          <w:p>
            <w:pPr>
              <w:spacing w:after="0"/>
              <w:rPr>
                <w:sz w:val="20"/>
                <w:szCs w:val="20"/>
                <w:color w:val="auto"/>
              </w:rPr>
            </w:pPr>
            <w:r>
              <w:rPr>
                <w:rFonts w:ascii="Arial" w:cs="Arial" w:eastAsia="Arial" w:hAnsi="Arial"/>
                <w:sz w:val="16"/>
                <w:szCs w:val="16"/>
                <w:color w:val="auto"/>
              </w:rPr>
              <w:t>REGENERON PHARMACEUTICALS, INC.,</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4860" w:type="dxa"/>
            <w:vAlign w:val="bottom"/>
          </w:tcPr>
          <w:p>
            <w:pPr>
              <w:ind w:left="3060"/>
              <w:spacing w:after="0"/>
              <w:rPr>
                <w:sz w:val="20"/>
                <w:szCs w:val="20"/>
                <w:color w:val="auto"/>
              </w:rPr>
            </w:pPr>
            <w:r>
              <w:rPr>
                <w:rFonts w:ascii="Arial" w:cs="Arial" w:eastAsia="Arial" w:hAnsi="Arial"/>
                <w:sz w:val="16"/>
                <w:szCs w:val="16"/>
                <w:color w:val="auto"/>
              </w:rPr>
              <w:t>Plaintiff,</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4860" w:type="dxa"/>
            <w:vAlign w:val="bottom"/>
          </w:tcPr>
          <w:p>
            <w:pPr>
              <w:ind w:left="2960"/>
              <w:spacing w:after="0"/>
              <w:rPr>
                <w:sz w:val="20"/>
                <w:szCs w:val="20"/>
                <w:color w:val="auto"/>
              </w:rPr>
            </w:pPr>
            <w:r>
              <w:rPr>
                <w:rFonts w:ascii="Arial" w:cs="Arial" w:eastAsia="Arial" w:hAnsi="Arial"/>
                <w:sz w:val="16"/>
                <w:szCs w:val="16"/>
                <w:color w:val="auto"/>
              </w:rPr>
              <w:t>v.</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4860" w:type="dxa"/>
            <w:vAlign w:val="bottom"/>
          </w:tcPr>
          <w:p>
            <w:pPr>
              <w:spacing w:after="0"/>
              <w:rPr>
                <w:sz w:val="20"/>
                <w:szCs w:val="20"/>
                <w:color w:val="auto"/>
              </w:rPr>
            </w:pPr>
            <w:r>
              <w:rPr>
                <w:rFonts w:ascii="Arial" w:cs="Arial" w:eastAsia="Arial" w:hAnsi="Arial"/>
                <w:sz w:val="16"/>
                <w:szCs w:val="16"/>
                <w:color w:val="auto"/>
              </w:rPr>
              <w:t>GENENTECH, INC.,</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560" w:type="dxa"/>
            <w:vAlign w:val="bottom"/>
            <w:gridSpan w:val="2"/>
          </w:tcPr>
          <w:p>
            <w:pPr>
              <w:ind w:left="240"/>
              <w:spacing w:after="0"/>
              <w:rPr>
                <w:sz w:val="20"/>
                <w:szCs w:val="20"/>
                <w:color w:val="auto"/>
              </w:rPr>
            </w:pPr>
            <w:r>
              <w:rPr>
                <w:rFonts w:ascii="Arial" w:cs="Arial" w:eastAsia="Arial" w:hAnsi="Arial"/>
                <w:sz w:val="16"/>
                <w:szCs w:val="16"/>
                <w:color w:val="auto"/>
                <w:w w:val="94"/>
              </w:rPr>
              <w:t>Civil Action No. 11-CV-01156 (VB)</w:t>
            </w:r>
          </w:p>
        </w:tc>
      </w:tr>
      <w:tr>
        <w:trPr>
          <w:trHeight w:val="202"/>
        </w:trPr>
        <w:tc>
          <w:tcPr>
            <w:tcW w:w="4860" w:type="dxa"/>
            <w:vAlign w:val="bottom"/>
            <w:tcBorders>
              <w:bottom w:val="single" w:sz="8" w:color="auto"/>
            </w:tcBorders>
          </w:tcPr>
          <w:p>
            <w:pPr>
              <w:ind w:left="3060"/>
              <w:spacing w:after="0"/>
              <w:rPr>
                <w:sz w:val="20"/>
                <w:szCs w:val="20"/>
                <w:color w:val="auto"/>
              </w:rPr>
            </w:pPr>
            <w:r>
              <w:rPr>
                <w:rFonts w:ascii="Arial" w:cs="Arial" w:eastAsia="Arial" w:hAnsi="Arial"/>
                <w:sz w:val="16"/>
                <w:szCs w:val="16"/>
                <w:color w:val="auto"/>
              </w:rPr>
              <w:t>Defendant.</w:t>
            </w: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60" w:type="dxa"/>
            <w:vAlign w:val="bottom"/>
            <w:gridSpan w:val="2"/>
          </w:tcPr>
          <w:p>
            <w:pPr>
              <w:ind w:left="240"/>
              <w:spacing w:after="0"/>
              <w:rPr>
                <w:sz w:val="20"/>
                <w:szCs w:val="20"/>
                <w:color w:val="auto"/>
              </w:rPr>
            </w:pPr>
            <w:r>
              <w:rPr>
                <w:rFonts w:ascii="Arial" w:cs="Arial" w:eastAsia="Arial" w:hAnsi="Arial"/>
                <w:sz w:val="16"/>
                <w:szCs w:val="16"/>
                <w:color w:val="auto"/>
              </w:rPr>
              <w:t>ECF Case</w:t>
            </w:r>
          </w:p>
        </w:tc>
      </w:tr>
      <w:tr>
        <w:trPr>
          <w:trHeight w:val="179"/>
        </w:trPr>
        <w:tc>
          <w:tcPr>
            <w:tcW w:w="4860" w:type="dxa"/>
            <w:vAlign w:val="bottom"/>
          </w:tcPr>
          <w:p>
            <w:pPr>
              <w:spacing w:after="0" w:line="179" w:lineRule="exact"/>
              <w:rPr>
                <w:sz w:val="20"/>
                <w:szCs w:val="20"/>
                <w:color w:val="auto"/>
              </w:rPr>
            </w:pPr>
            <w:r>
              <w:rPr>
                <w:rFonts w:ascii="Arial" w:cs="Arial" w:eastAsia="Arial" w:hAnsi="Arial"/>
                <w:sz w:val="16"/>
                <w:szCs w:val="16"/>
                <w:color w:val="auto"/>
              </w:rPr>
              <w:t>GENENTECH, INC.,</w:t>
            </w:r>
          </w:p>
        </w:tc>
        <w:tc>
          <w:tcPr>
            <w:tcW w:w="5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94"/>
        </w:trPr>
        <w:tc>
          <w:tcPr>
            <w:tcW w:w="4860" w:type="dxa"/>
            <w:vAlign w:val="bottom"/>
          </w:tcPr>
          <w:p>
            <w:pPr>
              <w:ind w:left="3060"/>
              <w:spacing w:after="0"/>
              <w:rPr>
                <w:sz w:val="20"/>
                <w:szCs w:val="20"/>
                <w:color w:val="auto"/>
              </w:rPr>
            </w:pPr>
            <w:r>
              <w:rPr>
                <w:rFonts w:ascii="Arial" w:cs="Arial" w:eastAsia="Arial" w:hAnsi="Arial"/>
                <w:sz w:val="16"/>
                <w:szCs w:val="16"/>
                <w:color w:val="auto"/>
              </w:rPr>
              <w:t>Counter-Plaintiff,</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4860" w:type="dxa"/>
            <w:vAlign w:val="bottom"/>
          </w:tcPr>
          <w:p>
            <w:pPr>
              <w:ind w:left="2960"/>
              <w:spacing w:after="0"/>
              <w:rPr>
                <w:sz w:val="20"/>
                <w:szCs w:val="20"/>
                <w:color w:val="auto"/>
              </w:rPr>
            </w:pPr>
            <w:r>
              <w:rPr>
                <w:rFonts w:ascii="Arial" w:cs="Arial" w:eastAsia="Arial" w:hAnsi="Arial"/>
                <w:sz w:val="16"/>
                <w:szCs w:val="16"/>
                <w:color w:val="auto"/>
              </w:rPr>
              <w:t>v.</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4860" w:type="dxa"/>
            <w:vAlign w:val="bottom"/>
          </w:tcPr>
          <w:p>
            <w:pPr>
              <w:spacing w:after="0"/>
              <w:rPr>
                <w:sz w:val="20"/>
                <w:szCs w:val="20"/>
                <w:color w:val="auto"/>
              </w:rPr>
            </w:pPr>
            <w:r>
              <w:rPr>
                <w:rFonts w:ascii="Arial" w:cs="Arial" w:eastAsia="Arial" w:hAnsi="Arial"/>
                <w:sz w:val="16"/>
                <w:szCs w:val="16"/>
                <w:color w:val="auto"/>
              </w:rPr>
              <w:t>REGENERON PHARMACEUTICALS, INC.,</w:t>
            </w: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2"/>
        </w:trPr>
        <w:tc>
          <w:tcPr>
            <w:tcW w:w="4860" w:type="dxa"/>
            <w:vAlign w:val="bottom"/>
            <w:tcBorders>
              <w:bottom w:val="single" w:sz="8" w:color="auto"/>
            </w:tcBorders>
          </w:tcPr>
          <w:p>
            <w:pPr>
              <w:ind w:left="3060"/>
              <w:spacing w:after="0"/>
              <w:rPr>
                <w:sz w:val="20"/>
                <w:szCs w:val="20"/>
                <w:color w:val="auto"/>
              </w:rPr>
            </w:pPr>
            <w:r>
              <w:rPr>
                <w:rFonts w:ascii="Arial" w:cs="Arial" w:eastAsia="Arial" w:hAnsi="Arial"/>
                <w:sz w:val="16"/>
                <w:szCs w:val="16"/>
                <w:color w:val="auto"/>
              </w:rPr>
              <w:t>Counter-Defendant.</w:t>
            </w: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bl>
    <w:p>
      <w:pPr>
        <w:spacing w:after="0" w:line="400"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GENENTECH’S UNOPPOSED MOTION FOR</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b w:val="1"/>
          <w:bCs w:val="1"/>
          <w:u w:val="single" w:color="auto"/>
          <w:color w:val="auto"/>
        </w:rPr>
        <w:t>LEAVE TO AMEND ITS COUNTERCLAIMS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Genentech, Inc. (“Genentech”) files this unopposed motion for leave to amend its counterclaims in response to the Complaint filed by Plaintiff Regeneron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(“Regeneron”) to clarify the nature of Genentech’s allegations against Regeneron.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1. Regeneron does not oppose this motion.</w:t>
      </w:r>
    </w:p>
    <w:p>
      <w:pPr>
        <w:spacing w:after="0" w:line="22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5"/>
          <w:szCs w:val="15"/>
          <w:color w:val="auto"/>
        </w:rPr>
        <w:t xml:space="preserve">Rule 15(a) provides that a Court’s permission to amend a pleading “shall be freely given when justice so requires.” Fed. R. Civ. P. 15(a); </w:t>
      </w:r>
      <w:r>
        <w:rPr>
          <w:rFonts w:ascii="Arial" w:cs="Arial" w:eastAsia="Arial" w:hAnsi="Arial"/>
          <w:sz w:val="15"/>
          <w:szCs w:val="15"/>
          <w:i w:val="1"/>
          <w:iCs w:val="1"/>
          <w:color w:val="auto"/>
        </w:rPr>
        <w:t>see also Foman v. Davis</w:t>
      </w:r>
      <w:r>
        <w:rPr>
          <w:rFonts w:ascii="Arial" w:cs="Arial" w:eastAsia="Arial" w:hAnsi="Arial"/>
          <w:sz w:val="15"/>
          <w:szCs w:val="15"/>
          <w:color w:val="auto"/>
        </w:rPr>
        <w:t xml:space="preserve">, 371 U.S. 178, 182 (1962) (“[T]his mandate is to be heeded. . . . [T]he leave sought should, as the rules require, be ‘freely given.’”). In the Second Circuit, the rule is “to allow a party to amend its pleadings in the absence of a showing by the nonmovant of prejudice or bad faith.” </w:t>
      </w:r>
      <w:r>
        <w:rPr>
          <w:rFonts w:ascii="Arial" w:cs="Arial" w:eastAsia="Arial" w:hAnsi="Arial"/>
          <w:sz w:val="15"/>
          <w:szCs w:val="15"/>
          <w:i w:val="1"/>
          <w:iCs w:val="1"/>
          <w:color w:val="auto"/>
        </w:rPr>
        <w:t>Block v. First Blood Assocs.,</w:t>
      </w:r>
      <w:r>
        <w:rPr>
          <w:rFonts w:ascii="Arial" w:cs="Arial" w:eastAsia="Arial" w:hAnsi="Arial"/>
          <w:sz w:val="15"/>
          <w:szCs w:val="15"/>
          <w:color w:val="auto"/>
        </w:rPr>
        <w:t xml:space="preserve"> 988 F.2d 344, 350 (2d Cir. 1993).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51" w:name="page152"/>
    <w:bookmarkEnd w:id="151"/>
    <w:p>
      <w:pPr>
        <w:jc w:val="both"/>
        <w:ind w:right="20" w:firstLine="291"/>
        <w:spacing w:after="0" w:line="264" w:lineRule="auto"/>
        <w:rPr>
          <w:sz w:val="20"/>
          <w:szCs w:val="20"/>
          <w:color w:val="auto"/>
        </w:rPr>
      </w:pPr>
      <w:r>
        <w:rPr>
          <w:rFonts w:ascii="Arial" w:cs="Arial" w:eastAsia="Arial" w:hAnsi="Arial"/>
          <w:sz w:val="16"/>
          <w:szCs w:val="16"/>
          <w:color w:val="auto"/>
        </w:rPr>
        <w:t>There is no prejudice or bad faith here. Genentech’s motion to amend is timely filed within the period allowed by this Court’s Scheduling Order. D.I. 33 (providing that the deadline for amendment of pleadings is May 10, 2012). This case is still in an early stage of proceedings, and the parties have yet to exchange infringement contentions and invalidity contentions, which are due in February 2012 and March 2012,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Accordingly, this Court should grant Genentech leave to amend its counterclaims.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Dated: January __, 2012</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PAUL, WEISS, RIFKIND, WHARTON &amp;</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GARRISON LLP</w:t>
      </w:r>
    </w:p>
    <w:p>
      <w:pPr>
        <w:spacing w:after="0" w:line="257" w:lineRule="exact"/>
        <w:rPr>
          <w:sz w:val="20"/>
          <w:szCs w:val="20"/>
          <w:color w:val="auto"/>
        </w:rPr>
      </w:pPr>
    </w:p>
    <w:tbl>
      <w:tblPr>
        <w:tblLayout w:type="fixed"/>
        <w:tblInd w:w="5720" w:type="dxa"/>
        <w:tblCellMar>
          <w:top w:w="0" w:type="dxa"/>
          <w:left w:w="0" w:type="dxa"/>
          <w:bottom w:w="0" w:type="dxa"/>
          <w:right w:w="0" w:type="dxa"/>
        </w:tblCellMar>
      </w:tblPr>
      <w:tr>
        <w:trPr>
          <w:trHeight w:val="208"/>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54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/s/ Kenneth A Gallo</w:t>
            </w:r>
          </w:p>
        </w:tc>
      </w:tr>
      <w:tr>
        <w:trPr>
          <w:trHeight w:val="203"/>
        </w:trPr>
        <w:tc>
          <w:tcPr>
            <w:tcW w:w="28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Kenneth A. Gallo</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2001 K Street NW</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Washington, DC 20006</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Tel: (202) 223-7300</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Fax: (202) 223-7420</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Email: kgallo@paulweiss.com</w:t>
            </w:r>
          </w:p>
        </w:tc>
      </w:tr>
      <w:tr>
        <w:trPr>
          <w:trHeight w:val="437"/>
        </w:trPr>
        <w:tc>
          <w:tcPr>
            <w:tcW w:w="28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John E. Nathan</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Eric Alan Stone</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1285 Avenue of the Americas</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New York, NY 10019</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Tel: (212) 373-3000</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Fax: (212) 757-3990</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Email: jnathan@paulweiss.com</w:t>
            </w:r>
          </w:p>
        </w:tc>
      </w:tr>
      <w:tr>
        <w:trPr>
          <w:trHeight w:val="218"/>
        </w:trPr>
        <w:tc>
          <w:tcPr>
            <w:tcW w:w="2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Email: estone@paulweiss.com</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52" w:name="page153"/>
    <w:bookmarkEnd w:id="152"/>
    <w:p>
      <w:pPr>
        <w:ind w:left="4760"/>
        <w:spacing w:after="0"/>
        <w:rPr>
          <w:sz w:val="20"/>
          <w:szCs w:val="20"/>
          <w:color w:val="auto"/>
        </w:rPr>
      </w:pPr>
      <w:r>
        <w:rPr>
          <w:rFonts w:ascii="Arial" w:cs="Arial" w:eastAsia="Arial" w:hAnsi="Arial"/>
          <w:sz w:val="16"/>
          <w:szCs w:val="16"/>
          <w:b w:val="1"/>
          <w:bCs w:val="1"/>
          <w:color w:val="auto"/>
        </w:rPr>
        <w:t>BAKER BOTTS LLP</w:t>
      </w:r>
    </w:p>
    <w:p>
      <w:pPr>
        <w:spacing w:after="0" w:line="38"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Jennifer Gordon</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Scott Familant</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30 Rockefeller Center</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New York, NY 10112</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Tel: (212) 408-2500</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Fax: (212) 408-2501</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Email: jennifer.gordon@bakerbotts.com</w:t>
      </w:r>
    </w:p>
    <w:p>
      <w:pPr>
        <w:spacing w:after="0" w:line="46"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Email: scott.familant@bakerbotts.com</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4"/>
          <w:szCs w:val="14"/>
          <w:i w:val="1"/>
          <w:iCs w:val="1"/>
          <w:color w:val="auto"/>
        </w:rPr>
        <w:t>Attorneys for Defendant and Counter-Plaintiff</w:t>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6"/>
          <w:szCs w:val="16"/>
          <w:i w:val="1"/>
          <w:iCs w:val="1"/>
          <w:color w:val="auto"/>
        </w:rPr>
        <w:t>Genentech, Inc.</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161925</wp:posOffset>
            </wp:positionV>
            <wp:extent cx="7280910"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680" w:type="dxa"/>
            <w:vAlign w:val="bottom"/>
            <w:gridSpan w:val="4"/>
          </w:tcPr>
          <w:p>
            <w:pPr>
              <w:ind w:left="820"/>
              <w:spacing w:after="0"/>
              <w:rPr>
                <w:sz w:val="20"/>
                <w:szCs w:val="20"/>
                <w:color w:val="auto"/>
              </w:rPr>
            </w:pPr>
            <w:r>
              <w:rPr>
                <w:rFonts w:ascii="Arial" w:cs="Arial" w:eastAsia="Arial" w:hAnsi="Arial"/>
                <w:sz w:val="16"/>
                <w:szCs w:val="16"/>
                <w:color w:val="auto"/>
              </w:rPr>
              <w:t>Exhibit D</w:t>
            </w:r>
          </w:p>
        </w:tc>
      </w:tr>
      <w:tr>
        <w:trPr>
          <w:trHeight w:val="392"/>
        </w:trPr>
        <w:tc>
          <w:tcPr>
            <w:tcW w:w="4580" w:type="dxa"/>
            <w:vAlign w:val="bottom"/>
          </w:tcPr>
          <w:p>
            <w:pPr>
              <w:spacing w:after="0"/>
              <w:rPr>
                <w:sz w:val="20"/>
                <w:szCs w:val="20"/>
                <w:color w:val="auto"/>
              </w:rPr>
            </w:pPr>
            <w:r>
              <w:rPr>
                <w:rFonts w:ascii="Arial" w:cs="Arial" w:eastAsia="Arial" w:hAnsi="Arial"/>
                <w:sz w:val="16"/>
                <w:szCs w:val="16"/>
                <w:b w:val="1"/>
                <w:bCs w:val="1"/>
                <w:color w:val="auto"/>
              </w:rPr>
              <w:t>UNITED STATES DISTRICT COURT</w:t>
            </w:r>
          </w:p>
        </w:tc>
        <w:tc>
          <w:tcPr>
            <w:tcW w:w="8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6"/>
                <w:szCs w:val="16"/>
                <w:b w:val="1"/>
                <w:bCs w:val="1"/>
                <w:color w:val="auto"/>
              </w:rPr>
              <w:t>SOUTHERN DISTRICT OF NEW YORK</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7"/>
        </w:trPr>
        <w:tc>
          <w:tcPr>
            <w:tcW w:w="4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0"/>
        </w:trPr>
        <w:tc>
          <w:tcPr>
            <w:tcW w:w="4580" w:type="dxa"/>
            <w:vAlign w:val="bottom"/>
          </w:tcPr>
          <w:p>
            <w:pPr>
              <w:spacing w:after="0"/>
              <w:rPr>
                <w:sz w:val="20"/>
                <w:szCs w:val="20"/>
                <w:color w:val="auto"/>
              </w:rPr>
            </w:pPr>
            <w:r>
              <w:rPr>
                <w:rFonts w:ascii="Arial" w:cs="Arial" w:eastAsia="Arial" w:hAnsi="Arial"/>
                <w:sz w:val="16"/>
                <w:szCs w:val="16"/>
                <w:color w:val="auto"/>
              </w:rPr>
              <w:t>REGENERON PHARMACEUTICALS, INC.,</w:t>
            </w:r>
          </w:p>
        </w:tc>
        <w:tc>
          <w:tcPr>
            <w:tcW w:w="8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4"/>
        </w:trPr>
        <w:tc>
          <w:tcPr>
            <w:tcW w:w="4580" w:type="dxa"/>
            <w:vAlign w:val="bottom"/>
          </w:tcPr>
          <w:p>
            <w:pPr>
              <w:ind w:left="3060"/>
              <w:spacing w:after="0"/>
              <w:rPr>
                <w:sz w:val="20"/>
                <w:szCs w:val="20"/>
                <w:color w:val="auto"/>
              </w:rPr>
            </w:pPr>
            <w:r>
              <w:rPr>
                <w:rFonts w:ascii="Arial" w:cs="Arial" w:eastAsia="Arial" w:hAnsi="Arial"/>
                <w:sz w:val="16"/>
                <w:szCs w:val="16"/>
                <w:color w:val="auto"/>
              </w:rPr>
              <w:t>Plaintiff,</w:t>
            </w:r>
          </w:p>
        </w:tc>
        <w:tc>
          <w:tcPr>
            <w:tcW w:w="8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560" w:type="dxa"/>
            <w:vAlign w:val="bottom"/>
            <w:gridSpan w:val="2"/>
          </w:tcPr>
          <w:p>
            <w:pPr>
              <w:ind w:left="240"/>
              <w:spacing w:after="0"/>
              <w:rPr>
                <w:sz w:val="20"/>
                <w:szCs w:val="20"/>
                <w:color w:val="auto"/>
              </w:rPr>
            </w:pPr>
            <w:r>
              <w:rPr>
                <w:rFonts w:ascii="Arial" w:cs="Arial" w:eastAsia="Arial" w:hAnsi="Arial"/>
                <w:sz w:val="16"/>
                <w:szCs w:val="16"/>
                <w:color w:val="auto"/>
                <w:w w:val="94"/>
              </w:rPr>
              <w:t>Civil Action No. 11-CV-01156 (VB)</w:t>
            </w:r>
          </w:p>
        </w:tc>
      </w:tr>
      <w:tr>
        <w:trPr>
          <w:trHeight w:val="194"/>
        </w:trPr>
        <w:tc>
          <w:tcPr>
            <w:tcW w:w="4580" w:type="dxa"/>
            <w:vAlign w:val="bottom"/>
          </w:tcPr>
          <w:p>
            <w:pPr>
              <w:ind w:left="2960"/>
              <w:spacing w:after="0"/>
              <w:rPr>
                <w:sz w:val="20"/>
                <w:szCs w:val="20"/>
                <w:color w:val="auto"/>
              </w:rPr>
            </w:pPr>
            <w:r>
              <w:rPr>
                <w:rFonts w:ascii="Arial" w:cs="Arial" w:eastAsia="Arial" w:hAnsi="Arial"/>
                <w:sz w:val="16"/>
                <w:szCs w:val="16"/>
                <w:color w:val="auto"/>
              </w:rPr>
              <w:t>v.</w:t>
            </w:r>
          </w:p>
        </w:tc>
        <w:tc>
          <w:tcPr>
            <w:tcW w:w="8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560" w:type="dxa"/>
            <w:vAlign w:val="bottom"/>
            <w:gridSpan w:val="2"/>
          </w:tcPr>
          <w:p>
            <w:pPr>
              <w:ind w:left="240"/>
              <w:spacing w:after="0"/>
              <w:rPr>
                <w:sz w:val="20"/>
                <w:szCs w:val="20"/>
                <w:color w:val="auto"/>
              </w:rPr>
            </w:pPr>
            <w:r>
              <w:rPr>
                <w:rFonts w:ascii="Arial" w:cs="Arial" w:eastAsia="Arial" w:hAnsi="Arial"/>
                <w:sz w:val="16"/>
                <w:szCs w:val="16"/>
                <w:color w:val="auto"/>
              </w:rPr>
              <w:t>ECF Case</w:t>
            </w: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GENENTECH, INC.,</w:t>
            </w:r>
          </w:p>
        </w:tc>
        <w:tc>
          <w:tcPr>
            <w:tcW w:w="8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560" w:type="dxa"/>
            <w:vAlign w:val="bottom"/>
            <w:gridSpan w:val="2"/>
          </w:tcPr>
          <w:p>
            <w:pPr>
              <w:ind w:left="240"/>
              <w:spacing w:after="0"/>
              <w:rPr>
                <w:sz w:val="20"/>
                <w:szCs w:val="20"/>
                <w:color w:val="auto"/>
              </w:rPr>
            </w:pPr>
            <w:r>
              <w:rPr>
                <w:rFonts w:ascii="Arial" w:cs="Arial" w:eastAsia="Arial" w:hAnsi="Arial"/>
                <w:sz w:val="16"/>
                <w:szCs w:val="16"/>
                <w:color w:val="auto"/>
              </w:rPr>
              <w:t>Jury Demand</w:t>
            </w:r>
          </w:p>
        </w:tc>
      </w:tr>
      <w:tr>
        <w:trPr>
          <w:trHeight w:val="202"/>
        </w:trPr>
        <w:tc>
          <w:tcPr>
            <w:tcW w:w="4580" w:type="dxa"/>
            <w:vAlign w:val="bottom"/>
            <w:tcBorders>
              <w:bottom w:val="single" w:sz="8" w:color="auto"/>
            </w:tcBorders>
          </w:tcPr>
          <w:p>
            <w:pPr>
              <w:ind w:left="3060"/>
              <w:spacing w:after="0"/>
              <w:rPr>
                <w:sz w:val="20"/>
                <w:szCs w:val="20"/>
                <w:color w:val="auto"/>
              </w:rPr>
            </w:pPr>
            <w:r>
              <w:rPr>
                <w:rFonts w:ascii="Arial" w:cs="Arial" w:eastAsia="Arial" w:hAnsi="Arial"/>
                <w:sz w:val="16"/>
                <w:szCs w:val="16"/>
                <w:color w:val="auto"/>
              </w:rPr>
              <w:t>Defendant.</w:t>
            </w: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AMENDED ANSWER AND COUNTERCLAIM</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Genentech, Inc. (“Genentech”) files this second amended answer and counterclaim in response to the Complaint filed by Plaintiff Regeneron Pharmaceuticals,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(“Regeneron”).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“NATURE OF THIS ACTION”</w:t>
      </w:r>
    </w:p>
    <w:p>
      <w:pPr>
        <w:spacing w:after="0" w:line="233" w:lineRule="exact"/>
        <w:rPr>
          <w:sz w:val="20"/>
          <w:szCs w:val="20"/>
          <w:color w:val="auto"/>
        </w:rPr>
      </w:pPr>
    </w:p>
    <w:p>
      <w:pPr>
        <w:ind w:firstLine="252"/>
        <w:spacing w:after="0" w:line="274" w:lineRule="auto"/>
        <w:tabs>
          <w:tab w:leader="none" w:pos="4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Genentech admits that Regeneron purports to have brought this action under 28 U.S.C. §§ 1331, 2201, and 2202, and 35 U.S.C. § 100 </w:t>
      </w:r>
      <w:r>
        <w:rPr>
          <w:rFonts w:ascii="Arial" w:cs="Arial" w:eastAsia="Arial" w:hAnsi="Arial"/>
          <w:sz w:val="16"/>
          <w:szCs w:val="16"/>
          <w:i w:val="1"/>
          <w:iCs w:val="1"/>
          <w:color w:val="auto"/>
        </w:rPr>
        <w:t>et seq</w:t>
      </w:r>
      <w:r>
        <w:rPr>
          <w:rFonts w:ascii="Arial" w:cs="Arial" w:eastAsia="Arial" w:hAnsi="Arial"/>
          <w:sz w:val="16"/>
          <w:szCs w:val="16"/>
          <w:color w:val="auto"/>
        </w:rPr>
        <w:t>. In all other respects, Genentech denies the allegations in Paragraph 1 of the Complaint.</w:t>
      </w:r>
    </w:p>
    <w:p>
      <w:pPr>
        <w:spacing w:after="0" w:line="186" w:lineRule="exact"/>
        <w:rPr>
          <w:rFonts w:ascii="Arial" w:cs="Arial" w:eastAsia="Arial" w:hAnsi="Arial"/>
          <w:sz w:val="16"/>
          <w:szCs w:val="16"/>
          <w:color w:val="auto"/>
        </w:rPr>
      </w:pPr>
    </w:p>
    <w:p>
      <w:pPr>
        <w:ind w:firstLine="264"/>
        <w:spacing w:after="0" w:line="274" w:lineRule="auto"/>
        <w:tabs>
          <w:tab w:leader="none" w:pos="431" w:val="left"/>
        </w:tabs>
        <w:numPr>
          <w:ilvl w:val="1"/>
          <w:numId w:val="33"/>
        </w:numPr>
        <w:rPr>
          <w:rFonts w:ascii="Arial" w:cs="Arial" w:eastAsia="Arial" w:hAnsi="Arial"/>
          <w:sz w:val="16"/>
          <w:szCs w:val="16"/>
          <w:color w:val="auto"/>
        </w:rPr>
      </w:pPr>
      <w:r>
        <w:rPr>
          <w:rFonts w:ascii="Arial" w:cs="Arial" w:eastAsia="Arial" w:hAnsi="Arial"/>
          <w:sz w:val="16"/>
          <w:szCs w:val="16"/>
          <w:color w:val="auto"/>
        </w:rPr>
        <w:t>Genentech admits that Regeneron purports to seek a declaration in this action relating to U.S. Patent Nos. 5,952,199; 6,100,071; 6,383,486; 6,897,294; and 7,771,721. In all other respects, Genentech denies the allegations in Paragraph 2 of the Complaint.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“THE PARTIES”</w:t>
      </w:r>
    </w:p>
    <w:p>
      <w:pPr>
        <w:spacing w:after="0" w:line="233" w:lineRule="exact"/>
        <w:rPr>
          <w:sz w:val="20"/>
          <w:szCs w:val="20"/>
          <w:color w:val="auto"/>
        </w:rPr>
      </w:pPr>
    </w:p>
    <w:p>
      <w:pPr>
        <w:jc w:val="both"/>
        <w:ind w:firstLine="252"/>
        <w:spacing w:after="0" w:line="264" w:lineRule="auto"/>
        <w:tabs>
          <w:tab w:leader="none" w:pos="417"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Genentech admits that Regeneron purports to be a corporation organized and existing under the laws of the State of New York with its principal place of business at 777 Old Saw Mill River Road, Tarrytown, New York. Genentech lacks knowledge and information sufficient to form a belief as to the truthfulness of the remaining allegations in Paragraph 3 of the Complaint and on that basis denies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54" w:name="page155"/>
    <w:bookmarkEnd w:id="154"/>
    <w:p>
      <w:pPr>
        <w:jc w:val="both"/>
        <w:ind w:right="20" w:firstLine="240"/>
        <w:spacing w:after="0" w:line="264" w:lineRule="auto"/>
        <w:tabs>
          <w:tab w:leader="none" w:pos="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Genentech denies that Regeneron scientists discovered a novel pharmaceutical referred to in the Complaint as VEGF Trap. Genentech admits that the VEGF Trap is in clinical development for ophthalmologic and oncology indications. Genentech lacks knowledge and information sufficient to form a belief as to the truthfulness of the remaining allegations in Paragraph 4 of the Complaint and on that basis denies them.</w:t>
      </w:r>
    </w:p>
    <w:p>
      <w:pPr>
        <w:spacing w:after="0" w:line="193" w:lineRule="exact"/>
        <w:rPr>
          <w:rFonts w:ascii="Arial" w:cs="Arial" w:eastAsia="Arial" w:hAnsi="Arial"/>
          <w:sz w:val="16"/>
          <w:szCs w:val="16"/>
          <w:color w:val="auto"/>
        </w:rPr>
      </w:pPr>
    </w:p>
    <w:p>
      <w:pPr>
        <w:ind w:left="400" w:hanging="160"/>
        <w:spacing w:after="0"/>
        <w:tabs>
          <w:tab w:leader="none" w:pos="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Genentech admits the allegations in Paragraph 5 of the Complaint.</w:t>
      </w:r>
    </w:p>
    <w:p>
      <w:pPr>
        <w:spacing w:after="0" w:line="228" w:lineRule="exact"/>
        <w:rPr>
          <w:rFonts w:ascii="Arial" w:cs="Arial" w:eastAsia="Arial" w:hAnsi="Arial"/>
          <w:sz w:val="16"/>
          <w:szCs w:val="16"/>
          <w:color w:val="auto"/>
        </w:rPr>
      </w:pPr>
    </w:p>
    <w:p>
      <w:pPr>
        <w:jc w:val="both"/>
        <w:ind w:firstLine="288"/>
        <w:spacing w:after="0" w:line="289" w:lineRule="auto"/>
        <w:tabs>
          <w:tab w:leader="none" w:pos="460" w:val="left"/>
        </w:tabs>
        <w:numPr>
          <w:ilvl w:val="1"/>
          <w:numId w:val="35"/>
        </w:numPr>
        <w:rPr>
          <w:rFonts w:ascii="Arial" w:cs="Arial" w:eastAsia="Arial" w:hAnsi="Arial"/>
          <w:sz w:val="15"/>
          <w:szCs w:val="15"/>
          <w:color w:val="auto"/>
        </w:rPr>
      </w:pPr>
      <w:r>
        <w:rPr>
          <w:rFonts w:ascii="Arial" w:cs="Arial" w:eastAsia="Arial" w:hAnsi="Arial"/>
          <w:sz w:val="15"/>
          <w:szCs w:val="15"/>
          <w:color w:val="auto"/>
        </w:rPr>
        <w:t>Genentech admits that it has been and currently is licensed to do business in the State of New York, and that it has and currently does business in the State of New York. Genentech admits that it has sold and continues to offer for sale and sells products in the State of New York and within this judicial district. Genentech lacks knowledge and information sufficient to form a belief as to the truthfulness of the remaining allegations in Paragraph 6 of the Complaint and on that basis denies them.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“JURISDICTION AND VENUE”</w:t>
      </w:r>
    </w:p>
    <w:p>
      <w:pPr>
        <w:spacing w:after="0" w:line="233" w:lineRule="exact"/>
        <w:rPr>
          <w:sz w:val="20"/>
          <w:szCs w:val="20"/>
          <w:color w:val="auto"/>
        </w:rPr>
      </w:pPr>
    </w:p>
    <w:p>
      <w:pPr>
        <w:ind w:right="20" w:firstLine="325"/>
        <w:spacing w:after="0" w:line="274" w:lineRule="auto"/>
        <w:tabs>
          <w:tab w:leader="none" w:pos="50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paragraph states a legal conclusion to which no response is required. To the extent a response is required, Genentech admits the allegations in Paragraph 7 of the Complaint.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55" w:name="page156"/>
    <w:bookmarkEnd w:id="155"/>
    <w:p>
      <w:pPr>
        <w:ind w:firstLine="288"/>
        <w:spacing w:after="0" w:line="348" w:lineRule="auto"/>
        <w:tabs>
          <w:tab w:leader="none" w:pos="459"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paragraph states a legal conclusion to which no response is required. To the extent a response is required, Genentech admits that venue is proper under 28 U.S.C. §§ 1391(b) &amp; (c) because Genentech admits that this Court had personal jurisdiction over Genentech for the purposes of this action at the time the action was commenced.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“INTRA-DISTRICT ASSIGNMENT”</w:t>
      </w:r>
    </w:p>
    <w:p>
      <w:pPr>
        <w:spacing w:after="0" w:line="233" w:lineRule="exact"/>
        <w:rPr>
          <w:sz w:val="20"/>
          <w:szCs w:val="20"/>
          <w:color w:val="auto"/>
        </w:rPr>
      </w:pPr>
    </w:p>
    <w:p>
      <w:pPr>
        <w:ind w:left="5460" w:right="2020" w:hanging="5220"/>
        <w:spacing w:after="0" w:line="528" w:lineRule="auto"/>
        <w:tabs>
          <w:tab w:leader="none" w:pos="3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Genentech admits that Regeneron resides in Westchester County. Genentech denies the remaining allegations in Paragraph 9 of the Complaint.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280910"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b w:val="1"/>
          <w:bCs w:val="1"/>
          <w:u w:val="single" w:color="auto"/>
          <w:color w:val="auto"/>
        </w:rPr>
        <w:t>“BACKGROUND”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“DEVELOPMENT OF THE VEGF TRAP”</w:t>
      </w:r>
    </w:p>
    <w:p>
      <w:pPr>
        <w:spacing w:after="0" w:line="233" w:lineRule="exact"/>
        <w:rPr>
          <w:sz w:val="20"/>
          <w:szCs w:val="20"/>
          <w:color w:val="auto"/>
        </w:rPr>
      </w:pPr>
    </w:p>
    <w:p>
      <w:pPr>
        <w:jc w:val="both"/>
        <w:ind w:firstLine="264"/>
        <w:spacing w:after="0" w:line="283" w:lineRule="auto"/>
        <w:tabs>
          <w:tab w:leader="none" w:pos="509" w:val="left"/>
        </w:tabs>
        <w:numPr>
          <w:ilvl w:val="0"/>
          <w:numId w:val="39"/>
        </w:numPr>
        <w:rPr>
          <w:rFonts w:ascii="Arial" w:cs="Arial" w:eastAsia="Arial" w:hAnsi="Arial"/>
          <w:sz w:val="15"/>
          <w:szCs w:val="15"/>
          <w:color w:val="auto"/>
        </w:rPr>
      </w:pPr>
      <w:r>
        <w:rPr>
          <w:rFonts w:ascii="Arial" w:cs="Arial" w:eastAsia="Arial" w:hAnsi="Arial"/>
          <w:sz w:val="15"/>
          <w:szCs w:val="15"/>
          <w:color w:val="auto"/>
        </w:rPr>
        <w:t>Genentech admits that Regeneron purports to have filed in 2007 a Phase III clinical trial for the use of VEGF Trap in the treatment of neovascular wet age-related macular degeneration, that Phase III studies may be used to develop data to support a Biologics License Application for the United States Food and Drug Administration, and that a Biologics License Application is necessary to secure approval to market a drug in commerce in the United States. Genentech lacks knowledge and information sufficient to form a belief as to the truthfulness of the remaining allegations in Paragraph 10 of the Complaint and on that basis denies them.</w:t>
      </w:r>
    </w:p>
    <w:p>
      <w:pPr>
        <w:spacing w:after="0" w:line="181" w:lineRule="exact"/>
        <w:rPr>
          <w:rFonts w:ascii="Arial" w:cs="Arial" w:eastAsia="Arial" w:hAnsi="Arial"/>
          <w:sz w:val="15"/>
          <w:szCs w:val="15"/>
          <w:color w:val="auto"/>
        </w:rPr>
      </w:pPr>
    </w:p>
    <w:p>
      <w:pPr>
        <w:ind w:right="20" w:firstLine="301"/>
        <w:spacing w:after="0" w:line="274" w:lineRule="auto"/>
        <w:tabs>
          <w:tab w:leader="none" w:pos="547" w:val="left"/>
        </w:tabs>
        <w:numPr>
          <w:ilvl w:val="1"/>
          <w:numId w:val="39"/>
        </w:numPr>
        <w:rPr>
          <w:rFonts w:ascii="Arial" w:cs="Arial" w:eastAsia="Arial" w:hAnsi="Arial"/>
          <w:sz w:val="16"/>
          <w:szCs w:val="16"/>
          <w:color w:val="auto"/>
        </w:rPr>
      </w:pPr>
      <w:r>
        <w:rPr>
          <w:rFonts w:ascii="Arial" w:cs="Arial" w:eastAsia="Arial" w:hAnsi="Arial"/>
          <w:sz w:val="16"/>
          <w:szCs w:val="16"/>
          <w:color w:val="auto"/>
        </w:rPr>
        <w:t>Genentech admits that on November 22, 2010, Regeneron issued a press release regarding the results of purported Phase III studies for VEGF Trap relating to wet age-related macular degeneration.</w:t>
      </w:r>
    </w:p>
    <w:p>
      <w:pPr>
        <w:spacing w:after="0" w:line="186" w:lineRule="exact"/>
        <w:rPr>
          <w:rFonts w:ascii="Arial" w:cs="Arial" w:eastAsia="Arial" w:hAnsi="Arial"/>
          <w:sz w:val="16"/>
          <w:szCs w:val="16"/>
          <w:color w:val="auto"/>
        </w:rPr>
      </w:pPr>
    </w:p>
    <w:p>
      <w:pPr>
        <w:ind w:left="540" w:hanging="252"/>
        <w:spacing w:after="0"/>
        <w:tabs>
          <w:tab w:leader="none" w:pos="5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Genentech lacks knowledge and information sufficient to form a belief as to the truthfulness of the allegations in Paragraph 12 of the Complaint and on that basis denies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them.</w:t>
      </w:r>
    </w:p>
    <w:p>
      <w:pPr>
        <w:spacing w:after="0" w:line="222" w:lineRule="exact"/>
        <w:rPr>
          <w:rFonts w:ascii="Arial" w:cs="Arial" w:eastAsia="Arial" w:hAnsi="Arial"/>
          <w:sz w:val="14"/>
          <w:szCs w:val="14"/>
          <w:color w:val="auto"/>
        </w:rPr>
      </w:pPr>
    </w:p>
    <w:p>
      <w:pPr>
        <w:ind w:left="540" w:hanging="252"/>
        <w:spacing w:after="0"/>
        <w:tabs>
          <w:tab w:leader="none" w:pos="5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Genentech lacks knowledge and information sufficient to form a belief as to the truthfulness of the allegations in Paragraph 13 of the Complaint and on that basis denies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them.</w:t>
      </w:r>
    </w:p>
    <w:p>
      <w:pPr>
        <w:spacing w:after="0" w:line="222" w:lineRule="exact"/>
        <w:rPr>
          <w:rFonts w:ascii="Arial" w:cs="Arial" w:eastAsia="Arial" w:hAnsi="Arial"/>
          <w:sz w:val="14"/>
          <w:szCs w:val="14"/>
          <w:color w:val="auto"/>
        </w:rPr>
      </w:pPr>
    </w:p>
    <w:p>
      <w:pPr>
        <w:ind w:left="540" w:hanging="252"/>
        <w:spacing w:after="0"/>
        <w:tabs>
          <w:tab w:leader="none" w:pos="5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Genentech lacks knowledge and information sufficient to form a belief as to the truthfulness of the allegations in Paragraph 14 of the Complaint and on that basis denies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57" w:name="page158"/>
    <w:bookmarkEnd w:id="157"/>
    <w:p>
      <w:pPr>
        <w:ind w:left="540" w:hanging="252"/>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Genentech lacks knowledge and information sufficient to form a belief as to the truthfulness of the allegations in Paragraph 15 of the Complaint and on that basis denies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“GENENTECH’S DAVIS-SMYTH PATENTS”</w:t>
      </w:r>
    </w:p>
    <w:p>
      <w:pPr>
        <w:spacing w:after="0" w:line="233" w:lineRule="exact"/>
        <w:rPr>
          <w:sz w:val="20"/>
          <w:szCs w:val="20"/>
          <w:color w:val="auto"/>
        </w:rPr>
      </w:pPr>
    </w:p>
    <w:p>
      <w:pPr>
        <w:ind w:left="480" w:hanging="240"/>
        <w:spacing w:after="0"/>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Genentech admits the allegations in Paragraph 16 of the Complaint.</w:t>
      </w:r>
    </w:p>
    <w:p>
      <w:pPr>
        <w:spacing w:after="0" w:line="228" w:lineRule="exact"/>
        <w:rPr>
          <w:rFonts w:ascii="Arial" w:cs="Arial" w:eastAsia="Arial" w:hAnsi="Arial"/>
          <w:sz w:val="16"/>
          <w:szCs w:val="16"/>
          <w:color w:val="auto"/>
        </w:rPr>
      </w:pPr>
    </w:p>
    <w:p>
      <w:pPr>
        <w:ind w:right="20" w:firstLine="264"/>
        <w:spacing w:after="0" w:line="274" w:lineRule="auto"/>
        <w:tabs>
          <w:tab w:leader="none" w:pos="509" w:val="left"/>
        </w:tabs>
        <w:numPr>
          <w:ilvl w:val="1"/>
          <w:numId w:val="41"/>
        </w:numPr>
        <w:rPr>
          <w:rFonts w:ascii="Arial" w:cs="Arial" w:eastAsia="Arial" w:hAnsi="Arial"/>
          <w:sz w:val="16"/>
          <w:szCs w:val="16"/>
          <w:color w:val="auto"/>
        </w:rPr>
      </w:pPr>
      <w:r>
        <w:rPr>
          <w:rFonts w:ascii="Arial" w:cs="Arial" w:eastAsia="Arial" w:hAnsi="Arial"/>
          <w:sz w:val="16"/>
          <w:szCs w:val="16"/>
          <w:color w:val="auto"/>
        </w:rPr>
        <w:t>Genentech admits that Regeneron’s publicly-available filings with the United States Securities and Exchange Commission contain the statements reflected in Paragraph 17 of the Complaint.</w:t>
      </w:r>
    </w:p>
    <w:p>
      <w:pPr>
        <w:spacing w:after="0" w:line="186" w:lineRule="exact"/>
        <w:rPr>
          <w:rFonts w:ascii="Arial" w:cs="Arial" w:eastAsia="Arial" w:hAnsi="Arial"/>
          <w:sz w:val="16"/>
          <w:szCs w:val="16"/>
          <w:color w:val="auto"/>
        </w:rPr>
      </w:pPr>
    </w:p>
    <w:p>
      <w:pPr>
        <w:jc w:val="both"/>
        <w:ind w:firstLine="313"/>
        <w:spacing w:after="0" w:line="257" w:lineRule="auto"/>
        <w:tabs>
          <w:tab w:leader="none" w:pos="568" w:val="left"/>
        </w:tabs>
        <w:numPr>
          <w:ilvl w:val="2"/>
          <w:numId w:val="41"/>
        </w:numPr>
        <w:rPr>
          <w:rFonts w:ascii="Arial" w:cs="Arial" w:eastAsia="Arial" w:hAnsi="Arial"/>
          <w:sz w:val="16"/>
          <w:szCs w:val="16"/>
          <w:color w:val="auto"/>
        </w:rPr>
      </w:pPr>
      <w:r>
        <w:rPr>
          <w:rFonts w:ascii="Arial" w:cs="Arial" w:eastAsia="Arial" w:hAnsi="Arial"/>
          <w:sz w:val="16"/>
          <w:szCs w:val="16"/>
          <w:color w:val="auto"/>
        </w:rPr>
        <w:t>Genentech admits that it maintains that VEGF Trap infringes one or more of the Davis-Smyth patents. Genentech also admits that: after Regeneron filed a declaratory judgment complaint against Genentech on November 19, 2010, relating to non-infringement of the Davis-Smyth patents, Regeneron, by letter dated December 22, 2010, asked Genentech for a covenant not to sue regarding those patents; and Genentech subsequently responded that because of Regeneron’s complaint, any discussions must involve the parties’ attorneys, and invited Regeneron to contact Genentech’s general counsel for further discussion. Genentech also admits that Arthur Levinson referred to Regeneron’s discussion in Regeneron’s own SEC filings of the Davis-Smyth patents when responding to questions by investors. Genentech denies the remaining allegations of Paragraph 18 of the Complaint.</w:t>
      </w:r>
    </w:p>
    <w:p>
      <w:pPr>
        <w:spacing w:after="0" w:line="202" w:lineRule="exact"/>
        <w:rPr>
          <w:sz w:val="20"/>
          <w:szCs w:val="20"/>
          <w:color w:val="auto"/>
        </w:rPr>
      </w:pPr>
    </w:p>
    <w:p>
      <w:pPr>
        <w:ind w:left="5460" w:right="5360" w:hanging="5220"/>
        <w:spacing w:after="0" w:line="638" w:lineRule="auto"/>
        <w:tabs>
          <w:tab w:leader="none" w:pos="475"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Genentech denies the allegations in Paragraph 19 as of the date this Complaint was filed.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280910"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b w:val="1"/>
          <w:bCs w:val="1"/>
          <w:u w:val="single" w:color="auto"/>
          <w:color w:val="auto"/>
        </w:rPr>
        <w:t>“CLAIM FOR RELIEF”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“(Declaratory Judgment of Non-Infringement and/or Invalidity of the Genentech Davis-Smyth Patents)”</w:t>
      </w:r>
    </w:p>
    <w:p>
      <w:pPr>
        <w:spacing w:after="0" w:line="233" w:lineRule="exact"/>
        <w:rPr>
          <w:sz w:val="20"/>
          <w:szCs w:val="20"/>
          <w:color w:val="auto"/>
        </w:rPr>
      </w:pPr>
    </w:p>
    <w:p>
      <w:pPr>
        <w:ind w:left="480" w:hanging="240"/>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Genentech incorporates by reference its answers to the allegations of paragraphs 1 through 19.</w:t>
      </w:r>
    </w:p>
    <w:p>
      <w:pPr>
        <w:spacing w:after="0" w:line="228" w:lineRule="exact"/>
        <w:rPr>
          <w:rFonts w:ascii="Arial" w:cs="Arial" w:eastAsia="Arial" w:hAnsi="Arial"/>
          <w:sz w:val="16"/>
          <w:szCs w:val="16"/>
          <w:color w:val="auto"/>
        </w:rPr>
      </w:pPr>
    </w:p>
    <w:p>
      <w:pPr>
        <w:jc w:val="both"/>
        <w:ind w:firstLine="240"/>
        <w:spacing w:after="0" w:line="289" w:lineRule="auto"/>
        <w:tabs>
          <w:tab w:leader="none" w:pos="4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Genentech admits that Regeneron seeks a judicial declaration that no acts by any entity related to the VEGF Trap do or will directly infringe or infringe under the doctrine of equivalents, or contribute to or induce the infringement of, any valid claim of U.S. Patent Nos. 5,952,199, 6,100,071, 6,383,486, 6,897,294, and 7,771,721, but denies that Regeneron is entitled to such a judicial declaration. Genentech denies the remaining allegations of Paragraph 21 of the Complaint.</w:t>
      </w:r>
    </w:p>
    <w:p>
      <w:pPr>
        <w:spacing w:after="0" w:line="150" w:lineRule="exact"/>
        <w:rPr>
          <w:sz w:val="20"/>
          <w:szCs w:val="20"/>
          <w:color w:val="auto"/>
        </w:rPr>
      </w:pPr>
    </w:p>
    <w:p>
      <w:pPr>
        <w:ind w:left="4820"/>
        <w:spacing w:after="0"/>
        <w:rPr>
          <w:sz w:val="20"/>
          <w:szCs w:val="20"/>
          <w:color w:val="auto"/>
        </w:rPr>
      </w:pPr>
      <w:r>
        <w:rPr>
          <w:rFonts w:ascii="Arial" w:cs="Arial" w:eastAsia="Arial" w:hAnsi="Arial"/>
          <w:sz w:val="16"/>
          <w:szCs w:val="16"/>
          <w:b w:val="1"/>
          <w:bCs w:val="1"/>
          <w:u w:val="single" w:color="auto"/>
          <w:color w:val="auto"/>
        </w:rPr>
        <w:t>“PRAYER FOR RELIEF”</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Genentech denies that Regeneron is entitled to the relief requested or any other relief.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AFFIRMATIVE DEFENSES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FIRST AFFIRMATIVE DEFENSE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(Failure to State a Claim)</w:t>
      </w:r>
    </w:p>
    <w:p>
      <w:pPr>
        <w:spacing w:after="0" w:line="222" w:lineRule="exact"/>
        <w:rPr>
          <w:sz w:val="20"/>
          <w:szCs w:val="20"/>
          <w:color w:val="auto"/>
        </w:rPr>
      </w:pPr>
    </w:p>
    <w:p>
      <w:pPr>
        <w:ind w:left="480" w:hanging="240"/>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Regeneron’s claims are barred, in whole or in part, as Regeneron has not stated a claim upon which relief can be granted.</w:t>
      </w:r>
    </w:p>
    <w:p>
      <w:pPr>
        <w:spacing w:after="0" w:line="200" w:lineRule="exact"/>
        <w:rPr>
          <w:rFonts w:ascii="Arial" w:cs="Arial" w:eastAsia="Arial" w:hAnsi="Arial"/>
          <w:sz w:val="16"/>
          <w:szCs w:val="16"/>
          <w:color w:val="auto"/>
        </w:rPr>
      </w:pPr>
    </w:p>
    <w:p>
      <w:pPr>
        <w:ind w:left="4040"/>
        <w:spacing w:after="0"/>
        <w:rPr>
          <w:rFonts w:ascii="Arial" w:cs="Arial" w:eastAsia="Arial" w:hAnsi="Arial"/>
          <w:sz w:val="16"/>
          <w:szCs w:val="16"/>
          <w:color w:val="auto"/>
        </w:rPr>
      </w:pPr>
      <w:r>
        <w:rPr>
          <w:rFonts w:ascii="Arial" w:cs="Arial" w:eastAsia="Arial" w:hAnsi="Arial"/>
          <w:sz w:val="16"/>
          <w:szCs w:val="16"/>
          <w:b w:val="1"/>
          <w:bCs w:val="1"/>
          <w:color w:val="auto"/>
        </w:rPr>
        <w:t>RIGHT TO ASSERT ADDITIONAL DEFENSES</w:t>
      </w:r>
    </w:p>
    <w:p>
      <w:pPr>
        <w:spacing w:after="0" w:line="232" w:lineRule="exact"/>
        <w:rPr>
          <w:rFonts w:ascii="Arial" w:cs="Arial" w:eastAsia="Arial" w:hAnsi="Arial"/>
          <w:sz w:val="16"/>
          <w:szCs w:val="16"/>
          <w:color w:val="auto"/>
        </w:rPr>
      </w:pPr>
    </w:p>
    <w:p>
      <w:pPr>
        <w:ind w:left="480" w:hanging="240"/>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Genentech reserves the right to assert and pursue additional defenses.</w:t>
      </w:r>
    </w:p>
    <w:p>
      <w:pPr>
        <w:spacing w:after="0" w:line="200"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DEMAND FOR A JURY TRIAL ON ALL DEFENSES</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24. Genentech demands trial by jury on all defenses and issues triable by jury.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59" w:name="page160"/>
    <w:bookmarkEnd w:id="159"/>
    <w:p>
      <w:pPr>
        <w:ind w:left="4280"/>
        <w:spacing w:after="0"/>
        <w:rPr>
          <w:sz w:val="20"/>
          <w:szCs w:val="20"/>
          <w:color w:val="auto"/>
        </w:rPr>
      </w:pPr>
      <w:r>
        <w:rPr>
          <w:rFonts w:ascii="Arial" w:cs="Arial" w:eastAsia="Arial" w:hAnsi="Arial"/>
          <w:sz w:val="16"/>
          <w:szCs w:val="16"/>
          <w:b w:val="1"/>
          <w:bCs w:val="1"/>
          <w:u w:val="single" w:color="auto"/>
          <w:color w:val="auto"/>
        </w:rPr>
        <w:t>SECOND AMENDED COUNTERCLAIM</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its counterclaim against Regeneron, Counter-Plaintiff Genentech alleges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PARTIES</w:t>
      </w:r>
    </w:p>
    <w:p>
      <w:pPr>
        <w:spacing w:after="0" w:line="233" w:lineRule="exact"/>
        <w:rPr>
          <w:sz w:val="20"/>
          <w:szCs w:val="20"/>
          <w:color w:val="auto"/>
        </w:rPr>
      </w:pPr>
    </w:p>
    <w:p>
      <w:pPr>
        <w:ind w:firstLine="240"/>
        <w:spacing w:after="0" w:line="274" w:lineRule="auto"/>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Counter-Plaintiff Genentech, Inc. is a corporation organized under the laws of Delaware, with its principal place of business in South San Francisco, California. Genentech is registered to do business and is doing business in the State of New York.</w:t>
      </w:r>
    </w:p>
    <w:p>
      <w:pPr>
        <w:spacing w:after="0" w:line="186" w:lineRule="exact"/>
        <w:rPr>
          <w:rFonts w:ascii="Arial" w:cs="Arial" w:eastAsia="Arial" w:hAnsi="Arial"/>
          <w:sz w:val="16"/>
          <w:szCs w:val="16"/>
          <w:color w:val="auto"/>
        </w:rPr>
      </w:pPr>
    </w:p>
    <w:p>
      <w:pPr>
        <w:ind w:right="20" w:firstLine="264"/>
        <w:spacing w:after="0" w:line="274" w:lineRule="auto"/>
        <w:tabs>
          <w:tab w:leader="none" w:pos="5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Counter-Defendant Regeneron, Inc. is a corporation organized under the laws of the State of New York and lists its principal place of business as 777 Old Saw Mill River Road, Tarrytown, New York.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JURISDICTION AND VENUE</w:t>
      </w:r>
    </w:p>
    <w:p>
      <w:pPr>
        <w:spacing w:after="0" w:line="233" w:lineRule="exact"/>
        <w:rPr>
          <w:sz w:val="20"/>
          <w:szCs w:val="20"/>
          <w:color w:val="auto"/>
        </w:rPr>
      </w:pPr>
    </w:p>
    <w:p>
      <w:pPr>
        <w:ind w:right="20" w:firstLine="264"/>
        <w:spacing w:after="0" w:line="274" w:lineRule="auto"/>
        <w:tabs>
          <w:tab w:leader="none" w:pos="51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This action arises under the patent laws of the United States of America, 35 U.S.C. § 1 </w:t>
      </w:r>
      <w:r>
        <w:rPr>
          <w:rFonts w:ascii="Arial" w:cs="Arial" w:eastAsia="Arial" w:hAnsi="Arial"/>
          <w:sz w:val="16"/>
          <w:szCs w:val="16"/>
          <w:i w:val="1"/>
          <w:iCs w:val="1"/>
          <w:color w:val="auto"/>
        </w:rPr>
        <w:t>et seq</w:t>
      </w:r>
      <w:r>
        <w:rPr>
          <w:rFonts w:ascii="Arial" w:cs="Arial" w:eastAsia="Arial" w:hAnsi="Arial"/>
          <w:sz w:val="16"/>
          <w:szCs w:val="16"/>
          <w:color w:val="auto"/>
        </w:rPr>
        <w:t>., and jurisdiction is therefore properly based on Title 35 of the United States Code, § 271, and Title 28 of the United States Code, § 1338(a).</w:t>
      </w:r>
    </w:p>
    <w:p>
      <w:pPr>
        <w:spacing w:after="0" w:line="186" w:lineRule="exact"/>
        <w:rPr>
          <w:rFonts w:ascii="Arial" w:cs="Arial" w:eastAsia="Arial" w:hAnsi="Arial"/>
          <w:sz w:val="16"/>
          <w:szCs w:val="16"/>
          <w:color w:val="auto"/>
        </w:rPr>
      </w:pPr>
    </w:p>
    <w:p>
      <w:pPr>
        <w:ind w:left="480" w:hanging="240"/>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This Court has personal jurisdiction over Regeneron by virtue of, </w:t>
      </w:r>
      <w:r>
        <w:rPr>
          <w:rFonts w:ascii="Arial" w:cs="Arial" w:eastAsia="Arial" w:hAnsi="Arial"/>
          <w:sz w:val="16"/>
          <w:szCs w:val="16"/>
          <w:i w:val="1"/>
          <w:iCs w:val="1"/>
          <w:color w:val="auto"/>
        </w:rPr>
        <w:t>inter alia</w:t>
      </w:r>
      <w:r>
        <w:rPr>
          <w:rFonts w:ascii="Arial" w:cs="Arial" w:eastAsia="Arial" w:hAnsi="Arial"/>
          <w:sz w:val="16"/>
          <w:szCs w:val="16"/>
          <w:color w:val="auto"/>
        </w:rPr>
        <w:t>, its residing in the State of New York.</w:t>
      </w:r>
    </w:p>
    <w:p>
      <w:pPr>
        <w:spacing w:after="0" w:line="228" w:lineRule="exact"/>
        <w:rPr>
          <w:rFonts w:ascii="Arial" w:cs="Arial" w:eastAsia="Arial" w:hAnsi="Arial"/>
          <w:sz w:val="16"/>
          <w:szCs w:val="16"/>
          <w:color w:val="auto"/>
        </w:rPr>
      </w:pPr>
    </w:p>
    <w:p>
      <w:pPr>
        <w:ind w:left="480" w:hanging="240"/>
        <w:spacing w:after="0"/>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Venue is proper in this District pursuant to Title 28, United States Code, §§ 1391(c) and 1400(b).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DAVIS-SMYTH PATENTS</w:t>
      </w:r>
    </w:p>
    <w:p>
      <w:pPr>
        <w:spacing w:after="0" w:line="233" w:lineRule="exact"/>
        <w:rPr>
          <w:sz w:val="20"/>
          <w:szCs w:val="20"/>
          <w:color w:val="auto"/>
        </w:rPr>
      </w:pPr>
    </w:p>
    <w:p>
      <w:pPr>
        <w:jc w:val="both"/>
        <w:ind w:firstLine="276"/>
        <w:spacing w:after="0" w:line="264" w:lineRule="auto"/>
        <w:tabs>
          <w:tab w:leader="none" w:pos="5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U.S. Patent No. 5,952,199, titled Chimeric Receptors as Inhibitors of Vascular Endothelial Growth Factor Activity, And Processes for Their Production, was issued by the U.S. Patent and Trademark Office on September 14, 1999. The inventors on the patent are Terri Lynn Davis-Smyth, Helen Hsifei Chen, Leonard Presta, and Napoleone Ferrara, all of whom are or were Genentech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60" w:name="page161"/>
    <w:bookmarkEnd w:id="160"/>
    <w:p>
      <w:pPr>
        <w:jc w:val="both"/>
        <w:ind w:right="20" w:firstLine="252"/>
        <w:spacing w:after="0" w:line="264" w:lineRule="auto"/>
        <w:tabs>
          <w:tab w:leader="none" w:pos="4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U.S. Patent No. 6,100,071, titled Receptors as Novel Inhibitors of Vascular Endothelial Growth Factor Activity And Processes for Their Production, was issued by the U.S. Patent and Trademark Office on August 8, 2000. The inventors on the patent are Terri Lynn Davis-Smyth, Helen Hsifei Chen, Leonard Presta, and Napoleone Ferrara, all of whom are or were Genentech employees.</w:t>
      </w:r>
    </w:p>
    <w:p>
      <w:pPr>
        <w:spacing w:after="0" w:line="193" w:lineRule="exact"/>
        <w:rPr>
          <w:rFonts w:ascii="Arial" w:cs="Arial" w:eastAsia="Arial" w:hAnsi="Arial"/>
          <w:sz w:val="16"/>
          <w:szCs w:val="16"/>
          <w:color w:val="auto"/>
        </w:rPr>
      </w:pPr>
    </w:p>
    <w:p>
      <w:pPr>
        <w:jc w:val="both"/>
        <w:ind w:right="20" w:firstLine="264"/>
        <w:spacing w:after="0" w:line="264" w:lineRule="auto"/>
        <w:tabs>
          <w:tab w:leader="none" w:pos="5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U.S. Patent No. 6,383,486, titled Inhibitors of Vascular Endothelial Growth Factor Activity, Their Uses And Processes for Their Production, was issued by the U.S. Patent and Trademark Office on May 7, 2002. The inventors on the patent are Terri Lynn Davis-Smyth, Helen Hsifei Chen, Leonard Presta, and Napoleone Ferrara, all of whom are or were Genentech employees.</w:t>
      </w:r>
    </w:p>
    <w:p>
      <w:pPr>
        <w:spacing w:after="0" w:line="193" w:lineRule="exact"/>
        <w:rPr>
          <w:rFonts w:ascii="Arial" w:cs="Arial" w:eastAsia="Arial" w:hAnsi="Arial"/>
          <w:sz w:val="16"/>
          <w:szCs w:val="16"/>
          <w:color w:val="auto"/>
        </w:rPr>
      </w:pPr>
    </w:p>
    <w:p>
      <w:pPr>
        <w:jc w:val="both"/>
        <w:ind w:right="20" w:firstLine="264"/>
        <w:spacing w:after="0" w:line="264" w:lineRule="auto"/>
        <w:tabs>
          <w:tab w:leader="none" w:pos="5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U.S. Patent No. 6,897,294, titled Inhibitors of Vascular Endothelial Growth Factor Activity, Their Uses And Processes for Their Production, was issued by the U.S. Patent and Trademark Office on May 24, 2005. The inventors on the patent are Terri Lynn Davis-Smyth, Helen Hsifei Chen, Leonard Presta, and Napoleone Ferrara, all of whom are or were Genentech employees.</w:t>
      </w:r>
    </w:p>
    <w:p>
      <w:pPr>
        <w:spacing w:after="0" w:line="193" w:lineRule="exact"/>
        <w:rPr>
          <w:rFonts w:ascii="Arial" w:cs="Arial" w:eastAsia="Arial" w:hAnsi="Arial"/>
          <w:sz w:val="16"/>
          <w:szCs w:val="16"/>
          <w:color w:val="auto"/>
        </w:rPr>
      </w:pPr>
    </w:p>
    <w:p>
      <w:pPr>
        <w:jc w:val="both"/>
        <w:ind w:firstLine="264"/>
        <w:spacing w:after="0" w:line="264" w:lineRule="auto"/>
        <w:tabs>
          <w:tab w:leader="none" w:pos="509" w:val="left"/>
        </w:tabs>
        <w:numPr>
          <w:ilvl w:val="1"/>
          <w:numId w:val="49"/>
        </w:numPr>
        <w:rPr>
          <w:rFonts w:ascii="Arial" w:cs="Arial" w:eastAsia="Arial" w:hAnsi="Arial"/>
          <w:sz w:val="16"/>
          <w:szCs w:val="16"/>
          <w:color w:val="auto"/>
        </w:rPr>
      </w:pPr>
      <w:r>
        <w:rPr>
          <w:rFonts w:ascii="Arial" w:cs="Arial" w:eastAsia="Arial" w:hAnsi="Arial"/>
          <w:sz w:val="16"/>
          <w:szCs w:val="16"/>
          <w:color w:val="auto"/>
        </w:rPr>
        <w:t>U.S. Patent No. 7,771,721, titled Methods for Using Chimeric Vascular Endothelial Growth Factor Receptor Proteins, was issued by the U.S. Patent and Trademark Office on August 10, 2010. The inventors on the patent are Terri Lynn Davis-Smyth, Helen Hsifei Chen, Leonard Presta, and Napoleone Ferrara, all of whom are or were Genentech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61" w:name="page162"/>
    <w:bookmarkEnd w:id="161"/>
    <w:p>
      <w:pPr>
        <w:ind w:left="480" w:hanging="240"/>
        <w:spacing w:after="0"/>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5,952,199, 6,100,071, 6,383,486, 6,897,294, and 7,771,721 patents will be referred to herein as the “Davis-Smyth patents.”</w:t>
      </w:r>
    </w:p>
    <w:p>
      <w:pPr>
        <w:spacing w:after="0" w:line="228" w:lineRule="exact"/>
        <w:rPr>
          <w:rFonts w:ascii="Arial" w:cs="Arial" w:eastAsia="Arial" w:hAnsi="Arial"/>
          <w:sz w:val="16"/>
          <w:szCs w:val="16"/>
          <w:color w:val="auto"/>
        </w:rPr>
      </w:pPr>
    </w:p>
    <w:p>
      <w:pPr>
        <w:ind w:left="480" w:hanging="240"/>
        <w:spacing w:after="0"/>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Genentech owns all rights, title, and interest in and to the Davis-Smyth patents.</w:t>
      </w:r>
    </w:p>
    <w:p>
      <w:pPr>
        <w:spacing w:after="0" w:line="228" w:lineRule="exact"/>
        <w:rPr>
          <w:rFonts w:ascii="Arial" w:cs="Arial" w:eastAsia="Arial" w:hAnsi="Arial"/>
          <w:sz w:val="16"/>
          <w:szCs w:val="16"/>
          <w:color w:val="auto"/>
        </w:rPr>
      </w:pPr>
    </w:p>
    <w:p>
      <w:pPr>
        <w:ind w:firstLine="276"/>
        <w:spacing w:after="0" w:line="274" w:lineRule="auto"/>
        <w:tabs>
          <w:tab w:leader="none" w:pos="523" w:val="left"/>
        </w:tabs>
        <w:numPr>
          <w:ilvl w:val="1"/>
          <w:numId w:val="50"/>
        </w:numPr>
        <w:rPr>
          <w:rFonts w:ascii="Arial" w:cs="Arial" w:eastAsia="Arial" w:hAnsi="Arial"/>
          <w:sz w:val="16"/>
          <w:szCs w:val="16"/>
          <w:color w:val="auto"/>
        </w:rPr>
      </w:pPr>
      <w:r>
        <w:rPr>
          <w:rFonts w:ascii="Arial" w:cs="Arial" w:eastAsia="Arial" w:hAnsi="Arial"/>
          <w:sz w:val="16"/>
          <w:szCs w:val="16"/>
          <w:color w:val="auto"/>
        </w:rPr>
        <w:t>On information and belief, Regeneron has known about the ’199, ’071 and/or ’486 patents at least since March 3, 2005 and has known about the ’294 and ’721 patents at least since they issued on May 24, 2005 and August 10, 2010,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VEGF Trap-Eye</w:t>
      </w:r>
    </w:p>
    <w:p>
      <w:pPr>
        <w:spacing w:after="0" w:line="233" w:lineRule="exact"/>
        <w:rPr>
          <w:sz w:val="20"/>
          <w:szCs w:val="20"/>
          <w:color w:val="auto"/>
        </w:rPr>
      </w:pPr>
    </w:p>
    <w:p>
      <w:pPr>
        <w:ind w:firstLine="325"/>
        <w:spacing w:after="0" w:line="274" w:lineRule="auto"/>
        <w:tabs>
          <w:tab w:leader="none" w:pos="581" w:val="left"/>
        </w:tabs>
        <w:numPr>
          <w:ilvl w:val="2"/>
          <w:numId w:val="51"/>
        </w:numPr>
        <w:rPr>
          <w:rFonts w:ascii="Arial" w:cs="Arial" w:eastAsia="Arial" w:hAnsi="Arial"/>
          <w:sz w:val="16"/>
          <w:szCs w:val="16"/>
          <w:color w:val="auto"/>
        </w:rPr>
      </w:pPr>
      <w:r>
        <w:rPr>
          <w:rFonts w:ascii="Arial" w:cs="Arial" w:eastAsia="Arial" w:hAnsi="Arial"/>
          <w:sz w:val="16"/>
          <w:szCs w:val="16"/>
          <w:color w:val="auto"/>
        </w:rPr>
        <w:t>On information and belief, Regeneron’s VEGF Trap-Eye product is a protein, the amino acid sequence of which is in part derived from the human VEGF Receptor 1 (“VEGFR1” or “FLT-1”), the human VEGF Receptor 2 (“VEGFR2” or “KDR”), and human immunoglobulin G1.</w:t>
      </w:r>
    </w:p>
    <w:p>
      <w:pPr>
        <w:spacing w:after="0" w:line="186" w:lineRule="exact"/>
        <w:rPr>
          <w:rFonts w:ascii="Arial" w:cs="Arial" w:eastAsia="Arial" w:hAnsi="Arial"/>
          <w:sz w:val="16"/>
          <w:szCs w:val="16"/>
          <w:color w:val="auto"/>
        </w:rPr>
      </w:pPr>
    </w:p>
    <w:p>
      <w:pPr>
        <w:ind w:firstLine="361"/>
        <w:spacing w:after="0" w:line="274" w:lineRule="auto"/>
        <w:tabs>
          <w:tab w:leader="none" w:pos="627" w:val="left"/>
        </w:tabs>
        <w:numPr>
          <w:ilvl w:val="3"/>
          <w:numId w:val="51"/>
        </w:numPr>
        <w:rPr>
          <w:rFonts w:ascii="Arial" w:cs="Arial" w:eastAsia="Arial" w:hAnsi="Arial"/>
          <w:sz w:val="16"/>
          <w:szCs w:val="16"/>
          <w:color w:val="auto"/>
        </w:rPr>
      </w:pPr>
      <w:r>
        <w:rPr>
          <w:rFonts w:ascii="Arial" w:cs="Arial" w:eastAsia="Arial" w:hAnsi="Arial"/>
          <w:sz w:val="16"/>
          <w:szCs w:val="16"/>
          <w:color w:val="auto"/>
        </w:rPr>
        <w:t>On information and belief, Regeneron’s VEGF Trap-Eye product was and is designed to bind VEGF and, in turn, treat disease states characterized by undesirable angiogenesis and/or neovascularization.</w:t>
      </w:r>
    </w:p>
    <w:p>
      <w:pPr>
        <w:spacing w:after="0" w:line="186" w:lineRule="exact"/>
        <w:rPr>
          <w:rFonts w:ascii="Arial" w:cs="Arial" w:eastAsia="Arial" w:hAnsi="Arial"/>
          <w:sz w:val="16"/>
          <w:szCs w:val="16"/>
          <w:color w:val="auto"/>
        </w:rPr>
      </w:pPr>
    </w:p>
    <w:p>
      <w:pPr>
        <w:ind w:left="480" w:hanging="240"/>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Regeneron has filed a BLA with the FDA, seeking approval to market VEGF Trap-Eye in the U.S. for use in treating wet age-related macular degeneration.</w:t>
      </w:r>
    </w:p>
    <w:p>
      <w:pPr>
        <w:spacing w:after="0" w:line="228" w:lineRule="exact"/>
        <w:rPr>
          <w:rFonts w:ascii="Arial" w:cs="Arial" w:eastAsia="Arial" w:hAnsi="Arial"/>
          <w:sz w:val="16"/>
          <w:szCs w:val="16"/>
          <w:color w:val="auto"/>
        </w:rPr>
      </w:pPr>
    </w:p>
    <w:p>
      <w:pPr>
        <w:ind w:firstLine="264"/>
        <w:spacing w:after="0" w:line="309" w:lineRule="auto"/>
        <w:tabs>
          <w:tab w:leader="none" w:pos="508" w:val="left"/>
        </w:tabs>
        <w:numPr>
          <w:ilvl w:val="1"/>
          <w:numId w:val="52"/>
        </w:numPr>
        <w:rPr>
          <w:rFonts w:ascii="Arial" w:cs="Arial" w:eastAsia="Arial" w:hAnsi="Arial"/>
          <w:sz w:val="15"/>
          <w:szCs w:val="15"/>
          <w:color w:val="auto"/>
        </w:rPr>
      </w:pPr>
      <w:r>
        <w:rPr>
          <w:rFonts w:ascii="Arial" w:cs="Arial" w:eastAsia="Arial" w:hAnsi="Arial"/>
          <w:sz w:val="15"/>
          <w:szCs w:val="15"/>
          <w:color w:val="auto"/>
        </w:rPr>
        <w:t>On information and belief, Regeneron: a) has made, used, offered for sale, and/or sold; b) is making, using, offering for sale, and/or selling; and/or c) is preparing to make, use, offer for sale, and/or sell VEGF Trap-Eye in the United States, including within this judicial district, for purposes of export, use, and/or sale in other countries.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2" w:name="page163"/>
    <w:bookmarkEnd w:id="162"/>
    <w:p>
      <w:pPr>
        <w:ind w:firstLine="349"/>
        <w:spacing w:after="0" w:line="274" w:lineRule="auto"/>
        <w:tabs>
          <w:tab w:leader="none" w:pos="612" w:val="left"/>
        </w:tabs>
        <w:numPr>
          <w:ilvl w:val="1"/>
          <w:numId w:val="53"/>
        </w:numPr>
        <w:rPr>
          <w:rFonts w:ascii="Arial" w:cs="Arial" w:eastAsia="Arial" w:hAnsi="Arial"/>
          <w:sz w:val="16"/>
          <w:szCs w:val="16"/>
          <w:color w:val="auto"/>
        </w:rPr>
      </w:pPr>
      <w:r>
        <w:rPr>
          <w:rFonts w:ascii="Arial" w:cs="Arial" w:eastAsia="Arial" w:hAnsi="Arial"/>
          <w:sz w:val="16"/>
          <w:szCs w:val="16"/>
          <w:color w:val="auto"/>
        </w:rPr>
        <w:t>On information and belief, Regeneron has taken concrete and substantial steps to prepare for commercial manufacturing, marketing, and selling of VEGF Trap-Eye throughout the United States, including within this judicial district, for purposes of export, use, and/or sale of VEGF Trap-Eye in other countries.</w:t>
      </w:r>
    </w:p>
    <w:p>
      <w:pPr>
        <w:spacing w:after="0" w:line="186" w:lineRule="exact"/>
        <w:rPr>
          <w:rFonts w:ascii="Arial" w:cs="Arial" w:eastAsia="Arial" w:hAnsi="Arial"/>
          <w:sz w:val="16"/>
          <w:szCs w:val="16"/>
          <w:color w:val="auto"/>
        </w:rPr>
      </w:pPr>
    </w:p>
    <w:p>
      <w:pPr>
        <w:ind w:left="480" w:hanging="240"/>
        <w:spacing w:after="0"/>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information and belief, Regeneron is manufacturing VEGF Trap-Eye in the United States for purposes of export, use, and/or sale in other countries.</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COUNT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(Infringement of the ’071 patent)</w:t>
      </w:r>
    </w:p>
    <w:p>
      <w:pPr>
        <w:spacing w:after="0" w:line="222" w:lineRule="exact"/>
        <w:rPr>
          <w:sz w:val="20"/>
          <w:szCs w:val="20"/>
          <w:color w:val="auto"/>
        </w:rPr>
      </w:pPr>
    </w:p>
    <w:p>
      <w:pPr>
        <w:ind w:left="480" w:hanging="240"/>
        <w:spacing w:after="0"/>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Genentech incorporates the allegations in Paragraphs 25-43 as if fully set forth herein.</w:t>
      </w:r>
    </w:p>
    <w:p>
      <w:pPr>
        <w:spacing w:after="0" w:line="228" w:lineRule="exact"/>
        <w:rPr>
          <w:rFonts w:ascii="Arial" w:cs="Arial" w:eastAsia="Arial" w:hAnsi="Arial"/>
          <w:sz w:val="16"/>
          <w:szCs w:val="16"/>
          <w:color w:val="auto"/>
        </w:rPr>
      </w:pPr>
    </w:p>
    <w:p>
      <w:pPr>
        <w:ind w:left="480" w:hanging="240"/>
        <w:spacing w:after="0"/>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By virtue of Regeneron engaging in the following past, present and/or prospective activities:</w:t>
      </w:r>
    </w:p>
    <w:p>
      <w:pPr>
        <w:spacing w:after="0" w:line="228" w:lineRule="exact"/>
        <w:rPr>
          <w:rFonts w:ascii="Arial" w:cs="Arial" w:eastAsia="Arial" w:hAnsi="Arial"/>
          <w:sz w:val="16"/>
          <w:szCs w:val="16"/>
          <w:color w:val="auto"/>
        </w:rPr>
      </w:pPr>
    </w:p>
    <w:p>
      <w:pPr>
        <w:jc w:val="both"/>
        <w:ind w:firstLine="507"/>
        <w:spacing w:after="0" w:line="319" w:lineRule="auto"/>
        <w:tabs>
          <w:tab w:leader="none" w:pos="675" w:val="left"/>
        </w:tabs>
        <w:numPr>
          <w:ilvl w:val="1"/>
          <w:numId w:val="55"/>
        </w:numPr>
        <w:rPr>
          <w:rFonts w:ascii="Arial" w:cs="Arial" w:eastAsia="Arial" w:hAnsi="Arial"/>
          <w:sz w:val="14"/>
          <w:szCs w:val="14"/>
          <w:color w:val="auto"/>
        </w:rPr>
      </w:pPr>
      <w:r>
        <w:rPr>
          <w:rFonts w:ascii="Arial" w:cs="Arial" w:eastAsia="Arial" w:hAnsi="Arial"/>
          <w:sz w:val="14"/>
          <w:szCs w:val="14"/>
          <w:color w:val="auto"/>
        </w:rPr>
        <w:t>having made, used, offered for sale, and/or sold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3" w:name="page164"/>
    <w:bookmarkEnd w:id="163"/>
    <w:p>
      <w:pPr>
        <w:jc w:val="both"/>
        <w:ind w:firstLine="531"/>
        <w:spacing w:after="0" w:line="319" w:lineRule="auto"/>
        <w:tabs>
          <w:tab w:leader="none" w:pos="710" w:val="left"/>
        </w:tabs>
        <w:numPr>
          <w:ilvl w:val="3"/>
          <w:numId w:val="56"/>
        </w:numPr>
        <w:rPr>
          <w:rFonts w:ascii="Arial" w:cs="Arial" w:eastAsia="Arial" w:hAnsi="Arial"/>
          <w:sz w:val="14"/>
          <w:szCs w:val="14"/>
          <w:color w:val="auto"/>
        </w:rPr>
      </w:pPr>
      <w:r>
        <w:rPr>
          <w:rFonts w:ascii="Arial" w:cs="Arial" w:eastAsia="Arial" w:hAnsi="Arial"/>
          <w:sz w:val="14"/>
          <w:szCs w:val="14"/>
          <w:color w:val="auto"/>
        </w:rPr>
        <w:t>making, using, offering for sale, and/or selling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59" w:lineRule="exact"/>
        <w:rPr>
          <w:rFonts w:ascii="Arial" w:cs="Arial" w:eastAsia="Arial" w:hAnsi="Arial"/>
          <w:sz w:val="14"/>
          <w:szCs w:val="14"/>
          <w:color w:val="auto"/>
        </w:rPr>
      </w:pPr>
    </w:p>
    <w:p>
      <w:pPr>
        <w:jc w:val="both"/>
        <w:ind w:firstLine="495"/>
        <w:spacing w:after="0" w:line="258" w:lineRule="auto"/>
        <w:tabs>
          <w:tab w:leader="none" w:pos="661" w:val="left"/>
        </w:tabs>
        <w:numPr>
          <w:ilvl w:val="2"/>
          <w:numId w:val="57"/>
        </w:numPr>
        <w:rPr>
          <w:rFonts w:ascii="Arial" w:cs="Arial" w:eastAsia="Arial" w:hAnsi="Arial"/>
          <w:sz w:val="16"/>
          <w:szCs w:val="16"/>
          <w:color w:val="auto"/>
        </w:rPr>
      </w:pPr>
      <w:r>
        <w:rPr>
          <w:rFonts w:ascii="Arial" w:cs="Arial" w:eastAsia="Arial" w:hAnsi="Arial"/>
          <w:sz w:val="16"/>
          <w:szCs w:val="16"/>
          <w:color w:val="auto"/>
        </w:rPr>
        <w:t>preparing to make, use, offer for sale, and/or sell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 Regeneron has infringed, is infringing and/or will infringe—directly, and/or by contributing to others’ infringement of and/or by inducing others to infringe—one or more claims of the ’071 patent, either literally and/or under the doctrine of equivalents.</w:t>
      </w:r>
    </w:p>
    <w:p>
      <w:pPr>
        <w:spacing w:after="0" w:line="200" w:lineRule="exact"/>
        <w:rPr>
          <w:rFonts w:ascii="Arial" w:cs="Arial" w:eastAsia="Arial" w:hAnsi="Arial"/>
          <w:sz w:val="16"/>
          <w:szCs w:val="16"/>
          <w:color w:val="auto"/>
        </w:rPr>
      </w:pPr>
    </w:p>
    <w:p>
      <w:pPr>
        <w:ind w:firstLine="252"/>
        <w:spacing w:after="0" w:line="274" w:lineRule="auto"/>
        <w:tabs>
          <w:tab w:leader="none" w:pos="4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Regeneron’s past, ongoing, and/or future infringement has damaged, is damaging, and/or will damage Genentech, which is entitled to recover from Regeneron the damages resulting from Regeneron’s wrongful acts in an amount to be determined at trial, but no less than a reasonable royalty.</w:t>
      </w:r>
    </w:p>
    <w:p>
      <w:pPr>
        <w:spacing w:after="0" w:line="186" w:lineRule="exact"/>
        <w:rPr>
          <w:rFonts w:ascii="Arial" w:cs="Arial" w:eastAsia="Arial" w:hAnsi="Arial"/>
          <w:sz w:val="16"/>
          <w:szCs w:val="16"/>
          <w:color w:val="auto"/>
        </w:rPr>
      </w:pPr>
    </w:p>
    <w:p>
      <w:pPr>
        <w:ind w:firstLine="276"/>
        <w:spacing w:after="0" w:line="274" w:lineRule="auto"/>
        <w:tabs>
          <w:tab w:leader="none" w:pos="523"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Regeneron’s infringement has been, is, and/or will be willful, justifying an award to Genentech of increased damages under 35 U.S.C. § 284 and attorney’s fees and costs incurred in prosecuting this action under 35 U.S.C. § 285.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4" w:name="page165"/>
    <w:bookmarkEnd w:id="164"/>
    <w:p>
      <w:pPr>
        <w:ind w:firstLine="264"/>
        <w:spacing w:after="0" w:line="274" w:lineRule="auto"/>
        <w:tabs>
          <w:tab w:leader="none" w:pos="509"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Regeneron’s infringing activities have caused, are causing, and/or will cause Genentech to suffer irreparable harm for which there is no adequate remedy at law. This harm will continue unless and until Counter-Defendant’s infringement is enjoined by this Court.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COUNT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(Infringement of the ’486 patent)</w:t>
      </w:r>
    </w:p>
    <w:p>
      <w:pPr>
        <w:spacing w:after="0" w:line="222" w:lineRule="exact"/>
        <w:rPr>
          <w:sz w:val="20"/>
          <w:szCs w:val="20"/>
          <w:color w:val="auto"/>
        </w:rPr>
      </w:pPr>
    </w:p>
    <w:p>
      <w:pPr>
        <w:ind w:left="480" w:hanging="240"/>
        <w:spacing w:after="0"/>
        <w:tabs>
          <w:tab w:leader="none" w:pos="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Genentech incorporates the allegations in Paragraphs 25-48 as if fully set forth herein.</w:t>
      </w:r>
    </w:p>
    <w:p>
      <w:pPr>
        <w:spacing w:after="0" w:line="228" w:lineRule="exact"/>
        <w:rPr>
          <w:rFonts w:ascii="Arial" w:cs="Arial" w:eastAsia="Arial" w:hAnsi="Arial"/>
          <w:sz w:val="16"/>
          <w:szCs w:val="16"/>
          <w:color w:val="auto"/>
        </w:rPr>
      </w:pPr>
    </w:p>
    <w:p>
      <w:pPr>
        <w:ind w:left="480" w:hanging="240"/>
        <w:spacing w:after="0"/>
        <w:tabs>
          <w:tab w:leader="none" w:pos="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By virtue of Regeneron engaging in the following past, present and/or prospective activities:</w:t>
      </w:r>
    </w:p>
    <w:p>
      <w:pPr>
        <w:spacing w:after="0" w:line="228" w:lineRule="exact"/>
        <w:rPr>
          <w:rFonts w:ascii="Arial" w:cs="Arial" w:eastAsia="Arial" w:hAnsi="Arial"/>
          <w:sz w:val="16"/>
          <w:szCs w:val="16"/>
          <w:color w:val="auto"/>
        </w:rPr>
      </w:pPr>
    </w:p>
    <w:p>
      <w:pPr>
        <w:jc w:val="both"/>
        <w:ind w:firstLine="507"/>
        <w:spacing w:after="0" w:line="319" w:lineRule="auto"/>
        <w:tabs>
          <w:tab w:leader="none" w:pos="675" w:val="left"/>
        </w:tabs>
        <w:numPr>
          <w:ilvl w:val="1"/>
          <w:numId w:val="60"/>
        </w:numPr>
        <w:rPr>
          <w:rFonts w:ascii="Arial" w:cs="Arial" w:eastAsia="Arial" w:hAnsi="Arial"/>
          <w:sz w:val="14"/>
          <w:szCs w:val="14"/>
          <w:color w:val="auto"/>
        </w:rPr>
      </w:pPr>
      <w:r>
        <w:rPr>
          <w:rFonts w:ascii="Arial" w:cs="Arial" w:eastAsia="Arial" w:hAnsi="Arial"/>
          <w:sz w:val="14"/>
          <w:szCs w:val="14"/>
          <w:color w:val="auto"/>
        </w:rPr>
        <w:t>having made, used, offered for sale, and/or sold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59" w:lineRule="exact"/>
        <w:rPr>
          <w:rFonts w:ascii="Arial" w:cs="Arial" w:eastAsia="Arial" w:hAnsi="Arial"/>
          <w:sz w:val="14"/>
          <w:szCs w:val="14"/>
          <w:color w:val="auto"/>
        </w:rPr>
      </w:pPr>
    </w:p>
    <w:p>
      <w:pPr>
        <w:jc w:val="both"/>
        <w:ind w:firstLine="531"/>
        <w:spacing w:after="0" w:line="319" w:lineRule="auto"/>
        <w:tabs>
          <w:tab w:leader="none" w:pos="710" w:val="left"/>
        </w:tabs>
        <w:numPr>
          <w:ilvl w:val="2"/>
          <w:numId w:val="60"/>
        </w:numPr>
        <w:rPr>
          <w:rFonts w:ascii="Arial" w:cs="Arial" w:eastAsia="Arial" w:hAnsi="Arial"/>
          <w:sz w:val="14"/>
          <w:szCs w:val="14"/>
          <w:color w:val="auto"/>
        </w:rPr>
      </w:pPr>
      <w:r>
        <w:rPr>
          <w:rFonts w:ascii="Arial" w:cs="Arial" w:eastAsia="Arial" w:hAnsi="Arial"/>
          <w:sz w:val="14"/>
          <w:szCs w:val="14"/>
          <w:color w:val="auto"/>
        </w:rPr>
        <w:t>making, using, offering for sale, and/or selling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5" w:name="page166"/>
    <w:bookmarkEnd w:id="165"/>
    <w:p>
      <w:pPr>
        <w:jc w:val="both"/>
        <w:ind w:firstLine="495"/>
        <w:spacing w:after="0" w:line="258" w:lineRule="auto"/>
        <w:tabs>
          <w:tab w:leader="none" w:pos="661" w:val="left"/>
        </w:tabs>
        <w:numPr>
          <w:ilvl w:val="3"/>
          <w:numId w:val="61"/>
        </w:numPr>
        <w:rPr>
          <w:rFonts w:ascii="Arial" w:cs="Arial" w:eastAsia="Arial" w:hAnsi="Arial"/>
          <w:sz w:val="16"/>
          <w:szCs w:val="16"/>
          <w:color w:val="auto"/>
        </w:rPr>
      </w:pPr>
      <w:r>
        <w:rPr>
          <w:rFonts w:ascii="Arial" w:cs="Arial" w:eastAsia="Arial" w:hAnsi="Arial"/>
          <w:sz w:val="16"/>
          <w:szCs w:val="16"/>
          <w:color w:val="auto"/>
        </w:rPr>
        <w:t>preparing to make, use, offer for sale, and/or sell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 Regeneron has infringed, is infringing and/or will infringe—directly, and/or by contributing to others’ infringement of and/or by inducing others to infringe—one or more claims of the ’486 patent, either literally and/or under the doctrine of equivalents.</w:t>
      </w:r>
    </w:p>
    <w:p>
      <w:pPr>
        <w:spacing w:after="0" w:line="200" w:lineRule="exact"/>
        <w:rPr>
          <w:rFonts w:ascii="Arial" w:cs="Arial" w:eastAsia="Arial" w:hAnsi="Arial"/>
          <w:sz w:val="16"/>
          <w:szCs w:val="16"/>
          <w:color w:val="auto"/>
        </w:rPr>
      </w:pPr>
    </w:p>
    <w:p>
      <w:pPr>
        <w:ind w:firstLine="252"/>
        <w:spacing w:after="0" w:line="274" w:lineRule="auto"/>
        <w:tabs>
          <w:tab w:leader="none" w:pos="4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Regeneron’s past, ongoing, and/or future infringement has damaged, is damaging, and/or will damage Genentech, which is entitled to recover from Regeneron the damages resulting from Regeneron’s wrongful acts in an amount to be determined at trial, but no less than a reasonable royalty.</w:t>
      </w:r>
    </w:p>
    <w:p>
      <w:pPr>
        <w:spacing w:after="0" w:line="186" w:lineRule="exact"/>
        <w:rPr>
          <w:rFonts w:ascii="Arial" w:cs="Arial" w:eastAsia="Arial" w:hAnsi="Arial"/>
          <w:sz w:val="16"/>
          <w:szCs w:val="16"/>
          <w:color w:val="auto"/>
        </w:rPr>
      </w:pPr>
    </w:p>
    <w:p>
      <w:pPr>
        <w:ind w:firstLine="276"/>
        <w:spacing w:after="0" w:line="274" w:lineRule="auto"/>
        <w:tabs>
          <w:tab w:leader="none" w:pos="523" w:val="left"/>
        </w:tabs>
        <w:numPr>
          <w:ilvl w:val="2"/>
          <w:numId w:val="62"/>
        </w:numPr>
        <w:rPr>
          <w:rFonts w:ascii="Arial" w:cs="Arial" w:eastAsia="Arial" w:hAnsi="Arial"/>
          <w:sz w:val="16"/>
          <w:szCs w:val="16"/>
          <w:color w:val="auto"/>
        </w:rPr>
      </w:pPr>
      <w:r>
        <w:rPr>
          <w:rFonts w:ascii="Arial" w:cs="Arial" w:eastAsia="Arial" w:hAnsi="Arial"/>
          <w:sz w:val="16"/>
          <w:szCs w:val="16"/>
          <w:color w:val="auto"/>
        </w:rPr>
        <w:t>Regeneron’s infringement has been, is, and/or will be willful, justifying an award to Genentech of increased damages under 35 U.S.C. § 284 and attorney’s fees and costs incurred in prosecuting this action under 35 U.S.C. § 285.</w:t>
      </w:r>
    </w:p>
    <w:p>
      <w:pPr>
        <w:spacing w:after="0" w:line="186" w:lineRule="exact"/>
        <w:rPr>
          <w:rFonts w:ascii="Arial" w:cs="Arial" w:eastAsia="Arial" w:hAnsi="Arial"/>
          <w:sz w:val="16"/>
          <w:szCs w:val="16"/>
          <w:color w:val="auto"/>
        </w:rPr>
      </w:pPr>
    </w:p>
    <w:p>
      <w:pPr>
        <w:ind w:firstLine="264"/>
        <w:spacing w:after="0" w:line="274" w:lineRule="auto"/>
        <w:tabs>
          <w:tab w:leader="none" w:pos="508" w:val="left"/>
        </w:tabs>
        <w:numPr>
          <w:ilvl w:val="1"/>
          <w:numId w:val="62"/>
        </w:numPr>
        <w:rPr>
          <w:rFonts w:ascii="Arial" w:cs="Arial" w:eastAsia="Arial" w:hAnsi="Arial"/>
          <w:sz w:val="16"/>
          <w:szCs w:val="16"/>
          <w:color w:val="auto"/>
        </w:rPr>
      </w:pPr>
      <w:r>
        <w:rPr>
          <w:rFonts w:ascii="Arial" w:cs="Arial" w:eastAsia="Arial" w:hAnsi="Arial"/>
          <w:sz w:val="16"/>
          <w:szCs w:val="16"/>
          <w:color w:val="auto"/>
        </w:rPr>
        <w:t>Regeneron’s infringing activities have caused, are causing, and/or will cause Genentech to suffer irreparable harm for which there is no adequate remedy at law. This harm will continue unless and until Counter-Defendant’s infringement is enjoined by this Court.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t>COUNT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(Infringement of the ’294 patent)</w:t>
      </w:r>
    </w:p>
    <w:p>
      <w:pPr>
        <w:spacing w:after="0" w:line="222" w:lineRule="exact"/>
        <w:rPr>
          <w:sz w:val="20"/>
          <w:szCs w:val="20"/>
          <w:color w:val="auto"/>
        </w:rPr>
      </w:pPr>
    </w:p>
    <w:p>
      <w:pPr>
        <w:ind w:left="480" w:hanging="240"/>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Genentech incorporates the allegations in Paragraphs 25-53 as if fully set forth herein.</w:t>
      </w:r>
    </w:p>
    <w:p>
      <w:pPr>
        <w:spacing w:after="0" w:line="228" w:lineRule="exact"/>
        <w:rPr>
          <w:rFonts w:ascii="Arial" w:cs="Arial" w:eastAsia="Arial" w:hAnsi="Arial"/>
          <w:sz w:val="16"/>
          <w:szCs w:val="16"/>
          <w:color w:val="auto"/>
        </w:rPr>
      </w:pPr>
    </w:p>
    <w:p>
      <w:pPr>
        <w:ind w:left="480" w:hanging="240"/>
        <w:spacing w:after="0"/>
        <w:tabs>
          <w:tab w:leader="none" w:pos="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By virtue of Regeneron engaging in the following past, present and/or prospective activities:</w:t>
      </w:r>
    </w:p>
    <w:p>
      <w:pPr>
        <w:spacing w:after="0" w:line="228" w:lineRule="exact"/>
        <w:rPr>
          <w:rFonts w:ascii="Arial" w:cs="Arial" w:eastAsia="Arial" w:hAnsi="Arial"/>
          <w:sz w:val="16"/>
          <w:szCs w:val="16"/>
          <w:color w:val="auto"/>
        </w:rPr>
      </w:pPr>
    </w:p>
    <w:p>
      <w:pPr>
        <w:jc w:val="both"/>
        <w:ind w:firstLine="507"/>
        <w:spacing w:after="0" w:line="319" w:lineRule="auto"/>
        <w:tabs>
          <w:tab w:leader="none" w:pos="675" w:val="left"/>
        </w:tabs>
        <w:numPr>
          <w:ilvl w:val="2"/>
          <w:numId w:val="63"/>
        </w:numPr>
        <w:rPr>
          <w:rFonts w:ascii="Arial" w:cs="Arial" w:eastAsia="Arial" w:hAnsi="Arial"/>
          <w:sz w:val="14"/>
          <w:szCs w:val="14"/>
          <w:color w:val="auto"/>
        </w:rPr>
      </w:pPr>
      <w:r>
        <w:rPr>
          <w:rFonts w:ascii="Arial" w:cs="Arial" w:eastAsia="Arial" w:hAnsi="Arial"/>
          <w:sz w:val="14"/>
          <w:szCs w:val="14"/>
          <w:color w:val="auto"/>
        </w:rPr>
        <w:t>having made, used, offered for sale, and/or sold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59" w:lineRule="exact"/>
        <w:rPr>
          <w:rFonts w:ascii="Arial" w:cs="Arial" w:eastAsia="Arial" w:hAnsi="Arial"/>
          <w:sz w:val="14"/>
          <w:szCs w:val="14"/>
          <w:color w:val="auto"/>
        </w:rPr>
      </w:pPr>
    </w:p>
    <w:p>
      <w:pPr>
        <w:jc w:val="both"/>
        <w:ind w:firstLine="531"/>
        <w:spacing w:after="0" w:line="319" w:lineRule="auto"/>
        <w:tabs>
          <w:tab w:leader="none" w:pos="710" w:val="left"/>
        </w:tabs>
        <w:numPr>
          <w:ilvl w:val="3"/>
          <w:numId w:val="63"/>
        </w:numPr>
        <w:rPr>
          <w:rFonts w:ascii="Arial" w:cs="Arial" w:eastAsia="Arial" w:hAnsi="Arial"/>
          <w:sz w:val="14"/>
          <w:szCs w:val="14"/>
          <w:color w:val="auto"/>
        </w:rPr>
      </w:pPr>
      <w:r>
        <w:rPr>
          <w:rFonts w:ascii="Arial" w:cs="Arial" w:eastAsia="Arial" w:hAnsi="Arial"/>
          <w:sz w:val="14"/>
          <w:szCs w:val="14"/>
          <w:color w:val="auto"/>
        </w:rPr>
        <w:t>making, using, offering for sale, and/or selling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59" w:lineRule="exact"/>
        <w:rPr>
          <w:rFonts w:ascii="Arial" w:cs="Arial" w:eastAsia="Arial" w:hAnsi="Arial"/>
          <w:sz w:val="14"/>
          <w:szCs w:val="14"/>
          <w:color w:val="auto"/>
        </w:rPr>
      </w:pPr>
    </w:p>
    <w:p>
      <w:pPr>
        <w:jc w:val="both"/>
        <w:ind w:firstLine="495"/>
        <w:spacing w:after="0" w:line="258" w:lineRule="auto"/>
        <w:tabs>
          <w:tab w:leader="none" w:pos="661" w:val="left"/>
        </w:tabs>
        <w:numPr>
          <w:ilvl w:val="1"/>
          <w:numId w:val="63"/>
        </w:numPr>
        <w:rPr>
          <w:rFonts w:ascii="Arial" w:cs="Arial" w:eastAsia="Arial" w:hAnsi="Arial"/>
          <w:sz w:val="16"/>
          <w:szCs w:val="16"/>
          <w:color w:val="auto"/>
        </w:rPr>
      </w:pPr>
      <w:r>
        <w:rPr>
          <w:rFonts w:ascii="Arial" w:cs="Arial" w:eastAsia="Arial" w:hAnsi="Arial"/>
          <w:sz w:val="16"/>
          <w:szCs w:val="16"/>
          <w:color w:val="auto"/>
        </w:rPr>
        <w:t>preparing to make, use, offer for sale, and/or sell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 Regeneron has infringed, is infringing and/or will infringe—directly, and/or by contributing to others’ infringement of and/or by inducing others to infringe—one or more claims of the ’294 patent, either literally and/or under the doctrine of equivalents.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67" w:name="page168"/>
    <w:bookmarkEnd w:id="167"/>
    <w:p>
      <w:pPr>
        <w:ind w:firstLine="252"/>
        <w:spacing w:after="0" w:line="274" w:lineRule="auto"/>
        <w:tabs>
          <w:tab w:leader="none" w:pos="49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Regeneron’s past, ongoing, and/or future infringement has damaged, is damaging, and/or will damage Genentech, which is entitled to recover from Regeneron the damages resulting from Regeneron’s wrongful acts in an amount to be determined at trial, but no less than a reasonable royalty.</w:t>
      </w:r>
    </w:p>
    <w:p>
      <w:pPr>
        <w:spacing w:after="0" w:line="186" w:lineRule="exact"/>
        <w:rPr>
          <w:rFonts w:ascii="Arial" w:cs="Arial" w:eastAsia="Arial" w:hAnsi="Arial"/>
          <w:sz w:val="16"/>
          <w:szCs w:val="16"/>
          <w:color w:val="auto"/>
        </w:rPr>
      </w:pPr>
    </w:p>
    <w:p>
      <w:pPr>
        <w:ind w:firstLine="276"/>
        <w:spacing w:after="0" w:line="274" w:lineRule="auto"/>
        <w:tabs>
          <w:tab w:leader="none" w:pos="523" w:val="left"/>
        </w:tabs>
        <w:numPr>
          <w:ilvl w:val="2"/>
          <w:numId w:val="64"/>
        </w:numPr>
        <w:rPr>
          <w:rFonts w:ascii="Arial" w:cs="Arial" w:eastAsia="Arial" w:hAnsi="Arial"/>
          <w:sz w:val="16"/>
          <w:szCs w:val="16"/>
          <w:color w:val="auto"/>
        </w:rPr>
      </w:pPr>
      <w:r>
        <w:rPr>
          <w:rFonts w:ascii="Arial" w:cs="Arial" w:eastAsia="Arial" w:hAnsi="Arial"/>
          <w:sz w:val="16"/>
          <w:szCs w:val="16"/>
          <w:color w:val="auto"/>
        </w:rPr>
        <w:t>Regeneron’s infringement has been, is, and/or will be willful, justifying an award to Genentech of increased damages under 35 U.S.C. § 284 and attorney’s fees and costs incurred in prosecuting this action under 35 U.S.C. § 285.</w:t>
      </w:r>
    </w:p>
    <w:p>
      <w:pPr>
        <w:spacing w:after="0" w:line="186" w:lineRule="exact"/>
        <w:rPr>
          <w:rFonts w:ascii="Arial" w:cs="Arial" w:eastAsia="Arial" w:hAnsi="Arial"/>
          <w:sz w:val="16"/>
          <w:szCs w:val="16"/>
          <w:color w:val="auto"/>
        </w:rPr>
      </w:pPr>
    </w:p>
    <w:p>
      <w:pPr>
        <w:ind w:firstLine="264"/>
        <w:spacing w:after="0" w:line="274" w:lineRule="auto"/>
        <w:tabs>
          <w:tab w:leader="none" w:pos="509" w:val="left"/>
        </w:tabs>
        <w:numPr>
          <w:ilvl w:val="1"/>
          <w:numId w:val="64"/>
        </w:numPr>
        <w:rPr>
          <w:rFonts w:ascii="Arial" w:cs="Arial" w:eastAsia="Arial" w:hAnsi="Arial"/>
          <w:sz w:val="16"/>
          <w:szCs w:val="16"/>
          <w:color w:val="auto"/>
        </w:rPr>
      </w:pPr>
      <w:r>
        <w:rPr>
          <w:rFonts w:ascii="Arial" w:cs="Arial" w:eastAsia="Arial" w:hAnsi="Arial"/>
          <w:sz w:val="16"/>
          <w:szCs w:val="16"/>
          <w:color w:val="auto"/>
        </w:rPr>
        <w:t>Regeneron’s infringing activities have caused, are causing, and/or will cause Genentech to suffer irreparable harm for which there is no adequate remedy at law. This harm will continue unless and until Counter-Defendant’s infringement is enjoined by this Court.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COUNT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(Infringement of the ’721 patent)</w:t>
      </w:r>
    </w:p>
    <w:p>
      <w:pPr>
        <w:spacing w:after="0" w:line="222" w:lineRule="exact"/>
        <w:rPr>
          <w:sz w:val="20"/>
          <w:szCs w:val="20"/>
          <w:color w:val="auto"/>
        </w:rPr>
      </w:pPr>
    </w:p>
    <w:p>
      <w:pPr>
        <w:ind w:left="480" w:hanging="240"/>
        <w:spacing w:after="0"/>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Genentech incorporates the allegations in Paragraphs 25-58 as if fully set forth herein.</w:t>
      </w:r>
    </w:p>
    <w:p>
      <w:pPr>
        <w:spacing w:after="0" w:line="228" w:lineRule="exact"/>
        <w:rPr>
          <w:rFonts w:ascii="Arial" w:cs="Arial" w:eastAsia="Arial" w:hAnsi="Arial"/>
          <w:sz w:val="16"/>
          <w:szCs w:val="16"/>
          <w:color w:val="auto"/>
        </w:rPr>
      </w:pPr>
    </w:p>
    <w:p>
      <w:pPr>
        <w:ind w:left="5460" w:right="5100" w:hanging="5220"/>
        <w:spacing w:after="0" w:line="638" w:lineRule="auto"/>
        <w:tabs>
          <w:tab w:leader="none" w:pos="475" w:val="left"/>
        </w:tabs>
        <w:numPr>
          <w:ilvl w:val="0"/>
          <w:numId w:val="65"/>
        </w:numPr>
        <w:rPr>
          <w:rFonts w:ascii="Arial" w:cs="Arial" w:eastAsia="Arial" w:hAnsi="Arial"/>
          <w:sz w:val="14"/>
          <w:szCs w:val="14"/>
          <w:color w:val="auto"/>
        </w:rPr>
      </w:pPr>
      <w:r>
        <w:rPr>
          <w:rFonts w:ascii="Arial" w:cs="Arial" w:eastAsia="Arial" w:hAnsi="Arial"/>
          <w:sz w:val="14"/>
          <w:szCs w:val="14"/>
          <w:color w:val="auto"/>
        </w:rPr>
        <w:t>By virtue of Regeneron engaging in the following past, present and/or prospective activities: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280910"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8" w:name="page169"/>
    <w:bookmarkEnd w:id="168"/>
    <w:p>
      <w:pPr>
        <w:jc w:val="both"/>
        <w:ind w:firstLine="507"/>
        <w:spacing w:after="0" w:line="319" w:lineRule="auto"/>
        <w:tabs>
          <w:tab w:leader="none" w:pos="675" w:val="left"/>
        </w:tabs>
        <w:numPr>
          <w:ilvl w:val="1"/>
          <w:numId w:val="66"/>
        </w:numPr>
        <w:rPr>
          <w:rFonts w:ascii="Arial" w:cs="Arial" w:eastAsia="Arial" w:hAnsi="Arial"/>
          <w:sz w:val="14"/>
          <w:szCs w:val="14"/>
          <w:color w:val="auto"/>
        </w:rPr>
      </w:pPr>
      <w:r>
        <w:rPr>
          <w:rFonts w:ascii="Arial" w:cs="Arial" w:eastAsia="Arial" w:hAnsi="Arial"/>
          <w:sz w:val="14"/>
          <w:szCs w:val="14"/>
          <w:color w:val="auto"/>
        </w:rPr>
        <w:t>having made, used, offered for sale, and/or sold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59" w:lineRule="exact"/>
        <w:rPr>
          <w:rFonts w:ascii="Arial" w:cs="Arial" w:eastAsia="Arial" w:hAnsi="Arial"/>
          <w:sz w:val="14"/>
          <w:szCs w:val="14"/>
          <w:color w:val="auto"/>
        </w:rPr>
      </w:pPr>
    </w:p>
    <w:p>
      <w:pPr>
        <w:jc w:val="both"/>
        <w:ind w:firstLine="531"/>
        <w:spacing w:after="0" w:line="319" w:lineRule="auto"/>
        <w:tabs>
          <w:tab w:leader="none" w:pos="710" w:val="left"/>
        </w:tabs>
        <w:numPr>
          <w:ilvl w:val="2"/>
          <w:numId w:val="66"/>
        </w:numPr>
        <w:rPr>
          <w:rFonts w:ascii="Arial" w:cs="Arial" w:eastAsia="Arial" w:hAnsi="Arial"/>
          <w:sz w:val="14"/>
          <w:szCs w:val="14"/>
          <w:color w:val="auto"/>
        </w:rPr>
      </w:pPr>
      <w:r>
        <w:rPr>
          <w:rFonts w:ascii="Arial" w:cs="Arial" w:eastAsia="Arial" w:hAnsi="Arial"/>
          <w:sz w:val="14"/>
          <w:szCs w:val="14"/>
          <w:color w:val="auto"/>
        </w:rPr>
        <w:t>making, using, offering for sale, and/or selling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w:t>
      </w:r>
    </w:p>
    <w:p>
      <w:pPr>
        <w:spacing w:after="0" w:line="159" w:lineRule="exact"/>
        <w:rPr>
          <w:rFonts w:ascii="Arial" w:cs="Arial" w:eastAsia="Arial" w:hAnsi="Arial"/>
          <w:sz w:val="14"/>
          <w:szCs w:val="14"/>
          <w:color w:val="auto"/>
        </w:rPr>
      </w:pPr>
    </w:p>
    <w:p>
      <w:pPr>
        <w:jc w:val="both"/>
        <w:ind w:firstLine="495"/>
        <w:spacing w:after="0" w:line="258" w:lineRule="auto"/>
        <w:tabs>
          <w:tab w:leader="none" w:pos="661"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preparing to make, use, offer for sale, and/or sell VEGF Trap-Eye in the United States for export to; and/or use, offer for sale, and/or sale in other countries (except where that exportation, use, offer for sale, and/or sale is solely for purposes of converting bulk and/or other unfinished VEGF Trap-Eye into a filled and/or finished form for re-importation into the United States for use, offer for sale, and/or sale in the United States for prevention or treatment of eye diseases and eye disorders in a human in the United States), Regeneron has infringed, is infringing and/or will infringe—directly, and/or by contributing to others’ infringement of and/or by inducing others to infringe—one or more claims of the ’721 patent, either literally and/or under the doctrine of equivalents.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9" w:name="page170"/>
    <w:bookmarkEnd w:id="169"/>
    <w:p>
      <w:pPr>
        <w:ind w:firstLine="252"/>
        <w:spacing w:after="0" w:line="274" w:lineRule="auto"/>
        <w:tabs>
          <w:tab w:leader="none" w:pos="496"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Regeneron’s past, ongoing, and/or future infringement has damaged, is damaging, and/or will damage Genentech, which is entitled to recover from Regeneron the damages resulting from Regeneron’s wrongful acts in an amount to be determined at trial, but no less than a reasonable royalty.</w:t>
      </w:r>
    </w:p>
    <w:p>
      <w:pPr>
        <w:spacing w:after="0" w:line="186" w:lineRule="exact"/>
        <w:rPr>
          <w:rFonts w:ascii="Arial" w:cs="Arial" w:eastAsia="Arial" w:hAnsi="Arial"/>
          <w:sz w:val="16"/>
          <w:szCs w:val="16"/>
          <w:color w:val="auto"/>
        </w:rPr>
      </w:pPr>
    </w:p>
    <w:p>
      <w:pPr>
        <w:ind w:firstLine="276"/>
        <w:spacing w:after="0" w:line="274" w:lineRule="auto"/>
        <w:tabs>
          <w:tab w:leader="none" w:pos="523" w:val="left"/>
        </w:tabs>
        <w:numPr>
          <w:ilvl w:val="2"/>
          <w:numId w:val="68"/>
        </w:numPr>
        <w:rPr>
          <w:rFonts w:ascii="Arial" w:cs="Arial" w:eastAsia="Arial" w:hAnsi="Arial"/>
          <w:sz w:val="16"/>
          <w:szCs w:val="16"/>
          <w:color w:val="auto"/>
        </w:rPr>
      </w:pPr>
      <w:r>
        <w:rPr>
          <w:rFonts w:ascii="Arial" w:cs="Arial" w:eastAsia="Arial" w:hAnsi="Arial"/>
          <w:sz w:val="16"/>
          <w:szCs w:val="16"/>
          <w:color w:val="auto"/>
        </w:rPr>
        <w:t>Regeneron’s infringement has been, is, and/or will be willful, justifying an award to Genentech of increased damages under 35 U.S.C. § 284 and attorney’s fees and costs incurred in prosecuting this action under 35 U.S.C. § 285.</w:t>
      </w:r>
    </w:p>
    <w:p>
      <w:pPr>
        <w:spacing w:after="0" w:line="186" w:lineRule="exact"/>
        <w:rPr>
          <w:rFonts w:ascii="Arial" w:cs="Arial" w:eastAsia="Arial" w:hAnsi="Arial"/>
          <w:sz w:val="16"/>
          <w:szCs w:val="16"/>
          <w:color w:val="auto"/>
        </w:rPr>
      </w:pPr>
    </w:p>
    <w:p>
      <w:pPr>
        <w:ind w:firstLine="264"/>
        <w:spacing w:after="0" w:line="274" w:lineRule="auto"/>
        <w:tabs>
          <w:tab w:leader="none" w:pos="5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Regeneron’s infringing activities have caused, are causing, and/or will cause Genentech to suffer irreparable harm for which there is no adequate remedy at law. This harm will continue unless and until Counter-Defendant’s infringement is enjoined by this Court.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70" w:name="page171"/>
    <w:bookmarkEnd w:id="170"/>
    <w:p>
      <w:pPr>
        <w:ind w:left="4660"/>
        <w:spacing w:after="0"/>
        <w:rPr>
          <w:sz w:val="20"/>
          <w:szCs w:val="20"/>
          <w:color w:val="auto"/>
        </w:rPr>
      </w:pPr>
      <w:r>
        <w:rPr>
          <w:rFonts w:ascii="Arial" w:cs="Arial" w:eastAsia="Arial" w:hAnsi="Arial"/>
          <w:sz w:val="16"/>
          <w:szCs w:val="16"/>
          <w:b w:val="1"/>
          <w:bCs w:val="1"/>
          <w:color w:val="auto"/>
        </w:rPr>
        <w:t>PRAYER FOR RELIEF</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WHEREFORE, Genentech requests that judgment be entered in its favor against Regeneron:</w:t>
      </w:r>
    </w:p>
    <w:p>
      <w:pPr>
        <w:spacing w:after="0" w:line="229" w:lineRule="exact"/>
        <w:rPr>
          <w:sz w:val="20"/>
          <w:szCs w:val="20"/>
          <w:color w:val="auto"/>
        </w:rPr>
      </w:pPr>
    </w:p>
    <w:p>
      <w:pPr>
        <w:ind w:left="-240" w:firstLine="301"/>
        <w:spacing w:after="0" w:line="348" w:lineRule="auto"/>
        <w:tabs>
          <w:tab w:leader="none" w:pos="235" w:val="left"/>
        </w:tabs>
        <w:numPr>
          <w:ilvl w:val="1"/>
          <w:numId w:val="69"/>
        </w:numPr>
        <w:rPr>
          <w:rFonts w:ascii="Arial" w:cs="Arial" w:eastAsia="Arial" w:hAnsi="Arial"/>
          <w:sz w:val="14"/>
          <w:szCs w:val="14"/>
          <w:color w:val="auto"/>
        </w:rPr>
      </w:pPr>
      <w:r>
        <w:rPr>
          <w:rFonts w:ascii="Arial" w:cs="Arial" w:eastAsia="Arial" w:hAnsi="Arial"/>
          <w:sz w:val="14"/>
          <w:szCs w:val="14"/>
          <w:color w:val="auto"/>
        </w:rPr>
        <w:t>Finding that Regeneron by virtue of the activities alleged above in each Count: a) has directly infringed and/or will directly infringe; b) has actively induced and/or will actively induce others to infringe, and/or c) has engaged and/or will engage in acts that contribute to others infringing one or more claims of the ’071, ’486, ’294, and ’721 patents;</w:t>
      </w:r>
    </w:p>
    <w:p>
      <w:pPr>
        <w:spacing w:after="0" w:line="140" w:lineRule="exact"/>
        <w:rPr>
          <w:rFonts w:ascii="Arial" w:cs="Arial" w:eastAsia="Arial" w:hAnsi="Arial"/>
          <w:sz w:val="14"/>
          <w:szCs w:val="14"/>
          <w:color w:val="auto"/>
        </w:rPr>
      </w:pPr>
    </w:p>
    <w:p>
      <w:pPr>
        <w:ind w:left="160" w:hanging="160"/>
        <w:spacing w:after="0"/>
        <w:tabs>
          <w:tab w:leader="none" w:pos="1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Finding that Regeneron’s infringement of the ’071, ’486, ’294, and ’721 patents, by virtue of the activities alleged above in each Count, was and/or is willful and deliberate;</w:t>
      </w:r>
    </w:p>
    <w:p>
      <w:pPr>
        <w:spacing w:after="0" w:line="251" w:lineRule="exact"/>
        <w:rPr>
          <w:rFonts w:ascii="Arial" w:cs="Arial" w:eastAsia="Arial" w:hAnsi="Arial"/>
          <w:sz w:val="14"/>
          <w:szCs w:val="14"/>
          <w:color w:val="auto"/>
        </w:rPr>
      </w:pPr>
    </w:p>
    <w:p>
      <w:pPr>
        <w:jc w:val="both"/>
        <w:ind w:left="-240" w:firstLine="313"/>
        <w:spacing w:after="0" w:line="264" w:lineRule="auto"/>
        <w:tabs>
          <w:tab w:leader="none" w:pos="249" w:val="left"/>
        </w:tabs>
        <w:numPr>
          <w:ilvl w:val="2"/>
          <w:numId w:val="70"/>
        </w:numPr>
        <w:rPr>
          <w:rFonts w:ascii="Arial" w:cs="Arial" w:eastAsia="Arial" w:hAnsi="Arial"/>
          <w:sz w:val="16"/>
          <w:szCs w:val="16"/>
          <w:color w:val="auto"/>
        </w:rPr>
      </w:pPr>
      <w:r>
        <w:rPr>
          <w:rFonts w:ascii="Arial" w:cs="Arial" w:eastAsia="Arial" w:hAnsi="Arial"/>
          <w:sz w:val="16"/>
          <w:szCs w:val="16"/>
          <w:color w:val="auto"/>
        </w:rPr>
        <w:t>If appropriate, taking into account the interests of patients, enjoining Regeneron and its officers, agents, servants, employees, parents, subsidiaries, affiliates, successors, assignees, licensees, and attorneys, and all persons acting in concert or participation with them, from infringing the ’071, ’486, ’294, and ’721 patents directly, by contributory infringement, and/or by actively inducing infringement, via the activities alleged above in each Count;</w:t>
      </w:r>
    </w:p>
    <w:p>
      <w:pPr>
        <w:spacing w:after="0" w:line="194" w:lineRule="exact"/>
        <w:rPr>
          <w:sz w:val="20"/>
          <w:szCs w:val="20"/>
          <w:color w:val="auto"/>
        </w:rPr>
      </w:pPr>
    </w:p>
    <w:p>
      <w:pPr>
        <w:ind w:left="-240" w:firstLine="240"/>
        <w:spacing w:after="0" w:line="274" w:lineRule="auto"/>
        <w:tabs>
          <w:tab w:leader="none" w:pos="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Ordering Regeneron to account for and pay to Genentech any and all damages caused by the infringement of one or more claims of the ’071, ’486, ’294, and ’721 patents, via the activities alleged above in each Count;</w:t>
      </w:r>
    </w:p>
    <w:p>
      <w:pPr>
        <w:spacing w:after="0" w:line="186" w:lineRule="exact"/>
        <w:rPr>
          <w:rFonts w:ascii="Arial" w:cs="Arial" w:eastAsia="Arial" w:hAnsi="Arial"/>
          <w:sz w:val="16"/>
          <w:szCs w:val="16"/>
          <w:color w:val="auto"/>
        </w:rPr>
      </w:pPr>
    </w:p>
    <w:p>
      <w:pPr>
        <w:ind w:left="-240" w:firstLine="276"/>
        <w:spacing w:after="0" w:line="274" w:lineRule="auto"/>
        <w:tabs>
          <w:tab w:leader="none" w:pos="2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Ordering Regeneron to pay increased damages, up to treble damages to Genentech because of the willful nature of Regeneron’s infringement of one or more claims of the ’071, ’486, ’294, and ’721 patents, via the activities alleged above in each Count;</w:t>
      </w:r>
    </w:p>
    <w:p>
      <w:pPr>
        <w:spacing w:after="0" w:line="187" w:lineRule="exact"/>
        <w:rPr>
          <w:sz w:val="20"/>
          <w:szCs w:val="20"/>
          <w:color w:val="auto"/>
        </w:rPr>
      </w:pPr>
    </w:p>
    <w:p>
      <w:pPr>
        <w:ind w:left="5220" w:right="1480" w:hanging="5220"/>
        <w:spacing w:after="0" w:line="528" w:lineRule="auto"/>
        <w:tabs>
          <w:tab w:leader="none" w:pos="1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Ordering that this case be declared an exceptional case under 35 U.S.C. § 285 and that Genentech be awarded its attorney’s fees incurred in this action;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-17145</wp:posOffset>
            </wp:positionV>
            <wp:extent cx="7280910"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180"/>
          </w:cols>
          <w:pgMar w:left="480" w:top="539" w:right="239" w:bottom="1440" w:gutter="0" w:footer="0" w:header="0"/>
        </w:sectPr>
      </w:pPr>
    </w:p>
    <w:bookmarkStart w:id="171" w:name="page172"/>
    <w:bookmarkEnd w:id="171"/>
    <w:p>
      <w:pPr>
        <w:ind w:firstLine="264"/>
        <w:spacing w:after="0" w:line="274" w:lineRule="auto"/>
        <w:tabs>
          <w:tab w:leader="none" w:pos="430" w:val="left"/>
        </w:tabs>
        <w:numPr>
          <w:ilvl w:val="1"/>
          <w:numId w:val="73"/>
        </w:numPr>
        <w:rPr>
          <w:rFonts w:ascii="Arial" w:cs="Arial" w:eastAsia="Arial" w:hAnsi="Arial"/>
          <w:sz w:val="16"/>
          <w:szCs w:val="16"/>
          <w:color w:val="auto"/>
        </w:rPr>
      </w:pPr>
      <w:r>
        <w:rPr>
          <w:rFonts w:ascii="Arial" w:cs="Arial" w:eastAsia="Arial" w:hAnsi="Arial"/>
          <w:sz w:val="16"/>
          <w:szCs w:val="16"/>
          <w:color w:val="auto"/>
        </w:rPr>
        <w:t>Ordering an award of Genentech’s costs and expenses for this action, pre- and post-judgment interest on any money damages award, and any other charges to the maximum extent permitted;</w:t>
      </w:r>
    </w:p>
    <w:p>
      <w:pPr>
        <w:spacing w:after="0" w:line="186" w:lineRule="exact"/>
        <w:rPr>
          <w:rFonts w:ascii="Arial" w:cs="Arial" w:eastAsia="Arial" w:hAnsi="Arial"/>
          <w:sz w:val="16"/>
          <w:szCs w:val="16"/>
          <w:color w:val="auto"/>
        </w:rPr>
      </w:pPr>
    </w:p>
    <w:p>
      <w:pPr>
        <w:ind w:left="400" w:hanging="160"/>
        <w:spacing w:after="0"/>
        <w:tabs>
          <w:tab w:leader="none" w:pos="4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Ordering such future relief as the Court deems just and proper under the circumstances.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72" w:name="page173"/>
    <w:bookmarkEnd w:id="172"/>
    <w:p>
      <w:pPr>
        <w:ind w:left="4860"/>
        <w:spacing w:after="0"/>
        <w:rPr>
          <w:sz w:val="20"/>
          <w:szCs w:val="20"/>
          <w:color w:val="auto"/>
        </w:rPr>
      </w:pPr>
      <w:r>
        <w:rPr>
          <w:rFonts w:ascii="Arial" w:cs="Arial" w:eastAsia="Arial" w:hAnsi="Arial"/>
          <w:sz w:val="16"/>
          <w:szCs w:val="16"/>
          <w:b w:val="1"/>
          <w:bCs w:val="1"/>
          <w:color w:val="auto"/>
        </w:rPr>
        <w:t>JURY TRIAL DEMAND</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Genentech demands a trial by jury of all issues so triable.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Dated: January ___, 2012</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PAUL, WEISS, RIFKIND, WHARTON &amp;</w:t>
      </w:r>
    </w:p>
    <w:p>
      <w:pPr>
        <w:spacing w:after="0" w:line="34"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GARRISON LLP</w:t>
      </w: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By: /s/ Kenneth A Gallo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19685</wp:posOffset>
            </wp:positionV>
            <wp:extent cx="358394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583940" cy="7620"/>
                    </a:xfrm>
                    <a:prstGeom prst="rect">
                      <a:avLst/>
                    </a:prstGeom>
                    <a:noFill/>
                  </pic:spPr>
                </pic:pic>
              </a:graphicData>
            </a:graphic>
          </wp:anchor>
        </w:drawing>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Kenneth A. Gallo</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2001 K Street NW</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Washington, DC 20006</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Tel: (202) 223-7300</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Fax: (202) 223-7420</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Email: kgallo@paulweiss.com</w:t>
      </w:r>
    </w:p>
    <w:p>
      <w:pPr>
        <w:spacing w:after="0" w:line="25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John E. Nathan</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Eric Alan Stone</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1285 Avenue of the Americas</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New York, NY 10019</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Tel: (212) 373-3000</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Fax: (212) 757-3990</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Email: jnathan@paulweiss.com</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Email: estone@paulweiss.com</w:t>
      </w:r>
    </w:p>
    <w:p>
      <w:pPr>
        <w:spacing w:after="0" w:line="249"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BAKER BOTTS LLP</w:t>
      </w:r>
    </w:p>
    <w:p>
      <w:pPr>
        <w:spacing w:after="0" w:line="3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Jennifer Gordon</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Scott Familant</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30 Rockefeller Center</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New York, NY 10112</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Tel: (212) 408-2500</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Fax: (212) 408-2501</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Email: jennifer.gordon@bakerbotts.com</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Email: scott.familant@bakerbotts.com</w:t>
      </w: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4"/>
          <w:szCs w:val="14"/>
          <w:i w:val="1"/>
          <w:iCs w:val="1"/>
          <w:color w:val="auto"/>
        </w:rPr>
        <w:t>Attorneys for Defendant and Counter-Plaintiff</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Genentech, Inc.</w:t>
      </w:r>
    </w:p>
    <w:p>
      <w:pPr>
        <w:spacing w:after="0" w:line="200" w:lineRule="exact"/>
        <w:rPr>
          <w:sz w:val="20"/>
          <w:szCs w:val="20"/>
          <w:color w:val="auto"/>
        </w:rPr>
      </w:pPr>
    </w:p>
    <w:p>
      <w:pPr>
        <w:spacing w:after="0" w:line="23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0219"/>
          </w:cols>
          <w:pgMar w:left="240" w:top="539"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b w:val="1"/>
          <w:bCs w:val="1"/>
          <w:color w:val="auto"/>
        </w:rPr>
        <w:t>Exhibit 23.1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333-61132, 333-97375, 333-119257, 333-151941, 333-169569, and 333-174863) and on Form S-3 (No. 333-169786) of Regeneron Pharmaceuticals, Inc., of our report dated February 21, 2012 relating to the financial statements and the effectiveness of internal control over financial reporting,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80910"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0"/>
          </w:cols>
          <w:pgMar w:left="240" w:top="539"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 of CEO Pursuant to</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Rule 13a-14(a) under the Securities Exchange Act</w:t>
      </w:r>
    </w:p>
    <w:p>
      <w:pPr>
        <w:spacing w:after="0" w:line="1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of 1934, as Adopted Pursuant to</w:t>
      </w:r>
    </w:p>
    <w:p>
      <w:pPr>
        <w:spacing w:after="0" w:line="1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Leonard S. Schleifer, certify that:</w:t>
      </w:r>
    </w:p>
    <w:p>
      <w:pPr>
        <w:spacing w:after="0" w:line="204" w:lineRule="exact"/>
        <w:rPr>
          <w:sz w:val="20"/>
          <w:szCs w:val="20"/>
          <w:color w:val="auto"/>
        </w:rPr>
      </w:pPr>
    </w:p>
    <w:p>
      <w:pPr>
        <w:ind w:left="363" w:hanging="363"/>
        <w:spacing w:after="0"/>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Regeneron Pharmaceuticals, Inc.;</w:t>
      </w:r>
    </w:p>
    <w:p>
      <w:pPr>
        <w:spacing w:after="0" w:line="252" w:lineRule="exact"/>
        <w:rPr>
          <w:rFonts w:ascii="Arial" w:cs="Arial" w:eastAsia="Arial" w:hAnsi="Arial"/>
          <w:sz w:val="16"/>
          <w:szCs w:val="16"/>
          <w:color w:val="auto"/>
        </w:rPr>
      </w:pPr>
    </w:p>
    <w:p>
      <w:pPr>
        <w:ind w:left="363" w:right="20" w:hanging="363"/>
        <w:spacing w:after="0" w:line="274" w:lineRule="auto"/>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6"/>
          <w:szCs w:val="16"/>
          <w:color w:val="auto"/>
        </w:rPr>
      </w:pPr>
    </w:p>
    <w:p>
      <w:pPr>
        <w:ind w:left="363" w:right="20" w:hanging="363"/>
        <w:spacing w:after="0" w:line="274" w:lineRule="auto"/>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6"/>
          <w:szCs w:val="16"/>
          <w:color w:val="auto"/>
        </w:rPr>
      </w:pPr>
    </w:p>
    <w:p>
      <w:pPr>
        <w:ind w:left="363" w:right="20" w:hanging="363"/>
        <w:spacing w:after="0" w:line="309" w:lineRule="auto"/>
        <w:tabs>
          <w:tab w:leader="none" w:pos="363"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5"/>
          <w:szCs w:val="15"/>
          <w:color w:val="auto"/>
        </w:rPr>
      </w:pPr>
    </w:p>
    <w:p>
      <w:pPr>
        <w:jc w:val="both"/>
        <w:ind w:left="983" w:right="20" w:hanging="376"/>
        <w:spacing w:after="0" w:line="264" w:lineRule="auto"/>
        <w:tabs>
          <w:tab w:leader="none" w:pos="9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6"/>
          <w:szCs w:val="16"/>
          <w:color w:val="auto"/>
        </w:rPr>
      </w:pPr>
    </w:p>
    <w:p>
      <w:pPr>
        <w:jc w:val="both"/>
        <w:ind w:left="983" w:right="20" w:hanging="376"/>
        <w:spacing w:after="0" w:line="264" w:lineRule="auto"/>
        <w:tabs>
          <w:tab w:leader="none" w:pos="9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ind w:left="983" w:right="20" w:hanging="376"/>
        <w:spacing w:after="0" w:line="274" w:lineRule="auto"/>
        <w:tabs>
          <w:tab w:leader="none" w:pos="9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6"/>
          <w:szCs w:val="16"/>
          <w:color w:val="auto"/>
        </w:rPr>
      </w:pPr>
    </w:p>
    <w:p>
      <w:pPr>
        <w:jc w:val="both"/>
        <w:ind w:left="983" w:right="20" w:hanging="376"/>
        <w:spacing w:after="0" w:line="264" w:lineRule="auto"/>
        <w:tabs>
          <w:tab w:leader="none" w:pos="9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363" w:right="20" w:hanging="363"/>
        <w:spacing w:after="0" w:line="274" w:lineRule="auto"/>
        <w:tabs>
          <w:tab w:leader="none" w:pos="3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6"/>
          <w:szCs w:val="16"/>
          <w:color w:val="auto"/>
        </w:rPr>
      </w:pPr>
    </w:p>
    <w:p>
      <w:pPr>
        <w:ind w:left="983" w:hanging="376"/>
        <w:spacing w:after="0" w:line="274" w:lineRule="auto"/>
        <w:tabs>
          <w:tab w:leader="none" w:pos="9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6"/>
          <w:szCs w:val="16"/>
          <w:color w:val="auto"/>
        </w:rPr>
      </w:pPr>
    </w:p>
    <w:p>
      <w:pPr>
        <w:ind w:left="983" w:right="20" w:hanging="376"/>
        <w:spacing w:after="0" w:line="274" w:lineRule="auto"/>
        <w:tabs>
          <w:tab w:leader="none" w:pos="983"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7" w:lineRule="exact"/>
        <w:rPr>
          <w:sz w:val="20"/>
          <w:szCs w:val="20"/>
          <w:color w:val="auto"/>
        </w:rPr>
      </w:pPr>
    </w:p>
    <w:p>
      <w:pPr>
        <w:ind w:left="3"/>
        <w:spacing w:after="0"/>
        <w:tabs>
          <w:tab w:leader="none" w:pos="5642" w:val="left"/>
        </w:tabs>
        <w:rPr>
          <w:sz w:val="20"/>
          <w:szCs w:val="20"/>
          <w:color w:val="auto"/>
        </w:rPr>
      </w:pPr>
      <w:r>
        <w:rPr>
          <w:rFonts w:ascii="Arial" w:cs="Arial" w:eastAsia="Arial" w:hAnsi="Arial"/>
          <w:sz w:val="16"/>
          <w:szCs w:val="16"/>
          <w:color w:val="auto"/>
        </w:rPr>
        <w:t>Date: February 21, 2012</w:t>
      </w:r>
      <w:r>
        <w:rPr>
          <w:sz w:val="20"/>
          <w:szCs w:val="20"/>
          <w:color w:val="auto"/>
        </w:rPr>
        <w:tab/>
      </w:r>
      <w:r>
        <w:rPr>
          <w:rFonts w:ascii="Arial" w:cs="Arial" w:eastAsia="Arial" w:hAnsi="Arial"/>
          <w:sz w:val="15"/>
          <w:szCs w:val="15"/>
          <w:color w:val="auto"/>
        </w:rPr>
        <w:t>By: /s/ L</w:t>
      </w:r>
      <w:r>
        <w:rPr>
          <w:rFonts w:ascii="Arial" w:cs="Arial" w:eastAsia="Arial" w:hAnsi="Arial"/>
          <w:sz w:val="11"/>
          <w:szCs w:val="11"/>
          <w:color w:val="auto"/>
        </w:rPr>
        <w:t>EONARD</w:t>
      </w:r>
      <w:r>
        <w:rPr>
          <w:rFonts w:ascii="Arial" w:cs="Arial" w:eastAsia="Arial" w:hAnsi="Arial"/>
          <w:sz w:val="15"/>
          <w:szCs w:val="15"/>
          <w:color w:val="auto"/>
        </w:rPr>
        <w:t xml:space="preserve"> S. S</w:t>
      </w:r>
      <w:r>
        <w:rPr>
          <w:rFonts w:ascii="Arial" w:cs="Arial" w:eastAsia="Arial" w:hAnsi="Arial"/>
          <w:sz w:val="11"/>
          <w:szCs w:val="11"/>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27305</wp:posOffset>
            </wp:positionV>
            <wp:extent cx="347599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75990" cy="7620"/>
                    </a:xfrm>
                    <a:prstGeom prst="rect">
                      <a:avLst/>
                    </a:prstGeom>
                    <a:noFill/>
                  </pic:spPr>
                </pic:pic>
              </a:graphicData>
            </a:graphic>
          </wp:anchor>
        </w:drawing>
      </w:r>
    </w:p>
    <w:p>
      <w:pPr>
        <w:spacing w:after="0" w:line="39"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Leonard S. Schleifer, M.D., Ph.D.</w:t>
      </w:r>
    </w:p>
    <w:p>
      <w:pPr>
        <w:spacing w:after="0" w:line="34"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217805</wp:posOffset>
            </wp:positionV>
            <wp:extent cx="7280910" cy="203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43"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 of CFO Pursuant to</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Rule 13a-14(a) under the Securities Exchange Act</w:t>
      </w:r>
    </w:p>
    <w:p>
      <w:pPr>
        <w:spacing w:after="0" w:line="1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of 1934, as Adopted Pursuant to</w:t>
      </w:r>
    </w:p>
    <w:p>
      <w:pPr>
        <w:spacing w:after="0" w:line="1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Murray A. Goldberg, certify that:</w:t>
      </w:r>
    </w:p>
    <w:p>
      <w:pPr>
        <w:spacing w:after="0" w:line="204" w:lineRule="exact"/>
        <w:rPr>
          <w:sz w:val="20"/>
          <w:szCs w:val="20"/>
          <w:color w:val="auto"/>
        </w:rPr>
      </w:pPr>
    </w:p>
    <w:p>
      <w:pPr>
        <w:ind w:left="363" w:hanging="363"/>
        <w:spacing w:after="0"/>
        <w:tabs>
          <w:tab w:leader="none" w:pos="36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Regeneron Pharmaceuticals, Inc.;</w:t>
      </w:r>
    </w:p>
    <w:p>
      <w:pPr>
        <w:spacing w:after="0" w:line="252" w:lineRule="exact"/>
        <w:rPr>
          <w:rFonts w:ascii="Arial" w:cs="Arial" w:eastAsia="Arial" w:hAnsi="Arial"/>
          <w:sz w:val="16"/>
          <w:szCs w:val="16"/>
          <w:color w:val="auto"/>
        </w:rPr>
      </w:pPr>
    </w:p>
    <w:p>
      <w:pPr>
        <w:ind w:left="363" w:right="20" w:hanging="363"/>
        <w:spacing w:after="0" w:line="274" w:lineRule="auto"/>
        <w:tabs>
          <w:tab w:leader="none" w:pos="363"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6"/>
          <w:szCs w:val="16"/>
          <w:color w:val="auto"/>
        </w:rPr>
      </w:pPr>
    </w:p>
    <w:p>
      <w:pPr>
        <w:ind w:left="363" w:right="20" w:hanging="363"/>
        <w:spacing w:after="0" w:line="274" w:lineRule="auto"/>
        <w:tabs>
          <w:tab w:leader="none" w:pos="363"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6"/>
          <w:szCs w:val="16"/>
          <w:color w:val="auto"/>
        </w:rPr>
      </w:pPr>
    </w:p>
    <w:p>
      <w:pPr>
        <w:ind w:left="363" w:right="20" w:hanging="363"/>
        <w:spacing w:after="0" w:line="309" w:lineRule="auto"/>
        <w:tabs>
          <w:tab w:leader="none" w:pos="363"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5"/>
          <w:szCs w:val="15"/>
          <w:color w:val="auto"/>
        </w:rPr>
      </w:pPr>
    </w:p>
    <w:p>
      <w:pPr>
        <w:jc w:val="both"/>
        <w:ind w:left="983" w:right="20" w:hanging="376"/>
        <w:spacing w:after="0" w:line="264" w:lineRule="auto"/>
        <w:tabs>
          <w:tab w:leader="none" w:pos="9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6"/>
          <w:szCs w:val="16"/>
          <w:color w:val="auto"/>
        </w:rPr>
      </w:pPr>
    </w:p>
    <w:p>
      <w:pPr>
        <w:jc w:val="both"/>
        <w:ind w:left="983" w:right="20" w:hanging="376"/>
        <w:spacing w:after="0" w:line="264" w:lineRule="auto"/>
        <w:tabs>
          <w:tab w:leader="none" w:pos="9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6"/>
          <w:szCs w:val="16"/>
          <w:color w:val="auto"/>
        </w:rPr>
      </w:pPr>
    </w:p>
    <w:p>
      <w:pPr>
        <w:ind w:left="983" w:right="20" w:hanging="376"/>
        <w:spacing w:after="0" w:line="274" w:lineRule="auto"/>
        <w:tabs>
          <w:tab w:leader="none" w:pos="9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6"/>
          <w:szCs w:val="16"/>
          <w:color w:val="auto"/>
        </w:rPr>
      </w:pPr>
    </w:p>
    <w:p>
      <w:pPr>
        <w:jc w:val="both"/>
        <w:ind w:left="983" w:right="20" w:hanging="376"/>
        <w:spacing w:after="0" w:line="264" w:lineRule="auto"/>
        <w:tabs>
          <w:tab w:leader="none" w:pos="9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6"/>
          <w:szCs w:val="16"/>
          <w:color w:val="auto"/>
        </w:rPr>
      </w:pPr>
    </w:p>
    <w:p>
      <w:pPr>
        <w:ind w:left="363" w:right="20" w:hanging="363"/>
        <w:spacing w:after="0" w:line="274" w:lineRule="auto"/>
        <w:tabs>
          <w:tab w:leader="none" w:pos="36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6"/>
          <w:szCs w:val="16"/>
          <w:color w:val="auto"/>
        </w:rPr>
      </w:pPr>
    </w:p>
    <w:p>
      <w:pPr>
        <w:ind w:left="983" w:hanging="376"/>
        <w:spacing w:after="0" w:line="274" w:lineRule="auto"/>
        <w:tabs>
          <w:tab w:leader="none" w:pos="9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6"/>
          <w:szCs w:val="16"/>
          <w:color w:val="auto"/>
        </w:rPr>
      </w:pPr>
    </w:p>
    <w:p>
      <w:pPr>
        <w:ind w:left="983" w:right="20" w:hanging="376"/>
        <w:spacing w:after="0" w:line="274" w:lineRule="auto"/>
        <w:tabs>
          <w:tab w:leader="none" w:pos="983"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7" w:lineRule="exact"/>
        <w:rPr>
          <w:sz w:val="20"/>
          <w:szCs w:val="20"/>
          <w:color w:val="auto"/>
        </w:rPr>
      </w:pPr>
    </w:p>
    <w:p>
      <w:pPr>
        <w:ind w:left="3"/>
        <w:spacing w:after="0"/>
        <w:tabs>
          <w:tab w:leader="none" w:pos="5642" w:val="left"/>
        </w:tabs>
        <w:rPr>
          <w:sz w:val="20"/>
          <w:szCs w:val="20"/>
          <w:color w:val="auto"/>
        </w:rPr>
      </w:pPr>
      <w:r>
        <w:rPr>
          <w:rFonts w:ascii="Arial" w:cs="Arial" w:eastAsia="Arial" w:hAnsi="Arial"/>
          <w:sz w:val="16"/>
          <w:szCs w:val="16"/>
          <w:color w:val="auto"/>
        </w:rPr>
        <w:t>Date: February 21, 2012</w:t>
      </w:r>
      <w:r>
        <w:rPr>
          <w:sz w:val="20"/>
          <w:szCs w:val="20"/>
          <w:color w:val="auto"/>
        </w:rPr>
        <w:tab/>
      </w:r>
      <w:r>
        <w:rPr>
          <w:rFonts w:ascii="Arial" w:cs="Arial" w:eastAsia="Arial" w:hAnsi="Arial"/>
          <w:sz w:val="15"/>
          <w:szCs w:val="15"/>
          <w:color w:val="auto"/>
        </w:rPr>
        <w:t>By: /s/ M</w:t>
      </w:r>
      <w:r>
        <w:rPr>
          <w:rFonts w:ascii="Arial" w:cs="Arial" w:eastAsia="Arial" w:hAnsi="Arial"/>
          <w:sz w:val="11"/>
          <w:szCs w:val="11"/>
          <w:color w:val="auto"/>
        </w:rPr>
        <w:t>URRAY</w:t>
      </w:r>
      <w:r>
        <w:rPr>
          <w:rFonts w:ascii="Arial" w:cs="Arial" w:eastAsia="Arial" w:hAnsi="Arial"/>
          <w:sz w:val="15"/>
          <w:szCs w:val="15"/>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27305</wp:posOffset>
            </wp:positionV>
            <wp:extent cx="347599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75990" cy="7620"/>
                    </a:xfrm>
                    <a:prstGeom prst="rect">
                      <a:avLst/>
                    </a:prstGeom>
                    <a:noFill/>
                  </pic:spPr>
                </pic:pic>
              </a:graphicData>
            </a:graphic>
          </wp:anchor>
        </w:drawing>
      </w:r>
    </w:p>
    <w:p>
      <w:pPr>
        <w:spacing w:after="0" w:line="39"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Murray A. Goldberg</w:t>
      </w:r>
    </w:p>
    <w:p>
      <w:pPr>
        <w:spacing w:after="0" w:line="34"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Senior Vice President, Finance &amp; Administration,</w:t>
      </w:r>
    </w:p>
    <w:p>
      <w:pPr>
        <w:spacing w:after="0" w:line="34"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Chief Financial Officer, Treasurer, and Assistant</w:t>
      </w:r>
    </w:p>
    <w:p>
      <w:pPr>
        <w:spacing w:after="0" w:line="34"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217805</wp:posOffset>
            </wp:positionV>
            <wp:extent cx="7280910" cy="20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p>
      <w:pPr>
        <w:sectPr>
          <w:pgSz w:w="11900" w:h="16838" w:orient="portrait"/>
          <w:cols w:equalWidth="0" w:num="1">
            <w:col w:w="11443"/>
          </w:cols>
          <w:pgMar w:left="237" w:top="543"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32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18 U.S.C. Section 1350,</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the Annual Report of Regeneron Pharmaceuticals, Inc. (the "Company") on Form 10-K for the year ended December 31, 2011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98" w:lineRule="exact"/>
        <w:rPr>
          <w:sz w:val="20"/>
          <w:szCs w:val="20"/>
          <w:color w:val="auto"/>
        </w:rPr>
      </w:pPr>
    </w:p>
    <w:p>
      <w:pPr>
        <w:ind w:left="520" w:hanging="232"/>
        <w:spacing w:after="0"/>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52" w:lineRule="exact"/>
        <w:rPr>
          <w:rFonts w:ascii="Arial" w:cs="Arial" w:eastAsia="Arial" w:hAnsi="Arial"/>
          <w:sz w:val="16"/>
          <w:szCs w:val="16"/>
          <w:color w:val="auto"/>
        </w:rPr>
      </w:pPr>
    </w:p>
    <w:p>
      <w:pPr>
        <w:ind w:left="520" w:hanging="232"/>
        <w:spacing w:after="0"/>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 L</w:t>
      </w:r>
      <w:r>
        <w:rPr>
          <w:rFonts w:ascii="Arial" w:cs="Arial" w:eastAsia="Arial" w:hAnsi="Arial"/>
          <w:sz w:val="12"/>
          <w:szCs w:val="12"/>
          <w:color w:val="auto"/>
        </w:rPr>
        <w:t>EONARD</w:t>
      </w:r>
      <w:r>
        <w:rPr>
          <w:rFonts w:ascii="Arial" w:cs="Arial" w:eastAsia="Arial" w:hAnsi="Arial"/>
          <w:sz w:val="16"/>
          <w:szCs w:val="16"/>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290576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Leonard S. Schleifer, M.D., Ph.D.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URRAY</w:t>
      </w:r>
      <w:r>
        <w:rPr>
          <w:rFonts w:ascii="Arial" w:cs="Arial" w:eastAsia="Arial" w:hAnsi="Arial"/>
          <w:sz w:val="16"/>
          <w:szCs w:val="16"/>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290576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905760"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Murray A. Goldberg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7280910"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0910" cy="20320"/>
                    </a:xfrm>
                    <a:prstGeom prst="rect">
                      <a:avLst/>
                    </a:prstGeom>
                    <a:noFill/>
                  </pic:spPr>
                </pic:pic>
              </a:graphicData>
            </a:graphic>
          </wp:anchor>
        </w:drawing>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upperLetter"/>
      <w:start w:val="24"/>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amp;"/>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lvl w:ilvl="1">
      <w:lvlJc w:val="left"/>
      <w:lvlText w:val="(%2)"/>
      <w:numFmt w:val="decimal"/>
      <w:start w:val="1"/>
    </w:lvl>
  </w:abstractNum>
  <w:abstractNum w:abstractNumId="5">
    <w:nsid w:val="3855585C"/>
    <w:multiLevelType w:val="hybridMultilevel"/>
    <w:lvl w:ilvl="0">
      <w:lvlJc w:val="left"/>
      <w:lvlText w:val="*"/>
      <w:numFmt w:val="bullet"/>
      <w:start w:val="1"/>
    </w:lvl>
    <w:lvl w:ilvl="1">
      <w:lvlJc w:val="left"/>
      <w:lvlText w:val="(%2)"/>
      <w:numFmt w:val="decimal"/>
      <w:start w:val="1"/>
    </w:lvl>
  </w:abstractNum>
  <w:abstractNum w:abstractNumId="6">
    <w:nsid w:val="70A64E2A"/>
    <w:multiLevelType w:val="hybridMultilevel"/>
    <w:lvl w:ilvl="0">
      <w:lvlJc w:val="left"/>
      <w:lvlText w:val="(%1)"/>
      <w:numFmt w:val="lowerRoman"/>
      <w:start w:val="3"/>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lowerLetter"/>
      <w:start w:val="1"/>
    </w:lvl>
  </w:abstractNum>
  <w:abstractNum w:abstractNumId="9">
    <w:nsid w:val="1D4ED43B"/>
    <w:multiLevelType w:val="hybridMultilevel"/>
    <w:lvl w:ilvl="0">
      <w:lvlJc w:val="left"/>
      <w:lvlText w:val="(%1)"/>
      <w:numFmt w:val="lowerLetter"/>
      <w:start w:val="1"/>
    </w:lvl>
  </w:abstractNum>
  <w:abstractNum w:abstractNumId="10">
    <w:nsid w:val="725A06FB"/>
    <w:multiLevelType w:val="hybridMultilevel"/>
    <w:lvl w:ilvl="0">
      <w:lvlJc w:val="left"/>
      <w:lvlText w:val="(%1)"/>
      <w:numFmt w:val="lowerLetter"/>
      <w:start w:val="15"/>
    </w:lvl>
  </w:abstractNum>
  <w:abstractNum w:abstractNumId="11">
    <w:nsid w:val="2CD89A32"/>
    <w:multiLevelType w:val="hybridMultilevel"/>
    <w:lvl w:ilvl="0">
      <w:lvlJc w:val="left"/>
      <w:lvlText w:val="(%1)"/>
      <w:numFmt w:val="lowerLetter"/>
      <w:start w:val="27"/>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2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lvl w:ilvl="1">
      <w:lvlJc w:val="left"/>
      <w:lvlText w:val="%2."/>
      <w:numFmt w:val="decimal"/>
      <w:start w:val="2"/>
    </w:lvl>
  </w:abstractNum>
  <w:abstractNum w:abstractNumId="19">
    <w:nsid w:val="32FFF902"/>
    <w:multiLevelType w:val="hybridMultilevel"/>
    <w:lvl w:ilvl="0">
      <w:lvlJc w:val="left"/>
      <w:lvlText w:val="(%1)"/>
      <w:numFmt w:val="lowerLetter"/>
      <w:start w:val="2"/>
    </w:lvl>
    <w:lvl w:ilvl="1">
      <w:lvlJc w:val="left"/>
      <w:lvlText w:val="(%2)"/>
      <w:numFmt w:val="lowerLetter"/>
      <w:start w:val="3"/>
    </w:lvl>
  </w:abstractNum>
  <w:abstractNum w:abstractNumId="20">
    <w:nsid w:val="684A481A"/>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decimal"/>
      <w:start w:val="1"/>
    </w:lvl>
  </w:abstractNum>
  <w:abstractNum w:abstractNumId="21">
    <w:nsid w:val="579478FE"/>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decimal"/>
      <w:start w:val="1"/>
    </w:lvl>
  </w:abstractNum>
  <w:abstractNum w:abstractNumId="22">
    <w:nsid w:val="749ABB43"/>
    <w:multiLevelType w:val="hybridMultilevel"/>
    <w:lvl w:ilvl="0">
      <w:lvlJc w:val="left"/>
      <w:lvlText w:val="%1."/>
      <w:numFmt w:val="decimal"/>
      <w:start w:val="5"/>
    </w:lvl>
    <w:lvl w:ilvl="1">
      <w:lvlJc w:val="left"/>
      <w:lvlText w:val="%2"/>
      <w:numFmt w:val="decimal"/>
      <w:start w:val="1"/>
    </w:lvl>
    <w:lvl w:ilvl="2">
      <w:lvlJc w:val="left"/>
      <w:lvlText w:val="%3."/>
      <w:numFmt w:val="decimal"/>
      <w:start w:val="6"/>
    </w:lvl>
    <w:lvl w:ilvl="3">
      <w:lvlJc w:val="left"/>
      <w:lvlText w:val="%4."/>
      <w:numFmt w:val="decimal"/>
      <w:start w:val="8"/>
    </w:lvl>
  </w:abstractNum>
  <w:abstractNum w:abstractNumId="23">
    <w:nsid w:val="3DC240FB"/>
    <w:multiLevelType w:val="hybridMultilevel"/>
    <w:lvl w:ilvl="0">
      <w:lvlJc w:val="left"/>
      <w:lvlText w:val="%1."/>
      <w:numFmt w:val="upperLetter"/>
      <w:start w:val="1"/>
    </w:lvl>
  </w:abstractNum>
  <w:abstractNum w:abstractNumId="24">
    <w:nsid w:val="1BA026FA"/>
    <w:multiLevelType w:val="hybridMultilevel"/>
    <w:lvl w:ilvl="0">
      <w:lvlJc w:val="left"/>
      <w:lvlText w:val="%1"/>
      <w:numFmt w:val="lowerRoman"/>
      <w:start w:val="1"/>
    </w:lvl>
    <w:lvl w:ilvl="1">
      <w:lvlJc w:val="left"/>
      <w:lvlText w:val="%2)"/>
      <w:numFmt w:val="decimal"/>
      <w:start w:val="1"/>
    </w:lvl>
  </w:abstractNum>
  <w:abstractNum w:abstractNumId="25">
    <w:nsid w:val="79A1DEAA"/>
    <w:multiLevelType w:val="hybridMultilevel"/>
    <w:lvl w:ilvl="0">
      <w:lvlJc w:val="left"/>
      <w:lvlText w:val="(%1)"/>
      <w:numFmt w:val="lowerRoman"/>
      <w:start w:val="1"/>
    </w:lvl>
    <w:lvl w:ilvl="1">
      <w:lvlJc w:val="left"/>
      <w:lvlText w:val="%2"/>
      <w:numFmt w:val="decimal"/>
      <w:start w:val="1"/>
    </w:lvl>
  </w:abstractNum>
  <w:abstractNum w:abstractNumId="26">
    <w:nsid w:val="75C6C33A"/>
    <w:multiLevelType w:val="hybridMultilevel"/>
    <w:lvl w:ilvl="0">
      <w:lvlJc w:val="left"/>
      <w:lvlText w:val="%1)"/>
      <w:numFmt w:val="decimal"/>
      <w:start w:val="2"/>
    </w:lvl>
  </w:abstractNum>
  <w:abstractNum w:abstractNumId="27">
    <w:nsid w:val="12E685FB"/>
    <w:multiLevelType w:val="hybridMultilevel"/>
    <w:lvl w:ilvl="0">
      <w:lvlJc w:val="left"/>
      <w:lvlText w:val="(%1)"/>
      <w:numFmt w:val="lowerRoman"/>
      <w:start w:val="1"/>
    </w:lvl>
  </w:abstractNum>
  <w:abstractNum w:abstractNumId="28">
    <w:nsid w:val="70C6A529"/>
    <w:multiLevelType w:val="hybridMultilevel"/>
    <w:lvl w:ilvl="0">
      <w:lvlJc w:val="left"/>
      <w:lvlText w:val="(%1)"/>
      <w:numFmt w:val="lowerRoman"/>
      <w:start w:val="4"/>
    </w:lvl>
  </w:abstractNum>
  <w:abstractNum w:abstractNumId="29">
    <w:nsid w:val="520EEDD1"/>
    <w:multiLevelType w:val="hybridMultilevel"/>
    <w:lvl w:ilvl="0">
      <w:lvlJc w:val="left"/>
      <w:lvlText w:val="(%1)"/>
      <w:numFmt w:val="lowerRoman"/>
      <w:start w:val="1"/>
    </w:lvl>
  </w:abstractNum>
  <w:abstractNum w:abstractNumId="30">
    <w:nsid w:val="374A3FE6"/>
    <w:multiLevelType w:val="hybridMultilevel"/>
    <w:lvl w:ilvl="0">
      <w:lvlJc w:val="left"/>
      <w:lvlText w:val="(%1)"/>
      <w:numFmt w:val="lowerRoman"/>
      <w:start w:val="1"/>
    </w:lvl>
  </w:abstractNum>
  <w:abstractNum w:abstractNumId="31">
    <w:nsid w:val="4F4EF005"/>
    <w:multiLevelType w:val="hybridMultilevel"/>
    <w:lvl w:ilvl="0">
      <w:lvlJc w:val="left"/>
      <w:lvlText w:val="(%1)"/>
      <w:numFmt w:val="lowerRoman"/>
      <w:start w:val="4"/>
    </w:lvl>
  </w:abstractNum>
  <w:abstractNum w:abstractNumId="32">
    <w:nsid w:val="23F9C13C"/>
    <w:multiLevelType w:val="hybridMultilevel"/>
    <w:lvl w:ilvl="0">
      <w:lvlJc w:val="left"/>
      <w:lvlText w:val="%1."/>
      <w:numFmt w:val="decimal"/>
      <w:start w:val="1"/>
    </w:lvl>
    <w:lvl w:ilvl="1">
      <w:lvlJc w:val="left"/>
      <w:lvlText w:val="%2."/>
      <w:numFmt w:val="decimal"/>
      <w:start w:val="2"/>
    </w:lvl>
  </w:abstractNum>
  <w:abstractNum w:abstractNumId="33">
    <w:nsid w:val="649BB77C"/>
    <w:multiLevelType w:val="hybridMultilevel"/>
    <w:lvl w:ilvl="0">
      <w:lvlJc w:val="left"/>
      <w:lvlText w:val="%1."/>
      <w:numFmt w:val="decimal"/>
      <w:start w:val="3"/>
    </w:lvl>
  </w:abstractNum>
  <w:abstractNum w:abstractNumId="34">
    <w:nsid w:val="275AC794"/>
    <w:multiLevelType w:val="hybridMultilevel"/>
    <w:lvl w:ilvl="0">
      <w:lvlJc w:val="left"/>
      <w:lvlText w:val="%1."/>
      <w:numFmt w:val="decimal"/>
      <w:start w:val="4"/>
    </w:lvl>
    <w:lvl w:ilvl="1">
      <w:lvlJc w:val="left"/>
      <w:lvlText w:val="%2."/>
      <w:numFmt w:val="decimal"/>
      <w:start w:val="6"/>
    </w:lvl>
  </w:abstractNum>
  <w:abstractNum w:abstractNumId="35">
    <w:nsid w:val="39386575"/>
    <w:multiLevelType w:val="hybridMultilevel"/>
    <w:lvl w:ilvl="0">
      <w:lvlJc w:val="left"/>
      <w:lvlText w:val="%1."/>
      <w:numFmt w:val="decimal"/>
      <w:start w:val="7"/>
    </w:lvl>
  </w:abstractNum>
  <w:abstractNum w:abstractNumId="36">
    <w:nsid w:val="1CF10FD8"/>
    <w:multiLevelType w:val="hybridMultilevel"/>
    <w:lvl w:ilvl="0">
      <w:lvlJc w:val="left"/>
      <w:lvlText w:val="%1."/>
      <w:numFmt w:val="decimal"/>
      <w:start w:val="8"/>
    </w:lvl>
  </w:abstractNum>
  <w:abstractNum w:abstractNumId="37">
    <w:nsid w:val="180115BE"/>
    <w:multiLevelType w:val="hybridMultilevel"/>
    <w:lvl w:ilvl="0">
      <w:lvlJc w:val="left"/>
      <w:lvlText w:val="%1."/>
      <w:numFmt w:val="decimal"/>
      <w:start w:val="9"/>
    </w:lvl>
  </w:abstractNum>
  <w:abstractNum w:abstractNumId="38">
    <w:nsid w:val="235BA861"/>
    <w:multiLevelType w:val="hybridMultilevel"/>
    <w:lvl w:ilvl="0">
      <w:lvlJc w:val="left"/>
      <w:lvlText w:val="%1."/>
      <w:numFmt w:val="decimal"/>
      <w:start w:val="10"/>
    </w:lvl>
    <w:lvl w:ilvl="1">
      <w:lvlJc w:val="left"/>
      <w:lvlText w:val="%2."/>
      <w:numFmt w:val="decimal"/>
      <w:start w:val="11"/>
    </w:lvl>
  </w:abstractNum>
  <w:abstractNum w:abstractNumId="39">
    <w:nsid w:val="47398C89"/>
    <w:multiLevelType w:val="hybridMultilevel"/>
    <w:lvl w:ilvl="0">
      <w:lvlJc w:val="left"/>
      <w:lvlText w:val="%1."/>
      <w:numFmt w:val="decimal"/>
      <w:start w:val="15"/>
    </w:lvl>
  </w:abstractNum>
  <w:abstractNum w:abstractNumId="40">
    <w:nsid w:val="354FE9F9"/>
    <w:multiLevelType w:val="hybridMultilevel"/>
    <w:lvl w:ilvl="0">
      <w:lvlJc w:val="left"/>
      <w:lvlText w:val="%1."/>
      <w:numFmt w:val="decimal"/>
      <w:start w:val="16"/>
    </w:lvl>
    <w:lvl w:ilvl="1">
      <w:lvlJc w:val="left"/>
      <w:lvlText w:val="%2."/>
      <w:numFmt w:val="decimal"/>
      <w:start w:val="17"/>
    </w:lvl>
    <w:lvl w:ilvl="2">
      <w:lvlJc w:val="left"/>
      <w:lvlText w:val="%3."/>
      <w:numFmt w:val="decimal"/>
      <w:start w:val="18"/>
    </w:lvl>
  </w:abstractNum>
  <w:abstractNum w:abstractNumId="41">
    <w:nsid w:val="15B5AF5C"/>
    <w:multiLevelType w:val="hybridMultilevel"/>
    <w:lvl w:ilvl="0">
      <w:lvlJc w:val="left"/>
      <w:lvlText w:val="%1."/>
      <w:numFmt w:val="decimal"/>
      <w:start w:val="19"/>
    </w:lvl>
  </w:abstractNum>
  <w:abstractNum w:abstractNumId="42">
    <w:nsid w:val="741226BB"/>
    <w:multiLevelType w:val="hybridMultilevel"/>
    <w:lvl w:ilvl="0">
      <w:lvlJc w:val="left"/>
      <w:lvlText w:val="%1."/>
      <w:numFmt w:val="decimal"/>
      <w:start w:val="20"/>
    </w:lvl>
  </w:abstractNum>
  <w:abstractNum w:abstractNumId="43">
    <w:nsid w:val="D34B6A8"/>
    <w:multiLevelType w:val="hybridMultilevel"/>
    <w:lvl w:ilvl="0">
      <w:lvlJc w:val="left"/>
      <w:lvlText w:val="%1."/>
      <w:numFmt w:val="decimal"/>
      <w:start w:val="22"/>
    </w:lvl>
  </w:abstractNum>
  <w:abstractNum w:abstractNumId="44">
    <w:nsid w:val="10233C99"/>
    <w:multiLevelType w:val="hybridMultilevel"/>
    <w:lvl w:ilvl="0">
      <w:lvlJc w:val="left"/>
      <w:lvlText w:val="%1."/>
      <w:numFmt w:val="decimal"/>
      <w:start w:val="25"/>
    </w:lvl>
    <w:lvl w:ilvl="1">
      <w:lvlJc w:val="left"/>
      <w:lvlText w:val="%2."/>
      <w:numFmt w:val="decimal"/>
      <w:start w:val="26"/>
    </w:lvl>
  </w:abstractNum>
  <w:abstractNum w:abstractNumId="45">
    <w:nsid w:val="3F6AB60F"/>
    <w:multiLevelType w:val="hybridMultilevel"/>
    <w:lvl w:ilvl="0">
      <w:lvlJc w:val="left"/>
      <w:lvlText w:val="%1"/>
      <w:numFmt w:val="decimal"/>
      <w:start w:val="1"/>
    </w:lvl>
    <w:lvl w:ilvl="1">
      <w:lvlJc w:val="left"/>
      <w:lvlText w:val="%2."/>
      <w:numFmt w:val="decimal"/>
      <w:start w:val="27"/>
    </w:lvl>
  </w:abstractNum>
  <w:abstractNum w:abstractNumId="46">
    <w:nsid w:val="61574095"/>
    <w:multiLevelType w:val="hybridMultilevel"/>
    <w:lvl w:ilvl="0">
      <w:lvlJc w:val="left"/>
      <w:lvlText w:val="%1."/>
      <w:numFmt w:val="decimal"/>
      <w:start w:val="28"/>
    </w:lvl>
    <w:lvl w:ilvl="1">
      <w:lvlJc w:val="left"/>
      <w:lvlText w:val="%2"/>
      <w:numFmt w:val="decimal"/>
      <w:start w:val="1"/>
    </w:lvl>
  </w:abstractNum>
  <w:abstractNum w:abstractNumId="47">
    <w:nsid w:val="7E0C57B1"/>
    <w:multiLevelType w:val="hybridMultilevel"/>
    <w:lvl w:ilvl="0">
      <w:lvlJc w:val="left"/>
      <w:lvlText w:val="%1."/>
      <w:numFmt w:val="decimal"/>
      <w:start w:val="30"/>
    </w:lvl>
  </w:abstractNum>
  <w:abstractNum w:abstractNumId="48">
    <w:nsid w:val="77AE35EB"/>
    <w:multiLevelType w:val="hybridMultilevel"/>
    <w:lvl w:ilvl="0">
      <w:lvlJc w:val="left"/>
      <w:lvlText w:val="%1."/>
      <w:numFmt w:val="decimal"/>
      <w:start w:val="31"/>
    </w:lvl>
    <w:lvl w:ilvl="1">
      <w:lvlJc w:val="left"/>
      <w:lvlText w:val="%2."/>
      <w:numFmt w:val="decimal"/>
      <w:start w:val="32"/>
    </w:lvl>
  </w:abstractNum>
  <w:abstractNum w:abstractNumId="49">
    <w:nsid w:val="579BE4F1"/>
    <w:multiLevelType w:val="hybridMultilevel"/>
    <w:lvl w:ilvl="0">
      <w:lvlJc w:val="left"/>
      <w:lvlText w:val="%1."/>
      <w:numFmt w:val="decimal"/>
      <w:start w:val="35"/>
    </w:lvl>
    <w:lvl w:ilvl="1">
      <w:lvlJc w:val="left"/>
      <w:lvlText w:val="%2."/>
      <w:numFmt w:val="decimal"/>
      <w:start w:val="37"/>
    </w:lvl>
  </w:abstractNum>
  <w:abstractNum w:abstractNumId="50">
    <w:nsid w:val="310C50B3"/>
    <w:multiLevelType w:val="hybridMultilevel"/>
    <w:lvl w:ilvl="0">
      <w:lvlJc w:val="left"/>
      <w:lvlText w:val="%1"/>
      <w:numFmt w:val="decimal"/>
      <w:start w:val="1"/>
    </w:lvl>
    <w:lvl w:ilvl="1">
      <w:lvlJc w:val="left"/>
      <w:lvlText w:val="%2"/>
      <w:numFmt w:val="decimal"/>
      <w:start w:val="1"/>
    </w:lvl>
    <w:lvl w:ilvl="2">
      <w:lvlJc w:val="left"/>
      <w:lvlText w:val="%3."/>
      <w:numFmt w:val="decimal"/>
      <w:start w:val="38"/>
    </w:lvl>
    <w:lvl w:ilvl="3">
      <w:lvlJc w:val="left"/>
      <w:lvlText w:val="%4."/>
      <w:numFmt w:val="decimal"/>
      <w:start w:val="39"/>
    </w:lvl>
  </w:abstractNum>
  <w:abstractNum w:abstractNumId="51">
    <w:nsid w:val="5FF87E05"/>
    <w:multiLevelType w:val="hybridMultilevel"/>
    <w:lvl w:ilvl="0">
      <w:lvlJc w:val="left"/>
      <w:lvlText w:val="%1."/>
      <w:numFmt w:val="decimal"/>
      <w:start w:val="40"/>
    </w:lvl>
    <w:lvl w:ilvl="1">
      <w:lvlJc w:val="left"/>
      <w:lvlText w:val="%2."/>
      <w:numFmt w:val="decimal"/>
      <w:start w:val="41"/>
    </w:lvl>
    <w:lvl w:ilvl="2">
      <w:lvlJc w:val="left"/>
      <w:lvlText w:val="%3"/>
      <w:numFmt w:val="decimal"/>
      <w:start w:val="1"/>
    </w:lvl>
    <w:lvl w:ilvl="3">
      <w:lvlJc w:val="left"/>
      <w:lvlText w:val="%4"/>
      <w:numFmt w:val="decimal"/>
      <w:start w:val="1"/>
    </w:lvl>
  </w:abstractNum>
  <w:abstractNum w:abstractNumId="52">
    <w:nsid w:val="2F305DEF"/>
    <w:multiLevelType w:val="hybridMultilevel"/>
    <w:lvl w:ilvl="0">
      <w:lvlJc w:val="left"/>
      <w:lvlText w:val="%1"/>
      <w:numFmt w:val="decimal"/>
      <w:start w:val="1"/>
    </w:lvl>
    <w:lvl w:ilvl="1">
      <w:lvlJc w:val="left"/>
      <w:lvlText w:val="%2."/>
      <w:numFmt w:val="decimal"/>
      <w:start w:val="42"/>
    </w:lvl>
  </w:abstractNum>
  <w:abstractNum w:abstractNumId="53">
    <w:nsid w:val="25A70BF7"/>
    <w:multiLevelType w:val="hybridMultilevel"/>
    <w:lvl w:ilvl="0">
      <w:lvlJc w:val="left"/>
      <w:lvlText w:val="%1."/>
      <w:numFmt w:val="decimal"/>
      <w:start w:val="43"/>
    </w:lvl>
    <w:lvl w:ilvl="1">
      <w:lvlJc w:val="left"/>
      <w:lvlText w:val="%2"/>
      <w:numFmt w:val="decimal"/>
      <w:start w:val="1"/>
    </w:lvl>
  </w:abstractNum>
  <w:abstractNum w:abstractNumId="54">
    <w:nsid w:val="1DBABF00"/>
    <w:multiLevelType w:val="hybridMultilevel"/>
    <w:lvl w:ilvl="0">
      <w:lvlJc w:val="left"/>
      <w:lvlText w:val="%1."/>
      <w:numFmt w:val="decimal"/>
      <w:start w:val="44"/>
    </w:lvl>
    <w:lvl w:ilvl="1">
      <w:lvlJc w:val="left"/>
      <w:lvlText w:val="%2)"/>
      <w:numFmt w:val="lowerLetter"/>
      <w:start w:val="1"/>
    </w:lvl>
  </w:abstractNum>
  <w:abstractNum w:abstractNumId="55">
    <w:nsid w:val="4AD084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56">
    <w:nsid w:val="1F48EA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57">
    <w:nsid w:val="1381823A"/>
    <w:multiLevelType w:val="hybridMultilevel"/>
    <w:lvl w:ilvl="0">
      <w:lvlJc w:val="left"/>
      <w:lvlText w:val="%1."/>
      <w:numFmt w:val="decimal"/>
      <w:start w:val="46"/>
    </w:lvl>
    <w:lvl w:ilvl="1">
      <w:lvlJc w:val="left"/>
      <w:lvlText w:val="%2."/>
      <w:numFmt w:val="decimal"/>
      <w:start w:val="47"/>
    </w:lvl>
    <w:lvl w:ilvl="2">
      <w:lvlJc w:val="left"/>
      <w:lvlText w:val="%3"/>
      <w:numFmt w:val="lowerLetter"/>
      <w:start w:val="1"/>
    </w:lvl>
    <w:lvl w:ilvl="3">
      <w:lvlJc w:val="left"/>
      <w:lvlText w:val="%4"/>
      <w:numFmt w:val="lowerLetter"/>
      <w:start w:val="1"/>
    </w:lvl>
  </w:abstractNum>
  <w:abstractNum w:abstractNumId="58">
    <w:nsid w:val="5DB70AE5"/>
    <w:multiLevelType w:val="hybridMultilevel"/>
    <w:lvl w:ilvl="0">
      <w:lvlJc w:val="left"/>
      <w:lvlText w:val="%1."/>
      <w:numFmt w:val="decimal"/>
      <w:start w:val="48"/>
    </w:lvl>
  </w:abstractNum>
  <w:abstractNum w:abstractNumId="59">
    <w:nsid w:val="100F8FCA"/>
    <w:multiLevelType w:val="hybridMultilevel"/>
    <w:lvl w:ilvl="0">
      <w:lvlJc w:val="left"/>
      <w:lvlText w:val="%1."/>
      <w:numFmt w:val="decimal"/>
      <w:start w:val="49"/>
    </w:lvl>
    <w:lvl w:ilvl="1">
      <w:lvlJc w:val="left"/>
      <w:lvlText w:val="%2)"/>
      <w:numFmt w:val="lowerLetter"/>
      <w:start w:val="1"/>
    </w:lvl>
    <w:lvl w:ilvl="2">
      <w:lvlJc w:val="left"/>
      <w:lvlText w:val="%3)"/>
      <w:numFmt w:val="lowerLetter"/>
      <w:start w:val="2"/>
    </w:lvl>
  </w:abstractNum>
  <w:abstractNum w:abstractNumId="60">
    <w:nsid w:val="6590700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3"/>
    </w:lvl>
  </w:abstractNum>
  <w:abstractNum w:abstractNumId="61">
    <w:nsid w:val="15014ACB"/>
    <w:multiLevelType w:val="hybridMultilevel"/>
    <w:lvl w:ilvl="0">
      <w:lvlJc w:val="left"/>
      <w:lvlText w:val="%1."/>
      <w:numFmt w:val="decimal"/>
      <w:start w:val="51"/>
    </w:lvl>
    <w:lvl w:ilvl="1">
      <w:lvlJc w:val="left"/>
      <w:lvlText w:val="%2."/>
      <w:numFmt w:val="decimal"/>
      <w:start w:val="52"/>
    </w:lvl>
    <w:lvl w:ilvl="2">
      <w:lvlJc w:val="left"/>
      <w:lvlText w:val="%3."/>
      <w:numFmt w:val="decimal"/>
      <w:start w:val="52"/>
    </w:lvl>
    <w:lvl w:ilvl="3">
      <w:lvlJc w:val="left"/>
      <w:lvlText w:val="%4"/>
      <w:numFmt w:val="lowerLetter"/>
      <w:start w:val="1"/>
    </w:lvl>
  </w:abstractNum>
  <w:abstractNum w:abstractNumId="62">
    <w:nsid w:val="5F5E7FD0"/>
    <w:multiLevelType w:val="hybridMultilevel"/>
    <w:lvl w:ilvl="0">
      <w:lvlJc w:val="left"/>
      <w:lvlText w:val="%1."/>
      <w:numFmt w:val="decimal"/>
      <w:start w:val="54"/>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63">
    <w:nsid w:val="98A3148"/>
    <w:multiLevelType w:val="hybridMultilevel"/>
    <w:lvl w:ilvl="0">
      <w:lvlJc w:val="left"/>
      <w:lvlText w:val="%1."/>
      <w:numFmt w:val="decimal"/>
      <w:start w:val="56"/>
    </w:lvl>
    <w:lvl w:ilvl="1">
      <w:lvlJc w:val="left"/>
      <w:lvlText w:val="%2."/>
      <w:numFmt w:val="decimal"/>
      <w:start w:val="57"/>
    </w:lvl>
    <w:lvl w:ilvl="2">
      <w:lvlJc w:val="left"/>
      <w:lvlText w:val="%3."/>
      <w:numFmt w:val="decimal"/>
      <w:start w:val="57"/>
    </w:lvl>
  </w:abstractNum>
  <w:abstractNum w:abstractNumId="64">
    <w:nsid w:val="799D0247"/>
    <w:multiLevelType w:val="hybridMultilevel"/>
    <w:lvl w:ilvl="0">
      <w:lvlJc w:val="left"/>
      <w:lvlText w:val="%1."/>
      <w:numFmt w:val="decimal"/>
      <w:start w:val="59"/>
    </w:lvl>
  </w:abstractNum>
  <w:abstractNum w:abstractNumId="65">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66">
    <w:nsid w:val="42C296B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67">
    <w:nsid w:val="168E121F"/>
    <w:multiLevelType w:val="hybridMultilevel"/>
    <w:lvl w:ilvl="0">
      <w:lvlJc w:val="left"/>
      <w:lvlText w:val="%1."/>
      <w:numFmt w:val="decimal"/>
      <w:start w:val="61"/>
    </w:lvl>
    <w:lvl w:ilvl="1">
      <w:lvlJc w:val="left"/>
      <w:lvlText w:val="%2."/>
      <w:numFmt w:val="decimal"/>
      <w:start w:val="62"/>
    </w:lvl>
    <w:lvl w:ilvl="2">
      <w:lvlJc w:val="left"/>
      <w:lvlText w:val="%3."/>
      <w:numFmt w:val="decimal"/>
      <w:start w:val="62"/>
    </w:lvl>
  </w:abstractNum>
  <w:abstractNum w:abstractNumId="68">
    <w:nsid w:val="1EBA5D2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9">
    <w:nsid w:val="661E3F1E"/>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70">
    <w:nsid w:val="5DC79EA8"/>
    <w:multiLevelType w:val="hybridMultilevel"/>
    <w:lvl w:ilvl="0">
      <w:lvlJc w:val="left"/>
      <w:lvlText w:val="%1."/>
      <w:numFmt w:val="decimal"/>
      <w:start w:val="4"/>
    </w:lvl>
    <w:lvl w:ilvl="1">
      <w:lvlJc w:val="left"/>
      <w:lvlText w:val="%2."/>
      <w:numFmt w:val="decimal"/>
      <w:start w:val="5"/>
    </w:lvl>
  </w:abstractNum>
  <w:abstractNum w:abstractNumId="71">
    <w:nsid w:val="540A471C"/>
    <w:multiLevelType w:val="hybridMultilevel"/>
    <w:lvl w:ilvl="0">
      <w:lvlJc w:val="left"/>
      <w:lvlText w:val="%1."/>
      <w:numFmt w:val="decimal"/>
      <w:start w:val="6"/>
    </w:lvl>
  </w:abstractNum>
  <w:abstractNum w:abstractNumId="72">
    <w:nsid w:val="7BD3EE7B"/>
    <w:multiLevelType w:val="hybridMultilevel"/>
    <w:lvl w:ilvl="0">
      <w:lvlJc w:val="left"/>
      <w:lvlText w:val="%1"/>
      <w:numFmt w:val="decimal"/>
      <w:start w:val="1"/>
    </w:lvl>
    <w:lvl w:ilvl="1">
      <w:lvlJc w:val="left"/>
      <w:lvlText w:val="%2."/>
      <w:numFmt w:val="decimal"/>
      <w:start w:val="7"/>
    </w:lvl>
  </w:abstractNum>
  <w:abstractNum w:abstractNumId="73">
    <w:nsid w:val="51D9C564"/>
    <w:multiLevelType w:val="hybridMultilevel"/>
    <w:lvl w:ilvl="0">
      <w:lvlJc w:val="left"/>
      <w:lvlText w:val="%1."/>
      <w:numFmt w:val="decimal"/>
      <w:start w:val="8"/>
    </w:lvl>
    <w:lvl w:ilvl="1">
      <w:lvlJc w:val="left"/>
      <w:lvlText w:val="%2"/>
      <w:numFmt w:val="decimal"/>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2019-12-09T10:17:28Z</dcterms:created>
  <dcterms:modified xsi:type="dcterms:W3CDTF">2019-12-09T10:17:28Z</dcterms:modified>
</cp:coreProperties>
</file>