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right"/>
        <w:spacing w:after="0"/>
        <w:rPr>
          <w:sz w:val="20"/>
          <w:szCs w:val="20"/>
          <w:color w:val="auto"/>
        </w:rPr>
      </w:pPr>
      <w:r>
        <w:rPr>
          <w:rFonts w:ascii="Arial" w:cs="Arial" w:eastAsia="Arial" w:hAnsi="Arial"/>
          <w:sz w:val="18"/>
          <w:szCs w:val="18"/>
          <w:color w:val="auto"/>
        </w:rPr>
        <w:t>Filed pursuant to Rule No. 424(b)(3)</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File Number 333-74464</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 SUPPLEMENT NO. 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$200,000,000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5.50% Convertible Senior Subordinated Notes due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Shares of Common Stock Issuable upon Conversion of the Notes</w:t>
      </w:r>
    </w:p>
    <w:p>
      <w:pPr>
        <w:spacing w:after="0" w:line="170" w:lineRule="exact"/>
        <w:rPr>
          <w:sz w:val="20"/>
          <w:szCs w:val="20"/>
          <w:color w:val="auto"/>
        </w:rPr>
      </w:pPr>
    </w:p>
    <w:p>
      <w:pPr>
        <w:ind w:right="220" w:firstLine="222"/>
        <w:spacing w:after="0" w:line="276" w:lineRule="auto"/>
        <w:rPr>
          <w:sz w:val="20"/>
          <w:szCs w:val="20"/>
          <w:color w:val="auto"/>
        </w:rPr>
      </w:pPr>
      <w:r>
        <w:rPr>
          <w:rFonts w:ascii="Arial" w:cs="Arial" w:eastAsia="Arial" w:hAnsi="Arial"/>
          <w:sz w:val="17"/>
          <w:szCs w:val="17"/>
          <w:color w:val="auto"/>
        </w:rPr>
        <w:t>This prospectus supplement supplements the prospectus dated January 24, 2002 of Regeneron Pharmaceuticals, Inc. relating to the sale by certain of our securityholders (including their pledges, donees, assignees, transferees, successors and others who later hold any of the securityholders’ interests) of up to $200,000,000 principal amount at maturity of notes and the shares of common stock issuable upon conversion of the notes. You should read this prospectus supplement in conjunction with the prospectus, and this prospectus supplement is qualified by reference to the prospectus, except to the extent that the information in this prospectus supplement supersedes the information contained in the prospectus.</w:t>
      </w:r>
    </w:p>
    <w:p>
      <w:pPr>
        <w:spacing w:after="0" w:line="13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table of selling securityholders contained in the prospectus is hereby modified to add as follows: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0" w:type="dxa"/>
            <w:vAlign w:val="bottom"/>
          </w:tcPr>
          <w:p>
            <w:pPr>
              <w:jc w:val="center"/>
              <w:spacing w:after="0"/>
              <w:rPr>
                <w:sz w:val="20"/>
                <w:szCs w:val="20"/>
                <w:color w:val="auto"/>
              </w:rPr>
            </w:pPr>
            <w:r>
              <w:rPr>
                <w:rFonts w:ascii="Arial" w:cs="Arial" w:eastAsia="Arial" w:hAnsi="Arial"/>
                <w:sz w:val="14"/>
                <w:szCs w:val="14"/>
                <w:b w:val="1"/>
                <w:bCs w:val="1"/>
                <w:color w:val="auto"/>
                <w:w w:val="93"/>
              </w:rPr>
              <w:t>Aggregate Principal</w:t>
            </w:r>
          </w:p>
        </w:tc>
        <w:tc>
          <w:tcPr>
            <w:tcW w:w="420" w:type="dxa"/>
            <w:vAlign w:val="bottom"/>
          </w:tcPr>
          <w:p>
            <w:pPr>
              <w:spacing w:after="0"/>
              <w:rPr>
                <w:sz w:val="14"/>
                <w:szCs w:val="14"/>
                <w:color w:val="auto"/>
              </w:rPr>
            </w:pPr>
          </w:p>
        </w:tc>
        <w:tc>
          <w:tcPr>
            <w:tcW w:w="124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0"/>
              </w:rPr>
              <w:t>Percentage of</w:t>
            </w: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 Shares</w:t>
            </w:r>
          </w:p>
        </w:tc>
        <w:tc>
          <w:tcPr>
            <w:tcW w:w="4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Amount at</w:t>
            </w:r>
          </w:p>
        </w:tc>
        <w:tc>
          <w:tcPr>
            <w:tcW w:w="4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of Common Stock</w:t>
            </w:r>
          </w:p>
        </w:tc>
        <w:tc>
          <w:tcPr>
            <w:tcW w:w="4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Shares of</w:t>
            </w:r>
          </w:p>
        </w:tc>
        <w:tc>
          <w:tcPr>
            <w:tcW w:w="0" w:type="dxa"/>
            <w:vAlign w:val="bottom"/>
          </w:tcPr>
          <w:p>
            <w:pPr>
              <w:spacing w:after="0"/>
              <w:rPr>
                <w:sz w:val="1"/>
                <w:szCs w:val="1"/>
                <w:color w:val="auto"/>
              </w:rPr>
            </w:pPr>
          </w:p>
        </w:tc>
      </w:tr>
      <w:tr>
        <w:trPr>
          <w:trHeight w:val="149"/>
        </w:trPr>
        <w:tc>
          <w:tcPr>
            <w:tcW w:w="336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420" w:type="dxa"/>
            <w:vAlign w:val="bottom"/>
          </w:tcPr>
          <w:p>
            <w:pPr>
              <w:spacing w:after="0"/>
              <w:rPr>
                <w:sz w:val="12"/>
                <w:szCs w:val="12"/>
                <w:color w:val="auto"/>
              </w:rPr>
            </w:pPr>
          </w:p>
        </w:tc>
        <w:tc>
          <w:tcPr>
            <w:tcW w:w="2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Maturity of Notes</w:t>
            </w:r>
          </w:p>
        </w:tc>
        <w:tc>
          <w:tcPr>
            <w:tcW w:w="420" w:type="dxa"/>
            <w:vAlign w:val="bottom"/>
          </w:tcPr>
          <w:p>
            <w:pPr>
              <w:spacing w:after="0"/>
              <w:rPr>
                <w:sz w:val="12"/>
                <w:szCs w:val="12"/>
                <w:color w:val="auto"/>
              </w:rPr>
            </w:pPr>
          </w:p>
        </w:tc>
        <w:tc>
          <w:tcPr>
            <w:tcW w:w="12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Notes</w:t>
            </w:r>
          </w:p>
        </w:tc>
        <w:tc>
          <w:tcPr>
            <w:tcW w:w="1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that may</w:t>
            </w:r>
          </w:p>
        </w:tc>
        <w:tc>
          <w:tcPr>
            <w:tcW w:w="4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Common Stock</w:t>
            </w:r>
          </w:p>
        </w:tc>
        <w:tc>
          <w:tcPr>
            <w:tcW w:w="0" w:type="dxa"/>
            <w:vAlign w:val="bottom"/>
          </w:tcPr>
          <w:p>
            <w:pPr>
              <w:spacing w:after="0"/>
              <w:rPr>
                <w:sz w:val="1"/>
                <w:szCs w:val="1"/>
                <w:color w:val="auto"/>
              </w:rPr>
            </w:pPr>
          </w:p>
        </w:tc>
      </w:tr>
      <w:tr>
        <w:trPr>
          <w:trHeight w:val="186"/>
        </w:trPr>
        <w:tc>
          <w:tcPr>
            <w:tcW w:w="336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2800" w:type="dxa"/>
            <w:vAlign w:val="bottom"/>
          </w:tcPr>
          <w:p>
            <w:pPr>
              <w:jc w:val="center"/>
              <w:spacing w:after="0"/>
              <w:rPr>
                <w:sz w:val="20"/>
                <w:szCs w:val="20"/>
                <w:color w:val="auto"/>
              </w:rPr>
            </w:pPr>
            <w:r>
              <w:rPr>
                <w:rFonts w:ascii="Arial" w:cs="Arial" w:eastAsia="Arial" w:hAnsi="Arial"/>
                <w:sz w:val="14"/>
                <w:szCs w:val="14"/>
                <w:b w:val="1"/>
                <w:bCs w:val="1"/>
                <w:color w:val="auto"/>
                <w:w w:val="92"/>
              </w:rPr>
              <w:t>that may be Sold</w:t>
            </w:r>
          </w:p>
        </w:tc>
        <w:tc>
          <w:tcPr>
            <w:tcW w:w="420" w:type="dxa"/>
            <w:vAlign w:val="bottom"/>
          </w:tcPr>
          <w:p>
            <w:pPr>
              <w:spacing w:after="0"/>
              <w:rPr>
                <w:sz w:val="16"/>
                <w:szCs w:val="16"/>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Outstanding</w:t>
            </w: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92"/>
              </w:rPr>
              <w:t>be Sold (1)</w:t>
            </w:r>
          </w:p>
        </w:tc>
        <w:tc>
          <w:tcPr>
            <w:tcW w:w="42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4"/>
              </w:rPr>
              <w:t>Outstanding (2)</w:t>
            </w:r>
          </w:p>
        </w:tc>
        <w:tc>
          <w:tcPr>
            <w:tcW w:w="0" w:type="dxa"/>
            <w:vAlign w:val="bottom"/>
          </w:tcPr>
          <w:p>
            <w:pPr>
              <w:spacing w:after="0"/>
              <w:rPr>
                <w:sz w:val="1"/>
                <w:szCs w:val="1"/>
                <w:color w:val="auto"/>
              </w:rPr>
            </w:pPr>
          </w:p>
        </w:tc>
      </w:tr>
      <w:tr>
        <w:trPr>
          <w:trHeight w:val="53"/>
        </w:trPr>
        <w:tc>
          <w:tcPr>
            <w:tcW w:w="3360" w:type="dxa"/>
            <w:vAlign w:val="bottom"/>
            <w:tcBorders>
              <w:bottom w:val="single" w:sz="8" w:color="808080"/>
            </w:tcBorders>
          </w:tcPr>
          <w:p>
            <w:pPr>
              <w:spacing w:after="0"/>
              <w:rPr>
                <w:sz w:val="4"/>
                <w:szCs w:val="4"/>
                <w:color w:val="auto"/>
              </w:rPr>
            </w:pPr>
          </w:p>
        </w:tc>
        <w:tc>
          <w:tcPr>
            <w:tcW w:w="420" w:type="dxa"/>
            <w:vAlign w:val="bottom"/>
          </w:tcPr>
          <w:p>
            <w:pPr>
              <w:spacing w:after="0"/>
              <w:rPr>
                <w:sz w:val="4"/>
                <w:szCs w:val="4"/>
                <w:color w:val="auto"/>
              </w:rPr>
            </w:pPr>
          </w:p>
        </w:tc>
        <w:tc>
          <w:tcPr>
            <w:tcW w:w="2800" w:type="dxa"/>
            <w:vAlign w:val="bottom"/>
            <w:tcBorders>
              <w:bottom w:val="single" w:sz="8" w:color="808080"/>
            </w:tcBorders>
          </w:tcPr>
          <w:p>
            <w:pPr>
              <w:spacing w:after="0"/>
              <w:rPr>
                <w:sz w:val="4"/>
                <w:szCs w:val="4"/>
                <w:color w:val="auto"/>
              </w:rPr>
            </w:pPr>
          </w:p>
        </w:tc>
        <w:tc>
          <w:tcPr>
            <w:tcW w:w="420" w:type="dxa"/>
            <w:vAlign w:val="bottom"/>
          </w:tcPr>
          <w:p>
            <w:pPr>
              <w:spacing w:after="0"/>
              <w:rPr>
                <w:sz w:val="4"/>
                <w:szCs w:val="4"/>
                <w:color w:val="auto"/>
              </w:rPr>
            </w:pPr>
          </w:p>
        </w:tc>
        <w:tc>
          <w:tcPr>
            <w:tcW w:w="820" w:type="dxa"/>
            <w:vAlign w:val="bottom"/>
            <w:tcBorders>
              <w:bottom w:val="single" w:sz="8" w:color="808080"/>
            </w:tcBorders>
          </w:tcPr>
          <w:p>
            <w:pPr>
              <w:spacing w:after="0"/>
              <w:rPr>
                <w:sz w:val="4"/>
                <w:szCs w:val="4"/>
                <w:color w:val="auto"/>
              </w:rPr>
            </w:pPr>
          </w:p>
        </w:tc>
        <w:tc>
          <w:tcPr>
            <w:tcW w:w="420" w:type="dxa"/>
            <w:vAlign w:val="bottom"/>
          </w:tcPr>
          <w:p>
            <w:pPr>
              <w:spacing w:after="0"/>
              <w:rPr>
                <w:sz w:val="4"/>
                <w:szCs w:val="4"/>
                <w:color w:val="auto"/>
              </w:rPr>
            </w:pPr>
          </w:p>
        </w:tc>
        <w:tc>
          <w:tcPr>
            <w:tcW w:w="1780" w:type="dxa"/>
            <w:vAlign w:val="bottom"/>
            <w:tcBorders>
              <w:bottom w:val="single" w:sz="8" w:color="808080"/>
            </w:tcBorders>
          </w:tcPr>
          <w:p>
            <w:pPr>
              <w:spacing w:after="0"/>
              <w:rPr>
                <w:sz w:val="4"/>
                <w:szCs w:val="4"/>
                <w:color w:val="auto"/>
              </w:rPr>
            </w:pPr>
          </w:p>
        </w:tc>
        <w:tc>
          <w:tcPr>
            <w:tcW w:w="420" w:type="dxa"/>
            <w:vAlign w:val="bottom"/>
          </w:tcPr>
          <w:p>
            <w:pPr>
              <w:spacing w:after="0"/>
              <w:rPr>
                <w:sz w:val="4"/>
                <w:szCs w:val="4"/>
                <w:color w:val="auto"/>
              </w:rPr>
            </w:pPr>
          </w:p>
        </w:tc>
        <w:tc>
          <w:tcPr>
            <w:tcW w:w="98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3360" w:type="dxa"/>
            <w:vAlign w:val="bottom"/>
          </w:tcPr>
          <w:p>
            <w:pPr>
              <w:spacing w:after="0"/>
              <w:rPr>
                <w:sz w:val="20"/>
                <w:szCs w:val="20"/>
                <w:color w:val="auto"/>
              </w:rPr>
            </w:pPr>
            <w:r>
              <w:rPr>
                <w:rFonts w:ascii="Arial" w:cs="Arial" w:eastAsia="Arial" w:hAnsi="Arial"/>
                <w:sz w:val="18"/>
                <w:szCs w:val="18"/>
                <w:color w:val="auto"/>
              </w:rPr>
              <w:t>CIBC World Markets</w:t>
            </w:r>
          </w:p>
        </w:tc>
        <w:tc>
          <w:tcPr>
            <w:tcW w:w="3220" w:type="dxa"/>
            <w:vAlign w:val="bottom"/>
            <w:gridSpan w:val="2"/>
          </w:tcPr>
          <w:p>
            <w:pPr>
              <w:jc w:val="right"/>
              <w:ind w:right="968"/>
              <w:spacing w:after="0"/>
              <w:rPr>
                <w:sz w:val="20"/>
                <w:szCs w:val="20"/>
                <w:color w:val="auto"/>
              </w:rPr>
            </w:pPr>
            <w:r>
              <w:rPr>
                <w:rFonts w:ascii="Arial" w:cs="Arial" w:eastAsia="Arial" w:hAnsi="Arial"/>
                <w:sz w:val="18"/>
                <w:szCs w:val="18"/>
                <w:color w:val="auto"/>
              </w:rPr>
              <w:t>$1,000,000</w:t>
            </w:r>
          </w:p>
        </w:tc>
        <w:tc>
          <w:tcPr>
            <w:tcW w:w="1240" w:type="dxa"/>
            <w:vAlign w:val="bottom"/>
            <w:gridSpan w:val="2"/>
          </w:tcPr>
          <w:p>
            <w:pPr>
              <w:jc w:val="right"/>
              <w:ind w:right="208"/>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0"/>
              </w:rPr>
              <w:t>33,056</w:t>
            </w:r>
          </w:p>
        </w:tc>
        <w:tc>
          <w:tcPr>
            <w:tcW w:w="1400" w:type="dxa"/>
            <w:vAlign w:val="bottom"/>
            <w:gridSpan w:val="2"/>
          </w:tcPr>
          <w:p>
            <w:pPr>
              <w:jc w:val="right"/>
              <w:ind w:right="24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40" w:hanging="132"/>
        <w:spacing w:after="0"/>
        <w:tabs>
          <w:tab w:leader="none" w:pos="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Less than one percent (1%).</w:t>
      </w:r>
    </w:p>
    <w:p>
      <w:pPr>
        <w:spacing w:after="0" w:line="225" w:lineRule="exact"/>
        <w:rPr>
          <w:rFonts w:ascii="Arial" w:cs="Arial" w:eastAsia="Arial" w:hAnsi="Arial"/>
          <w:sz w:val="18"/>
          <w:szCs w:val="18"/>
          <w:color w:val="auto"/>
        </w:rPr>
      </w:pPr>
    </w:p>
    <w:p>
      <w:pPr>
        <w:jc w:val="both"/>
        <w:ind w:left="340" w:right="200" w:hanging="326"/>
        <w:spacing w:after="0" w:line="286" w:lineRule="auto"/>
        <w:tabs>
          <w:tab w:leader="none" w:pos="340" w:val="left"/>
        </w:tabs>
        <w:numPr>
          <w:ilvl w:val="1"/>
          <w:numId w:val="1"/>
        </w:numPr>
        <w:rPr>
          <w:rFonts w:ascii="Arial" w:cs="Arial" w:eastAsia="Arial" w:hAnsi="Arial"/>
          <w:sz w:val="17"/>
          <w:szCs w:val="17"/>
          <w:color w:val="auto"/>
        </w:rPr>
      </w:pPr>
      <w:r>
        <w:rPr>
          <w:rFonts w:ascii="Arial" w:cs="Arial" w:eastAsia="Arial" w:hAnsi="Arial"/>
          <w:sz w:val="17"/>
          <w:szCs w:val="17"/>
          <w:color w:val="auto"/>
        </w:rPr>
        <w:t>Assumes conversion of all of the holder’s notes at a conversion rate of 33.0565 shares of common stock per $1,000 principal amount at maturity of the notes. This conversion rate is subject to adjustment, however, as described under “Description of the Notes – Conversion of the Notes.” As a result, the number of shares of common stock issuable upon conversion of the notes may increase or decrease in the future.</w:t>
      </w:r>
    </w:p>
    <w:p>
      <w:pPr>
        <w:spacing w:after="0" w:line="165" w:lineRule="exact"/>
        <w:rPr>
          <w:rFonts w:ascii="Arial" w:cs="Arial" w:eastAsia="Arial" w:hAnsi="Arial"/>
          <w:sz w:val="17"/>
          <w:szCs w:val="17"/>
          <w:color w:val="auto"/>
        </w:rPr>
      </w:pPr>
    </w:p>
    <w:p>
      <w:pPr>
        <w:ind w:left="340" w:right="300" w:hanging="326"/>
        <w:spacing w:after="0" w:line="264" w:lineRule="auto"/>
        <w:tabs>
          <w:tab w:leader="none" w:pos="340" w:val="left"/>
        </w:tabs>
        <w:numPr>
          <w:ilvl w:val="1"/>
          <w:numId w:val="1"/>
        </w:numPr>
        <w:rPr>
          <w:rFonts w:ascii="Arial" w:cs="Arial" w:eastAsia="Arial" w:hAnsi="Arial"/>
          <w:sz w:val="18"/>
          <w:szCs w:val="18"/>
          <w:color w:val="auto"/>
        </w:rPr>
      </w:pPr>
      <w:r>
        <w:rPr>
          <w:rFonts w:ascii="Arial" w:cs="Arial" w:eastAsia="Arial" w:hAnsi="Arial"/>
          <w:sz w:val="18"/>
          <w:szCs w:val="18"/>
          <w:color w:val="auto"/>
        </w:rPr>
        <w:t>Calculated based on Rule 13d-3(d)(i) of the Exchange Act, using 53,197,081 shares of common stock outstanding as of December 31, 2003. In calculating this amount for each holder, we treated as outstanding the number of shares of common stock issuable upon conversion of all that holder’s notes, but we did not assume conversion of any other holder’s notes.</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Investing in the notes or shares of common stock involves risks that are described in the “Risk Factors” section beginning on page 5 of the prospectus.</w:t>
      </w:r>
    </w:p>
    <w:p>
      <w:pPr>
        <w:spacing w:after="0" w:line="204" w:lineRule="exact"/>
        <w:rPr>
          <w:sz w:val="20"/>
          <w:szCs w:val="20"/>
          <w:color w:val="auto"/>
        </w:rPr>
      </w:pPr>
    </w:p>
    <w:p>
      <w:pPr>
        <w:ind w:right="760" w:firstLine="225"/>
        <w:spacing w:after="0" w:line="347"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supplement is truthful or complete. Any representation to the contrary is a criminal offense.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date of this prospectus supplement is April 23, 2004</w:t>
      </w:r>
    </w:p>
    <w:sectPr>
      <w:pgSz w:w="11900" w:h="16838" w:orient="portrait"/>
      <w:cols w:equalWidth="0" w:num="1">
        <w:col w:w="11420"/>
      </w:cols>
      <w:pgMar w:left="240" w:top="63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lvl w:ilvl="1">
      <w:lvlJc w:val="left"/>
      <w:lvlText w:val="(%2)"/>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2019-12-20T02:18:41Z</dcterms:created>
  <dcterms:modified xsi:type="dcterms:W3CDTF">2019-12-20T02:18:41Z</dcterms:modified>
</cp:coreProperties>
</file>