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-227330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40" w:type="dxa"/>
            <w:vAlign w:val="bottom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-631825</wp:posOffset>
            </wp:positionV>
            <wp:extent cx="58420" cy="6451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4009390</wp:posOffset>
            </wp:positionH>
            <wp:positionV relativeFrom="paragraph">
              <wp:posOffset>-631825</wp:posOffset>
            </wp:positionV>
            <wp:extent cx="58420" cy="645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24130</wp:posOffset>
            </wp:positionV>
            <wp:extent cx="7045960" cy="57359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73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260"/>
            <w:col w:w="856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Bassler Bonnie L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777 OLD SAW MILL RIVER ROAD</w:t>
            </w: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3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TARRYTOWN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10591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21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9"/>
                </w:rPr>
                <w:t>REGENERON PHARMACEUTICALS,</w:t>
              </w:r>
            </w:hyperlink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3840" w:type="dxa"/>
            <w:vAlign w:val="bottom"/>
            <w:gridSpan w:val="5"/>
            <w:vMerge w:val="restart"/>
          </w:tcPr>
          <w:p>
            <w:pPr>
              <w:ind w:left="60"/>
              <w:spacing w:after="0" w:line="214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38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34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06/05/2024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ind w:left="320" w:right="580"/>
        <w:spacing w:after="0" w:line="25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6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827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380.95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2,209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827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1,011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1,382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40" w:type="dxa"/>
            <w:vAlign w:val="bottom"/>
            <w:gridSpan w:val="9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33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3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380.95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06/05/2024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 w:line="27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827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right"/>
              <w:ind w:right="3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01/02/2028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827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Disposition/acquisition made pursuant to a plan intended to comply with Rule 10b5-1(c) adopted on February 27, 2024.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 becomes exercisable in three equal annual installments, commencing one year after the date of grant.</w:t>
      </w:r>
    </w:p>
    <w:p>
      <w:pPr>
        <w:spacing w:after="0" w:line="5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/s/**Bonnie L. Bassler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06/06/2024</w:t>
            </w: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83607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2024-06-07T15:11:24Z</dcterms:created>
  <dcterms:modified xsi:type="dcterms:W3CDTF">2024-06-07T15:11:24Z</dcterms:modified>
</cp:coreProperties>
</file>