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80" w:type="dxa"/>
            <w:vAlign w:val="bottom"/>
            <w:gridSpan w:val="4"/>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spacing w:after="0" w:line="250" w:lineRule="exact"/>
              <w:rPr>
                <w:rFonts w:ascii="Times New Roman" w:cs="Times New Roman" w:eastAsia="Times New Roman" w:hAnsi="Times New Roman"/>
                <w:sz w:val="22"/>
                <w:szCs w:val="22"/>
                <w:color w:val="0000EE"/>
                <w:w w:val="97"/>
              </w:rPr>
            </w:pPr>
            <w:hyperlink r:id="rId12">
              <w:r>
                <w:rPr>
                  <w:rFonts w:ascii="Times New Roman" w:cs="Times New Roman" w:eastAsia="Times New Roman" w:hAnsi="Times New Roman"/>
                  <w:sz w:val="22"/>
                  <w:szCs w:val="22"/>
                  <w:color w:val="0000EE"/>
                  <w:w w:val="97"/>
                </w:rPr>
                <w:t>Sanofi</w:t>
              </w:r>
            </w:hyperlink>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7"/>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REGENERON PHARMACEUTICALS</w:t>
              </w:r>
            </w:hyperlink>
          </w:p>
        </w:tc>
        <w:tc>
          <w:tcPr>
            <w:tcW w:w="170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0000FF"/>
              </w:rPr>
              <w:t>X</w:t>
            </w: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bottom w:val="single" w:sz="8" w:color="0000EE"/>
            </w:tcBorders>
            <w:vMerge w:val="continue"/>
          </w:tcPr>
          <w:p>
            <w:pPr>
              <w:spacing w:after="0"/>
              <w:rPr>
                <w:sz w:val="5"/>
                <w:szCs w:val="5"/>
                <w:color w:val="auto"/>
              </w:rPr>
            </w:pPr>
          </w:p>
        </w:tc>
        <w:tc>
          <w:tcPr>
            <w:tcW w:w="600" w:type="dxa"/>
            <w:vAlign w:val="bottom"/>
            <w:vMerge w:val="restart"/>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restart"/>
          </w:tcPr>
          <w:p>
            <w:pPr>
              <w:spacing w:after="0" w:line="223"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 xml:space="preserve">INC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REGN</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hyperlink>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8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color w:val="auto"/>
              </w:rPr>
              <w:t>(Last)</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(First)</w:t>
            </w:r>
          </w:p>
        </w:tc>
        <w:tc>
          <w:tcPr>
            <w:tcW w:w="1900" w:type="dxa"/>
            <w:vAlign w:val="bottom"/>
            <w:gridSpan w:val="2"/>
            <w:vMerge w:val="restart"/>
          </w:tcPr>
          <w:p>
            <w:pPr>
              <w:ind w:left="560"/>
              <w:spacing w:after="0"/>
              <w:rPr>
                <w:sz w:val="20"/>
                <w:szCs w:val="20"/>
                <w:color w:val="auto"/>
              </w:rPr>
            </w:pPr>
            <w:r>
              <w:rPr>
                <w:rFonts w:ascii="Arial" w:cs="Arial" w:eastAsia="Arial" w:hAnsi="Arial"/>
                <w:sz w:val="14"/>
                <w:szCs w:val="14"/>
                <w:color w:val="auto"/>
              </w:rPr>
              <w:t>(Middle)</w:t>
            </w: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3"/>
                <w:szCs w:val="3"/>
                <w:color w:val="auto"/>
              </w:rPr>
            </w:pPr>
          </w:p>
        </w:tc>
        <w:tc>
          <w:tcPr>
            <w:tcW w:w="600" w:type="dxa"/>
            <w:vAlign w:val="bottom"/>
            <w:vMerge w:val="restart"/>
          </w:tcPr>
          <w:p>
            <w:pPr>
              <w:ind w:left="1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220" w:type="dxa"/>
            <w:vAlign w:val="bottom"/>
            <w:gridSpan w:val="5"/>
          </w:tcPr>
          <w:p>
            <w:pPr>
              <w:spacing w:after="0"/>
              <w:rPr>
                <w:sz w:val="20"/>
                <w:szCs w:val="20"/>
                <w:color w:val="auto"/>
              </w:rPr>
            </w:pPr>
            <w:r>
              <w:rPr>
                <w:rFonts w:ascii="Arial" w:cs="Arial" w:eastAsia="Arial" w:hAnsi="Arial"/>
                <w:sz w:val="14"/>
                <w:szCs w:val="14"/>
                <w:color w:val="auto"/>
              </w:rPr>
              <w:t>3. Date of Earliest Transaction (Month/Day/Year)</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54 RUE LA BOETIE</w:t>
            </w: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02/04/2014</w:t>
            </w: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2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90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40" w:type="dxa"/>
            <w:vAlign w:val="bottom"/>
            <w:gridSpan w:val="6"/>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3900" w:type="dxa"/>
            <w:vAlign w:val="bottom"/>
            <w:gridSpan w:val="7"/>
            <w:vMerge w:val="continue"/>
          </w:tcPr>
          <w:p>
            <w:pPr>
              <w:spacing w:after="0"/>
              <w:rPr>
                <w:sz w:val="6"/>
                <w:szCs w:val="6"/>
                <w:color w:val="auto"/>
              </w:rPr>
            </w:pPr>
          </w:p>
        </w:tc>
        <w:tc>
          <w:tcPr>
            <w:tcW w:w="344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PARIS</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I0</w:t>
            </w:r>
          </w:p>
        </w:tc>
        <w:tc>
          <w:tcPr>
            <w:tcW w:w="182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75008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00" w:type="dxa"/>
            <w:vAlign w:val="bottom"/>
            <w:gridSpan w:val="5"/>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19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5"/>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580" w:type="dxa"/>
            <w:vAlign w:val="bottom"/>
            <w:tcBorders>
              <w:top w:val="single" w:sz="8" w:color="2C2C2C"/>
            </w:tcBorders>
            <w:gridSpan w:val="12"/>
          </w:tcPr>
          <w:p>
            <w:pPr>
              <w:jc w:val="right"/>
              <w:ind w:right="562"/>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8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3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 (Instr. 3, 4 and 5)</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jc w:val="center"/>
              <w:ind w:left="657"/>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Times New Roman" w:cs="Times New Roman" w:eastAsia="Times New Roman" w:hAnsi="Times New Roman"/>
                <w:sz w:val="18"/>
                <w:szCs w:val="18"/>
                <w:color w:val="0000FF"/>
                <w:w w:val="97"/>
              </w:rPr>
              <w:t>02/04/2014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P</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4"/>
                <w:vertAlign w:val="subscript"/>
              </w:rPr>
              <w:t>1,264</w:t>
            </w:r>
            <w:r>
              <w:rPr>
                <w:rFonts w:ascii="Times New Roman" w:cs="Times New Roman" w:eastAsia="Times New Roman" w:hAnsi="Times New Roman"/>
                <w:sz w:val="11"/>
                <w:szCs w:val="11"/>
                <w:color w:val="008000"/>
                <w:w w:val="84"/>
              </w:rPr>
              <w:t>(1)(2)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282.0464</w:t>
            </w:r>
            <w:r>
              <w:rPr>
                <w:rFonts w:ascii="Times New Roman" w:cs="Times New Roman" w:eastAsia="Times New Roman" w:hAnsi="Times New Roman"/>
                <w:sz w:val="22"/>
                <w:szCs w:val="22"/>
                <w:color w:val="008000"/>
                <w:w w:val="91"/>
                <w:vertAlign w:val="superscript"/>
              </w:rPr>
              <w:t>(1)(3)</w:t>
            </w:r>
          </w:p>
        </w:tc>
        <w:tc>
          <w:tcPr>
            <w:tcW w:w="1160" w:type="dxa"/>
            <w:vAlign w:val="bottom"/>
            <w:vMerge w:val="restart"/>
          </w:tcPr>
          <w:p>
            <w:pPr>
              <w:jc w:val="right"/>
              <w:ind w:right="102"/>
              <w:spacing w:after="0"/>
              <w:rPr>
                <w:sz w:val="20"/>
                <w:szCs w:val="20"/>
                <w:color w:val="auto"/>
              </w:rPr>
            </w:pPr>
            <w:r>
              <w:rPr>
                <w:rFonts w:ascii="Times New Roman" w:cs="Times New Roman" w:eastAsia="Times New Roman" w:hAnsi="Times New Roman"/>
                <w:sz w:val="18"/>
                <w:szCs w:val="18"/>
                <w:color w:val="0000FF"/>
              </w:rPr>
              <w:t>16,185,109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Times New Roman" w:cs="Times New Roman" w:eastAsia="Times New Roman" w:hAnsi="Times New Roman"/>
                <w:sz w:val="18"/>
                <w:szCs w:val="18"/>
                <w:color w:val="0000FF"/>
                <w:w w:val="97"/>
              </w:rPr>
              <w:t>02/04/2014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P</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4"/>
                <w:vertAlign w:val="subscript"/>
              </w:rPr>
              <w:t>8,574</w:t>
            </w:r>
            <w:r>
              <w:rPr>
                <w:rFonts w:ascii="Times New Roman" w:cs="Times New Roman" w:eastAsia="Times New Roman" w:hAnsi="Times New Roman"/>
                <w:sz w:val="11"/>
                <w:szCs w:val="11"/>
                <w:color w:val="008000"/>
                <w:w w:val="84"/>
              </w:rPr>
              <w:t>(1)(2)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283.1742</w:t>
            </w:r>
            <w:r>
              <w:rPr>
                <w:rFonts w:ascii="Times New Roman" w:cs="Times New Roman" w:eastAsia="Times New Roman" w:hAnsi="Times New Roman"/>
                <w:sz w:val="22"/>
                <w:szCs w:val="22"/>
                <w:color w:val="008000"/>
                <w:w w:val="91"/>
                <w:vertAlign w:val="superscript"/>
              </w:rPr>
              <w:t>(1)(5)</w:t>
            </w:r>
          </w:p>
        </w:tc>
        <w:tc>
          <w:tcPr>
            <w:tcW w:w="1160" w:type="dxa"/>
            <w:vAlign w:val="bottom"/>
            <w:vMerge w:val="restart"/>
          </w:tcPr>
          <w:p>
            <w:pPr>
              <w:jc w:val="right"/>
              <w:ind w:right="102"/>
              <w:spacing w:after="0"/>
              <w:rPr>
                <w:sz w:val="20"/>
                <w:szCs w:val="20"/>
                <w:color w:val="auto"/>
              </w:rPr>
            </w:pPr>
            <w:r>
              <w:rPr>
                <w:rFonts w:ascii="Times New Roman" w:cs="Times New Roman" w:eastAsia="Times New Roman" w:hAnsi="Times New Roman"/>
                <w:sz w:val="18"/>
                <w:szCs w:val="18"/>
                <w:color w:val="0000FF"/>
              </w:rPr>
              <w:t>16,193,683</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Times New Roman" w:cs="Times New Roman" w:eastAsia="Times New Roman" w:hAnsi="Times New Roman"/>
                <w:sz w:val="18"/>
                <w:szCs w:val="18"/>
                <w:color w:val="0000FF"/>
                <w:w w:val="97"/>
              </w:rPr>
              <w:t>02/04/2014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P</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12,946</w:t>
            </w:r>
            <w:r>
              <w:rPr>
                <w:rFonts w:ascii="Times New Roman" w:cs="Times New Roman" w:eastAsia="Times New Roman" w:hAnsi="Times New Roman"/>
                <w:sz w:val="22"/>
                <w:szCs w:val="22"/>
                <w:color w:val="008000"/>
                <w:w w:val="88"/>
                <w:vertAlign w:val="superscript"/>
              </w:rPr>
              <w:t>(1)(2)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w:t>
            </w:r>
            <w:r>
              <w:rPr>
                <w:rFonts w:ascii="Times New Roman" w:cs="Times New Roman" w:eastAsia="Times New Roman" w:hAnsi="Times New Roman"/>
                <w:sz w:val="18"/>
                <w:szCs w:val="18"/>
                <w:color w:val="0000FF"/>
                <w:w w:val="89"/>
              </w:rPr>
              <w:t>284.1179</w:t>
            </w:r>
            <w:r>
              <w:rPr>
                <w:rFonts w:ascii="Times New Roman" w:cs="Times New Roman" w:eastAsia="Times New Roman" w:hAnsi="Times New Roman"/>
                <w:sz w:val="22"/>
                <w:szCs w:val="22"/>
                <w:color w:val="008000"/>
                <w:w w:val="89"/>
                <w:vertAlign w:val="superscript"/>
              </w:rPr>
              <w:t>(1)(6)</w:t>
            </w:r>
          </w:p>
        </w:tc>
        <w:tc>
          <w:tcPr>
            <w:tcW w:w="1160" w:type="dxa"/>
            <w:vAlign w:val="bottom"/>
            <w:vMerge w:val="restart"/>
          </w:tcPr>
          <w:p>
            <w:pPr>
              <w:jc w:val="right"/>
              <w:ind w:right="102"/>
              <w:spacing w:after="0"/>
              <w:rPr>
                <w:sz w:val="20"/>
                <w:szCs w:val="20"/>
                <w:color w:val="auto"/>
              </w:rPr>
            </w:pPr>
            <w:r>
              <w:rPr>
                <w:rFonts w:ascii="Times New Roman" w:cs="Times New Roman" w:eastAsia="Times New Roman" w:hAnsi="Times New Roman"/>
                <w:sz w:val="18"/>
                <w:szCs w:val="18"/>
                <w:color w:val="0000FF"/>
              </w:rPr>
              <w:t>16,206,629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Times New Roman" w:cs="Times New Roman" w:eastAsia="Times New Roman" w:hAnsi="Times New Roman"/>
                <w:sz w:val="18"/>
                <w:szCs w:val="18"/>
                <w:color w:val="0000FF"/>
                <w:w w:val="97"/>
              </w:rPr>
              <w:t>02/04/2014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P</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22,534</w:t>
            </w:r>
            <w:r>
              <w:rPr>
                <w:rFonts w:ascii="Times New Roman" w:cs="Times New Roman" w:eastAsia="Times New Roman" w:hAnsi="Times New Roman"/>
                <w:sz w:val="22"/>
                <w:szCs w:val="22"/>
                <w:color w:val="008000"/>
                <w:w w:val="88"/>
                <w:vertAlign w:val="superscript"/>
              </w:rPr>
              <w:t>(1)(2)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285.0772</w:t>
            </w:r>
            <w:r>
              <w:rPr>
                <w:rFonts w:ascii="Times New Roman" w:cs="Times New Roman" w:eastAsia="Times New Roman" w:hAnsi="Times New Roman"/>
                <w:sz w:val="22"/>
                <w:szCs w:val="22"/>
                <w:color w:val="008000"/>
                <w:w w:val="91"/>
                <w:vertAlign w:val="superscript"/>
              </w:rPr>
              <w:t>(1)(7)</w:t>
            </w:r>
          </w:p>
        </w:tc>
        <w:tc>
          <w:tcPr>
            <w:tcW w:w="1160" w:type="dxa"/>
            <w:vAlign w:val="bottom"/>
            <w:vMerge w:val="restart"/>
          </w:tcPr>
          <w:p>
            <w:pPr>
              <w:jc w:val="right"/>
              <w:ind w:right="102"/>
              <w:spacing w:after="0"/>
              <w:rPr>
                <w:sz w:val="20"/>
                <w:szCs w:val="20"/>
                <w:color w:val="auto"/>
              </w:rPr>
            </w:pPr>
            <w:r>
              <w:rPr>
                <w:rFonts w:ascii="Times New Roman" w:cs="Times New Roman" w:eastAsia="Times New Roman" w:hAnsi="Times New Roman"/>
                <w:sz w:val="18"/>
                <w:szCs w:val="18"/>
                <w:color w:val="0000FF"/>
              </w:rPr>
              <w:t>16,229,163</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Times New Roman" w:cs="Times New Roman" w:eastAsia="Times New Roman" w:hAnsi="Times New Roman"/>
                <w:sz w:val="18"/>
                <w:szCs w:val="18"/>
                <w:color w:val="0000FF"/>
                <w:w w:val="97"/>
              </w:rPr>
              <w:t>02/04/2014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P</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36,795</w:t>
            </w:r>
            <w:r>
              <w:rPr>
                <w:rFonts w:ascii="Times New Roman" w:cs="Times New Roman" w:eastAsia="Times New Roman" w:hAnsi="Times New Roman"/>
                <w:sz w:val="22"/>
                <w:szCs w:val="22"/>
                <w:color w:val="008000"/>
                <w:w w:val="88"/>
                <w:vertAlign w:val="superscript"/>
              </w:rPr>
              <w:t>(1)(2)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286.1454</w:t>
            </w:r>
            <w:r>
              <w:rPr>
                <w:rFonts w:ascii="Times New Roman" w:cs="Times New Roman" w:eastAsia="Times New Roman" w:hAnsi="Times New Roman"/>
                <w:sz w:val="22"/>
                <w:szCs w:val="22"/>
                <w:color w:val="008000"/>
                <w:w w:val="91"/>
                <w:vertAlign w:val="superscript"/>
              </w:rPr>
              <w:t>(1)(8)</w:t>
            </w:r>
          </w:p>
        </w:tc>
        <w:tc>
          <w:tcPr>
            <w:tcW w:w="1160" w:type="dxa"/>
            <w:vAlign w:val="bottom"/>
            <w:vMerge w:val="restart"/>
          </w:tcPr>
          <w:p>
            <w:pPr>
              <w:jc w:val="right"/>
              <w:ind w:right="102"/>
              <w:spacing w:after="0"/>
              <w:rPr>
                <w:sz w:val="20"/>
                <w:szCs w:val="20"/>
                <w:color w:val="auto"/>
              </w:rPr>
            </w:pPr>
            <w:r>
              <w:rPr>
                <w:rFonts w:ascii="Times New Roman" w:cs="Times New Roman" w:eastAsia="Times New Roman" w:hAnsi="Times New Roman"/>
                <w:sz w:val="18"/>
                <w:szCs w:val="18"/>
                <w:color w:val="0000FF"/>
              </w:rPr>
              <w:t>16,265,958</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Times New Roman" w:cs="Times New Roman" w:eastAsia="Times New Roman" w:hAnsi="Times New Roman"/>
                <w:sz w:val="18"/>
                <w:szCs w:val="18"/>
                <w:color w:val="0000FF"/>
                <w:w w:val="97"/>
              </w:rPr>
              <w:t>02/04/2014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P</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67,342</w:t>
            </w:r>
            <w:r>
              <w:rPr>
                <w:rFonts w:ascii="Times New Roman" w:cs="Times New Roman" w:eastAsia="Times New Roman" w:hAnsi="Times New Roman"/>
                <w:sz w:val="22"/>
                <w:szCs w:val="22"/>
                <w:color w:val="008000"/>
                <w:w w:val="88"/>
                <w:vertAlign w:val="superscript"/>
              </w:rPr>
              <w:t>(1)(2)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287.1808</w:t>
            </w:r>
            <w:r>
              <w:rPr>
                <w:rFonts w:ascii="Times New Roman" w:cs="Times New Roman" w:eastAsia="Times New Roman" w:hAnsi="Times New Roman"/>
                <w:sz w:val="22"/>
                <w:szCs w:val="22"/>
                <w:color w:val="008000"/>
                <w:w w:val="91"/>
                <w:vertAlign w:val="superscript"/>
              </w:rPr>
              <w:t>(1)(9)</w:t>
            </w:r>
          </w:p>
        </w:tc>
        <w:tc>
          <w:tcPr>
            <w:tcW w:w="1160" w:type="dxa"/>
            <w:vAlign w:val="bottom"/>
            <w:vMerge w:val="restart"/>
          </w:tcPr>
          <w:p>
            <w:pPr>
              <w:jc w:val="right"/>
              <w:ind w:right="102"/>
              <w:spacing w:after="0"/>
              <w:rPr>
                <w:sz w:val="20"/>
                <w:szCs w:val="20"/>
                <w:color w:val="auto"/>
              </w:rPr>
            </w:pPr>
            <w:r>
              <w:rPr>
                <w:rFonts w:ascii="Times New Roman" w:cs="Times New Roman" w:eastAsia="Times New Roman" w:hAnsi="Times New Roman"/>
                <w:sz w:val="18"/>
                <w:szCs w:val="18"/>
                <w:color w:val="0000FF"/>
              </w:rPr>
              <w:t>16,333,300</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Times New Roman" w:cs="Times New Roman" w:eastAsia="Times New Roman" w:hAnsi="Times New Roman"/>
                <w:sz w:val="18"/>
                <w:szCs w:val="18"/>
                <w:color w:val="0000FF"/>
                <w:w w:val="97"/>
              </w:rPr>
              <w:t>02/04/2014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P</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40,831</w:t>
            </w:r>
            <w:r>
              <w:rPr>
                <w:rFonts w:ascii="Times New Roman" w:cs="Times New Roman" w:eastAsia="Times New Roman" w:hAnsi="Times New Roman"/>
                <w:sz w:val="22"/>
                <w:szCs w:val="22"/>
                <w:color w:val="008000"/>
                <w:w w:val="88"/>
                <w:vertAlign w:val="superscript"/>
              </w:rPr>
              <w:t>(1)(2)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287.7759</w:t>
            </w:r>
            <w:r>
              <w:rPr>
                <w:rFonts w:ascii="Times New Roman" w:cs="Times New Roman" w:eastAsia="Times New Roman" w:hAnsi="Times New Roman"/>
                <w:sz w:val="22"/>
                <w:szCs w:val="22"/>
                <w:color w:val="008000"/>
                <w:w w:val="90"/>
                <w:vertAlign w:val="superscript"/>
              </w:rPr>
              <w:t>(1)(10)</w:t>
            </w:r>
          </w:p>
        </w:tc>
        <w:tc>
          <w:tcPr>
            <w:tcW w:w="1160" w:type="dxa"/>
            <w:vAlign w:val="bottom"/>
            <w:vMerge w:val="restart"/>
          </w:tcPr>
          <w:p>
            <w:pPr>
              <w:jc w:val="right"/>
              <w:ind w:right="102"/>
              <w:spacing w:after="0"/>
              <w:rPr>
                <w:sz w:val="20"/>
                <w:szCs w:val="20"/>
                <w:color w:val="auto"/>
              </w:rPr>
            </w:pPr>
            <w:r>
              <w:rPr>
                <w:rFonts w:ascii="Times New Roman" w:cs="Times New Roman" w:eastAsia="Times New Roman" w:hAnsi="Times New Roman"/>
                <w:sz w:val="18"/>
                <w:szCs w:val="18"/>
                <w:color w:val="0000FF"/>
              </w:rPr>
              <w:t>16,374,131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Times New Roman" w:cs="Times New Roman" w:eastAsia="Times New Roman" w:hAnsi="Times New Roman"/>
                <w:sz w:val="18"/>
                <w:szCs w:val="18"/>
                <w:color w:val="0000FF"/>
                <w:w w:val="97"/>
              </w:rPr>
              <w:t>02/05/2014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P</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4"/>
                <w:vertAlign w:val="subscript"/>
              </w:rPr>
              <w:t>7,559</w:t>
            </w:r>
            <w:r>
              <w:rPr>
                <w:rFonts w:ascii="Times New Roman" w:cs="Times New Roman" w:eastAsia="Times New Roman" w:hAnsi="Times New Roman"/>
                <w:sz w:val="11"/>
                <w:szCs w:val="11"/>
                <w:color w:val="008000"/>
                <w:w w:val="84"/>
              </w:rPr>
              <w:t>(1)(2)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274.6362</w:t>
            </w:r>
            <w:r>
              <w:rPr>
                <w:rFonts w:ascii="Times New Roman" w:cs="Times New Roman" w:eastAsia="Times New Roman" w:hAnsi="Times New Roman"/>
                <w:sz w:val="22"/>
                <w:szCs w:val="22"/>
                <w:color w:val="008000"/>
                <w:w w:val="90"/>
                <w:vertAlign w:val="superscript"/>
              </w:rPr>
              <w:t>(1)(11)</w:t>
            </w:r>
          </w:p>
        </w:tc>
        <w:tc>
          <w:tcPr>
            <w:tcW w:w="1160" w:type="dxa"/>
            <w:vAlign w:val="bottom"/>
            <w:vMerge w:val="restart"/>
          </w:tcPr>
          <w:p>
            <w:pPr>
              <w:jc w:val="right"/>
              <w:ind w:right="102"/>
              <w:spacing w:after="0"/>
              <w:rPr>
                <w:sz w:val="20"/>
                <w:szCs w:val="20"/>
                <w:color w:val="auto"/>
              </w:rPr>
            </w:pPr>
            <w:r>
              <w:rPr>
                <w:rFonts w:ascii="Times New Roman" w:cs="Times New Roman" w:eastAsia="Times New Roman" w:hAnsi="Times New Roman"/>
                <w:sz w:val="18"/>
                <w:szCs w:val="18"/>
                <w:color w:val="0000FF"/>
              </w:rPr>
              <w:t>16,381,690</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Times New Roman" w:cs="Times New Roman" w:eastAsia="Times New Roman" w:hAnsi="Times New Roman"/>
                <w:sz w:val="18"/>
                <w:szCs w:val="18"/>
                <w:color w:val="0000FF"/>
                <w:w w:val="97"/>
              </w:rPr>
              <w:t>02/05/2014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P</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4"/>
                <w:vertAlign w:val="subscript"/>
              </w:rPr>
              <w:t>6,775</w:t>
            </w:r>
            <w:r>
              <w:rPr>
                <w:rFonts w:ascii="Times New Roman" w:cs="Times New Roman" w:eastAsia="Times New Roman" w:hAnsi="Times New Roman"/>
                <w:sz w:val="11"/>
                <w:szCs w:val="11"/>
                <w:color w:val="008000"/>
                <w:w w:val="84"/>
              </w:rPr>
              <w:t>(1)(2)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275.4797</w:t>
            </w:r>
            <w:r>
              <w:rPr>
                <w:rFonts w:ascii="Times New Roman" w:cs="Times New Roman" w:eastAsia="Times New Roman" w:hAnsi="Times New Roman"/>
                <w:sz w:val="22"/>
                <w:szCs w:val="22"/>
                <w:color w:val="008000"/>
                <w:w w:val="90"/>
                <w:vertAlign w:val="superscript"/>
              </w:rPr>
              <w:t>(1)(12)</w:t>
            </w:r>
          </w:p>
        </w:tc>
        <w:tc>
          <w:tcPr>
            <w:tcW w:w="1160" w:type="dxa"/>
            <w:vAlign w:val="bottom"/>
            <w:vMerge w:val="restart"/>
          </w:tcPr>
          <w:p>
            <w:pPr>
              <w:jc w:val="right"/>
              <w:ind w:right="102"/>
              <w:spacing w:after="0"/>
              <w:rPr>
                <w:sz w:val="20"/>
                <w:szCs w:val="20"/>
                <w:color w:val="auto"/>
              </w:rPr>
            </w:pPr>
            <w:r>
              <w:rPr>
                <w:rFonts w:ascii="Times New Roman" w:cs="Times New Roman" w:eastAsia="Times New Roman" w:hAnsi="Times New Roman"/>
                <w:sz w:val="18"/>
                <w:szCs w:val="18"/>
                <w:color w:val="0000FF"/>
              </w:rPr>
              <w:t>16,388,465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Times New Roman" w:cs="Times New Roman" w:eastAsia="Times New Roman" w:hAnsi="Times New Roman"/>
                <w:sz w:val="18"/>
                <w:szCs w:val="18"/>
                <w:color w:val="0000FF"/>
                <w:w w:val="97"/>
              </w:rPr>
              <w:t>02/05/2014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P</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2"/>
                <w:vertAlign w:val="subscript"/>
              </w:rPr>
              <w:t>16,974</w:t>
            </w:r>
            <w:r>
              <w:rPr>
                <w:rFonts w:ascii="Times New Roman" w:cs="Times New Roman" w:eastAsia="Times New Roman" w:hAnsi="Times New Roman"/>
                <w:sz w:val="11"/>
                <w:szCs w:val="11"/>
                <w:color w:val="008000"/>
                <w:w w:val="82"/>
              </w:rPr>
              <w:t>(1)(2)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276.5341</w:t>
            </w:r>
            <w:r>
              <w:rPr>
                <w:rFonts w:ascii="Times New Roman" w:cs="Times New Roman" w:eastAsia="Times New Roman" w:hAnsi="Times New Roman"/>
                <w:sz w:val="22"/>
                <w:szCs w:val="22"/>
                <w:color w:val="008000"/>
                <w:w w:val="90"/>
                <w:vertAlign w:val="superscript"/>
              </w:rPr>
              <w:t>(1)(13)</w:t>
            </w:r>
          </w:p>
        </w:tc>
        <w:tc>
          <w:tcPr>
            <w:tcW w:w="1160" w:type="dxa"/>
            <w:vAlign w:val="bottom"/>
            <w:vMerge w:val="restart"/>
          </w:tcPr>
          <w:p>
            <w:pPr>
              <w:jc w:val="right"/>
              <w:ind w:right="102"/>
              <w:spacing w:after="0"/>
              <w:rPr>
                <w:sz w:val="20"/>
                <w:szCs w:val="20"/>
                <w:color w:val="auto"/>
              </w:rPr>
            </w:pPr>
            <w:r>
              <w:rPr>
                <w:rFonts w:ascii="Times New Roman" w:cs="Times New Roman" w:eastAsia="Times New Roman" w:hAnsi="Times New Roman"/>
                <w:sz w:val="18"/>
                <w:szCs w:val="18"/>
                <w:color w:val="0000FF"/>
              </w:rPr>
              <w:t>16,405,439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Times New Roman" w:cs="Times New Roman" w:eastAsia="Times New Roman" w:hAnsi="Times New Roman"/>
                <w:sz w:val="18"/>
                <w:szCs w:val="18"/>
                <w:color w:val="0000FF"/>
                <w:w w:val="97"/>
              </w:rPr>
              <w:t>02/05/2014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P</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15,530</w:t>
            </w:r>
            <w:r>
              <w:rPr>
                <w:rFonts w:ascii="Times New Roman" w:cs="Times New Roman" w:eastAsia="Times New Roman" w:hAnsi="Times New Roman"/>
                <w:sz w:val="22"/>
                <w:szCs w:val="22"/>
                <w:color w:val="008000"/>
                <w:w w:val="88"/>
                <w:vertAlign w:val="superscript"/>
              </w:rPr>
              <w:t>(1)(2)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277.4917</w:t>
            </w:r>
            <w:r>
              <w:rPr>
                <w:rFonts w:ascii="Times New Roman" w:cs="Times New Roman" w:eastAsia="Times New Roman" w:hAnsi="Times New Roman"/>
                <w:sz w:val="22"/>
                <w:szCs w:val="22"/>
                <w:color w:val="008000"/>
                <w:w w:val="90"/>
                <w:vertAlign w:val="superscript"/>
              </w:rPr>
              <w:t>(1)(14)</w:t>
            </w:r>
          </w:p>
        </w:tc>
        <w:tc>
          <w:tcPr>
            <w:tcW w:w="1160" w:type="dxa"/>
            <w:vAlign w:val="bottom"/>
            <w:vMerge w:val="restart"/>
          </w:tcPr>
          <w:p>
            <w:pPr>
              <w:jc w:val="right"/>
              <w:ind w:right="102"/>
              <w:spacing w:after="0"/>
              <w:rPr>
                <w:sz w:val="20"/>
                <w:szCs w:val="20"/>
                <w:color w:val="auto"/>
              </w:rPr>
            </w:pPr>
            <w:r>
              <w:rPr>
                <w:rFonts w:ascii="Times New Roman" w:cs="Times New Roman" w:eastAsia="Times New Roman" w:hAnsi="Times New Roman"/>
                <w:sz w:val="18"/>
                <w:szCs w:val="18"/>
                <w:color w:val="0000FF"/>
              </w:rPr>
              <w:t>16,420,969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Times New Roman" w:cs="Times New Roman" w:eastAsia="Times New Roman" w:hAnsi="Times New Roman"/>
                <w:sz w:val="18"/>
                <w:szCs w:val="18"/>
                <w:color w:val="0000FF"/>
                <w:w w:val="97"/>
              </w:rPr>
              <w:t>02/05/2014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P</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4"/>
                <w:vertAlign w:val="subscript"/>
              </w:rPr>
              <w:t>7,115</w:t>
            </w:r>
            <w:r>
              <w:rPr>
                <w:rFonts w:ascii="Times New Roman" w:cs="Times New Roman" w:eastAsia="Times New Roman" w:hAnsi="Times New Roman"/>
                <w:sz w:val="11"/>
                <w:szCs w:val="11"/>
                <w:color w:val="008000"/>
                <w:w w:val="84"/>
              </w:rPr>
              <w:t>(1)(2)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278.536</w:t>
            </w:r>
            <w:r>
              <w:rPr>
                <w:rFonts w:ascii="Times New Roman" w:cs="Times New Roman" w:eastAsia="Times New Roman" w:hAnsi="Times New Roman"/>
                <w:sz w:val="22"/>
                <w:szCs w:val="22"/>
                <w:color w:val="008000"/>
                <w:w w:val="90"/>
                <w:vertAlign w:val="superscript"/>
              </w:rPr>
              <w:t>(1)(15)</w:t>
            </w:r>
          </w:p>
        </w:tc>
        <w:tc>
          <w:tcPr>
            <w:tcW w:w="1160" w:type="dxa"/>
            <w:vAlign w:val="bottom"/>
            <w:vMerge w:val="restart"/>
          </w:tcPr>
          <w:p>
            <w:pPr>
              <w:jc w:val="right"/>
              <w:ind w:right="102"/>
              <w:spacing w:after="0"/>
              <w:rPr>
                <w:sz w:val="20"/>
                <w:szCs w:val="20"/>
                <w:color w:val="auto"/>
              </w:rPr>
            </w:pPr>
            <w:r>
              <w:rPr>
                <w:rFonts w:ascii="Times New Roman" w:cs="Times New Roman" w:eastAsia="Times New Roman" w:hAnsi="Times New Roman"/>
                <w:sz w:val="18"/>
                <w:szCs w:val="18"/>
                <w:color w:val="0000FF"/>
              </w:rPr>
              <w:t>16,428,084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Times New Roman" w:cs="Times New Roman" w:eastAsia="Times New Roman" w:hAnsi="Times New Roman"/>
                <w:sz w:val="18"/>
                <w:szCs w:val="18"/>
                <w:color w:val="0000FF"/>
                <w:w w:val="97"/>
              </w:rPr>
              <w:t>02/05/2014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P</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4"/>
                <w:vertAlign w:val="subscript"/>
              </w:rPr>
              <w:t>2,983</w:t>
            </w:r>
            <w:r>
              <w:rPr>
                <w:rFonts w:ascii="Times New Roman" w:cs="Times New Roman" w:eastAsia="Times New Roman" w:hAnsi="Times New Roman"/>
                <w:sz w:val="11"/>
                <w:szCs w:val="11"/>
                <w:color w:val="008000"/>
                <w:w w:val="84"/>
              </w:rPr>
              <w:t>(1)(2)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279.7404</w:t>
            </w:r>
            <w:r>
              <w:rPr>
                <w:rFonts w:ascii="Times New Roman" w:cs="Times New Roman" w:eastAsia="Times New Roman" w:hAnsi="Times New Roman"/>
                <w:sz w:val="22"/>
                <w:szCs w:val="22"/>
                <w:color w:val="008000"/>
                <w:w w:val="90"/>
                <w:vertAlign w:val="superscript"/>
              </w:rPr>
              <w:t>(1)(16)</w:t>
            </w:r>
          </w:p>
        </w:tc>
        <w:tc>
          <w:tcPr>
            <w:tcW w:w="1160" w:type="dxa"/>
            <w:vAlign w:val="bottom"/>
            <w:vMerge w:val="restart"/>
          </w:tcPr>
          <w:p>
            <w:pPr>
              <w:jc w:val="right"/>
              <w:ind w:right="102"/>
              <w:spacing w:after="0"/>
              <w:rPr>
                <w:sz w:val="20"/>
                <w:szCs w:val="20"/>
                <w:color w:val="auto"/>
              </w:rPr>
            </w:pPr>
            <w:r>
              <w:rPr>
                <w:rFonts w:ascii="Times New Roman" w:cs="Times New Roman" w:eastAsia="Times New Roman" w:hAnsi="Times New Roman"/>
                <w:sz w:val="18"/>
                <w:szCs w:val="18"/>
                <w:color w:val="0000FF"/>
              </w:rPr>
              <w:t>16,431,067</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Times New Roman" w:cs="Times New Roman" w:eastAsia="Times New Roman" w:hAnsi="Times New Roman"/>
                <w:sz w:val="18"/>
                <w:szCs w:val="18"/>
                <w:color w:val="0000FF"/>
                <w:w w:val="97"/>
              </w:rPr>
              <w:t>02/05/2014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P</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4"/>
                <w:vertAlign w:val="subscript"/>
              </w:rPr>
              <w:t>5,088</w:t>
            </w:r>
            <w:r>
              <w:rPr>
                <w:rFonts w:ascii="Times New Roman" w:cs="Times New Roman" w:eastAsia="Times New Roman" w:hAnsi="Times New Roman"/>
                <w:sz w:val="11"/>
                <w:szCs w:val="11"/>
                <w:color w:val="008000"/>
                <w:w w:val="84"/>
              </w:rPr>
              <w:t>(1)(2)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280.9596</w:t>
            </w:r>
            <w:r>
              <w:rPr>
                <w:rFonts w:ascii="Times New Roman" w:cs="Times New Roman" w:eastAsia="Times New Roman" w:hAnsi="Times New Roman"/>
                <w:sz w:val="22"/>
                <w:szCs w:val="22"/>
                <w:color w:val="008000"/>
                <w:w w:val="90"/>
                <w:vertAlign w:val="superscript"/>
              </w:rPr>
              <w:t>(1)(17)</w:t>
            </w:r>
          </w:p>
        </w:tc>
        <w:tc>
          <w:tcPr>
            <w:tcW w:w="1160" w:type="dxa"/>
            <w:vAlign w:val="bottom"/>
            <w:vMerge w:val="restart"/>
          </w:tcPr>
          <w:p>
            <w:pPr>
              <w:jc w:val="right"/>
              <w:ind w:right="102"/>
              <w:spacing w:after="0"/>
              <w:rPr>
                <w:sz w:val="20"/>
                <w:szCs w:val="20"/>
                <w:color w:val="auto"/>
              </w:rPr>
            </w:pPr>
            <w:r>
              <w:rPr>
                <w:rFonts w:ascii="Times New Roman" w:cs="Times New Roman" w:eastAsia="Times New Roman" w:hAnsi="Times New Roman"/>
                <w:sz w:val="18"/>
                <w:szCs w:val="18"/>
                <w:color w:val="0000FF"/>
              </w:rPr>
              <w:t>16,436,155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Times New Roman" w:cs="Times New Roman" w:eastAsia="Times New Roman" w:hAnsi="Times New Roman"/>
                <w:sz w:val="18"/>
                <w:szCs w:val="18"/>
                <w:color w:val="0000FF"/>
                <w:w w:val="97"/>
              </w:rPr>
              <w:t>02/05/2014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P</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18,605</w:t>
            </w:r>
            <w:r>
              <w:rPr>
                <w:rFonts w:ascii="Times New Roman" w:cs="Times New Roman" w:eastAsia="Times New Roman" w:hAnsi="Times New Roman"/>
                <w:sz w:val="22"/>
                <w:szCs w:val="22"/>
                <w:color w:val="008000"/>
                <w:w w:val="88"/>
                <w:vertAlign w:val="superscript"/>
              </w:rPr>
              <w:t>(1)(2)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281.8883</w:t>
            </w:r>
            <w:r>
              <w:rPr>
                <w:rFonts w:ascii="Times New Roman" w:cs="Times New Roman" w:eastAsia="Times New Roman" w:hAnsi="Times New Roman"/>
                <w:sz w:val="22"/>
                <w:szCs w:val="22"/>
                <w:color w:val="008000"/>
                <w:w w:val="90"/>
                <w:vertAlign w:val="superscript"/>
              </w:rPr>
              <w:t>(1)(18)</w:t>
            </w:r>
          </w:p>
        </w:tc>
        <w:tc>
          <w:tcPr>
            <w:tcW w:w="1160" w:type="dxa"/>
            <w:vAlign w:val="bottom"/>
            <w:vMerge w:val="restart"/>
          </w:tcPr>
          <w:p>
            <w:pPr>
              <w:jc w:val="right"/>
              <w:ind w:right="102"/>
              <w:spacing w:after="0"/>
              <w:rPr>
                <w:sz w:val="20"/>
                <w:szCs w:val="20"/>
                <w:color w:val="auto"/>
              </w:rPr>
            </w:pPr>
            <w:r>
              <w:rPr>
                <w:rFonts w:ascii="Times New Roman" w:cs="Times New Roman" w:eastAsia="Times New Roman" w:hAnsi="Times New Roman"/>
                <w:sz w:val="18"/>
                <w:szCs w:val="18"/>
                <w:color w:val="0000FF"/>
              </w:rPr>
              <w:t>16,454,760</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Times New Roman" w:cs="Times New Roman" w:eastAsia="Times New Roman" w:hAnsi="Times New Roman"/>
                <w:sz w:val="18"/>
                <w:szCs w:val="18"/>
                <w:color w:val="0000FF"/>
                <w:w w:val="97"/>
              </w:rPr>
              <w:t>02/05/2014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P</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2"/>
                <w:vertAlign w:val="subscript"/>
              </w:rPr>
              <w:t>24,995</w:t>
            </w:r>
            <w:r>
              <w:rPr>
                <w:rFonts w:ascii="Times New Roman" w:cs="Times New Roman" w:eastAsia="Times New Roman" w:hAnsi="Times New Roman"/>
                <w:sz w:val="11"/>
                <w:szCs w:val="11"/>
                <w:color w:val="008000"/>
                <w:w w:val="82"/>
              </w:rPr>
              <w:t>(1)(2)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282.8517</w:t>
            </w:r>
            <w:r>
              <w:rPr>
                <w:rFonts w:ascii="Times New Roman" w:cs="Times New Roman" w:eastAsia="Times New Roman" w:hAnsi="Times New Roman"/>
                <w:sz w:val="22"/>
                <w:szCs w:val="22"/>
                <w:color w:val="008000"/>
                <w:w w:val="90"/>
                <w:vertAlign w:val="superscript"/>
              </w:rPr>
              <w:t>(1)(19)</w:t>
            </w:r>
          </w:p>
        </w:tc>
        <w:tc>
          <w:tcPr>
            <w:tcW w:w="1160" w:type="dxa"/>
            <w:vAlign w:val="bottom"/>
            <w:vMerge w:val="restart"/>
          </w:tcPr>
          <w:p>
            <w:pPr>
              <w:jc w:val="right"/>
              <w:ind w:right="102"/>
              <w:spacing w:after="0"/>
              <w:rPr>
                <w:sz w:val="20"/>
                <w:szCs w:val="20"/>
                <w:color w:val="auto"/>
              </w:rPr>
            </w:pPr>
            <w:r>
              <w:rPr>
                <w:rFonts w:ascii="Times New Roman" w:cs="Times New Roman" w:eastAsia="Times New Roman" w:hAnsi="Times New Roman"/>
                <w:sz w:val="18"/>
                <w:szCs w:val="18"/>
                <w:color w:val="0000FF"/>
              </w:rPr>
              <w:t>16,479,755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Times New Roman" w:cs="Times New Roman" w:eastAsia="Times New Roman" w:hAnsi="Times New Roman"/>
                <w:sz w:val="18"/>
                <w:szCs w:val="18"/>
                <w:color w:val="0000FF"/>
                <w:w w:val="97"/>
              </w:rPr>
              <w:t>02/05/2014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P</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2"/>
                <w:vertAlign w:val="subscript"/>
              </w:rPr>
              <w:t>45,362</w:t>
            </w:r>
            <w:r>
              <w:rPr>
                <w:rFonts w:ascii="Times New Roman" w:cs="Times New Roman" w:eastAsia="Times New Roman" w:hAnsi="Times New Roman"/>
                <w:sz w:val="11"/>
                <w:szCs w:val="11"/>
                <w:color w:val="008000"/>
                <w:w w:val="82"/>
              </w:rPr>
              <w:t>(1)(2)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283.9045</w:t>
            </w:r>
            <w:r>
              <w:rPr>
                <w:rFonts w:ascii="Times New Roman" w:cs="Times New Roman" w:eastAsia="Times New Roman" w:hAnsi="Times New Roman"/>
                <w:sz w:val="22"/>
                <w:szCs w:val="22"/>
                <w:color w:val="008000"/>
                <w:w w:val="90"/>
                <w:vertAlign w:val="superscript"/>
              </w:rPr>
              <w:t>(1)(20)</w:t>
            </w:r>
          </w:p>
        </w:tc>
        <w:tc>
          <w:tcPr>
            <w:tcW w:w="1160" w:type="dxa"/>
            <w:vAlign w:val="bottom"/>
            <w:vMerge w:val="restart"/>
          </w:tcPr>
          <w:p>
            <w:pPr>
              <w:jc w:val="right"/>
              <w:ind w:right="102"/>
              <w:spacing w:after="0"/>
              <w:rPr>
                <w:sz w:val="20"/>
                <w:szCs w:val="20"/>
                <w:color w:val="auto"/>
              </w:rPr>
            </w:pPr>
            <w:r>
              <w:rPr>
                <w:rFonts w:ascii="Times New Roman" w:cs="Times New Roman" w:eastAsia="Times New Roman" w:hAnsi="Times New Roman"/>
                <w:sz w:val="18"/>
                <w:szCs w:val="18"/>
                <w:color w:val="0000FF"/>
              </w:rPr>
              <w:t>16,525,117</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Times New Roman" w:cs="Times New Roman" w:eastAsia="Times New Roman" w:hAnsi="Times New Roman"/>
                <w:sz w:val="18"/>
                <w:szCs w:val="18"/>
                <w:color w:val="0000FF"/>
                <w:w w:val="97"/>
              </w:rPr>
              <w:t>02/05/2014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P</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33,907</w:t>
            </w:r>
            <w:r>
              <w:rPr>
                <w:rFonts w:ascii="Times New Roman" w:cs="Times New Roman" w:eastAsia="Times New Roman" w:hAnsi="Times New Roman"/>
                <w:sz w:val="22"/>
                <w:szCs w:val="22"/>
                <w:color w:val="008000"/>
                <w:w w:val="88"/>
                <w:vertAlign w:val="superscript"/>
              </w:rPr>
              <w:t>(1)(2)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284.9704</w:t>
            </w:r>
            <w:r>
              <w:rPr>
                <w:rFonts w:ascii="Times New Roman" w:cs="Times New Roman" w:eastAsia="Times New Roman" w:hAnsi="Times New Roman"/>
                <w:sz w:val="22"/>
                <w:szCs w:val="22"/>
                <w:color w:val="008000"/>
                <w:w w:val="90"/>
                <w:vertAlign w:val="superscript"/>
              </w:rPr>
              <w:t>(1)(21)</w:t>
            </w:r>
          </w:p>
        </w:tc>
        <w:tc>
          <w:tcPr>
            <w:tcW w:w="1160" w:type="dxa"/>
            <w:vAlign w:val="bottom"/>
            <w:vMerge w:val="restart"/>
          </w:tcPr>
          <w:p>
            <w:pPr>
              <w:jc w:val="right"/>
              <w:ind w:right="102"/>
              <w:spacing w:after="0"/>
              <w:rPr>
                <w:sz w:val="20"/>
                <w:szCs w:val="20"/>
                <w:color w:val="auto"/>
              </w:rPr>
            </w:pPr>
            <w:r>
              <w:rPr>
                <w:rFonts w:ascii="Times New Roman" w:cs="Times New Roman" w:eastAsia="Times New Roman" w:hAnsi="Times New Roman"/>
                <w:sz w:val="18"/>
                <w:szCs w:val="18"/>
                <w:color w:val="0000FF"/>
              </w:rPr>
              <w:t>16,559,024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3820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3820160"/>
                    </a:xfrm>
                    <a:prstGeom prst="rect">
                      <a:avLst/>
                    </a:prstGeom>
                    <a:noFill/>
                  </pic:spPr>
                </pic:pic>
              </a:graphicData>
            </a:graphic>
          </wp:anchor>
        </w:drawing>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378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 Disposed Of   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14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 (Instr. 3, 4 and 5)</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gridSpan w:val="2"/>
            <w:vMerge w:val="continue"/>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36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0000FF"/>
                <w:w w:val="99"/>
              </w:rPr>
              <w:t>02/05/2014</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16,173</w:t>
            </w:r>
            <w:r>
              <w:rPr>
                <w:rFonts w:ascii="Times New Roman" w:cs="Times New Roman" w:eastAsia="Times New Roman" w:hAnsi="Times New Roman"/>
                <w:sz w:val="22"/>
                <w:szCs w:val="22"/>
                <w:color w:val="008000"/>
                <w:w w:val="88"/>
                <w:vertAlign w:val="superscript"/>
              </w:rPr>
              <w:t>(1)(2)</w:t>
            </w:r>
          </w:p>
        </w:tc>
        <w:tc>
          <w:tcPr>
            <w:tcW w:w="16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A</w:t>
            </w:r>
          </w:p>
        </w:tc>
        <w:tc>
          <w:tcPr>
            <w:tcW w:w="11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285.918</w:t>
            </w:r>
            <w:r>
              <w:rPr>
                <w:rFonts w:ascii="Times New Roman" w:cs="Times New Roman" w:eastAsia="Times New Roman" w:hAnsi="Times New Roman"/>
                <w:sz w:val="22"/>
                <w:szCs w:val="22"/>
                <w:color w:val="008000"/>
                <w:w w:val="90"/>
                <w:vertAlign w:val="superscript"/>
              </w:rPr>
              <w:t>(1)(22)</w:t>
            </w:r>
          </w:p>
        </w:tc>
        <w:tc>
          <w:tcPr>
            <w:tcW w:w="180" w:type="dxa"/>
            <w:vAlign w:val="bottom"/>
          </w:tcPr>
          <w:p>
            <w:pPr>
              <w:spacing w:after="0"/>
              <w:rPr>
                <w:sz w:val="22"/>
                <w:szCs w:val="22"/>
                <w:color w:val="auto"/>
              </w:rPr>
            </w:pPr>
          </w:p>
        </w:tc>
        <w:tc>
          <w:tcPr>
            <w:tcW w:w="10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8"/>
                <w:szCs w:val="18"/>
                <w:color w:val="0000FF"/>
                <w:w w:val="96"/>
              </w:rPr>
              <w:t>16,575,197</w:t>
            </w:r>
          </w:p>
        </w:tc>
        <w:tc>
          <w:tcPr>
            <w:tcW w:w="9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0000FF"/>
                <w:w w:val="99"/>
              </w:rPr>
              <w:t>02/05/2014</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4"/>
                <w:vertAlign w:val="subscript"/>
              </w:rPr>
              <w:t>5,412</w:t>
            </w:r>
            <w:r>
              <w:rPr>
                <w:rFonts w:ascii="Times New Roman" w:cs="Times New Roman" w:eastAsia="Times New Roman" w:hAnsi="Times New Roman"/>
                <w:sz w:val="11"/>
                <w:szCs w:val="11"/>
                <w:color w:val="008000"/>
                <w:w w:val="84"/>
              </w:rPr>
              <w:t>(1)(2)</w:t>
            </w:r>
          </w:p>
        </w:tc>
        <w:tc>
          <w:tcPr>
            <w:tcW w:w="16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A</w:t>
            </w:r>
          </w:p>
        </w:tc>
        <w:tc>
          <w:tcPr>
            <w:tcW w:w="11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w:t>
            </w:r>
            <w:r>
              <w:rPr>
                <w:rFonts w:ascii="Times New Roman" w:cs="Times New Roman" w:eastAsia="Times New Roman" w:hAnsi="Times New Roman"/>
                <w:sz w:val="18"/>
                <w:szCs w:val="18"/>
                <w:color w:val="0000FF"/>
                <w:w w:val="89"/>
              </w:rPr>
              <w:t>286.78</w:t>
            </w:r>
            <w:r>
              <w:rPr>
                <w:rFonts w:ascii="Times New Roman" w:cs="Times New Roman" w:eastAsia="Times New Roman" w:hAnsi="Times New Roman"/>
                <w:sz w:val="22"/>
                <w:szCs w:val="22"/>
                <w:color w:val="008000"/>
                <w:w w:val="89"/>
                <w:vertAlign w:val="superscript"/>
              </w:rPr>
              <w:t>(1)(23)</w:t>
            </w:r>
          </w:p>
        </w:tc>
        <w:tc>
          <w:tcPr>
            <w:tcW w:w="180" w:type="dxa"/>
            <w:vAlign w:val="bottom"/>
          </w:tcPr>
          <w:p>
            <w:pPr>
              <w:spacing w:after="0"/>
              <w:rPr>
                <w:sz w:val="22"/>
                <w:szCs w:val="22"/>
                <w:color w:val="auto"/>
              </w:rPr>
            </w:pPr>
          </w:p>
        </w:tc>
        <w:tc>
          <w:tcPr>
            <w:tcW w:w="10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8"/>
                <w:szCs w:val="18"/>
                <w:color w:val="0000FF"/>
                <w:w w:val="96"/>
              </w:rPr>
              <w:t>16,580,609</w:t>
            </w:r>
          </w:p>
        </w:tc>
        <w:tc>
          <w:tcPr>
            <w:tcW w:w="9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0000FF"/>
                <w:w w:val="99"/>
              </w:rPr>
              <w:t>02/05/2014</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8"/>
                <w:vertAlign w:val="subscript"/>
              </w:rPr>
              <w:t>500</w:t>
            </w:r>
            <w:r>
              <w:rPr>
                <w:rFonts w:ascii="Times New Roman" w:cs="Times New Roman" w:eastAsia="Times New Roman" w:hAnsi="Times New Roman"/>
                <w:sz w:val="11"/>
                <w:szCs w:val="11"/>
                <w:color w:val="008000"/>
                <w:w w:val="88"/>
              </w:rPr>
              <w:t>(1)(2)</w:t>
            </w:r>
          </w:p>
        </w:tc>
        <w:tc>
          <w:tcPr>
            <w:tcW w:w="16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A</w:t>
            </w:r>
          </w:p>
        </w:tc>
        <w:tc>
          <w:tcPr>
            <w:tcW w:w="11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288.134</w:t>
            </w:r>
            <w:r>
              <w:rPr>
                <w:rFonts w:ascii="Times New Roman" w:cs="Times New Roman" w:eastAsia="Times New Roman" w:hAnsi="Times New Roman"/>
                <w:sz w:val="22"/>
                <w:szCs w:val="22"/>
                <w:color w:val="008000"/>
                <w:w w:val="90"/>
                <w:vertAlign w:val="superscript"/>
              </w:rPr>
              <w:t>(1)(24)</w:t>
            </w:r>
          </w:p>
        </w:tc>
        <w:tc>
          <w:tcPr>
            <w:tcW w:w="180" w:type="dxa"/>
            <w:vAlign w:val="bottom"/>
          </w:tcPr>
          <w:p>
            <w:pPr>
              <w:spacing w:after="0"/>
              <w:rPr>
                <w:sz w:val="22"/>
                <w:szCs w:val="22"/>
                <w:color w:val="auto"/>
              </w:rPr>
            </w:pPr>
          </w:p>
        </w:tc>
        <w:tc>
          <w:tcPr>
            <w:tcW w:w="10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8"/>
                <w:szCs w:val="18"/>
                <w:color w:val="0000FF"/>
                <w:w w:val="96"/>
              </w:rPr>
              <w:t>16,581,109</w:t>
            </w:r>
          </w:p>
        </w:tc>
        <w:tc>
          <w:tcPr>
            <w:tcW w:w="9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1"/>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Security</w:t>
            </w:r>
          </w:p>
        </w:tc>
        <w:tc>
          <w:tcPr>
            <w:tcW w:w="2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ind w:left="2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vMerge w:val="restart"/>
          </w:tcPr>
          <w:p>
            <w:pPr>
              <w:ind w:left="440"/>
              <w:spacing w:after="0"/>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7"/>
              </w:rPr>
              <w:t>Title</w:t>
            </w:r>
          </w:p>
        </w:tc>
        <w:tc>
          <w:tcPr>
            <w:tcW w:w="7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80" w:type="dxa"/>
            <w:vAlign w:val="bottom"/>
          </w:tcPr>
          <w:p>
            <w:pPr>
              <w:ind w:left="2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4"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28"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shares acquired directly by sanofi-aventis Amerique du Nord ("SAAN").</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$281.45 to $282.38 per share, inclusive.</w:t>
      </w:r>
    </w:p>
    <w:p>
      <w:pPr>
        <w:spacing w:after="0" w:line="41" w:lineRule="exact"/>
        <w:rPr>
          <w:rFonts w:ascii="Times New Roman" w:cs="Times New Roman" w:eastAsia="Times New Roman" w:hAnsi="Times New Roman"/>
          <w:sz w:val="14"/>
          <w:szCs w:val="14"/>
          <w:color w:val="008000"/>
        </w:rPr>
      </w:pPr>
    </w:p>
    <w:p>
      <w:pPr>
        <w:jc w:val="both"/>
        <w:ind w:left="40" w:right="140" w:firstLine="9"/>
        <w:spacing w:after="0" w:line="23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13,781,557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28"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$282.50 to $283.48 per share, inclusive.</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$283.53 to $284.51 per share, inclusive</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$284.56 to $285.55 per share, inclusive.</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$285.59 to $286.58 per share, inclusive.</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$286.59 to $287.58 per share, inclusive.</w:t>
      </w:r>
    </w:p>
    <w:p>
      <w:pPr>
        <w:spacing w:after="0" w:line="41" w:lineRule="exact"/>
        <w:rPr>
          <w:rFonts w:ascii="Times New Roman" w:cs="Times New Roman" w:eastAsia="Times New Roman" w:hAnsi="Times New Roman"/>
          <w:sz w:val="14"/>
          <w:szCs w:val="14"/>
          <w:color w:val="008000"/>
        </w:rPr>
      </w:pPr>
    </w:p>
    <w:p>
      <w:pPr>
        <w:ind w:left="260" w:hanging="211"/>
        <w:spacing w:after="0"/>
        <w:tabs>
          <w:tab w:leader="none" w:pos="2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$287.59 to $288.26 per share, inclusive.</w:t>
      </w:r>
    </w:p>
    <w:p>
      <w:pPr>
        <w:spacing w:after="0" w:line="41" w:lineRule="exact"/>
        <w:rPr>
          <w:rFonts w:ascii="Times New Roman" w:cs="Times New Roman" w:eastAsia="Times New Roman" w:hAnsi="Times New Roman"/>
          <w:sz w:val="14"/>
          <w:szCs w:val="14"/>
          <w:color w:val="008000"/>
        </w:rPr>
      </w:pPr>
    </w:p>
    <w:p>
      <w:pPr>
        <w:ind w:left="240" w:hanging="191"/>
        <w:spacing w:after="0"/>
        <w:tabs>
          <w:tab w:leader="none" w:pos="24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$274.02 to $275.00 per share, inclusive.</w:t>
      </w:r>
    </w:p>
    <w:p>
      <w:pPr>
        <w:spacing w:after="0" w:line="41" w:lineRule="exact"/>
        <w:rPr>
          <w:rFonts w:ascii="Times New Roman" w:cs="Times New Roman" w:eastAsia="Times New Roman" w:hAnsi="Times New Roman"/>
          <w:sz w:val="14"/>
          <w:szCs w:val="14"/>
          <w:color w:val="008000"/>
        </w:rPr>
      </w:pPr>
    </w:p>
    <w:p>
      <w:pPr>
        <w:ind w:left="260" w:hanging="211"/>
        <w:spacing w:after="0"/>
        <w:tabs>
          <w:tab w:leader="none" w:pos="2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$275.03 to $276.02 per share, inclusive.</w:t>
      </w:r>
    </w:p>
    <w:p>
      <w:pPr>
        <w:spacing w:after="0" w:line="41" w:lineRule="exact"/>
        <w:rPr>
          <w:rFonts w:ascii="Times New Roman" w:cs="Times New Roman" w:eastAsia="Times New Roman" w:hAnsi="Times New Roman"/>
          <w:sz w:val="14"/>
          <w:szCs w:val="14"/>
          <w:color w:val="008000"/>
        </w:rPr>
      </w:pPr>
    </w:p>
    <w:p>
      <w:pPr>
        <w:ind w:left="260" w:hanging="211"/>
        <w:spacing w:after="0"/>
        <w:tabs>
          <w:tab w:leader="none" w:pos="2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$276.03 to $277.02 per share, inclusive.</w:t>
      </w:r>
    </w:p>
    <w:p>
      <w:pPr>
        <w:spacing w:after="0" w:line="41" w:lineRule="exact"/>
        <w:rPr>
          <w:rFonts w:ascii="Times New Roman" w:cs="Times New Roman" w:eastAsia="Times New Roman" w:hAnsi="Times New Roman"/>
          <w:sz w:val="14"/>
          <w:szCs w:val="14"/>
          <w:color w:val="008000"/>
        </w:rPr>
      </w:pPr>
    </w:p>
    <w:p>
      <w:pPr>
        <w:ind w:left="260" w:hanging="211"/>
        <w:spacing w:after="0"/>
        <w:tabs>
          <w:tab w:leader="none" w:pos="2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$277.03 to $278.02 per share, inclusive.</w:t>
      </w:r>
    </w:p>
    <w:p>
      <w:pPr>
        <w:spacing w:after="0" w:line="41" w:lineRule="exact"/>
        <w:rPr>
          <w:rFonts w:ascii="Times New Roman" w:cs="Times New Roman" w:eastAsia="Times New Roman" w:hAnsi="Times New Roman"/>
          <w:sz w:val="14"/>
          <w:szCs w:val="14"/>
          <w:color w:val="008000"/>
        </w:rPr>
      </w:pPr>
    </w:p>
    <w:p>
      <w:pPr>
        <w:ind w:left="260" w:hanging="211"/>
        <w:spacing w:after="0"/>
        <w:tabs>
          <w:tab w:leader="none" w:pos="2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$278.06 to $279.03 per share, inclusive.</w:t>
      </w:r>
    </w:p>
    <w:p>
      <w:pPr>
        <w:spacing w:after="0" w:line="41" w:lineRule="exact"/>
        <w:rPr>
          <w:rFonts w:ascii="Times New Roman" w:cs="Times New Roman" w:eastAsia="Times New Roman" w:hAnsi="Times New Roman"/>
          <w:sz w:val="14"/>
          <w:szCs w:val="14"/>
          <w:color w:val="008000"/>
        </w:rPr>
      </w:pPr>
    </w:p>
    <w:p>
      <w:pPr>
        <w:ind w:left="260" w:hanging="211"/>
        <w:spacing w:after="0"/>
        <w:tabs>
          <w:tab w:leader="none" w:pos="2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$279.23 to $280.22 per share, inclusive.</w:t>
      </w:r>
    </w:p>
    <w:p>
      <w:pPr>
        <w:spacing w:after="0" w:line="41" w:lineRule="exact"/>
        <w:rPr>
          <w:rFonts w:ascii="Times New Roman" w:cs="Times New Roman" w:eastAsia="Times New Roman" w:hAnsi="Times New Roman"/>
          <w:sz w:val="14"/>
          <w:szCs w:val="14"/>
          <w:color w:val="008000"/>
        </w:rPr>
      </w:pPr>
    </w:p>
    <w:p>
      <w:pPr>
        <w:ind w:left="260" w:hanging="211"/>
        <w:spacing w:after="0"/>
        <w:tabs>
          <w:tab w:leader="none" w:pos="2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$280.37 to $281.35 per share, inclusive.</w:t>
      </w:r>
    </w:p>
    <w:p>
      <w:pPr>
        <w:spacing w:after="0" w:line="41" w:lineRule="exact"/>
        <w:rPr>
          <w:rFonts w:ascii="Times New Roman" w:cs="Times New Roman" w:eastAsia="Times New Roman" w:hAnsi="Times New Roman"/>
          <w:sz w:val="14"/>
          <w:szCs w:val="14"/>
          <w:color w:val="008000"/>
        </w:rPr>
      </w:pPr>
    </w:p>
    <w:p>
      <w:pPr>
        <w:ind w:left="260" w:hanging="211"/>
        <w:spacing w:after="0"/>
        <w:tabs>
          <w:tab w:leader="none" w:pos="2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$281.39 to $282.36 per share, inclusive.</w:t>
      </w:r>
    </w:p>
    <w:p>
      <w:pPr>
        <w:spacing w:after="0" w:line="41" w:lineRule="exact"/>
        <w:rPr>
          <w:rFonts w:ascii="Times New Roman" w:cs="Times New Roman" w:eastAsia="Times New Roman" w:hAnsi="Times New Roman"/>
          <w:sz w:val="14"/>
          <w:szCs w:val="14"/>
          <w:color w:val="008000"/>
        </w:rPr>
      </w:pPr>
    </w:p>
    <w:p>
      <w:pPr>
        <w:ind w:left="260" w:hanging="211"/>
        <w:spacing w:after="0"/>
        <w:tabs>
          <w:tab w:leader="none" w:pos="2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$282.39 to $283.37 per share, inclusive.</w:t>
      </w:r>
    </w:p>
    <w:p>
      <w:pPr>
        <w:spacing w:after="0" w:line="41" w:lineRule="exact"/>
        <w:rPr>
          <w:rFonts w:ascii="Times New Roman" w:cs="Times New Roman" w:eastAsia="Times New Roman" w:hAnsi="Times New Roman"/>
          <w:sz w:val="14"/>
          <w:szCs w:val="14"/>
          <w:color w:val="008000"/>
        </w:rPr>
      </w:pPr>
    </w:p>
    <w:p>
      <w:pPr>
        <w:ind w:left="260" w:hanging="211"/>
        <w:spacing w:after="0"/>
        <w:tabs>
          <w:tab w:leader="none" w:pos="2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$283.41 to $284.37 per share, inclusive.</w:t>
      </w:r>
    </w:p>
    <w:p>
      <w:pPr>
        <w:spacing w:after="0" w:line="41" w:lineRule="exact"/>
        <w:rPr>
          <w:rFonts w:ascii="Times New Roman" w:cs="Times New Roman" w:eastAsia="Times New Roman" w:hAnsi="Times New Roman"/>
          <w:sz w:val="14"/>
          <w:szCs w:val="14"/>
          <w:color w:val="008000"/>
        </w:rPr>
      </w:pPr>
    </w:p>
    <w:p>
      <w:pPr>
        <w:ind w:left="260" w:hanging="211"/>
        <w:spacing w:after="0"/>
        <w:tabs>
          <w:tab w:leader="none" w:pos="2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$284.43 to $285.42 per share, inclusive.</w:t>
      </w:r>
    </w:p>
    <w:p>
      <w:pPr>
        <w:spacing w:after="0" w:line="41" w:lineRule="exact"/>
        <w:rPr>
          <w:rFonts w:ascii="Times New Roman" w:cs="Times New Roman" w:eastAsia="Times New Roman" w:hAnsi="Times New Roman"/>
          <w:sz w:val="14"/>
          <w:szCs w:val="14"/>
          <w:color w:val="008000"/>
        </w:rPr>
      </w:pPr>
    </w:p>
    <w:p>
      <w:pPr>
        <w:ind w:left="260" w:hanging="211"/>
        <w:spacing w:after="0"/>
        <w:tabs>
          <w:tab w:leader="none" w:pos="2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$285.46 to $286.26 per share, inclusive.</w:t>
      </w:r>
    </w:p>
    <w:p>
      <w:pPr>
        <w:spacing w:after="0" w:line="41" w:lineRule="exact"/>
        <w:rPr>
          <w:rFonts w:ascii="Times New Roman" w:cs="Times New Roman" w:eastAsia="Times New Roman" w:hAnsi="Times New Roman"/>
          <w:sz w:val="14"/>
          <w:szCs w:val="14"/>
          <w:color w:val="008000"/>
        </w:rPr>
      </w:pPr>
    </w:p>
    <w:p>
      <w:pPr>
        <w:ind w:left="260" w:hanging="211"/>
        <w:spacing w:after="0"/>
        <w:tabs>
          <w:tab w:leader="none" w:pos="2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$286.46 to $287.34 per share, inclusive.</w:t>
      </w:r>
    </w:p>
    <w:p>
      <w:pPr>
        <w:spacing w:after="0" w:line="41" w:lineRule="exact"/>
        <w:rPr>
          <w:rFonts w:ascii="Times New Roman" w:cs="Times New Roman" w:eastAsia="Times New Roman" w:hAnsi="Times New Roman"/>
          <w:sz w:val="14"/>
          <w:szCs w:val="14"/>
          <w:color w:val="008000"/>
        </w:rPr>
      </w:pPr>
    </w:p>
    <w:p>
      <w:pPr>
        <w:ind w:left="260" w:hanging="211"/>
        <w:spacing w:after="0"/>
        <w:tabs>
          <w:tab w:leader="none" w:pos="2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$287.47 to $288.30 per share, inclusive.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3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58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spacing w:after="0" w:line="1" w:lineRule="exact"/>
        <w:rPr>
          <w:sz w:val="20"/>
          <w:szCs w:val="20"/>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President, Corporate Law,</w:t>
      </w:r>
      <w:r>
        <w:rPr>
          <w:sz w:val="20"/>
          <w:szCs w:val="20"/>
          <w:color w:val="auto"/>
        </w:rPr>
        <w:tab/>
      </w:r>
      <w:r>
        <w:rPr>
          <w:rFonts w:ascii="Times New Roman" w:cs="Times New Roman" w:eastAsia="Times New Roman" w:hAnsi="Times New Roman"/>
          <w:sz w:val="16"/>
          <w:szCs w:val="16"/>
          <w:color w:val="0000FF"/>
        </w:rPr>
        <w:t>02/06/2014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3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28"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2019-12-17T05:46:26Z</dcterms:created>
  <dcterms:modified xsi:type="dcterms:W3CDTF">2019-12-17T05:46:26Z</dcterms:modified>
</cp:coreProperties>
</file>