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331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331710"/>
                    </a:xfrm>
                    <a:prstGeom prst="rect">
                      <a:avLst/>
                    </a:prstGeom>
                    <a:noFill/>
                  </pic:spPr>
                </pic:pic>
              </a:graphicData>
            </a:graphic>
          </wp:anchor>
        </w:drawing>
      </w:r>
    </w:p>
    <w:p>
      <w:pPr>
        <w:spacing w:after="0" w:line="32" w:lineRule="exact"/>
        <w:rPr>
          <w:sz w:val="24"/>
          <w:szCs w:val="24"/>
          <w:color w:val="auto"/>
        </w:rPr>
      </w:pPr>
    </w:p>
    <w:p>
      <w:pPr>
        <w:sectPr>
          <w:pgSz w:w="11900" w:h="16863"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05/19/2014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184"/>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6"/>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5,177</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296.0767</w:t>
            </w:r>
            <w:r>
              <w:rPr>
                <w:rFonts w:ascii="Arial" w:cs="Arial" w:eastAsia="Arial" w:hAnsi="Arial"/>
                <w:sz w:val="22"/>
                <w:szCs w:val="22"/>
                <w:color w:val="008000"/>
                <w:w w:val="84"/>
                <w:vertAlign w:val="superscript"/>
              </w:rPr>
              <w:t>(1)(3)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20,023,267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11,548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296.9097</w:t>
            </w:r>
            <w:r>
              <w:rPr>
                <w:rFonts w:ascii="Arial" w:cs="Arial" w:eastAsia="Arial" w:hAnsi="Arial"/>
                <w:sz w:val="22"/>
                <w:szCs w:val="22"/>
                <w:color w:val="008000"/>
                <w:w w:val="84"/>
                <w:vertAlign w:val="superscript"/>
              </w:rPr>
              <w:t>(1)(5)</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20,034,815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28,158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298.0832</w:t>
            </w:r>
            <w:r>
              <w:rPr>
                <w:rFonts w:ascii="Arial" w:cs="Arial" w:eastAsia="Arial" w:hAnsi="Arial"/>
                <w:sz w:val="22"/>
                <w:szCs w:val="22"/>
                <w:color w:val="008000"/>
                <w:w w:val="84"/>
                <w:vertAlign w:val="superscript"/>
              </w:rPr>
              <w:t>(1)(6)</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20,062,973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22,869</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298.7473</w:t>
            </w:r>
            <w:r>
              <w:rPr>
                <w:rFonts w:ascii="Arial" w:cs="Arial" w:eastAsia="Arial" w:hAnsi="Arial"/>
                <w:sz w:val="22"/>
                <w:szCs w:val="22"/>
                <w:color w:val="008000"/>
                <w:w w:val="84"/>
                <w:vertAlign w:val="superscript"/>
              </w:rPr>
              <w:t>(1)(7)</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20,085,842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33,610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300.1963</w:t>
            </w:r>
            <w:r>
              <w:rPr>
                <w:rFonts w:ascii="Arial" w:cs="Arial" w:eastAsia="Arial" w:hAnsi="Arial"/>
                <w:sz w:val="22"/>
                <w:szCs w:val="22"/>
                <w:color w:val="008000"/>
                <w:w w:val="84"/>
                <w:vertAlign w:val="superscript"/>
              </w:rPr>
              <w:t>(1)(8)</w:t>
            </w: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20,119,452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41,388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300.95</w:t>
            </w:r>
            <w:r>
              <w:rPr>
                <w:rFonts w:ascii="Arial" w:cs="Arial" w:eastAsia="Arial" w:hAnsi="Arial"/>
                <w:sz w:val="22"/>
                <w:szCs w:val="22"/>
                <w:color w:val="008000"/>
                <w:w w:val="83"/>
                <w:vertAlign w:val="superscript"/>
              </w:rPr>
              <w:t>(1)(9)</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20,160,840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35,781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301.9027</w:t>
            </w:r>
            <w:r>
              <w:rPr>
                <w:rFonts w:ascii="Arial" w:cs="Arial" w:eastAsia="Arial" w:hAnsi="Arial"/>
                <w:sz w:val="22"/>
                <w:szCs w:val="22"/>
                <w:color w:val="008000"/>
                <w:w w:val="83"/>
                <w:vertAlign w:val="superscript"/>
              </w:rPr>
              <w:t>(1)(10)</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20,196,621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Arial" w:cs="Arial" w:eastAsia="Arial" w:hAnsi="Arial"/>
                <w:sz w:val="18"/>
                <w:szCs w:val="18"/>
                <w:color w:val="0000FF"/>
                <w:w w:val="88"/>
              </w:rPr>
              <w:t>05/19/2014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12,220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6"/>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302.7036</w:t>
            </w:r>
            <w:r>
              <w:rPr>
                <w:rFonts w:ascii="Arial" w:cs="Arial" w:eastAsia="Arial" w:hAnsi="Arial"/>
                <w:sz w:val="22"/>
                <w:szCs w:val="22"/>
                <w:color w:val="008000"/>
                <w:w w:val="83"/>
                <w:vertAlign w:val="superscript"/>
              </w:rPr>
              <w:t>(1)(11)</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20,208,841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8"/>
          </w:tcPr>
          <w:p>
            <w:pPr>
              <w:jc w:val="center"/>
              <w:ind w:left="1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$295.45 to $296.43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17,409,289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$296.45 to $297.42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$297.47 to $298.46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$298.47 to $299.18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$299.50 to $300.49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$300.50 to $301.49 per share, inclusive.</w:t>
      </w:r>
    </w:p>
    <w:p>
      <w:pPr>
        <w:spacing w:after="0" w:line="41" w:lineRule="exact"/>
        <w:rPr>
          <w:rFonts w:ascii="Arial" w:cs="Arial" w:eastAsia="Arial" w:hAnsi="Arial"/>
          <w:sz w:val="14"/>
          <w:szCs w:val="14"/>
          <w:color w:val="008000"/>
        </w:rPr>
      </w:pPr>
    </w:p>
    <w:p>
      <w:pPr>
        <w:ind w:left="260" w:hanging="211"/>
        <w:spacing w:after="0"/>
        <w:tabs>
          <w:tab w:leader="none" w:pos="2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$301.50 to $302.48 per share, inclusive.</w:t>
      </w:r>
    </w:p>
    <w:p>
      <w:pPr>
        <w:spacing w:after="0" w:line="41" w:lineRule="exact"/>
        <w:rPr>
          <w:rFonts w:ascii="Arial" w:cs="Arial" w:eastAsia="Arial" w:hAnsi="Arial"/>
          <w:sz w:val="14"/>
          <w:szCs w:val="14"/>
          <w:color w:val="008000"/>
        </w:rPr>
      </w:pP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Purchase prices range from $302.51 to $303.28 per share, inclusive.</w:t>
      </w:r>
    </w:p>
    <w:p>
      <w:pPr>
        <w:sectPr>
          <w:pgSz w:w="11900" w:h="16863"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05/21/2014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2019-12-17T06:13:37Z</dcterms:created>
  <dcterms:modified xsi:type="dcterms:W3CDTF">2019-12-17T06:13:37Z</dcterms:modified>
</cp:coreProperties>
</file>