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15, 2016 (June 10, 2016)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4"/>
          <w:szCs w:val="24"/>
          <w:color w:val="auto"/>
        </w:rPr>
      </w:pPr>
    </w:p>
    <w:p>
      <w:pPr>
        <w:ind w:right="180" w:firstLine="324"/>
        <w:spacing w:after="0" w:line="277" w:lineRule="auto"/>
        <w:rPr>
          <w:sz w:val="20"/>
          <w:szCs w:val="20"/>
          <w:color w:val="auto"/>
        </w:rPr>
      </w:pPr>
      <w:r>
        <w:rPr>
          <w:rFonts w:ascii="Arial" w:cs="Arial" w:eastAsia="Arial" w:hAnsi="Arial"/>
          <w:sz w:val="18"/>
          <w:szCs w:val="18"/>
          <w:color w:val="auto"/>
        </w:rPr>
        <w:t>At the 2016 Annual Meeting of Shareholders of Regeneron Pharmaceuticals, Inc. (“</w:t>
      </w:r>
      <w:r>
        <w:rPr>
          <w:rFonts w:ascii="Arial" w:cs="Arial" w:eastAsia="Arial" w:hAnsi="Arial"/>
          <w:sz w:val="18"/>
          <w:szCs w:val="18"/>
          <w:u w:val="single" w:color="auto"/>
          <w:color w:val="auto"/>
        </w:rPr>
        <w:t>Regeneron</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held on June 10, 2016, Regeneron’s shareholders voted on the matters set forth below.</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29" w:lineRule="exact"/>
        <w:rPr>
          <w:sz w:val="24"/>
          <w:szCs w:val="24"/>
          <w:color w:val="auto"/>
        </w:rPr>
      </w:pPr>
    </w:p>
    <w:p>
      <w:pPr>
        <w:ind w:right="400" w:firstLine="324"/>
        <w:spacing w:after="0" w:line="277" w:lineRule="auto"/>
        <w:rPr>
          <w:sz w:val="20"/>
          <w:szCs w:val="20"/>
          <w:color w:val="auto"/>
        </w:rPr>
      </w:pPr>
      <w:r>
        <w:rPr>
          <w:rFonts w:ascii="Arial" w:cs="Arial" w:eastAsia="Arial" w:hAnsi="Arial"/>
          <w:sz w:val="18"/>
          <w:szCs w:val="18"/>
          <w:color w:val="auto"/>
        </w:rPr>
        <w:t>The following nominees for Class I directors were elected to serve until the 2019 Annual Meeting of Shareholders and until their successors are duly elected and qualified based upon the following votes:</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1660" w:type="dxa"/>
            <w:vAlign w:val="bottom"/>
            <w:gridSpan w:val="2"/>
          </w:tcPr>
          <w:p>
            <w:pPr>
              <w:ind w:left="560"/>
              <w:spacing w:after="0"/>
              <w:rPr>
                <w:sz w:val="20"/>
                <w:szCs w:val="20"/>
                <w:color w:val="auto"/>
              </w:rPr>
            </w:pPr>
            <w:r>
              <w:rPr>
                <w:rFonts w:ascii="Arial" w:cs="Arial" w:eastAsia="Arial" w:hAnsi="Arial"/>
                <w:sz w:val="14"/>
                <w:szCs w:val="14"/>
                <w:b w:val="1"/>
                <w:bCs w:val="1"/>
                <w:color w:val="auto"/>
              </w:rPr>
              <w:t>For</w:t>
            </w:r>
          </w:p>
        </w:tc>
        <w:tc>
          <w:tcPr>
            <w:tcW w:w="1640" w:type="dxa"/>
            <w:vAlign w:val="bottom"/>
            <w:gridSpan w:val="2"/>
          </w:tcPr>
          <w:p>
            <w:pPr>
              <w:ind w:left="440"/>
              <w:spacing w:after="0"/>
              <w:rPr>
                <w:sz w:val="20"/>
                <w:szCs w:val="20"/>
                <w:color w:val="auto"/>
              </w:rPr>
            </w:pPr>
            <w:r>
              <w:rPr>
                <w:rFonts w:ascii="Arial" w:cs="Arial" w:eastAsia="Arial" w:hAnsi="Arial"/>
                <w:sz w:val="14"/>
                <w:szCs w:val="14"/>
                <w:b w:val="1"/>
                <w:bCs w:val="1"/>
                <w:color w:val="auto"/>
              </w:rPr>
              <w:t>Against</w:t>
            </w:r>
          </w:p>
        </w:tc>
        <w:tc>
          <w:tcPr>
            <w:tcW w:w="16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Abstain</w:t>
            </w: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Broker Non-Votes</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S. Brown, M.D.</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100,319,722</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10,213,521</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42,649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6,031,360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c>
          <w:tcPr>
            <w:tcW w:w="1360" w:type="dxa"/>
            <w:vAlign w:val="bottom"/>
          </w:tcPr>
          <w:p>
            <w:pPr>
              <w:jc w:val="right"/>
              <w:spacing w:after="0"/>
              <w:rPr>
                <w:sz w:val="20"/>
                <w:szCs w:val="20"/>
                <w:color w:val="auto"/>
              </w:rPr>
            </w:pPr>
            <w:r>
              <w:rPr>
                <w:rFonts w:ascii="Arial" w:cs="Arial" w:eastAsia="Arial" w:hAnsi="Arial"/>
                <w:sz w:val="18"/>
                <w:szCs w:val="18"/>
                <w:color w:val="auto"/>
              </w:rPr>
              <w:t>109,816,743</w:t>
            </w:r>
          </w:p>
        </w:tc>
        <w:tc>
          <w:tcPr>
            <w:tcW w:w="30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697,142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62,007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6,031,360</w:t>
            </w: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D. Yancopoulos, M.D., Ph.D.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109,275,528</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1,238,547</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61,817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6,031,360</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Proposal 2 — Ratification of Appointment of Independent Registered Public Accounting Firm</w:t>
      </w:r>
    </w:p>
    <w:p>
      <w:pPr>
        <w:spacing w:after="0" w:line="229" w:lineRule="exact"/>
        <w:rPr>
          <w:sz w:val="24"/>
          <w:szCs w:val="24"/>
          <w:color w:val="auto"/>
        </w:rPr>
      </w:pPr>
    </w:p>
    <w:p>
      <w:pPr>
        <w:ind w:right="320" w:firstLine="324"/>
        <w:spacing w:after="0" w:line="277" w:lineRule="auto"/>
        <w:rPr>
          <w:sz w:val="20"/>
          <w:szCs w:val="20"/>
          <w:color w:val="auto"/>
        </w:rPr>
      </w:pPr>
      <w:r>
        <w:rPr>
          <w:rFonts w:ascii="Arial" w:cs="Arial" w:eastAsia="Arial" w:hAnsi="Arial"/>
          <w:sz w:val="18"/>
          <w:szCs w:val="18"/>
          <w:color w:val="auto"/>
        </w:rPr>
        <w:t>The proposal to ratify the appointment of PricewaterhouseCoopers LLP as the Company’s independent registered public accounting firm for the fiscal year ending December 31, 2016 was approved based upon the following votes:</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For:</w:t>
            </w:r>
          </w:p>
        </w:tc>
        <w:tc>
          <w:tcPr>
            <w:tcW w:w="5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116,000,406</w:t>
            </w:r>
          </w:p>
        </w:tc>
        <w:tc>
          <w:tcPr>
            <w:tcW w:w="2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Against:</w:t>
            </w:r>
          </w:p>
        </w:tc>
        <w:tc>
          <w:tcPr>
            <w:tcW w:w="5020" w:type="dxa"/>
            <w:vAlign w:val="bottom"/>
          </w:tcPr>
          <w:p>
            <w:pPr>
              <w:jc w:val="right"/>
              <w:ind w:right="30"/>
              <w:spacing w:after="0"/>
              <w:rPr>
                <w:sz w:val="20"/>
                <w:szCs w:val="20"/>
                <w:color w:val="auto"/>
              </w:rPr>
            </w:pPr>
            <w:r>
              <w:rPr>
                <w:rFonts w:ascii="Arial" w:cs="Arial" w:eastAsia="Arial" w:hAnsi="Arial"/>
                <w:sz w:val="18"/>
                <w:szCs w:val="18"/>
                <w:color w:val="auto"/>
              </w:rPr>
              <w:t>527,663</w:t>
            </w:r>
          </w:p>
        </w:tc>
        <w:tc>
          <w:tcPr>
            <w:tcW w:w="23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Abstain:</w:t>
            </w:r>
          </w:p>
        </w:tc>
        <w:tc>
          <w:tcPr>
            <w:tcW w:w="5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79,183</w:t>
            </w:r>
          </w:p>
        </w:tc>
        <w:tc>
          <w:tcPr>
            <w:tcW w:w="2320" w:type="dxa"/>
            <w:vAlign w:val="bottom"/>
          </w:tcPr>
          <w:p>
            <w:pPr>
              <w:spacing w:after="0"/>
              <w:rPr>
                <w:sz w:val="18"/>
                <w:szCs w:val="18"/>
                <w:color w:val="auto"/>
              </w:rPr>
            </w:pPr>
          </w:p>
        </w:tc>
      </w:tr>
      <w:tr>
        <w:trPr>
          <w:trHeight w:val="432"/>
        </w:trPr>
        <w:tc>
          <w:tcPr>
            <w:tcW w:w="1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020" w:type="dxa"/>
            <w:vAlign w:val="bottom"/>
          </w:tcPr>
          <w:p>
            <w:pPr>
              <w:jc w:val="right"/>
              <w:ind w:right="3290"/>
              <w:spacing w:after="0"/>
              <w:rPr>
                <w:sz w:val="20"/>
                <w:szCs w:val="20"/>
                <w:color w:val="auto"/>
              </w:rPr>
            </w:pPr>
            <w:r>
              <w:rPr>
                <w:rFonts w:ascii="Arial" w:cs="Arial" w:eastAsia="Arial" w:hAnsi="Arial"/>
                <w:sz w:val="18"/>
                <w:szCs w:val="18"/>
                <w:color w:val="auto"/>
              </w:rPr>
              <w:t>2</w:t>
            </w:r>
          </w:p>
        </w:tc>
        <w:tc>
          <w:tcPr>
            <w:tcW w:w="2320" w:type="dxa"/>
            <w:vAlign w:val="bottom"/>
          </w:tcPr>
          <w:p>
            <w:pPr>
              <w:spacing w:after="0"/>
              <w:rPr>
                <w:sz w:val="24"/>
                <w:szCs w:val="24"/>
                <w:color w:val="auto"/>
              </w:rPr>
            </w:pPr>
          </w:p>
        </w:tc>
      </w:tr>
      <w:tr>
        <w:trPr>
          <w:trHeight w:val="132"/>
        </w:trPr>
        <w:tc>
          <w:tcPr>
            <w:tcW w:w="196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5020" w:type="dxa"/>
            <w:vAlign w:val="bottom"/>
            <w:tcBorders>
              <w:bottom w:val="single" w:sz="8" w:color="808080"/>
            </w:tcBorders>
          </w:tcPr>
          <w:p>
            <w:pPr>
              <w:spacing w:after="0"/>
              <w:rPr>
                <w:sz w:val="11"/>
                <w:szCs w:val="11"/>
                <w:color w:val="auto"/>
              </w:rPr>
            </w:pPr>
          </w:p>
        </w:tc>
        <w:tc>
          <w:tcPr>
            <w:tcW w:w="232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5"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June 15,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2019-12-06T00:01:57Z</dcterms:created>
  <dcterms:modified xsi:type="dcterms:W3CDTF">2019-12-06T00:01:57Z</dcterms:modified>
</cp:coreProperties>
</file>