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3, 2023 (February 3, 2023)</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1149985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On February 3, 2023, Regeneron Pharmaceuticals, Inc. issued a press release announcing its financial and operating results for the quarter and year ended December 31, 2022.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62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February 3, 2023, Reporting Fourth Quarter and Full Year 2022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5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99"/>
        </w:trPr>
        <w:tc>
          <w:tcPr>
            <w:tcW w:w="2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18"/>
        </w:trPr>
        <w:tc>
          <w:tcPr>
            <w:tcW w:w="2020" w:type="dxa"/>
            <w:vAlign w:val="bottom"/>
          </w:tcPr>
          <w:p>
            <w:pPr>
              <w:spacing w:after="0"/>
              <w:rPr>
                <w:sz w:val="18"/>
                <w:szCs w:val="18"/>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202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20"/>
        <w:spacing w:after="0" w:line="288" w:lineRule="auto"/>
        <w:rPr>
          <w:sz w:val="20"/>
          <w:szCs w:val="20"/>
          <w:color w:val="auto"/>
        </w:rPr>
      </w:pPr>
      <w:r>
        <w:rPr>
          <w:rFonts w:ascii="Arial" w:cs="Arial" w:eastAsia="Arial" w:hAnsi="Arial"/>
          <w:sz w:val="29"/>
          <w:szCs w:val="29"/>
          <w:b w:val="1"/>
          <w:bCs w:val="1"/>
          <w:color w:val="0F4DBC"/>
        </w:rPr>
        <w:t>Regeneron Reports Fourth Quarter and Full Year 2022 Financial and Operating Results</w:t>
      </w:r>
    </w:p>
    <w:p>
      <w:pPr>
        <w:spacing w:after="0" w:line="58" w:lineRule="exact"/>
        <w:rPr>
          <w:sz w:val="20"/>
          <w:szCs w:val="20"/>
          <w:color w:val="auto"/>
        </w:rPr>
      </w:pPr>
    </w:p>
    <w:p>
      <w:pPr>
        <w:ind w:left="340" w:right="540" w:hanging="332"/>
        <w:spacing w:after="0" w:line="222"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2022 revenues decreased 31% to $3.41 billion versus fourth quarter 2021; excluding REGEN-COV</w:t>
      </w:r>
      <w:r>
        <w:rPr>
          <w:rFonts w:ascii="Arial" w:cs="Arial" w:eastAsia="Arial" w:hAnsi="Arial"/>
          <w:sz w:val="28"/>
          <w:szCs w:val="28"/>
          <w:b w:val="1"/>
          <w:bCs w:val="1"/>
          <w:i w:val="1"/>
          <w:iCs w:val="1"/>
          <w:color w:val="auto"/>
          <w:vertAlign w:val="superscript"/>
        </w:rPr>
        <w:t>®</w:t>
      </w:r>
      <w:r>
        <w:rPr>
          <w:rFonts w:ascii="Arial" w:cs="Arial" w:eastAsia="Arial" w:hAnsi="Arial"/>
          <w:sz w:val="22"/>
          <w:szCs w:val="22"/>
          <w:i w:val="1"/>
          <w:iCs w:val="1"/>
          <w:color w:val="auto"/>
        </w:rPr>
        <w:t xml:space="preserve"> and Ronapreve</w:t>
      </w:r>
      <w:r>
        <w:rPr>
          <w:rFonts w:ascii="Arial" w:cs="Arial" w:eastAsia="Arial" w:hAnsi="Arial"/>
          <w:sz w:val="28"/>
          <w:szCs w:val="28"/>
          <w:color w:val="auto"/>
          <w:vertAlign w:val="superscript"/>
        </w:rPr>
        <w:t>TM</w:t>
      </w:r>
      <w:r>
        <w:rPr>
          <w:rFonts w:ascii="Arial" w:cs="Arial" w:eastAsia="Arial" w:hAnsi="Arial"/>
          <w:sz w:val="28"/>
          <w:szCs w:val="28"/>
          <w:i w:val="1"/>
          <w:iCs w:val="1"/>
          <w:color w:val="auto"/>
          <w:vertAlign w:val="superscript"/>
        </w:rPr>
        <w:t>(a)(b)</w:t>
      </w:r>
      <w:r>
        <w:rPr>
          <w:rFonts w:ascii="Arial" w:cs="Arial" w:eastAsia="Arial" w:hAnsi="Arial"/>
          <w:sz w:val="22"/>
          <w:szCs w:val="22"/>
          <w:i w:val="1"/>
          <w:iCs w:val="1"/>
          <w:color w:val="auto"/>
        </w:rPr>
        <w:t>, revenues increased 14%</w:t>
      </w:r>
    </w:p>
    <w:p>
      <w:pPr>
        <w:spacing w:after="0" w:line="1" w:lineRule="exact"/>
        <w:rPr>
          <w:rFonts w:ascii="Arial" w:cs="Arial" w:eastAsia="Arial" w:hAnsi="Arial"/>
          <w:sz w:val="22"/>
          <w:szCs w:val="22"/>
          <w:i w:val="1"/>
          <w:iCs w:val="1"/>
          <w:color w:val="auto"/>
        </w:rPr>
      </w:pPr>
    </w:p>
    <w:p>
      <w:pPr>
        <w:ind w:left="340" w:right="600" w:hanging="332"/>
        <w:spacing w:after="0" w:line="214"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Full year 2022 revenues decreased 24% to $12.17 billion versus full year 2021; excluding REGEN-COV and Ronapreve</w:t>
      </w:r>
      <w:r>
        <w:rPr>
          <w:rFonts w:ascii="Arial" w:cs="Arial" w:eastAsia="Arial" w:hAnsi="Arial"/>
          <w:sz w:val="28"/>
          <w:szCs w:val="28"/>
          <w:i w:val="1"/>
          <w:iCs w:val="1"/>
          <w:color w:val="auto"/>
          <w:vertAlign w:val="superscript"/>
        </w:rPr>
        <w:t>(a)(b)</w:t>
      </w:r>
      <w:r>
        <w:rPr>
          <w:rFonts w:ascii="Arial" w:cs="Arial" w:eastAsia="Arial" w:hAnsi="Arial"/>
          <w:sz w:val="22"/>
          <w:szCs w:val="22"/>
          <w:i w:val="1"/>
          <w:iCs w:val="1"/>
          <w:color w:val="auto"/>
        </w:rPr>
        <w:t>, revenues increased 17%</w:t>
      </w:r>
    </w:p>
    <w:p>
      <w:pPr>
        <w:ind w:left="340" w:right="380" w:hanging="332"/>
        <w:spacing w:after="0" w:line="21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2022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decreased 3% to $1.50 billion versus fourth quarter 2021; full year 2022 EYLEA U.S. net sales increased 8% to $6.26 billion versus 2021</w:t>
      </w:r>
    </w:p>
    <w:p>
      <w:pPr>
        <w:spacing w:after="0" w:line="1" w:lineRule="exact"/>
        <w:rPr>
          <w:rFonts w:ascii="Arial" w:cs="Arial" w:eastAsia="Arial" w:hAnsi="Arial"/>
          <w:sz w:val="22"/>
          <w:szCs w:val="22"/>
          <w:i w:val="1"/>
          <w:iCs w:val="1"/>
          <w:color w:val="auto"/>
        </w:rPr>
      </w:pPr>
    </w:p>
    <w:p>
      <w:pPr>
        <w:ind w:left="340" w:right="180" w:hanging="332"/>
        <w:spacing w:after="0" w:line="214"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2022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 (recorded by Sanofi) increased 38% to $2.45 billion versus fourth quarter 2021; full year 2022 Dupixent global net sales increased 40% to $8.68 billion versus 2021</w:t>
      </w:r>
    </w:p>
    <w:p>
      <w:pPr>
        <w:ind w:left="340" w:right="260" w:hanging="332"/>
        <w:spacing w:after="0" w:line="208"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2022 GAAP diluted EPS of $10.50 and non-GAAP diluted EPS</w:t>
      </w:r>
      <w:r>
        <w:rPr>
          <w:rFonts w:ascii="Arial" w:cs="Arial" w:eastAsia="Arial" w:hAnsi="Arial"/>
          <w:sz w:val="28"/>
          <w:szCs w:val="28"/>
          <w:i w:val="1"/>
          <w:iCs w:val="1"/>
          <w:color w:val="auto"/>
          <w:vertAlign w:val="superscript"/>
        </w:rPr>
        <w:t>(a)</w:t>
      </w:r>
      <w:r>
        <w:rPr>
          <w:rFonts w:ascii="Arial" w:cs="Arial" w:eastAsia="Arial" w:hAnsi="Arial"/>
          <w:sz w:val="22"/>
          <w:szCs w:val="22"/>
          <w:i w:val="1"/>
          <w:iCs w:val="1"/>
          <w:color w:val="auto"/>
        </w:rPr>
        <w:t xml:space="preserve"> of $12.56; includes unfavorable $0.21 impact from acquired IPR&amp;D charge</w:t>
      </w:r>
    </w:p>
    <w:p>
      <w:pPr>
        <w:spacing w:after="0" w:line="1" w:lineRule="exact"/>
        <w:rPr>
          <w:rFonts w:ascii="Arial" w:cs="Arial" w:eastAsia="Arial" w:hAnsi="Arial"/>
          <w:sz w:val="22"/>
          <w:szCs w:val="22"/>
          <w:i w:val="1"/>
          <w:iCs w:val="1"/>
          <w:color w:val="auto"/>
        </w:rPr>
      </w:pPr>
    </w:p>
    <w:p>
      <w:pPr>
        <w:ind w:left="340" w:right="200" w:hanging="332"/>
        <w:spacing w:after="0" w:line="23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Aflibercept 8 mg BLA for neovascular age-related macular degeneration (wet AMD) and diabetic macular edema (DME) submitted to FDA in December 2022</w:t>
      </w:r>
    </w:p>
    <w:p>
      <w:pPr>
        <w:spacing w:after="0" w:line="2" w:lineRule="exact"/>
        <w:rPr>
          <w:rFonts w:ascii="Arial" w:cs="Arial" w:eastAsia="Arial" w:hAnsi="Arial"/>
          <w:sz w:val="22"/>
          <w:szCs w:val="22"/>
          <w:i w:val="1"/>
          <w:iCs w:val="1"/>
          <w:color w:val="auto"/>
        </w:rPr>
      </w:pPr>
    </w:p>
    <w:p>
      <w:pPr>
        <w:ind w:left="340" w:right="120" w:hanging="332"/>
        <w:spacing w:after="0" w:line="208"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Libtayo</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in combination with chemotherapy as first-line treatment for advanced non-small cell lung cancer (NSCLC)</w:t>
      </w:r>
    </w:p>
    <w:p>
      <w:pPr>
        <w:spacing w:after="0" w:line="1" w:lineRule="exact"/>
        <w:rPr>
          <w:rFonts w:ascii="Arial" w:cs="Arial" w:eastAsia="Arial" w:hAnsi="Arial"/>
          <w:sz w:val="22"/>
          <w:szCs w:val="22"/>
          <w:i w:val="1"/>
          <w:iCs w:val="1"/>
          <w:color w:val="auto"/>
        </w:rPr>
      </w:pPr>
    </w:p>
    <w:p>
      <w:pPr>
        <w:ind w:left="340" w:right="660" w:hanging="332"/>
        <w:spacing w:after="0" w:line="23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European Commission approved Dupixent for adults with prurigo nodularis and adults and adolescents with eosinophilic esophagitis (EoE</w:t>
      </w:r>
      <w:r>
        <w:rPr>
          <w:rFonts w:ascii="Arial" w:cs="Arial" w:eastAsia="Arial" w:hAnsi="Arial"/>
          <w:sz w:val="22"/>
          <w:szCs w:val="22"/>
          <w:color w:val="auto"/>
        </w:rPr>
        <w:t>)</w:t>
      </w:r>
    </w:p>
    <w:p>
      <w:pPr>
        <w:spacing w:after="0" w:line="2" w:lineRule="exact"/>
        <w:rPr>
          <w:rFonts w:ascii="Arial" w:cs="Arial" w:eastAsia="Arial" w:hAnsi="Arial"/>
          <w:sz w:val="22"/>
          <w:szCs w:val="22"/>
          <w:i w:val="1"/>
          <w:iCs w:val="1"/>
          <w:color w:val="auto"/>
        </w:rPr>
      </w:pPr>
    </w:p>
    <w:p>
      <w:pPr>
        <w:ind w:left="340" w:right="100" w:hanging="332"/>
        <w:spacing w:after="0"/>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Allocated $3.4 billion to business development and share repurchases in 2022; new $3.0 billion share repurchase program authorized in January 2023</w:t>
      </w:r>
    </w:p>
    <w:p>
      <w:pPr>
        <w:spacing w:after="0" w:line="228"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auto"/>
        </w:rPr>
        <w:t xml:space="preserve">Tarrytown, New York (February 3, 2023)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fourth quarter and full year 2022 and provided a business update.</w:t>
      </w:r>
    </w:p>
    <w:p>
      <w:pPr>
        <w:spacing w:after="0" w:line="167" w:lineRule="exact"/>
        <w:rPr>
          <w:sz w:val="20"/>
          <w:szCs w:val="20"/>
          <w:color w:val="auto"/>
        </w:rPr>
      </w:pPr>
    </w:p>
    <w:p>
      <w:pPr>
        <w:ind w:right="180"/>
        <w:spacing w:after="0" w:line="233" w:lineRule="auto"/>
        <w:rPr>
          <w:sz w:val="20"/>
          <w:szCs w:val="20"/>
          <w:color w:val="auto"/>
        </w:rPr>
      </w:pPr>
      <w:r>
        <w:rPr>
          <w:rFonts w:ascii="Arial" w:cs="Arial" w:eastAsia="Arial" w:hAnsi="Arial"/>
          <w:sz w:val="22"/>
          <w:szCs w:val="22"/>
          <w:color w:val="auto"/>
        </w:rPr>
        <w:t>"In 2022, Regeneron reported record revenue for EYLEA, Dupixent and Libtayo and made exciting progress across the entire pipeline," said Leonard S. Schleifer, M.D., Ph.D., President and Chief Executive Officer of Regeneron. "In the fourth quarter of 2022, we submitted our Biologics License Application for neovascular age-related macular degeneration and diabetic macular edema for aflibercept 8 mg, which could potentially reach patients in the third quarter of 2023. We also continued to expand the use of our commercial products with the U.S. FDA approval of Libtayo in combination with chemotherapy for non-small cell lung cancer and the European Commission approval of Dupixent for prurigo nodularis. In 2023, we remain committed to achieving the full potential of our diverse commercial- and clinical-stage portfolio, with a particular focus on aflibercept 8 mg, Dupixent in a variety of type 2 allergic diseases, and our promising oncology and hematology assets."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gridSpan w:val="5"/>
          </w:tcPr>
          <w:p>
            <w:pPr>
              <w:ind w:left="100"/>
              <w:spacing w:after="0"/>
              <w:rPr>
                <w:sz w:val="20"/>
                <w:szCs w:val="20"/>
                <w:color w:val="auto"/>
              </w:rPr>
            </w:pPr>
            <w:r>
              <w:rPr>
                <w:rFonts w:ascii="Arial" w:cs="Arial" w:eastAsia="Arial" w:hAnsi="Arial"/>
                <w:sz w:val="20"/>
                <w:szCs w:val="20"/>
                <w:b w:val="1"/>
                <w:bCs w:val="1"/>
                <w:color w:val="auto"/>
              </w:rPr>
              <w:t>Three Months Ended</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20"/>
                <w:szCs w:val="20"/>
                <w:b w:val="1"/>
                <w:bCs w:val="1"/>
                <w:color w:val="auto"/>
                <w:w w:val="98"/>
              </w:rPr>
              <w:t>Year 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40" w:type="dxa"/>
            <w:vAlign w:val="bottom"/>
            <w:gridSpan w:val="5"/>
          </w:tcPr>
          <w:p>
            <w:pPr>
              <w:ind w:left="420"/>
              <w:spacing w:after="0"/>
              <w:rPr>
                <w:sz w:val="20"/>
                <w:szCs w:val="20"/>
                <w:color w:val="auto"/>
              </w:rPr>
            </w:pPr>
            <w:r>
              <w:rPr>
                <w:rFonts w:ascii="Arial" w:cs="Arial" w:eastAsia="Arial" w:hAnsi="Arial"/>
                <w:sz w:val="20"/>
                <w:szCs w:val="20"/>
                <w:b w:val="1"/>
                <w:bCs w:val="1"/>
                <w:color w:val="auto"/>
              </w:rPr>
              <w:t>December 31,</w:t>
            </w:r>
          </w:p>
        </w:tc>
        <w:tc>
          <w:tcPr>
            <w:tcW w:w="1400" w:type="dxa"/>
            <w:vAlign w:val="bottom"/>
            <w:gridSpan w:val="2"/>
            <w:vMerge w:val="restart"/>
          </w:tcPr>
          <w:p>
            <w:pPr>
              <w:ind w:left="180"/>
              <w:spacing w:after="0"/>
              <w:rPr>
                <w:sz w:val="20"/>
                <w:szCs w:val="20"/>
                <w:color w:val="auto"/>
              </w:rPr>
            </w:pPr>
            <w:r>
              <w:rPr>
                <w:rFonts w:ascii="Arial" w:cs="Arial" w:eastAsia="Arial" w:hAnsi="Arial"/>
                <w:sz w:val="20"/>
                <w:szCs w:val="20"/>
                <w:b w:val="1"/>
                <w:bCs w:val="1"/>
                <w:color w:val="auto"/>
              </w:rPr>
              <w:t>% Change</w:t>
            </w:r>
          </w:p>
        </w:tc>
        <w:tc>
          <w:tcPr>
            <w:tcW w:w="260" w:type="dxa"/>
            <w:vAlign w:val="bottom"/>
          </w:tcPr>
          <w:p>
            <w:pPr>
              <w:spacing w:after="0"/>
              <w:rPr>
                <w:sz w:val="22"/>
                <w:szCs w:val="22"/>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20"/>
                <w:szCs w:val="20"/>
                <w:b w:val="1"/>
                <w:bCs w:val="1"/>
                <w:color w:val="auto"/>
                <w:w w:val="98"/>
              </w:rPr>
              <w:t>December 31,</w:t>
            </w:r>
          </w:p>
        </w:tc>
        <w:tc>
          <w:tcPr>
            <w:tcW w:w="13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ind w:left="180"/>
              <w:spacing w:after="0"/>
              <w:rPr>
                <w:sz w:val="20"/>
                <w:szCs w:val="20"/>
                <w:color w:val="auto"/>
              </w:rPr>
            </w:pPr>
            <w:r>
              <w:rPr>
                <w:rFonts w:ascii="Arial" w:cs="Arial" w:eastAsia="Arial" w:hAnsi="Arial"/>
                <w:sz w:val="20"/>
                <w:szCs w:val="20"/>
                <w:b w:val="1"/>
                <w:bCs w:val="1"/>
                <w:color w:val="auto"/>
              </w:rPr>
              <w:t>2022</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2021</w:t>
            </w:r>
          </w:p>
        </w:tc>
        <w:tc>
          <w:tcPr>
            <w:tcW w:w="10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2021</w:t>
            </w:r>
          </w:p>
        </w:tc>
        <w:tc>
          <w:tcPr>
            <w:tcW w:w="1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20"/>
                <w:szCs w:val="20"/>
                <w:color w:val="auto"/>
              </w:rPr>
              <w:t>3,414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4,952</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(31%)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12,173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16,072</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194"/>
        </w:trPr>
        <w:tc>
          <w:tcPr>
            <w:tcW w:w="3240" w:type="dxa"/>
            <w:vAlign w:val="bottom"/>
          </w:tcPr>
          <w:p>
            <w:pPr>
              <w:ind w:left="20"/>
              <w:spacing w:after="0" w:line="194" w:lineRule="exact"/>
              <w:rPr>
                <w:sz w:val="20"/>
                <w:szCs w:val="20"/>
                <w:color w:val="auto"/>
              </w:rPr>
            </w:pPr>
            <w:r>
              <w:rPr>
                <w:rFonts w:ascii="Arial" w:cs="Arial" w:eastAsia="Arial" w:hAnsi="Arial"/>
                <w:sz w:val="20"/>
                <w:szCs w:val="20"/>
                <w:color w:val="auto"/>
              </w:rPr>
              <w:t>Total revenues excluding REGEN-</w:t>
            </w: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tcPr>
          <w:p>
            <w:pPr>
              <w:ind w:left="440"/>
              <w:spacing w:after="0"/>
              <w:rPr>
                <w:sz w:val="20"/>
                <w:szCs w:val="20"/>
                <w:color w:val="auto"/>
              </w:rPr>
            </w:pPr>
            <w:r>
              <w:rPr>
                <w:rFonts w:ascii="Arial" w:cs="Arial" w:eastAsia="Arial" w:hAnsi="Arial"/>
                <w:sz w:val="20"/>
                <w:szCs w:val="20"/>
                <w:color w:val="auto"/>
              </w:rPr>
              <w:t>3,018</w:t>
            </w:r>
          </w:p>
        </w:tc>
        <w:tc>
          <w:tcPr>
            <w:tcW w:w="100" w:type="dxa"/>
            <w:vAlign w:val="bottom"/>
          </w:tcPr>
          <w:p>
            <w:pPr>
              <w:spacing w:after="0"/>
              <w:rPr>
                <w:sz w:val="16"/>
                <w:szCs w:val="16"/>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2,654</w:t>
            </w:r>
          </w:p>
        </w:tc>
        <w:tc>
          <w:tcPr>
            <w:tcW w:w="100" w:type="dxa"/>
            <w:vAlign w:val="bottom"/>
          </w:tcPr>
          <w:p>
            <w:pPr>
              <w:spacing w:after="0"/>
              <w:rPr>
                <w:sz w:val="16"/>
                <w:szCs w:val="16"/>
                <w:color w:val="auto"/>
              </w:rPr>
            </w:pPr>
          </w:p>
        </w:tc>
        <w:tc>
          <w:tcPr>
            <w:tcW w:w="1300" w:type="dxa"/>
            <w:vAlign w:val="bottom"/>
            <w:vMerge w:val="restart"/>
          </w:tcPr>
          <w:p>
            <w:pPr>
              <w:jc w:val="right"/>
              <w:ind w:right="21"/>
              <w:spacing w:after="0"/>
              <w:rPr>
                <w:sz w:val="20"/>
                <w:szCs w:val="20"/>
                <w:color w:val="auto"/>
              </w:rPr>
            </w:pPr>
            <w:r>
              <w:rPr>
                <w:rFonts w:ascii="Arial" w:cs="Arial" w:eastAsia="Arial" w:hAnsi="Arial"/>
                <w:sz w:val="20"/>
                <w:szCs w:val="20"/>
                <w:color w:val="auto"/>
              </w:rPr>
              <w:t>14%</w:t>
            </w:r>
          </w:p>
        </w:tc>
        <w:tc>
          <w:tcPr>
            <w:tcW w:w="100" w:type="dxa"/>
            <w:vAlign w:val="bottom"/>
          </w:tcPr>
          <w:p>
            <w:pPr>
              <w:spacing w:after="0"/>
              <w:rPr>
                <w:sz w:val="16"/>
                <w:szCs w:val="16"/>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11,546</w:t>
            </w:r>
          </w:p>
        </w:tc>
        <w:tc>
          <w:tcPr>
            <w:tcW w:w="80" w:type="dxa"/>
            <w:vAlign w:val="bottom"/>
          </w:tcPr>
          <w:p>
            <w:pPr>
              <w:spacing w:after="0"/>
              <w:rPr>
                <w:sz w:val="16"/>
                <w:szCs w:val="16"/>
                <w:color w:val="auto"/>
              </w:rPr>
            </w:pPr>
          </w:p>
        </w:tc>
        <w:tc>
          <w:tcPr>
            <w:tcW w:w="28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9,882</w:t>
            </w:r>
          </w:p>
        </w:tc>
        <w:tc>
          <w:tcPr>
            <w:tcW w:w="100" w:type="dxa"/>
            <w:vAlign w:val="bottom"/>
          </w:tcPr>
          <w:p>
            <w:pPr>
              <w:spacing w:after="0"/>
              <w:rPr>
                <w:sz w:val="16"/>
                <w:szCs w:val="16"/>
                <w:color w:val="auto"/>
              </w:rPr>
            </w:pPr>
          </w:p>
        </w:tc>
        <w:tc>
          <w:tcPr>
            <w:tcW w:w="1300" w:type="dxa"/>
            <w:vAlign w:val="bottom"/>
            <w:vMerge w:val="restart"/>
          </w:tcPr>
          <w:p>
            <w:pPr>
              <w:jc w:val="right"/>
              <w:ind w:right="21"/>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51"/>
        </w:trPr>
        <w:tc>
          <w:tcPr>
            <w:tcW w:w="3240" w:type="dxa"/>
            <w:vAlign w:val="bottom"/>
          </w:tcPr>
          <w:p>
            <w:pPr>
              <w:ind w:left="180"/>
              <w:spacing w:after="0" w:line="251" w:lineRule="exact"/>
              <w:rPr>
                <w:sz w:val="20"/>
                <w:szCs w:val="20"/>
                <w:color w:val="auto"/>
              </w:rPr>
            </w:pPr>
            <w:r>
              <w:rPr>
                <w:rFonts w:ascii="Arial" w:cs="Arial" w:eastAsia="Arial" w:hAnsi="Arial"/>
                <w:sz w:val="20"/>
                <w:szCs w:val="20"/>
                <w:color w:val="auto"/>
              </w:rPr>
              <w:t>COV and Ronapreve</w:t>
            </w:r>
            <w:r>
              <w:rPr>
                <w:rFonts w:ascii="Arial" w:cs="Arial" w:eastAsia="Arial" w:hAnsi="Arial"/>
                <w:sz w:val="25"/>
                <w:szCs w:val="25"/>
                <w:color w:val="auto"/>
                <w:vertAlign w:val="superscript"/>
              </w:rPr>
              <w:t>(a)(b)</w:t>
            </w:r>
          </w:p>
        </w:tc>
        <w:tc>
          <w:tcPr>
            <w:tcW w:w="2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1,197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2,229</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8,075</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194"/>
        </w:trPr>
        <w:tc>
          <w:tcPr>
            <w:tcW w:w="3240" w:type="dxa"/>
            <w:vAlign w:val="bottom"/>
          </w:tcPr>
          <w:p>
            <w:pPr>
              <w:ind w:left="20"/>
              <w:spacing w:after="0" w:line="194" w:lineRule="exact"/>
              <w:rPr>
                <w:sz w:val="20"/>
                <w:szCs w:val="20"/>
                <w:color w:val="auto"/>
              </w:rPr>
            </w:pPr>
            <w:r>
              <w:rPr>
                <w:rFonts w:ascii="Arial" w:cs="Arial" w:eastAsia="Arial" w:hAnsi="Arial"/>
                <w:sz w:val="20"/>
                <w:szCs w:val="20"/>
                <w:color w:val="auto"/>
              </w:rPr>
              <w:t>GAAP net income per share -</w:t>
            </w: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tcPr>
          <w:p>
            <w:pPr>
              <w:ind w:left="440"/>
              <w:spacing w:after="0"/>
              <w:rPr>
                <w:sz w:val="20"/>
                <w:szCs w:val="20"/>
                <w:color w:val="auto"/>
              </w:rPr>
            </w:pPr>
            <w:r>
              <w:rPr>
                <w:rFonts w:ascii="Arial" w:cs="Arial" w:eastAsia="Arial" w:hAnsi="Arial"/>
                <w:sz w:val="20"/>
                <w:szCs w:val="20"/>
                <w:color w:val="auto"/>
              </w:rPr>
              <w:t>10.50</w:t>
            </w:r>
          </w:p>
        </w:tc>
        <w:tc>
          <w:tcPr>
            <w:tcW w:w="100" w:type="dxa"/>
            <w:vAlign w:val="bottom"/>
          </w:tcPr>
          <w:p>
            <w:pPr>
              <w:spacing w:after="0"/>
              <w:rPr>
                <w:sz w:val="16"/>
                <w:szCs w:val="16"/>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19.69</w:t>
            </w:r>
          </w:p>
        </w:tc>
        <w:tc>
          <w:tcPr>
            <w:tcW w:w="100" w:type="dxa"/>
            <w:vAlign w:val="bottom"/>
          </w:tcPr>
          <w:p>
            <w:pPr>
              <w:spacing w:after="0"/>
              <w:rPr>
                <w:sz w:val="16"/>
                <w:szCs w:val="16"/>
                <w:color w:val="auto"/>
              </w:rPr>
            </w:pPr>
          </w:p>
        </w:tc>
        <w:tc>
          <w:tcPr>
            <w:tcW w:w="1300" w:type="dxa"/>
            <w:vAlign w:val="bottom"/>
            <w:vMerge w:val="restart"/>
          </w:tcPr>
          <w:p>
            <w:pPr>
              <w:jc w:val="right"/>
              <w:ind w:right="21"/>
              <w:spacing w:after="0"/>
              <w:rPr>
                <w:sz w:val="20"/>
                <w:szCs w:val="20"/>
                <w:color w:val="auto"/>
              </w:rPr>
            </w:pPr>
            <w:r>
              <w:rPr>
                <w:rFonts w:ascii="Arial" w:cs="Arial" w:eastAsia="Arial" w:hAnsi="Arial"/>
                <w:sz w:val="20"/>
                <w:szCs w:val="20"/>
                <w:color w:val="auto"/>
              </w:rPr>
              <w:t>(47%)</w:t>
            </w:r>
          </w:p>
        </w:tc>
        <w:tc>
          <w:tcPr>
            <w:tcW w:w="100" w:type="dxa"/>
            <w:vAlign w:val="bottom"/>
          </w:tcPr>
          <w:p>
            <w:pPr>
              <w:spacing w:after="0"/>
              <w:rPr>
                <w:sz w:val="16"/>
                <w:szCs w:val="16"/>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38.22</w:t>
            </w:r>
          </w:p>
        </w:tc>
        <w:tc>
          <w:tcPr>
            <w:tcW w:w="80" w:type="dxa"/>
            <w:vAlign w:val="bottom"/>
          </w:tcPr>
          <w:p>
            <w:pPr>
              <w:spacing w:after="0"/>
              <w:rPr>
                <w:sz w:val="16"/>
                <w:szCs w:val="16"/>
                <w:color w:val="auto"/>
              </w:rPr>
            </w:pPr>
          </w:p>
        </w:tc>
        <w:tc>
          <w:tcPr>
            <w:tcW w:w="28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71.97</w:t>
            </w:r>
          </w:p>
        </w:tc>
        <w:tc>
          <w:tcPr>
            <w:tcW w:w="100" w:type="dxa"/>
            <w:vAlign w:val="bottom"/>
          </w:tcPr>
          <w:p>
            <w:pPr>
              <w:spacing w:after="0"/>
              <w:rPr>
                <w:sz w:val="16"/>
                <w:szCs w:val="16"/>
                <w:color w:val="auto"/>
              </w:rPr>
            </w:pPr>
          </w:p>
        </w:tc>
        <w:tc>
          <w:tcPr>
            <w:tcW w:w="1300" w:type="dxa"/>
            <w:vAlign w:val="bottom"/>
            <w:vMerge w:val="restart"/>
          </w:tcPr>
          <w:p>
            <w:pPr>
              <w:jc w:val="right"/>
              <w:ind w:right="21"/>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51"/>
        </w:trPr>
        <w:tc>
          <w:tcPr>
            <w:tcW w:w="3240" w:type="dxa"/>
            <w:vAlign w:val="bottom"/>
          </w:tcPr>
          <w:p>
            <w:pPr>
              <w:ind w:left="180"/>
              <w:spacing w:after="0"/>
              <w:rPr>
                <w:sz w:val="20"/>
                <w:szCs w:val="20"/>
                <w:color w:val="auto"/>
              </w:rPr>
            </w:pPr>
            <w:r>
              <w:rPr>
                <w:rFonts w:ascii="Arial" w:cs="Arial" w:eastAsia="Arial" w:hAnsi="Arial"/>
                <w:sz w:val="20"/>
                <w:szCs w:val="20"/>
                <w:color w:val="auto"/>
              </w:rPr>
              <w:t>diluted</w:t>
            </w:r>
          </w:p>
        </w:tc>
        <w:tc>
          <w:tcPr>
            <w:tcW w:w="2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1,449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2,677</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5,164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8,454</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194"/>
        </w:trPr>
        <w:tc>
          <w:tcPr>
            <w:tcW w:w="3240" w:type="dxa"/>
            <w:vAlign w:val="bottom"/>
          </w:tcPr>
          <w:p>
            <w:pPr>
              <w:ind w:left="20"/>
              <w:spacing w:after="0" w:line="194" w:lineRule="exact"/>
              <w:rPr>
                <w:sz w:val="20"/>
                <w:szCs w:val="20"/>
                <w:color w:val="auto"/>
              </w:rPr>
            </w:pPr>
            <w:r>
              <w:rPr>
                <w:rFonts w:ascii="Arial" w:cs="Arial" w:eastAsia="Arial" w:hAnsi="Arial"/>
                <w:sz w:val="20"/>
                <w:szCs w:val="20"/>
                <w:color w:val="auto"/>
              </w:rPr>
              <w:t>Non-GAAP net income per share -</w:t>
            </w: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tcPr>
          <w:p>
            <w:pPr>
              <w:ind w:left="440"/>
              <w:spacing w:after="0"/>
              <w:rPr>
                <w:sz w:val="20"/>
                <w:szCs w:val="20"/>
                <w:color w:val="auto"/>
              </w:rPr>
            </w:pPr>
            <w:r>
              <w:rPr>
                <w:rFonts w:ascii="Arial" w:cs="Arial" w:eastAsia="Arial" w:hAnsi="Arial"/>
                <w:sz w:val="20"/>
                <w:szCs w:val="20"/>
                <w:color w:val="auto"/>
              </w:rPr>
              <w:t>12.56</w:t>
            </w:r>
          </w:p>
        </w:tc>
        <w:tc>
          <w:tcPr>
            <w:tcW w:w="100" w:type="dxa"/>
            <w:vAlign w:val="bottom"/>
          </w:tcPr>
          <w:p>
            <w:pPr>
              <w:spacing w:after="0"/>
              <w:rPr>
                <w:sz w:val="16"/>
                <w:szCs w:val="16"/>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23.42</w:t>
            </w:r>
          </w:p>
        </w:tc>
        <w:tc>
          <w:tcPr>
            <w:tcW w:w="100" w:type="dxa"/>
            <w:vAlign w:val="bottom"/>
          </w:tcPr>
          <w:p>
            <w:pPr>
              <w:spacing w:after="0"/>
              <w:rPr>
                <w:sz w:val="16"/>
                <w:szCs w:val="16"/>
                <w:color w:val="auto"/>
              </w:rPr>
            </w:pPr>
          </w:p>
        </w:tc>
        <w:tc>
          <w:tcPr>
            <w:tcW w:w="1300" w:type="dxa"/>
            <w:vAlign w:val="bottom"/>
            <w:vMerge w:val="restart"/>
          </w:tcPr>
          <w:p>
            <w:pPr>
              <w:jc w:val="right"/>
              <w:ind w:right="21"/>
              <w:spacing w:after="0"/>
              <w:rPr>
                <w:sz w:val="20"/>
                <w:szCs w:val="20"/>
                <w:color w:val="auto"/>
              </w:rPr>
            </w:pPr>
            <w:r>
              <w:rPr>
                <w:rFonts w:ascii="Arial" w:cs="Arial" w:eastAsia="Arial" w:hAnsi="Arial"/>
                <w:sz w:val="20"/>
                <w:szCs w:val="20"/>
                <w:color w:val="auto"/>
              </w:rPr>
              <w:t>(46%)</w:t>
            </w:r>
          </w:p>
        </w:tc>
        <w:tc>
          <w:tcPr>
            <w:tcW w:w="100" w:type="dxa"/>
            <w:vAlign w:val="bottom"/>
          </w:tcPr>
          <w:p>
            <w:pPr>
              <w:spacing w:after="0"/>
              <w:rPr>
                <w:sz w:val="16"/>
                <w:szCs w:val="16"/>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44.98</w:t>
            </w:r>
          </w:p>
        </w:tc>
        <w:tc>
          <w:tcPr>
            <w:tcW w:w="80" w:type="dxa"/>
            <w:vAlign w:val="bottom"/>
          </w:tcPr>
          <w:p>
            <w:pPr>
              <w:spacing w:after="0"/>
              <w:rPr>
                <w:sz w:val="16"/>
                <w:szCs w:val="16"/>
                <w:color w:val="auto"/>
              </w:rPr>
            </w:pPr>
          </w:p>
        </w:tc>
        <w:tc>
          <w:tcPr>
            <w:tcW w:w="28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74.35</w:t>
            </w:r>
          </w:p>
        </w:tc>
        <w:tc>
          <w:tcPr>
            <w:tcW w:w="100" w:type="dxa"/>
            <w:vAlign w:val="bottom"/>
          </w:tcPr>
          <w:p>
            <w:pPr>
              <w:spacing w:after="0"/>
              <w:rPr>
                <w:sz w:val="16"/>
                <w:szCs w:val="16"/>
                <w:color w:val="auto"/>
              </w:rPr>
            </w:pPr>
          </w:p>
        </w:tc>
        <w:tc>
          <w:tcPr>
            <w:tcW w:w="1300" w:type="dxa"/>
            <w:vAlign w:val="bottom"/>
            <w:vMerge w:val="restart"/>
          </w:tcPr>
          <w:p>
            <w:pPr>
              <w:jc w:val="right"/>
              <w:ind w:right="21"/>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44"/>
        </w:trPr>
        <w:tc>
          <w:tcPr>
            <w:tcW w:w="3240" w:type="dxa"/>
            <w:vAlign w:val="bottom"/>
          </w:tcPr>
          <w:p>
            <w:pPr>
              <w:ind w:left="180"/>
              <w:spacing w:after="0"/>
              <w:rPr>
                <w:sz w:val="20"/>
                <w:szCs w:val="20"/>
                <w:color w:val="auto"/>
              </w:rPr>
            </w:pPr>
            <w:r>
              <w:rPr>
                <w:rFonts w:ascii="Arial" w:cs="Arial" w:eastAsia="Arial" w:hAnsi="Arial"/>
                <w:sz w:val="20"/>
                <w:szCs w:val="20"/>
                <w:color w:val="auto"/>
              </w:rPr>
              <w:t>diluted</w:t>
            </w:r>
            <w:r>
              <w:rPr>
                <w:rFonts w:ascii="Arial" w:cs="Arial" w:eastAsia="Arial" w:hAnsi="Arial"/>
                <w:sz w:val="25"/>
                <w:szCs w:val="25"/>
                <w:color w:val="auto"/>
                <w:vertAlign w:val="superscript"/>
              </w:rPr>
              <w:t>(a)</w:t>
            </w:r>
          </w:p>
        </w:tc>
        <w:tc>
          <w:tcPr>
            <w:tcW w:w="20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"We were pleased with our fourth-quarter and full-year 2022 financial performance, highlighted by revenue growth of</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14% and 17%, respectively, when excluding contributions from REGEN-COV and Ronapreve, demonstrating the</w:t>
      </w:r>
    </w:p>
    <w:p>
      <w:pPr>
        <w:spacing w:after="0" w:line="230" w:lineRule="auto"/>
        <w:rPr>
          <w:sz w:val="20"/>
          <w:szCs w:val="20"/>
          <w:color w:val="auto"/>
        </w:rPr>
      </w:pPr>
      <w:r>
        <w:rPr>
          <w:rFonts w:ascii="Arial" w:cs="Arial" w:eastAsia="Arial" w:hAnsi="Arial"/>
          <w:sz w:val="22"/>
          <w:szCs w:val="22"/>
          <w:color w:val="auto"/>
        </w:rPr>
        <w:t>commercial strength and increasing diversity of our business," said Robert E. Landry, Executive Vice President,</w:t>
      </w:r>
    </w:p>
    <w:p>
      <w:pPr>
        <w:spacing w:after="0" w:line="231" w:lineRule="auto"/>
        <w:rPr>
          <w:sz w:val="20"/>
          <w:szCs w:val="20"/>
          <w:color w:val="auto"/>
        </w:rPr>
      </w:pPr>
      <w:r>
        <w:rPr>
          <w:rFonts w:ascii="Arial" w:cs="Arial" w:eastAsia="Arial" w:hAnsi="Arial"/>
          <w:sz w:val="22"/>
          <w:szCs w:val="22"/>
          <w:color w:val="auto"/>
        </w:rPr>
        <w:t>Finance and Chief Financial Officer of Regeneron. "In January 2023, our Board of Directors authorized a new</w:t>
      </w:r>
    </w:p>
    <w:p>
      <w:pPr>
        <w:spacing w:after="0" w:line="230" w:lineRule="auto"/>
        <w:rPr>
          <w:sz w:val="20"/>
          <w:szCs w:val="20"/>
          <w:color w:val="auto"/>
        </w:rPr>
      </w:pPr>
      <w:r>
        <w:rPr>
          <w:rFonts w:ascii="Arial" w:cs="Arial" w:eastAsia="Arial" w:hAnsi="Arial"/>
          <w:sz w:val="22"/>
          <w:szCs w:val="22"/>
          <w:color w:val="auto"/>
        </w:rPr>
        <w:t>$3.0 billion share repurchase program, enabling us to continue returning capital directly to shareholders. This year,</w:t>
      </w:r>
    </w:p>
    <w:p>
      <w:pPr>
        <w:spacing w:after="0" w:line="231" w:lineRule="auto"/>
        <w:rPr>
          <w:sz w:val="20"/>
          <w:szCs w:val="20"/>
          <w:color w:val="auto"/>
        </w:rPr>
      </w:pPr>
      <w:r>
        <w:rPr>
          <w:rFonts w:ascii="Arial" w:cs="Arial" w:eastAsia="Arial" w:hAnsi="Arial"/>
          <w:sz w:val="22"/>
          <w:szCs w:val="22"/>
          <w:color w:val="auto"/>
        </w:rPr>
        <w:t>we look forward to driving long-term shareholder value through continued investment in R&amp;D, excellent commercial</w:t>
      </w:r>
    </w:p>
    <w:p>
      <w:pPr>
        <w:spacing w:after="0"/>
        <w:rPr>
          <w:sz w:val="20"/>
          <w:szCs w:val="20"/>
          <w:color w:val="auto"/>
        </w:rPr>
      </w:pPr>
      <w:r>
        <w:rPr>
          <w:rFonts w:ascii="Arial" w:cs="Arial" w:eastAsia="Arial" w:hAnsi="Arial"/>
          <w:sz w:val="22"/>
          <w:szCs w:val="22"/>
          <w:color w:val="auto"/>
        </w:rPr>
        <w:t>execution and strategic business development."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780"/>
        <w:spacing w:after="0" w:line="276" w:lineRule="auto"/>
        <w:rPr>
          <w:sz w:val="20"/>
          <w:szCs w:val="20"/>
          <w:color w:val="auto"/>
        </w:rPr>
      </w:pPr>
      <w:r>
        <w:rPr>
          <w:rFonts w:ascii="Arial" w:cs="Arial" w:eastAsia="Arial" w:hAnsi="Arial"/>
          <w:sz w:val="21"/>
          <w:szCs w:val="21"/>
          <w:color w:val="auto"/>
        </w:rPr>
        <w:t>Regeneron has approximately 35 product candidates in clinical development, including a number of marketed products for which it is investigating additional indications. Updates from the clinical pipeline include: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Aflibercept 8 mg</w:t>
      </w:r>
    </w:p>
    <w:p>
      <w:pPr>
        <w:spacing w:after="0" w:line="24" w:lineRule="exact"/>
        <w:rPr>
          <w:sz w:val="20"/>
          <w:szCs w:val="20"/>
          <w:color w:val="auto"/>
        </w:rPr>
      </w:pPr>
    </w:p>
    <w:p>
      <w:pPr>
        <w:ind w:left="340" w:right="40" w:hanging="332"/>
        <w:spacing w:after="0" w:line="254"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A Biologics License Application (BLA) for the treatment of wet AMD and DME was submitted to the U.S. Food and Drug Administration (FDA) in December 2022. The Company is utilizing a priority review voucher in connection with the submission.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2"/>
          <w:szCs w:val="22"/>
          <w:color w:val="auto"/>
        </w:rPr>
        <w:t xml:space="preserve"> (aflibercept) Injection</w:t>
      </w:r>
    </w:p>
    <w:p>
      <w:pPr>
        <w:spacing w:after="0" w:line="24" w:lineRule="exact"/>
        <w:rPr>
          <w:sz w:val="20"/>
          <w:szCs w:val="20"/>
          <w:color w:val="auto"/>
        </w:rPr>
      </w:pPr>
    </w:p>
    <w:p>
      <w:pPr>
        <w:ind w:left="340" w:right="120" w:hanging="332"/>
        <w:spacing w:after="0" w:line="248"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December 2022, the European Commission (EC) approved EYLEA for the treatment of retinopathy of prematurity (ROP) in preterm infants. The supplemental BLA (sBLA) for EYLEA to treat ROP in preterm infants is currently under review by the FDA, with a target action date of February 11, 2023.</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4" w:lineRule="exact"/>
        <w:rPr>
          <w:sz w:val="20"/>
          <w:szCs w:val="20"/>
          <w:color w:val="auto"/>
        </w:rPr>
      </w:pPr>
    </w:p>
    <w:p>
      <w:pPr>
        <w:ind w:left="340" w:right="140" w:hanging="332"/>
        <w:spacing w:after="0" w:line="247"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December 2022, the EC approved Dupixent for the treatment of adult patients with moderate-to-severe prurigo nodularis who are candidates for systemic therapy, making Dupixent the first and only targeted medicine specifically indicated to treat prurigo nodularis in Europe.</w:t>
      </w:r>
    </w:p>
    <w:p>
      <w:pPr>
        <w:spacing w:after="0" w:line="1" w:lineRule="exact"/>
        <w:rPr>
          <w:rFonts w:ascii="Arial" w:cs="Arial" w:eastAsia="Arial" w:hAnsi="Arial"/>
          <w:sz w:val="22"/>
          <w:szCs w:val="22"/>
          <w:color w:val="auto"/>
        </w:rPr>
      </w:pPr>
    </w:p>
    <w:p>
      <w:pPr>
        <w:ind w:left="340" w:right="380" w:hanging="332"/>
        <w:spacing w:after="0" w:line="25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January 2023, the EC also approved Dupixent for the treatment of adults and adolescents with EoE, making Dupixent the first and only targeted medicine specifically indicated to treat EoE in Europe.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96" w:right="339" w:bottom="1440" w:gutter="0" w:footer="0" w:header="0"/>
        </w:sectPr>
      </w:pPr>
    </w:p>
    <w:bookmarkStart w:id="5" w:name="page6"/>
    <w:bookmarkEnd w:id="5"/>
    <w:p>
      <w:pPr>
        <w:ind w:left="340" w:right="220" w:hanging="332"/>
        <w:spacing w:after="0" w:line="251"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European Medicines Agency's (EMA) Committee for Medicinal Products for Human Use (CHMP) adopted a positive opinion for Dupixent to treat children aged 6 months to 5 years with severe atopic dermatitis. The EC decision is expected in the coming months.</w:t>
      </w:r>
    </w:p>
    <w:p>
      <w:pPr>
        <w:spacing w:after="0" w:line="2" w:lineRule="exact"/>
        <w:rPr>
          <w:rFonts w:ascii="Arial" w:cs="Arial" w:eastAsia="Arial" w:hAnsi="Arial"/>
          <w:sz w:val="22"/>
          <w:szCs w:val="22"/>
          <w:color w:val="auto"/>
        </w:rPr>
      </w:pPr>
    </w:p>
    <w:p>
      <w:pPr>
        <w:ind w:left="340" w:right="860" w:hanging="332"/>
        <w:spacing w:after="0" w:line="259"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An sBLA for the treatment of adult and adolescent patients with chronic spontaneous urticaria (CSU) was submitted.</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Libtayo (cemiplimab)</w:t>
      </w:r>
    </w:p>
    <w:p>
      <w:pPr>
        <w:spacing w:after="0" w:line="4" w:lineRule="exact"/>
        <w:rPr>
          <w:sz w:val="20"/>
          <w:szCs w:val="20"/>
          <w:color w:val="auto"/>
        </w:rPr>
      </w:pPr>
    </w:p>
    <w:p>
      <w:pPr>
        <w:ind w:left="340" w:right="140" w:hanging="332"/>
        <w:spacing w:after="0" w:line="24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November 2022, the FDA approved Libtayo in combination with platinum-based chemotherapy for the first-line treatment of adult patients with advanced NSCLC.</w:t>
      </w:r>
    </w:p>
    <w:p>
      <w:pPr>
        <w:ind w:left="340" w:right="240" w:hanging="332"/>
        <w:spacing w:after="0" w:line="250"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November 2022, the EC approved Libtayo as a monotherapy for the treatment of adult patients with recurrent or metastatic cervical cancer and disease progression on or after platinum-based chemotherapy. In December 2022, the Ministry of Health, Labour and Welfare (MHLW) in Japan also approved Libtayo in advanced or recurrent cervical cancer.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Fianlimab, an antibody to LAG-3</w:t>
      </w:r>
    </w:p>
    <w:p>
      <w:pPr>
        <w:spacing w:after="0" w:line="2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Phase 3 study in first-line adjuvant melanoma was initiated.</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Linvoseltamab, a bispecific antibody targeting BCMA and CD3</w:t>
      </w:r>
    </w:p>
    <w:p>
      <w:pPr>
        <w:spacing w:after="0" w:line="24" w:lineRule="exact"/>
        <w:rPr>
          <w:sz w:val="20"/>
          <w:szCs w:val="20"/>
          <w:color w:val="auto"/>
        </w:rPr>
      </w:pPr>
    </w:p>
    <w:p>
      <w:pPr>
        <w:ind w:left="340" w:hanging="332"/>
        <w:spacing w:after="0" w:line="248"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announced positive initial data from a pivotal Phase 2 expansion cohort evaluating linvoseltamab at the 200 mg dose in patients with heavily pre-treated, relapsed/refractory multiple myeloma. The results were presented at the American Society of Hematology (ASH) Annual Meeting and Exposition.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Odronextamab, a bispecific antibody targeting CD20 and CD3</w:t>
      </w:r>
    </w:p>
    <w:p>
      <w:pPr>
        <w:spacing w:after="0" w:line="24" w:lineRule="exact"/>
        <w:rPr>
          <w:sz w:val="20"/>
          <w:szCs w:val="20"/>
          <w:color w:val="auto"/>
        </w:rPr>
      </w:pPr>
    </w:p>
    <w:p>
      <w:pPr>
        <w:ind w:left="340" w:right="360" w:hanging="332"/>
        <w:spacing w:after="0" w:line="266"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Positive data were also presented at ASH from two cohorts of a pivotal Phase 2 trial studying odronextamab in patients with relapsed/refractory diffuse large B-cell lymphoma (DLBCL) and follicular lymphoma (FL).</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31" w:lineRule="exact"/>
        <w:rPr>
          <w:sz w:val="20"/>
          <w:szCs w:val="20"/>
          <w:color w:val="auto"/>
        </w:rPr>
      </w:pPr>
    </w:p>
    <w:p>
      <w:pPr>
        <w:ind w:left="340" w:right="60" w:hanging="332"/>
        <w:spacing w:after="0" w:line="246" w:lineRule="auto"/>
        <w:tabs>
          <w:tab w:leader="none" w:pos="3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A BLA for pozelimab, an antibody to C5, for the treatment of CD55-deficient protein-losing enteropathy (CHAPLE) was submitted.</w:t>
      </w:r>
    </w:p>
    <w:p>
      <w:pPr>
        <w:ind w:left="340" w:right="260" w:hanging="332"/>
        <w:spacing w:after="0" w:line="214" w:lineRule="auto"/>
        <w:tabs>
          <w:tab w:leader="none" w:pos="3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FDA accepted for priority review the sBLA for Kevzara</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(sarilumab) to treat polymyalgia rheumatica (PMR), with a target action date of February 28, 2023.</w:t>
      </w:r>
    </w:p>
    <w:p>
      <w:pPr>
        <w:ind w:left="340" w:right="340" w:hanging="332"/>
        <w:spacing w:after="0" w:line="229" w:lineRule="auto"/>
        <w:tabs>
          <w:tab w:leader="none" w:pos="3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FDA accepted for priority review the sBLA for Evkeeza</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(evinacumab) as an adjunct to other lipid-lowering therapies to treat children aged 5 to 11 years with homozygous familial hypercholesterolemia (HoFH), with a target action date of March 30, 2023.</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Business Development Updates</w:t>
      </w:r>
    </w:p>
    <w:p>
      <w:pPr>
        <w:spacing w:after="0" w:line="26" w:lineRule="exact"/>
        <w:rPr>
          <w:sz w:val="20"/>
          <w:szCs w:val="20"/>
          <w:color w:val="auto"/>
        </w:rPr>
      </w:pPr>
    </w:p>
    <w:p>
      <w:pPr>
        <w:ind w:left="340" w:hanging="332"/>
        <w:spacing w:after="0" w:line="234" w:lineRule="auto"/>
        <w:tabs>
          <w:tab w:leader="none" w:pos="335" w:val="left"/>
        </w:tabs>
        <w:numPr>
          <w:ilvl w:val="0"/>
          <w:numId w:val="12"/>
        </w:numPr>
        <w:rPr>
          <w:rFonts w:ascii="Arial" w:cs="Arial" w:eastAsia="Arial" w:hAnsi="Arial"/>
          <w:sz w:val="22"/>
          <w:szCs w:val="22"/>
          <w:i w:val="1"/>
          <w:iCs w:val="1"/>
          <w:color w:val="auto"/>
        </w:rPr>
      </w:pPr>
      <w:r>
        <w:rPr>
          <w:rFonts w:ascii="Arial" w:cs="Arial" w:eastAsia="Arial" w:hAnsi="Arial"/>
          <w:sz w:val="22"/>
          <w:szCs w:val="22"/>
          <w:color w:val="auto"/>
        </w:rPr>
        <w:t>In November 2022, the Company and CytomX Therapeutics, Inc. entered into a license and collaboration agreement to create conditionally-activated investigational bispecific cancer therapies utilizing CytomX's Probody</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therapeutic platform and Regeneron's </w:t>
      </w:r>
      <w:r>
        <w:rPr>
          <w:rFonts w:ascii="Arial" w:cs="Arial" w:eastAsia="Arial" w:hAnsi="Arial"/>
          <w:sz w:val="22"/>
          <w:szCs w:val="22"/>
          <w:i w:val="1"/>
          <w:iCs w:val="1"/>
          <w:color w:val="auto"/>
        </w:rPr>
        <w:t>Veloci-Bi</w:t>
      </w:r>
      <w:r>
        <w:rPr>
          <w:rFonts w:ascii="Arial" w:cs="Arial" w:eastAsia="Arial" w:hAnsi="Arial"/>
          <w:sz w:val="28"/>
          <w:szCs w:val="28"/>
          <w:color w:val="auto"/>
          <w:vertAlign w:val="superscript"/>
        </w:rPr>
        <w:t>®</w:t>
      </w:r>
      <w:r>
        <w:rPr>
          <w:rFonts w:ascii="Arial" w:cs="Arial" w:eastAsia="Arial" w:hAnsi="Arial"/>
          <w:sz w:val="22"/>
          <w:szCs w:val="22"/>
          <w:color w:val="auto"/>
        </w:rPr>
        <w:t xml:space="preserve"> bispecific antibody development platform. Under the terms of the agreement, the Company made an upfront payment of $30 million and will be responsible for funding development and commercial activities, and CytomX will be eligible to receive future target nomination payments and preclinical, clinical, and commercial milestone payments as well as royalties on global net sales.</w:t>
      </w:r>
    </w:p>
    <w:p>
      <w:pPr>
        <w:spacing w:after="0" w:line="5" w:lineRule="exact"/>
        <w:rPr>
          <w:rFonts w:ascii="Arial" w:cs="Arial" w:eastAsia="Arial" w:hAnsi="Arial"/>
          <w:sz w:val="22"/>
          <w:szCs w:val="22"/>
          <w:i w:val="1"/>
          <w:iCs w:val="1"/>
          <w:color w:val="auto"/>
        </w:rPr>
      </w:pPr>
    </w:p>
    <w:p>
      <w:pPr>
        <w:ind w:left="340" w:right="120" w:hanging="332"/>
        <w:spacing w:after="0" w:line="276" w:lineRule="auto"/>
        <w:tabs>
          <w:tab w:leader="none" w:pos="335"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Company was included on the Dow Jones Sustainability World Index (DJSI World) for the fourth consecutive year and on the Dow Jones Sustainability North America Index (DJSI North America) for the third year.</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96"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Select 2023 Milestones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350" w:type="dxa"/>
            <w:vAlign w:val="bottom"/>
            <w:tcBorders>
              <w:bottom w:val="single" w:sz="8" w:color="auto"/>
            </w:tcBorders>
          </w:tcPr>
          <w:p>
            <w:pPr>
              <w:ind w:left="1200"/>
              <w:spacing w:after="0"/>
              <w:rPr>
                <w:sz w:val="20"/>
                <w:szCs w:val="20"/>
                <w:color w:val="auto"/>
              </w:rPr>
            </w:pPr>
            <w:r>
              <w:rPr>
                <w:rFonts w:ascii="Arial" w:cs="Arial" w:eastAsia="Arial" w:hAnsi="Arial"/>
                <w:sz w:val="20"/>
                <w:szCs w:val="20"/>
                <w:b w:val="1"/>
                <w:bCs w:val="1"/>
                <w:color w:val="auto"/>
              </w:rPr>
              <w:t>Programs</w:t>
            </w:r>
          </w:p>
        </w:tc>
        <w:tc>
          <w:tcPr>
            <w:tcW w:w="53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c>
          <w:tcPr>
            <w:tcW w:w="4660" w:type="dxa"/>
            <w:vAlign w:val="bottom"/>
            <w:tcBorders>
              <w:bottom w:val="single" w:sz="8" w:color="auto"/>
            </w:tcBorders>
          </w:tcPr>
          <w:p>
            <w:pPr>
              <w:ind w:left="460"/>
              <w:spacing w:after="0"/>
              <w:rPr>
                <w:sz w:val="20"/>
                <w:szCs w:val="20"/>
                <w:color w:val="auto"/>
              </w:rPr>
            </w:pPr>
            <w:r>
              <w:rPr>
                <w:rFonts w:ascii="Arial" w:cs="Arial" w:eastAsia="Arial" w:hAnsi="Arial"/>
                <w:sz w:val="20"/>
                <w:szCs w:val="20"/>
                <w:b w:val="1"/>
                <w:bCs w:val="1"/>
                <w:color w:val="auto"/>
              </w:rPr>
              <w:t>Milestones</w:t>
            </w:r>
          </w:p>
        </w:tc>
      </w:tr>
      <w:tr>
        <w:trPr>
          <w:trHeight w:val="223"/>
        </w:trPr>
        <w:tc>
          <w:tcPr>
            <w:tcW w:w="335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Aflibercept 8 mg</w:t>
            </w:r>
          </w:p>
        </w:tc>
        <w:tc>
          <w:tcPr>
            <w:tcW w:w="530" w:type="dxa"/>
            <w:vAlign w:val="bottom"/>
            <w:shd w:val="clear" w:color="auto" w:fill="CCEEFF"/>
          </w:tcPr>
          <w:p>
            <w:pPr>
              <w:ind w:left="330"/>
              <w:spacing w:after="0" w:line="223" w:lineRule="exact"/>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FDA decision on BLA for wet AMD and DME (third quarter 2023)</w:t>
            </w:r>
          </w:p>
        </w:tc>
      </w:tr>
      <w:tr>
        <w:trPr>
          <w:trHeight w:val="216"/>
        </w:trPr>
        <w:tc>
          <w:tcPr>
            <w:tcW w:w="3350" w:type="dxa"/>
            <w:vAlign w:val="bottom"/>
            <w:shd w:val="clear" w:color="auto" w:fill="CCEEFF"/>
          </w:tcPr>
          <w:p>
            <w:pPr>
              <w:spacing w:after="0"/>
              <w:rPr>
                <w:sz w:val="18"/>
                <w:szCs w:val="18"/>
                <w:color w:val="auto"/>
              </w:rPr>
            </w:pPr>
          </w:p>
        </w:tc>
        <w:tc>
          <w:tcPr>
            <w:tcW w:w="530" w:type="dxa"/>
            <w:vAlign w:val="bottom"/>
            <w:shd w:val="clear" w:color="auto" w:fill="CCEEFF"/>
          </w:tcPr>
          <w:p>
            <w:pPr>
              <w:ind w:left="330"/>
              <w:spacing w:after="0" w:line="216" w:lineRule="exact"/>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shd w:val="clear" w:color="auto" w:fill="CCEEFF"/>
              </w:rPr>
              <w:t>Report two-year data from PULSAR (wet AMD) and PHOTON (DME) Phase 3</w:t>
            </w:r>
          </w:p>
        </w:tc>
      </w:tr>
      <w:tr>
        <w:trPr>
          <w:trHeight w:val="262"/>
        </w:trPr>
        <w:tc>
          <w:tcPr>
            <w:tcW w:w="3350" w:type="dxa"/>
            <w:vAlign w:val="bottom"/>
            <w:tcBorders>
              <w:bottom w:val="single" w:sz="8" w:color="CCEEFF"/>
            </w:tcBorders>
            <w:shd w:val="clear" w:color="auto" w:fill="CCEEFF"/>
          </w:tcPr>
          <w:p>
            <w:pPr>
              <w:spacing w:after="0"/>
              <w:rPr>
                <w:sz w:val="22"/>
                <w:szCs w:val="22"/>
                <w:color w:val="auto"/>
              </w:rPr>
            </w:pPr>
          </w:p>
        </w:tc>
        <w:tc>
          <w:tcPr>
            <w:tcW w:w="53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shd w:val="clear" w:color="auto" w:fill="CCEEFF"/>
              </w:rPr>
              <w:t>studies (third quarter 2023)</w:t>
            </w:r>
          </w:p>
        </w:tc>
        <w:tc>
          <w:tcPr>
            <w:tcW w:w="4660" w:type="dxa"/>
            <w:vAlign w:val="bottom"/>
            <w:tcBorders>
              <w:bottom w:val="single" w:sz="8" w:color="CCEEFF"/>
            </w:tcBorders>
            <w:shd w:val="clear" w:color="auto" w:fill="CCEEFF"/>
          </w:tcPr>
          <w:p>
            <w:pPr>
              <w:spacing w:after="0"/>
              <w:rPr>
                <w:sz w:val="22"/>
                <w:szCs w:val="22"/>
                <w:color w:val="auto"/>
              </w:rPr>
            </w:pPr>
          </w:p>
        </w:tc>
      </w:tr>
      <w:tr>
        <w:trPr>
          <w:trHeight w:val="250"/>
        </w:trPr>
        <w:tc>
          <w:tcPr>
            <w:tcW w:w="335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EYLEA (aflibercept)</w:t>
            </w:r>
          </w:p>
        </w:tc>
        <w:tc>
          <w:tcPr>
            <w:tcW w:w="7890" w:type="dxa"/>
            <w:vAlign w:val="bottom"/>
            <w:tcBorders>
              <w:top w:val="single" w:sz="8" w:color="auto"/>
              <w:bottom w:val="single" w:sz="8" w:color="auto"/>
            </w:tcBorders>
            <w:gridSpan w:val="3"/>
          </w:tcPr>
          <w:p>
            <w:pPr>
              <w:ind w:left="330"/>
              <w:spacing w:after="0"/>
              <w:rPr>
                <w:sz w:val="20"/>
                <w:szCs w:val="20"/>
                <w:color w:val="auto"/>
              </w:rPr>
            </w:pPr>
            <w:r>
              <w:rPr>
                <w:rFonts w:ascii="Arial" w:cs="Arial" w:eastAsia="Arial" w:hAnsi="Arial"/>
                <w:sz w:val="20"/>
                <w:szCs w:val="20"/>
                <w:color w:val="auto"/>
              </w:rPr>
              <w:t>-  FDA decision on sBLA for ROP (target action date of February 11, 2023)</w:t>
            </w:r>
          </w:p>
        </w:tc>
      </w:tr>
      <w:tr>
        <w:trPr>
          <w:trHeight w:val="183"/>
        </w:trPr>
        <w:tc>
          <w:tcPr>
            <w:tcW w:w="3350" w:type="dxa"/>
            <w:vAlign w:val="bottom"/>
            <w:shd w:val="clear" w:color="auto" w:fill="CCEEFF"/>
          </w:tcPr>
          <w:p>
            <w:pPr>
              <w:ind w:left="20"/>
              <w:spacing w:after="0" w:line="183" w:lineRule="exact"/>
              <w:rPr>
                <w:sz w:val="20"/>
                <w:szCs w:val="20"/>
                <w:color w:val="auto"/>
              </w:rPr>
            </w:pPr>
            <w:r>
              <w:rPr>
                <w:rFonts w:ascii="Arial" w:cs="Arial" w:eastAsia="Arial" w:hAnsi="Arial"/>
                <w:sz w:val="20"/>
                <w:szCs w:val="20"/>
                <w:color w:val="auto"/>
              </w:rPr>
              <w:t>Dupixent (dupilumab)</w:t>
            </w:r>
          </w:p>
        </w:tc>
        <w:tc>
          <w:tcPr>
            <w:tcW w:w="530" w:type="dxa"/>
            <w:vAlign w:val="bottom"/>
            <w:shd w:val="clear" w:color="auto" w:fill="CCEEFF"/>
          </w:tcPr>
          <w:p>
            <w:pPr>
              <w:ind w:left="330"/>
              <w:spacing w:after="0" w:line="183" w:lineRule="exact"/>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spacing w:after="0" w:line="183" w:lineRule="exact"/>
              <w:rPr>
                <w:sz w:val="20"/>
                <w:szCs w:val="20"/>
                <w:color w:val="auto"/>
              </w:rPr>
            </w:pPr>
            <w:r>
              <w:rPr>
                <w:rFonts w:ascii="Arial" w:cs="Arial" w:eastAsia="Arial" w:hAnsi="Arial"/>
                <w:sz w:val="20"/>
                <w:szCs w:val="20"/>
                <w:color w:val="auto"/>
                <w:shd w:val="clear" w:color="auto" w:fill="CCEEFF"/>
              </w:rPr>
              <w:t>EC decision on regulatory submission for atopic dermatitis in pediatrics (6 months–</w:t>
            </w:r>
          </w:p>
        </w:tc>
      </w:tr>
      <w:tr>
        <w:trPr>
          <w:trHeight w:val="229"/>
        </w:trPr>
        <w:tc>
          <w:tcPr>
            <w:tcW w:w="3350" w:type="dxa"/>
            <w:vAlign w:val="bottom"/>
            <w:shd w:val="clear" w:color="auto" w:fill="CCEEFF"/>
          </w:tcPr>
          <w:p>
            <w:pPr>
              <w:spacing w:after="0"/>
              <w:rPr>
                <w:sz w:val="19"/>
                <w:szCs w:val="19"/>
                <w:color w:val="auto"/>
              </w:rPr>
            </w:pPr>
          </w:p>
        </w:tc>
        <w:tc>
          <w:tcPr>
            <w:tcW w:w="53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20"/>
                <w:szCs w:val="20"/>
                <w:color w:val="auto"/>
                <w:w w:val="98"/>
                <w:shd w:val="clear" w:color="auto" w:fill="CCEEFF"/>
              </w:rPr>
              <w:t>5 years of age) (first half 2023)</w:t>
            </w:r>
          </w:p>
        </w:tc>
        <w:tc>
          <w:tcPr>
            <w:tcW w:w="4660" w:type="dxa"/>
            <w:vAlign w:val="bottom"/>
            <w:shd w:val="clear" w:color="auto" w:fill="CCEEFF"/>
          </w:tcPr>
          <w:p>
            <w:pPr>
              <w:spacing w:after="0"/>
              <w:rPr>
                <w:sz w:val="19"/>
                <w:szCs w:val="19"/>
                <w:color w:val="auto"/>
              </w:rPr>
            </w:pPr>
          </w:p>
        </w:tc>
      </w:tr>
      <w:tr>
        <w:trPr>
          <w:trHeight w:val="257"/>
        </w:trPr>
        <w:tc>
          <w:tcPr>
            <w:tcW w:w="3350" w:type="dxa"/>
            <w:vAlign w:val="bottom"/>
            <w:shd w:val="clear" w:color="auto" w:fill="CCEEFF"/>
          </w:tcPr>
          <w:p>
            <w:pPr>
              <w:spacing w:after="0"/>
              <w:rPr>
                <w:sz w:val="22"/>
                <w:szCs w:val="22"/>
                <w:color w:val="auto"/>
              </w:rPr>
            </w:pPr>
          </w:p>
        </w:tc>
        <w:tc>
          <w:tcPr>
            <w:tcW w:w="530" w:type="dxa"/>
            <w:vAlign w:val="bottom"/>
            <w:shd w:val="clear" w:color="auto" w:fill="CCEEFF"/>
          </w:tcPr>
          <w:p>
            <w:pPr>
              <w:ind w:left="330"/>
              <w:spacing w:after="0"/>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Submit sBLA for EoE in pediatrics (mid-2023)</w:t>
            </w:r>
          </w:p>
        </w:tc>
      </w:tr>
      <w:tr>
        <w:trPr>
          <w:trHeight w:val="257"/>
        </w:trPr>
        <w:tc>
          <w:tcPr>
            <w:tcW w:w="3350" w:type="dxa"/>
            <w:vAlign w:val="bottom"/>
            <w:shd w:val="clear" w:color="auto" w:fill="CCEEFF"/>
          </w:tcPr>
          <w:p>
            <w:pPr>
              <w:spacing w:after="0"/>
              <w:rPr>
                <w:sz w:val="22"/>
                <w:szCs w:val="22"/>
                <w:color w:val="auto"/>
              </w:rPr>
            </w:pPr>
          </w:p>
        </w:tc>
        <w:tc>
          <w:tcPr>
            <w:tcW w:w="530" w:type="dxa"/>
            <w:vAlign w:val="bottom"/>
            <w:shd w:val="clear" w:color="auto" w:fill="CCEEFF"/>
          </w:tcPr>
          <w:p>
            <w:pPr>
              <w:ind w:left="330"/>
              <w:spacing w:after="0"/>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FDA decision on sBLA for CSU in adults and adolescents (second half 2023)</w:t>
            </w:r>
          </w:p>
        </w:tc>
      </w:tr>
      <w:tr>
        <w:trPr>
          <w:trHeight w:val="216"/>
        </w:trPr>
        <w:tc>
          <w:tcPr>
            <w:tcW w:w="3350" w:type="dxa"/>
            <w:vAlign w:val="bottom"/>
            <w:shd w:val="clear" w:color="auto" w:fill="CCEEFF"/>
          </w:tcPr>
          <w:p>
            <w:pPr>
              <w:spacing w:after="0"/>
              <w:rPr>
                <w:sz w:val="18"/>
                <w:szCs w:val="18"/>
                <w:color w:val="auto"/>
              </w:rPr>
            </w:pPr>
          </w:p>
        </w:tc>
        <w:tc>
          <w:tcPr>
            <w:tcW w:w="530" w:type="dxa"/>
            <w:vAlign w:val="bottom"/>
            <w:shd w:val="clear" w:color="auto" w:fill="CCEEFF"/>
          </w:tcPr>
          <w:p>
            <w:pPr>
              <w:ind w:left="330"/>
              <w:spacing w:after="0" w:line="216" w:lineRule="exact"/>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shd w:val="clear" w:color="auto" w:fill="CCEEFF"/>
              </w:rPr>
              <w:t>Report results from first Phase 3 study in COPD and Phase 3 study in chronic</w:t>
            </w:r>
          </w:p>
        </w:tc>
      </w:tr>
      <w:tr>
        <w:trPr>
          <w:trHeight w:val="262"/>
        </w:trPr>
        <w:tc>
          <w:tcPr>
            <w:tcW w:w="3350" w:type="dxa"/>
            <w:vAlign w:val="bottom"/>
            <w:tcBorders>
              <w:bottom w:val="single" w:sz="8" w:color="CCEEFF"/>
            </w:tcBorders>
            <w:shd w:val="clear" w:color="auto" w:fill="CCEEFF"/>
          </w:tcPr>
          <w:p>
            <w:pPr>
              <w:spacing w:after="0"/>
              <w:rPr>
                <w:sz w:val="22"/>
                <w:szCs w:val="22"/>
                <w:color w:val="auto"/>
              </w:rPr>
            </w:pPr>
          </w:p>
        </w:tc>
        <w:tc>
          <w:tcPr>
            <w:tcW w:w="530" w:type="dxa"/>
            <w:vAlign w:val="bottom"/>
            <w:tcBorders>
              <w:bottom w:val="single" w:sz="8" w:color="CCEEFF"/>
            </w:tcBorders>
            <w:shd w:val="clear" w:color="auto" w:fill="CCEEFF"/>
          </w:tcPr>
          <w:p>
            <w:pPr>
              <w:spacing w:after="0"/>
              <w:rPr>
                <w:sz w:val="22"/>
                <w:szCs w:val="22"/>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inducible urticaria - cold (first half 2023)</w:t>
            </w:r>
          </w:p>
        </w:tc>
      </w:tr>
      <w:tr>
        <w:trPr>
          <w:trHeight w:val="183"/>
        </w:trPr>
        <w:tc>
          <w:tcPr>
            <w:tcW w:w="3350" w:type="dxa"/>
            <w:vAlign w:val="bottom"/>
            <w:tcBorders>
              <w:top w:val="single" w:sz="8" w:color="auto"/>
            </w:tcBorders>
          </w:tcPr>
          <w:p>
            <w:pPr>
              <w:ind w:left="20"/>
              <w:spacing w:after="0" w:line="183" w:lineRule="exact"/>
              <w:rPr>
                <w:sz w:val="20"/>
                <w:szCs w:val="20"/>
                <w:color w:val="auto"/>
              </w:rPr>
            </w:pPr>
            <w:r>
              <w:rPr>
                <w:rFonts w:ascii="Arial" w:cs="Arial" w:eastAsia="Arial" w:hAnsi="Arial"/>
                <w:sz w:val="20"/>
                <w:szCs w:val="20"/>
                <w:color w:val="auto"/>
              </w:rPr>
              <w:t>Solid Organ Oncology</w:t>
            </w:r>
          </w:p>
        </w:tc>
        <w:tc>
          <w:tcPr>
            <w:tcW w:w="7890" w:type="dxa"/>
            <w:vAlign w:val="bottom"/>
            <w:tcBorders>
              <w:top w:val="single" w:sz="8" w:color="auto"/>
            </w:tcBorders>
            <w:gridSpan w:val="3"/>
          </w:tcPr>
          <w:p>
            <w:pPr>
              <w:ind w:left="330"/>
              <w:spacing w:after="0" w:line="183" w:lineRule="exact"/>
              <w:rPr>
                <w:sz w:val="20"/>
                <w:szCs w:val="20"/>
                <w:color w:val="auto"/>
              </w:rPr>
            </w:pPr>
            <w:r>
              <w:rPr>
                <w:rFonts w:ascii="Arial" w:cs="Arial" w:eastAsia="Arial" w:hAnsi="Arial"/>
                <w:sz w:val="20"/>
                <w:szCs w:val="20"/>
                <w:color w:val="auto"/>
              </w:rPr>
              <w:t>-  Initiate Phase 3 study for fianlimab (in combination with Libtayo) in perioperative</w:t>
            </w:r>
          </w:p>
        </w:tc>
      </w:tr>
      <w:tr>
        <w:trPr>
          <w:trHeight w:val="248"/>
        </w:trPr>
        <w:tc>
          <w:tcPr>
            <w:tcW w:w="3350" w:type="dxa"/>
            <w:vAlign w:val="bottom"/>
          </w:tcPr>
          <w:p>
            <w:pPr>
              <w:spacing w:after="0"/>
              <w:rPr>
                <w:sz w:val="21"/>
                <w:szCs w:val="21"/>
                <w:color w:val="auto"/>
              </w:rPr>
            </w:pPr>
          </w:p>
        </w:tc>
        <w:tc>
          <w:tcPr>
            <w:tcW w:w="530" w:type="dxa"/>
            <w:vAlign w:val="bottom"/>
          </w:tcPr>
          <w:p>
            <w:pPr>
              <w:spacing w:after="0"/>
              <w:rPr>
                <w:sz w:val="21"/>
                <w:szCs w:val="21"/>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melanoma (mid-2023)</w:t>
            </w:r>
          </w:p>
        </w:tc>
      </w:tr>
      <w:tr>
        <w:trPr>
          <w:trHeight w:val="197"/>
        </w:trPr>
        <w:tc>
          <w:tcPr>
            <w:tcW w:w="3350" w:type="dxa"/>
            <w:vAlign w:val="bottom"/>
          </w:tcPr>
          <w:p>
            <w:pPr>
              <w:spacing w:after="0"/>
              <w:rPr>
                <w:sz w:val="17"/>
                <w:szCs w:val="17"/>
                <w:color w:val="auto"/>
              </w:rPr>
            </w:pPr>
          </w:p>
        </w:tc>
        <w:tc>
          <w:tcPr>
            <w:tcW w:w="7890" w:type="dxa"/>
            <w:vAlign w:val="bottom"/>
            <w:gridSpan w:val="3"/>
          </w:tcPr>
          <w:p>
            <w:pPr>
              <w:ind w:left="330"/>
              <w:spacing w:after="0" w:line="197" w:lineRule="exact"/>
              <w:rPr>
                <w:sz w:val="20"/>
                <w:szCs w:val="20"/>
                <w:color w:val="auto"/>
              </w:rPr>
            </w:pPr>
            <w:r>
              <w:rPr>
                <w:rFonts w:ascii="Arial" w:cs="Arial" w:eastAsia="Arial" w:hAnsi="Arial"/>
                <w:sz w:val="20"/>
                <w:szCs w:val="20"/>
                <w:color w:val="auto"/>
              </w:rPr>
              <w:t>-  Initiate Phase 2/3 studies for fianlimab (in combination with Libtayo) in first-line</w:t>
            </w:r>
          </w:p>
        </w:tc>
      </w:tr>
      <w:tr>
        <w:trPr>
          <w:trHeight w:val="194"/>
        </w:trPr>
        <w:tc>
          <w:tcPr>
            <w:tcW w:w="3350" w:type="dxa"/>
            <w:vAlign w:val="bottom"/>
          </w:tcPr>
          <w:p>
            <w:pPr>
              <w:spacing w:after="0"/>
              <w:rPr>
                <w:sz w:val="16"/>
                <w:szCs w:val="16"/>
                <w:color w:val="auto"/>
              </w:rPr>
            </w:pPr>
          </w:p>
        </w:tc>
        <w:tc>
          <w:tcPr>
            <w:tcW w:w="530" w:type="dxa"/>
            <w:vAlign w:val="bottom"/>
          </w:tcPr>
          <w:p>
            <w:pPr>
              <w:spacing w:after="0"/>
              <w:rPr>
                <w:sz w:val="16"/>
                <w:szCs w:val="16"/>
                <w:color w:val="auto"/>
              </w:rPr>
            </w:pPr>
          </w:p>
        </w:tc>
        <w:tc>
          <w:tcPr>
            <w:tcW w:w="7360" w:type="dxa"/>
            <w:vAlign w:val="bottom"/>
            <w:gridSpan w:val="2"/>
          </w:tcPr>
          <w:p>
            <w:pPr>
              <w:spacing w:after="0" w:line="194" w:lineRule="exact"/>
              <w:rPr>
                <w:sz w:val="20"/>
                <w:szCs w:val="20"/>
                <w:color w:val="auto"/>
              </w:rPr>
            </w:pPr>
            <w:r>
              <w:rPr>
                <w:rFonts w:ascii="Arial" w:cs="Arial" w:eastAsia="Arial" w:hAnsi="Arial"/>
                <w:sz w:val="20"/>
                <w:szCs w:val="20"/>
                <w:color w:val="auto"/>
              </w:rPr>
              <w:t>advanced NSCLC (first half 2023) and Phase 2 study in perioperative NSCLC</w:t>
            </w:r>
          </w:p>
        </w:tc>
      </w:tr>
      <w:tr>
        <w:trPr>
          <w:trHeight w:val="257"/>
        </w:trPr>
        <w:tc>
          <w:tcPr>
            <w:tcW w:w="3350" w:type="dxa"/>
            <w:vAlign w:val="bottom"/>
          </w:tcPr>
          <w:p>
            <w:pPr>
              <w:spacing w:after="0"/>
              <w:rPr>
                <w:sz w:val="22"/>
                <w:szCs w:val="22"/>
                <w:color w:val="auto"/>
              </w:rPr>
            </w:pPr>
          </w:p>
        </w:tc>
        <w:tc>
          <w:tcPr>
            <w:tcW w:w="530" w:type="dxa"/>
            <w:vAlign w:val="bottom"/>
          </w:tcPr>
          <w:p>
            <w:pPr>
              <w:spacing w:after="0"/>
              <w:rPr>
                <w:sz w:val="22"/>
                <w:szCs w:val="22"/>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(second half 2023)</w:t>
            </w:r>
          </w:p>
        </w:tc>
      </w:tr>
      <w:tr>
        <w:trPr>
          <w:trHeight w:val="197"/>
        </w:trPr>
        <w:tc>
          <w:tcPr>
            <w:tcW w:w="3350" w:type="dxa"/>
            <w:vAlign w:val="bottom"/>
          </w:tcPr>
          <w:p>
            <w:pPr>
              <w:spacing w:after="0"/>
              <w:rPr>
                <w:sz w:val="17"/>
                <w:szCs w:val="17"/>
                <w:color w:val="auto"/>
              </w:rPr>
            </w:pPr>
          </w:p>
        </w:tc>
        <w:tc>
          <w:tcPr>
            <w:tcW w:w="7890" w:type="dxa"/>
            <w:vAlign w:val="bottom"/>
            <w:gridSpan w:val="3"/>
          </w:tcPr>
          <w:p>
            <w:pPr>
              <w:ind w:left="330"/>
              <w:spacing w:after="0" w:line="197" w:lineRule="exact"/>
              <w:rPr>
                <w:sz w:val="20"/>
                <w:szCs w:val="20"/>
                <w:color w:val="auto"/>
              </w:rPr>
            </w:pPr>
            <w:r>
              <w:rPr>
                <w:rFonts w:ascii="Arial" w:cs="Arial" w:eastAsia="Arial" w:hAnsi="Arial"/>
                <w:sz w:val="20"/>
                <w:szCs w:val="20"/>
                <w:color w:val="auto"/>
              </w:rPr>
              <w:t>-  Report additional results from Phase 1/2 study of REGN5678 (PSMA and CD28</w:t>
            </w:r>
          </w:p>
        </w:tc>
      </w:tr>
      <w:tr>
        <w:trPr>
          <w:trHeight w:val="248"/>
        </w:trPr>
        <w:tc>
          <w:tcPr>
            <w:tcW w:w="3350" w:type="dxa"/>
            <w:vAlign w:val="bottom"/>
          </w:tcPr>
          <w:p>
            <w:pPr>
              <w:spacing w:after="0"/>
              <w:rPr>
                <w:sz w:val="21"/>
                <w:szCs w:val="21"/>
                <w:color w:val="auto"/>
              </w:rPr>
            </w:pPr>
          </w:p>
        </w:tc>
        <w:tc>
          <w:tcPr>
            <w:tcW w:w="530" w:type="dxa"/>
            <w:vAlign w:val="bottom"/>
          </w:tcPr>
          <w:p>
            <w:pPr>
              <w:spacing w:after="0"/>
              <w:rPr>
                <w:sz w:val="21"/>
                <w:szCs w:val="21"/>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bispecific antibody) in combination with Libtayo in prostate cancer (2023)</w:t>
            </w:r>
          </w:p>
        </w:tc>
      </w:tr>
      <w:tr>
        <w:trPr>
          <w:trHeight w:val="197"/>
        </w:trPr>
        <w:tc>
          <w:tcPr>
            <w:tcW w:w="3350" w:type="dxa"/>
            <w:vAlign w:val="bottom"/>
          </w:tcPr>
          <w:p>
            <w:pPr>
              <w:spacing w:after="0"/>
              <w:rPr>
                <w:sz w:val="17"/>
                <w:szCs w:val="17"/>
                <w:color w:val="auto"/>
              </w:rPr>
            </w:pPr>
          </w:p>
        </w:tc>
        <w:tc>
          <w:tcPr>
            <w:tcW w:w="7890" w:type="dxa"/>
            <w:vAlign w:val="bottom"/>
            <w:gridSpan w:val="3"/>
          </w:tcPr>
          <w:p>
            <w:pPr>
              <w:ind w:left="330"/>
              <w:spacing w:after="0" w:line="197" w:lineRule="exact"/>
              <w:rPr>
                <w:sz w:val="20"/>
                <w:szCs w:val="20"/>
                <w:color w:val="auto"/>
              </w:rPr>
            </w:pPr>
            <w:r>
              <w:rPr>
                <w:rFonts w:ascii="Arial" w:cs="Arial" w:eastAsia="Arial" w:hAnsi="Arial"/>
                <w:sz w:val="20"/>
                <w:szCs w:val="20"/>
                <w:color w:val="auto"/>
              </w:rPr>
              <w:t>-  Report initial data across solid organ oncology, including for CD3 bispecifics and</w:t>
            </w:r>
          </w:p>
        </w:tc>
      </w:tr>
      <w:tr>
        <w:trPr>
          <w:trHeight w:val="248"/>
        </w:trPr>
        <w:tc>
          <w:tcPr>
            <w:tcW w:w="3350" w:type="dxa"/>
            <w:vAlign w:val="bottom"/>
          </w:tcPr>
          <w:p>
            <w:pPr>
              <w:spacing w:after="0"/>
              <w:rPr>
                <w:sz w:val="21"/>
                <w:szCs w:val="21"/>
                <w:color w:val="auto"/>
              </w:rPr>
            </w:pPr>
          </w:p>
        </w:tc>
        <w:tc>
          <w:tcPr>
            <w:tcW w:w="530" w:type="dxa"/>
            <w:vAlign w:val="bottom"/>
          </w:tcPr>
          <w:p>
            <w:pPr>
              <w:spacing w:after="0"/>
              <w:rPr>
                <w:sz w:val="21"/>
                <w:szCs w:val="21"/>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CD28 costimulatory bispecifics (2023)</w:t>
            </w:r>
          </w:p>
        </w:tc>
      </w:tr>
      <w:tr>
        <w:trPr>
          <w:trHeight w:val="197"/>
        </w:trPr>
        <w:tc>
          <w:tcPr>
            <w:tcW w:w="3350" w:type="dxa"/>
            <w:vAlign w:val="bottom"/>
          </w:tcPr>
          <w:p>
            <w:pPr>
              <w:spacing w:after="0"/>
              <w:rPr>
                <w:sz w:val="17"/>
                <w:szCs w:val="17"/>
                <w:color w:val="auto"/>
              </w:rPr>
            </w:pPr>
          </w:p>
        </w:tc>
        <w:tc>
          <w:tcPr>
            <w:tcW w:w="7890" w:type="dxa"/>
            <w:vAlign w:val="bottom"/>
            <w:gridSpan w:val="3"/>
          </w:tcPr>
          <w:p>
            <w:pPr>
              <w:ind w:left="330"/>
              <w:spacing w:after="0" w:line="197" w:lineRule="exact"/>
              <w:rPr>
                <w:sz w:val="20"/>
                <w:szCs w:val="20"/>
                <w:color w:val="auto"/>
              </w:rPr>
            </w:pPr>
            <w:r>
              <w:rPr>
                <w:rFonts w:ascii="Arial" w:cs="Arial" w:eastAsia="Arial" w:hAnsi="Arial"/>
                <w:sz w:val="20"/>
                <w:szCs w:val="20"/>
                <w:color w:val="auto"/>
              </w:rPr>
              <w:t>-  EC decision on regulatory submission for Libtayo (in combination with</w:t>
            </w:r>
          </w:p>
        </w:tc>
      </w:tr>
      <w:tr>
        <w:trPr>
          <w:trHeight w:val="256"/>
        </w:trPr>
        <w:tc>
          <w:tcPr>
            <w:tcW w:w="3350" w:type="dxa"/>
            <w:vAlign w:val="bottom"/>
            <w:tcBorders>
              <w:bottom w:val="single" w:sz="8" w:color="auto"/>
            </w:tcBorders>
          </w:tcPr>
          <w:p>
            <w:pPr>
              <w:spacing w:after="0"/>
              <w:rPr>
                <w:sz w:val="22"/>
                <w:szCs w:val="22"/>
                <w:color w:val="auto"/>
              </w:rPr>
            </w:pPr>
          </w:p>
        </w:tc>
        <w:tc>
          <w:tcPr>
            <w:tcW w:w="530" w:type="dxa"/>
            <w:vAlign w:val="bottom"/>
            <w:tcBorders>
              <w:bottom w:val="single" w:sz="8" w:color="auto"/>
            </w:tcBorders>
          </w:tcPr>
          <w:p>
            <w:pPr>
              <w:spacing w:after="0"/>
              <w:rPr>
                <w:sz w:val="22"/>
                <w:szCs w:val="22"/>
                <w:color w:val="auto"/>
              </w:rPr>
            </w:pPr>
          </w:p>
        </w:tc>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chemotherapy) in advanced NSCLC (first half 2023)</w:t>
            </w:r>
          </w:p>
        </w:tc>
      </w:tr>
      <w:tr>
        <w:trPr>
          <w:trHeight w:val="183"/>
        </w:trPr>
        <w:tc>
          <w:tcPr>
            <w:tcW w:w="3350" w:type="dxa"/>
            <w:vAlign w:val="bottom"/>
            <w:shd w:val="clear" w:color="auto" w:fill="CCEEFF"/>
          </w:tcPr>
          <w:p>
            <w:pPr>
              <w:ind w:left="20"/>
              <w:spacing w:after="0" w:line="183" w:lineRule="exact"/>
              <w:rPr>
                <w:sz w:val="20"/>
                <w:szCs w:val="20"/>
                <w:color w:val="auto"/>
              </w:rPr>
            </w:pPr>
            <w:r>
              <w:rPr>
                <w:rFonts w:ascii="Arial" w:cs="Arial" w:eastAsia="Arial" w:hAnsi="Arial"/>
                <w:sz w:val="20"/>
                <w:szCs w:val="20"/>
                <w:color w:val="auto"/>
              </w:rPr>
              <w:t>Odronextamab (CD20 and CD3</w:t>
            </w:r>
          </w:p>
        </w:tc>
        <w:tc>
          <w:tcPr>
            <w:tcW w:w="530" w:type="dxa"/>
            <w:vAlign w:val="bottom"/>
            <w:shd w:val="clear" w:color="auto" w:fill="CCEEFF"/>
          </w:tcPr>
          <w:p>
            <w:pPr>
              <w:ind w:left="330"/>
              <w:spacing w:after="0" w:line="183" w:lineRule="exact"/>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spacing w:after="0" w:line="183" w:lineRule="exact"/>
              <w:rPr>
                <w:sz w:val="20"/>
                <w:szCs w:val="20"/>
                <w:color w:val="auto"/>
              </w:rPr>
            </w:pPr>
            <w:r>
              <w:rPr>
                <w:rFonts w:ascii="Arial" w:cs="Arial" w:eastAsia="Arial" w:hAnsi="Arial"/>
                <w:sz w:val="20"/>
                <w:szCs w:val="20"/>
                <w:color w:val="auto"/>
                <w:w w:val="99"/>
                <w:shd w:val="clear" w:color="auto" w:fill="CCEEFF"/>
              </w:rPr>
              <w:t>Initiate Phase 3 studies in FL and DLBCL, including earlier lines of therapy (first half</w:t>
            </w:r>
          </w:p>
        </w:tc>
      </w:tr>
      <w:tr>
        <w:trPr>
          <w:trHeight w:val="230"/>
        </w:trPr>
        <w:tc>
          <w:tcPr>
            <w:tcW w:w="3350" w:type="dxa"/>
            <w:vAlign w:val="bottom"/>
            <w:shd w:val="clear" w:color="auto" w:fill="CCEEFF"/>
          </w:tcPr>
          <w:p>
            <w:pPr>
              <w:ind w:left="20"/>
              <w:spacing w:after="0"/>
              <w:rPr>
                <w:sz w:val="20"/>
                <w:szCs w:val="20"/>
                <w:color w:val="auto"/>
              </w:rPr>
            </w:pPr>
            <w:r>
              <w:rPr>
                <w:rFonts w:ascii="Arial" w:cs="Arial" w:eastAsia="Arial" w:hAnsi="Arial"/>
                <w:sz w:val="20"/>
                <w:szCs w:val="20"/>
                <w:color w:val="auto"/>
              </w:rPr>
              <w:t>Bispecific Antibody)</w:t>
            </w:r>
          </w:p>
        </w:tc>
        <w:tc>
          <w:tcPr>
            <w:tcW w:w="53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20"/>
                <w:szCs w:val="20"/>
                <w:color w:val="auto"/>
                <w:shd w:val="clear" w:color="auto" w:fill="CCEEFF"/>
              </w:rPr>
              <w:t>2023)</w:t>
            </w:r>
          </w:p>
        </w:tc>
        <w:tc>
          <w:tcPr>
            <w:tcW w:w="4660" w:type="dxa"/>
            <w:vAlign w:val="bottom"/>
            <w:shd w:val="clear" w:color="auto" w:fill="CCEEFF"/>
          </w:tcPr>
          <w:p>
            <w:pPr>
              <w:spacing w:after="0"/>
              <w:rPr>
                <w:sz w:val="19"/>
                <w:szCs w:val="19"/>
                <w:color w:val="auto"/>
              </w:rPr>
            </w:pPr>
          </w:p>
        </w:tc>
      </w:tr>
      <w:tr>
        <w:trPr>
          <w:trHeight w:val="288"/>
        </w:trPr>
        <w:tc>
          <w:tcPr>
            <w:tcW w:w="3350" w:type="dxa"/>
            <w:vAlign w:val="bottom"/>
            <w:tcBorders>
              <w:bottom w:val="single" w:sz="8" w:color="CCEEFF"/>
            </w:tcBorders>
            <w:shd w:val="clear" w:color="auto" w:fill="CCEEFF"/>
          </w:tcPr>
          <w:p>
            <w:pPr>
              <w:spacing w:after="0"/>
              <w:rPr>
                <w:sz w:val="24"/>
                <w:szCs w:val="24"/>
                <w:color w:val="auto"/>
              </w:rPr>
            </w:pPr>
          </w:p>
        </w:tc>
        <w:tc>
          <w:tcPr>
            <w:tcW w:w="530" w:type="dxa"/>
            <w:vAlign w:val="bottom"/>
            <w:tcBorders>
              <w:bottom w:val="single" w:sz="8" w:color="CCEEFF"/>
            </w:tcBorders>
            <w:shd w:val="clear" w:color="auto" w:fill="CCEEFF"/>
          </w:tcPr>
          <w:p>
            <w:pPr>
              <w:ind w:left="330"/>
              <w:spacing w:after="0"/>
              <w:rPr>
                <w:sz w:val="20"/>
                <w:szCs w:val="20"/>
                <w:color w:val="auto"/>
              </w:rPr>
            </w:pPr>
            <w:r>
              <w:rPr>
                <w:rFonts w:ascii="Arial" w:cs="Arial" w:eastAsia="Arial" w:hAnsi="Arial"/>
                <w:sz w:val="20"/>
                <w:szCs w:val="20"/>
                <w:color w:val="auto"/>
              </w:rPr>
              <w:t>-</w:t>
            </w: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Submit BLA for relapsed/refractory FL and DLBCL (second half 2023)</w:t>
            </w:r>
          </w:p>
        </w:tc>
      </w:tr>
      <w:tr>
        <w:trPr>
          <w:trHeight w:val="183"/>
        </w:trPr>
        <w:tc>
          <w:tcPr>
            <w:tcW w:w="3350" w:type="dxa"/>
            <w:vAlign w:val="bottom"/>
            <w:tcBorders>
              <w:top w:val="single" w:sz="8" w:color="auto"/>
            </w:tcBorders>
          </w:tcPr>
          <w:p>
            <w:pPr>
              <w:ind w:left="20"/>
              <w:spacing w:after="0" w:line="183" w:lineRule="exact"/>
              <w:rPr>
                <w:sz w:val="20"/>
                <w:szCs w:val="20"/>
                <w:color w:val="auto"/>
              </w:rPr>
            </w:pPr>
            <w:r>
              <w:rPr>
                <w:rFonts w:ascii="Arial" w:cs="Arial" w:eastAsia="Arial" w:hAnsi="Arial"/>
                <w:sz w:val="20"/>
                <w:szCs w:val="20"/>
                <w:color w:val="auto"/>
              </w:rPr>
              <w:t>Linvoseltamab (BCMA and CD3</w:t>
            </w:r>
          </w:p>
        </w:tc>
        <w:tc>
          <w:tcPr>
            <w:tcW w:w="7890" w:type="dxa"/>
            <w:vAlign w:val="bottom"/>
            <w:tcBorders>
              <w:top w:val="single" w:sz="8" w:color="auto"/>
            </w:tcBorders>
            <w:gridSpan w:val="3"/>
          </w:tcPr>
          <w:p>
            <w:pPr>
              <w:ind w:left="330"/>
              <w:spacing w:after="0" w:line="183" w:lineRule="exact"/>
              <w:rPr>
                <w:sz w:val="20"/>
                <w:szCs w:val="20"/>
                <w:color w:val="auto"/>
              </w:rPr>
            </w:pPr>
            <w:r>
              <w:rPr>
                <w:rFonts w:ascii="Arial" w:cs="Arial" w:eastAsia="Arial" w:hAnsi="Arial"/>
                <w:sz w:val="20"/>
                <w:szCs w:val="20"/>
                <w:color w:val="auto"/>
              </w:rPr>
              <w:t>-  Initiate Phase 3 study in multiple myeloma, including earlier lines of therapy (first</w:t>
            </w:r>
          </w:p>
        </w:tc>
      </w:tr>
      <w:tr>
        <w:trPr>
          <w:trHeight w:val="248"/>
        </w:trPr>
        <w:tc>
          <w:tcPr>
            <w:tcW w:w="3350" w:type="dxa"/>
            <w:vAlign w:val="bottom"/>
          </w:tcPr>
          <w:p>
            <w:pPr>
              <w:ind w:left="20"/>
              <w:spacing w:after="0"/>
              <w:rPr>
                <w:sz w:val="20"/>
                <w:szCs w:val="20"/>
                <w:color w:val="auto"/>
              </w:rPr>
            </w:pPr>
            <w:r>
              <w:rPr>
                <w:rFonts w:ascii="Arial" w:cs="Arial" w:eastAsia="Arial" w:hAnsi="Arial"/>
                <w:sz w:val="20"/>
                <w:szCs w:val="20"/>
                <w:color w:val="auto"/>
              </w:rPr>
              <w:t>Bispecific Antibody)</w:t>
            </w:r>
          </w:p>
        </w:tc>
        <w:tc>
          <w:tcPr>
            <w:tcW w:w="530" w:type="dxa"/>
            <w:vAlign w:val="bottom"/>
          </w:tcPr>
          <w:p>
            <w:pPr>
              <w:spacing w:after="0"/>
              <w:rPr>
                <w:sz w:val="21"/>
                <w:szCs w:val="21"/>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half 2023)</w:t>
            </w:r>
          </w:p>
        </w:tc>
      </w:tr>
      <w:tr>
        <w:trPr>
          <w:trHeight w:val="263"/>
        </w:trPr>
        <w:tc>
          <w:tcPr>
            <w:tcW w:w="3350" w:type="dxa"/>
            <w:vAlign w:val="bottom"/>
            <w:tcBorders>
              <w:bottom w:val="single" w:sz="8" w:color="auto"/>
            </w:tcBorders>
          </w:tcPr>
          <w:p>
            <w:pPr>
              <w:spacing w:after="0"/>
              <w:rPr>
                <w:sz w:val="22"/>
                <w:szCs w:val="22"/>
                <w:color w:val="auto"/>
              </w:rPr>
            </w:pPr>
          </w:p>
        </w:tc>
        <w:tc>
          <w:tcPr>
            <w:tcW w:w="7890" w:type="dxa"/>
            <w:vAlign w:val="bottom"/>
            <w:tcBorders>
              <w:bottom w:val="single" w:sz="8" w:color="auto"/>
            </w:tcBorders>
            <w:gridSpan w:val="3"/>
          </w:tcPr>
          <w:p>
            <w:pPr>
              <w:ind w:left="330"/>
              <w:spacing w:after="0"/>
              <w:rPr>
                <w:sz w:val="20"/>
                <w:szCs w:val="20"/>
                <w:color w:val="auto"/>
              </w:rPr>
            </w:pPr>
            <w:r>
              <w:rPr>
                <w:rFonts w:ascii="Arial" w:cs="Arial" w:eastAsia="Arial" w:hAnsi="Arial"/>
                <w:sz w:val="20"/>
                <w:szCs w:val="20"/>
                <w:color w:val="auto"/>
              </w:rPr>
              <w:t>-  Submit BLA for relapsed/refractory multiple myeloma (second half 2023)</w:t>
            </w:r>
          </w:p>
        </w:tc>
      </w:tr>
      <w:tr>
        <w:trPr>
          <w:trHeight w:val="232"/>
        </w:trPr>
        <w:tc>
          <w:tcPr>
            <w:tcW w:w="3350" w:type="dxa"/>
            <w:vAlign w:val="bottom"/>
            <w:tcBorders>
              <w:bottom w:val="single" w:sz="8" w:color="CCEEFF"/>
            </w:tcBorders>
            <w:shd w:val="clear" w:color="auto" w:fill="CCEEFF"/>
          </w:tcPr>
          <w:p>
            <w:pPr>
              <w:ind w:left="20"/>
              <w:spacing w:after="0" w:line="225" w:lineRule="exact"/>
              <w:rPr>
                <w:sz w:val="20"/>
                <w:szCs w:val="20"/>
                <w:color w:val="auto"/>
              </w:rPr>
            </w:pPr>
            <w:r>
              <w:rPr>
                <w:rFonts w:ascii="Arial" w:cs="Arial" w:eastAsia="Arial" w:hAnsi="Arial"/>
                <w:sz w:val="20"/>
                <w:szCs w:val="20"/>
                <w:color w:val="auto"/>
              </w:rPr>
              <w:t>Pozelimab (C5 Antibody)</w:t>
            </w:r>
          </w:p>
        </w:tc>
        <w:tc>
          <w:tcPr>
            <w:tcW w:w="530" w:type="dxa"/>
            <w:vAlign w:val="bottom"/>
            <w:tcBorders>
              <w:bottom w:val="single" w:sz="8" w:color="CCEEFF"/>
            </w:tcBorders>
            <w:shd w:val="clear" w:color="auto" w:fill="CCEEFF"/>
          </w:tcPr>
          <w:p>
            <w:pPr>
              <w:ind w:left="330"/>
              <w:spacing w:after="0" w:line="225" w:lineRule="exact"/>
              <w:rPr>
                <w:sz w:val="20"/>
                <w:szCs w:val="20"/>
                <w:color w:val="auto"/>
              </w:rPr>
            </w:pPr>
            <w:r>
              <w:rPr>
                <w:rFonts w:ascii="Arial" w:cs="Arial" w:eastAsia="Arial" w:hAnsi="Arial"/>
                <w:sz w:val="20"/>
                <w:szCs w:val="20"/>
                <w:color w:val="auto"/>
              </w:rPr>
              <w:t>-</w:t>
            </w:r>
          </w:p>
        </w:tc>
        <w:tc>
          <w:tcPr>
            <w:tcW w:w="7360" w:type="dxa"/>
            <w:vAlign w:val="bottom"/>
            <w:tcBorders>
              <w:bottom w:val="single" w:sz="8" w:color="CCEEFF"/>
            </w:tcBorders>
            <w:gridSpan w:val="2"/>
            <w:shd w:val="clear" w:color="auto" w:fill="CCEEFF"/>
          </w:tcPr>
          <w:p>
            <w:pPr>
              <w:spacing w:after="0" w:line="225" w:lineRule="exact"/>
              <w:rPr>
                <w:sz w:val="20"/>
                <w:szCs w:val="20"/>
                <w:color w:val="auto"/>
              </w:rPr>
            </w:pPr>
            <w:r>
              <w:rPr>
                <w:rFonts w:ascii="Arial" w:cs="Arial" w:eastAsia="Arial" w:hAnsi="Arial"/>
                <w:sz w:val="20"/>
                <w:szCs w:val="20"/>
                <w:color w:val="auto"/>
                <w:shd w:val="clear" w:color="auto" w:fill="CCEEFF"/>
              </w:rPr>
              <w:t>FDA decision on BLA for CHAPLE (second half 2023)</w:t>
            </w:r>
          </w:p>
        </w:tc>
      </w:tr>
      <w:tr>
        <w:trPr>
          <w:trHeight w:val="20"/>
        </w:trPr>
        <w:tc>
          <w:tcPr>
            <w:tcW w:w="3350" w:type="dxa"/>
            <w:vAlign w:val="bottom"/>
            <w:shd w:val="clear" w:color="auto" w:fill="000000"/>
          </w:tcPr>
          <w:p>
            <w:pPr>
              <w:spacing w:after="0" w:line="20" w:lineRule="exact"/>
              <w:rPr>
                <w:sz w:val="1"/>
                <w:szCs w:val="1"/>
                <w:color w:val="auto"/>
              </w:rPr>
            </w:pPr>
          </w:p>
        </w:tc>
        <w:tc>
          <w:tcPr>
            <w:tcW w:w="53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3"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Fourth Quarter 2022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7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20"/>
                <w:szCs w:val="20"/>
                <w:b w:val="1"/>
                <w:bCs w:val="1"/>
                <w:color w:val="auto"/>
              </w:rPr>
              <w:t>Q4 2022</w:t>
            </w:r>
          </w:p>
        </w:tc>
        <w:tc>
          <w:tcPr>
            <w:tcW w:w="18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20"/>
                <w:szCs w:val="20"/>
                <w:b w:val="1"/>
                <w:bCs w:val="1"/>
                <w:color w:val="auto"/>
              </w:rPr>
              <w:t>Q4 2021</w:t>
            </w:r>
          </w:p>
        </w:tc>
        <w:tc>
          <w:tcPr>
            <w:tcW w:w="1600" w:type="dxa"/>
            <w:vAlign w:val="bottom"/>
            <w:gridSpan w:val="2"/>
          </w:tcPr>
          <w:p>
            <w:pPr>
              <w:ind w:left="260"/>
              <w:spacing w:after="0"/>
              <w:rPr>
                <w:sz w:val="20"/>
                <w:szCs w:val="20"/>
                <w:color w:val="auto"/>
              </w:rPr>
            </w:pPr>
            <w:r>
              <w:rPr>
                <w:rFonts w:ascii="Arial" w:cs="Arial" w:eastAsia="Arial" w:hAnsi="Arial"/>
                <w:sz w:val="20"/>
                <w:szCs w:val="20"/>
                <w:b w:val="1"/>
                <w:bCs w:val="1"/>
                <w:color w:val="auto"/>
              </w:rPr>
              <w:t>% Change</w:t>
            </w:r>
          </w:p>
        </w:tc>
        <w:tc>
          <w:tcPr>
            <w:tcW w:w="200" w:type="dxa"/>
            <w:vAlign w:val="bottom"/>
          </w:tcPr>
          <w:p>
            <w:pPr>
              <w:spacing w:after="0"/>
              <w:rPr>
                <w:sz w:val="23"/>
                <w:szCs w:val="23"/>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rPr>
              <w:t>FY 2022</w:t>
            </w:r>
          </w:p>
        </w:tc>
        <w:tc>
          <w:tcPr>
            <w:tcW w:w="18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FY 2021</w:t>
            </w:r>
          </w:p>
        </w:tc>
        <w:tc>
          <w:tcPr>
            <w:tcW w:w="148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1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80" w:type="dxa"/>
            <w:vAlign w:val="bottom"/>
          </w:tcPr>
          <w:p>
            <w:pPr>
              <w:ind w:left="240"/>
              <w:spacing w:after="0"/>
              <w:rPr>
                <w:sz w:val="20"/>
                <w:szCs w:val="20"/>
                <w:color w:val="auto"/>
              </w:rPr>
            </w:pPr>
            <w:r>
              <w:rPr>
                <w:rFonts w:ascii="Arial" w:cs="Arial" w:eastAsia="Arial" w:hAnsi="Arial"/>
                <w:sz w:val="20"/>
                <w:szCs w:val="20"/>
                <w:color w:val="auto"/>
              </w:rPr>
              <w:t>EYLEA - U.S.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1,496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1,547</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(3 %)</w:t>
            </w:r>
          </w:p>
        </w:tc>
        <w:tc>
          <w:tcPr>
            <w:tcW w:w="1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6,265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5,792</w:t>
            </w:r>
          </w:p>
        </w:tc>
        <w:tc>
          <w:tcPr>
            <w:tcW w:w="140" w:type="dxa"/>
            <w:vAlign w:val="bottom"/>
          </w:tcPr>
          <w:p>
            <w:pPr>
              <w:spacing w:after="0"/>
              <w:rPr>
                <w:sz w:val="22"/>
                <w:szCs w:val="22"/>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Libtayo - U.S.</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36 %</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306</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57"/>
        </w:trPr>
        <w:tc>
          <w:tcPr>
            <w:tcW w:w="2780" w:type="dxa"/>
            <w:vAlign w:val="bottom"/>
          </w:tcPr>
          <w:p>
            <w:pPr>
              <w:ind w:left="240"/>
              <w:spacing w:after="0"/>
              <w:rPr>
                <w:sz w:val="20"/>
                <w:szCs w:val="20"/>
                <w:color w:val="auto"/>
              </w:rPr>
            </w:pPr>
            <w:r>
              <w:rPr>
                <w:rFonts w:ascii="Arial" w:cs="Arial" w:eastAsia="Arial" w:hAnsi="Arial"/>
                <w:sz w:val="20"/>
                <w:szCs w:val="20"/>
                <w:color w:val="auto"/>
              </w:rPr>
              <w:t>Libtayo - ROW**</w:t>
            </w:r>
          </w:p>
        </w:tc>
        <w:tc>
          <w:tcPr>
            <w:tcW w:w="18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240"/>
              <w:spacing w:after="0" w:line="257"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(10 %)</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(24 %)</w:t>
            </w:r>
          </w:p>
        </w:tc>
        <w:tc>
          <w:tcPr>
            <w:tcW w:w="0" w:type="dxa"/>
            <w:vAlign w:val="bottom"/>
          </w:tcPr>
          <w:p>
            <w:pPr>
              <w:spacing w:after="0"/>
              <w:rPr>
                <w:sz w:val="1"/>
                <w:szCs w:val="1"/>
                <w:color w:val="auto"/>
              </w:rPr>
            </w:pPr>
          </w:p>
        </w:tc>
      </w:tr>
      <w:tr>
        <w:trPr>
          <w:trHeight w:val="257"/>
        </w:trPr>
        <w:tc>
          <w:tcPr>
            <w:tcW w:w="2780" w:type="dxa"/>
            <w:vAlign w:val="bottom"/>
          </w:tcPr>
          <w:p>
            <w:pPr>
              <w:ind w:left="240"/>
              <w:spacing w:after="0"/>
              <w:rPr>
                <w:sz w:val="20"/>
                <w:szCs w:val="20"/>
                <w:color w:val="auto"/>
              </w:rPr>
            </w:pPr>
            <w:r>
              <w:rPr>
                <w:rFonts w:ascii="Arial" w:cs="Arial" w:eastAsia="Arial" w:hAnsi="Arial"/>
                <w:sz w:val="20"/>
                <w:szCs w:val="20"/>
                <w:color w:val="auto"/>
              </w:rPr>
              <w:t>REGEN-COV - U.S.</w:t>
            </w:r>
          </w:p>
        </w:tc>
        <w:tc>
          <w:tcPr>
            <w:tcW w:w="18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2,298</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(100 %)</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5,828</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Evkeeza - U.S.</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67 %</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153 %</w:t>
            </w:r>
          </w:p>
        </w:tc>
        <w:tc>
          <w:tcPr>
            <w:tcW w:w="0" w:type="dxa"/>
            <w:vAlign w:val="bottom"/>
          </w:tcPr>
          <w:p>
            <w:pPr>
              <w:spacing w:after="0"/>
              <w:rPr>
                <w:sz w:val="1"/>
                <w:szCs w:val="1"/>
                <w:color w:val="auto"/>
              </w:rPr>
            </w:pPr>
          </w:p>
        </w:tc>
      </w:tr>
      <w:tr>
        <w:trPr>
          <w:trHeight w:val="257"/>
        </w:trPr>
        <w:tc>
          <w:tcPr>
            <w:tcW w:w="2780" w:type="dxa"/>
            <w:vAlign w:val="bottom"/>
          </w:tcPr>
          <w:p>
            <w:pPr>
              <w:ind w:left="240"/>
              <w:spacing w:after="0" w:line="257" w:lineRule="exact"/>
              <w:rPr>
                <w:sz w:val="20"/>
                <w:szCs w:val="20"/>
                <w:color w:val="auto"/>
              </w:rPr>
            </w:pPr>
            <w:r>
              <w:rPr>
                <w:rFonts w:ascii="Arial" w:cs="Arial" w:eastAsia="Arial" w:hAnsi="Arial"/>
                <w:sz w:val="20"/>
                <w:szCs w:val="20"/>
                <w:color w:val="auto"/>
              </w:rPr>
              <w:t>Inmazeb</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8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00" w:type="dxa"/>
            <w:vAlign w:val="bottom"/>
            <w:gridSpan w:val="2"/>
          </w:tcPr>
          <w:p>
            <w:pPr>
              <w:ind w:left="940"/>
              <w:spacing w:after="0"/>
              <w:rPr>
                <w:sz w:val="20"/>
                <w:szCs w:val="20"/>
                <w:color w:val="auto"/>
              </w:rPr>
            </w:pPr>
            <w:r>
              <w:rPr>
                <w:rFonts w:ascii="Arial" w:cs="Arial" w:eastAsia="Arial" w:hAnsi="Arial"/>
                <w:sz w:val="20"/>
                <w:szCs w:val="20"/>
                <w:color w:val="auto"/>
              </w:rPr>
              <w:t>— %</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240"/>
              <w:spacing w:after="0" w:line="257" w:lineRule="exact"/>
              <w:rPr>
                <w:sz w:val="20"/>
                <w:szCs w:val="20"/>
                <w:color w:val="auto"/>
              </w:rPr>
            </w:pPr>
            <w:r>
              <w:rPr>
                <w:rFonts w:ascii="Arial" w:cs="Arial" w:eastAsia="Arial" w:hAnsi="Arial"/>
                <w:sz w:val="20"/>
                <w:szCs w:val="20"/>
                <w:color w:val="auto"/>
              </w:rPr>
              <w:t>ARCALYST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780" w:type="dxa"/>
            <w:vAlign w:val="bottom"/>
          </w:tcPr>
          <w:p>
            <w:pPr>
              <w:ind w:left="20"/>
              <w:spacing w:after="0"/>
              <w:rPr>
                <w:sz w:val="20"/>
                <w:szCs w:val="20"/>
                <w:color w:val="auto"/>
              </w:rPr>
            </w:pPr>
            <w:r>
              <w:rPr>
                <w:rFonts w:ascii="Arial" w:cs="Arial" w:eastAsia="Arial" w:hAnsi="Arial"/>
                <w:sz w:val="20"/>
                <w:szCs w:val="20"/>
                <w:color w:val="auto"/>
              </w:rPr>
              <w:t>Total net product sales</w:t>
            </w: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1,699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3,975</w:t>
            </w:r>
          </w:p>
        </w:tc>
        <w:tc>
          <w:tcPr>
            <w:tcW w:w="10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(57 %)</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6,894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12,117</w:t>
            </w:r>
          </w:p>
        </w:tc>
        <w:tc>
          <w:tcPr>
            <w:tcW w:w="14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(43 %)</w:t>
            </w:r>
          </w:p>
        </w:tc>
        <w:tc>
          <w:tcPr>
            <w:tcW w:w="0" w:type="dxa"/>
            <w:vAlign w:val="bottom"/>
          </w:tcPr>
          <w:p>
            <w:pPr>
              <w:spacing w:after="0"/>
              <w:rPr>
                <w:sz w:val="1"/>
                <w:szCs w:val="1"/>
                <w:color w:val="auto"/>
              </w:rPr>
            </w:pPr>
          </w:p>
        </w:tc>
      </w:tr>
      <w:tr>
        <w:trPr>
          <w:trHeight w:val="94"/>
        </w:trPr>
        <w:tc>
          <w:tcPr>
            <w:tcW w:w="2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780" w:type="dxa"/>
            <w:vAlign w:val="bottom"/>
          </w:tcPr>
          <w:p>
            <w:pPr>
              <w:ind w:left="20"/>
              <w:spacing w:after="0"/>
              <w:rPr>
                <w:sz w:val="20"/>
                <w:szCs w:val="20"/>
                <w:color w:val="auto"/>
              </w:rPr>
            </w:pPr>
            <w:r>
              <w:rPr>
                <w:rFonts w:ascii="Arial" w:cs="Arial" w:eastAsia="Arial" w:hAnsi="Arial"/>
                <w:sz w:val="20"/>
                <w:szCs w:val="20"/>
                <w:color w:val="auto"/>
              </w:rPr>
              <w:t>Collaboration revenue:</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Sanofi</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61 %</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1,902</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50 %</w:t>
            </w:r>
          </w:p>
        </w:tc>
        <w:tc>
          <w:tcPr>
            <w:tcW w:w="0" w:type="dxa"/>
            <w:vAlign w:val="bottom"/>
          </w:tcPr>
          <w:p>
            <w:pPr>
              <w:spacing w:after="0"/>
              <w:rPr>
                <w:sz w:val="1"/>
                <w:szCs w:val="1"/>
                <w:color w:val="auto"/>
              </w:rPr>
            </w:pPr>
          </w:p>
        </w:tc>
      </w:tr>
      <w:tr>
        <w:trPr>
          <w:trHeight w:val="257"/>
        </w:trPr>
        <w:tc>
          <w:tcPr>
            <w:tcW w:w="2780" w:type="dxa"/>
            <w:vAlign w:val="bottom"/>
          </w:tcPr>
          <w:p>
            <w:pPr>
              <w:ind w:left="240"/>
              <w:spacing w:after="0"/>
              <w:rPr>
                <w:sz w:val="20"/>
                <w:szCs w:val="20"/>
                <w:color w:val="auto"/>
              </w:rPr>
            </w:pPr>
            <w:r>
              <w:rPr>
                <w:rFonts w:ascii="Arial" w:cs="Arial" w:eastAsia="Arial" w:hAnsi="Arial"/>
                <w:sz w:val="20"/>
                <w:szCs w:val="20"/>
                <w:color w:val="auto"/>
              </w:rPr>
              <w:t>Bayer</w:t>
            </w:r>
          </w:p>
        </w:tc>
        <w:tc>
          <w:tcPr>
            <w:tcW w:w="18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372</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(5 %)</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1,409</w:t>
            </w:r>
          </w:p>
        </w:tc>
        <w:tc>
          <w:tcPr>
            <w:tcW w:w="140" w:type="dxa"/>
            <w:vAlign w:val="bottom"/>
          </w:tcPr>
          <w:p>
            <w:pPr>
              <w:spacing w:after="0"/>
              <w:rPr>
                <w:sz w:val="22"/>
                <w:szCs w:val="22"/>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2 %</w:t>
            </w: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Roche</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73 %</w:t>
            </w:r>
          </w:p>
        </w:tc>
        <w:tc>
          <w:tcPr>
            <w:tcW w:w="0" w:type="dxa"/>
            <w:vAlign w:val="bottom"/>
          </w:tcPr>
          <w:p>
            <w:pPr>
              <w:spacing w:after="0"/>
              <w:rPr>
                <w:sz w:val="1"/>
                <w:szCs w:val="1"/>
                <w:color w:val="auto"/>
              </w:rPr>
            </w:pPr>
          </w:p>
        </w:tc>
      </w:tr>
      <w:tr>
        <w:trPr>
          <w:trHeight w:val="257"/>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revenue</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47 %</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282</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29 %</w:t>
            </w:r>
          </w:p>
        </w:tc>
        <w:tc>
          <w:tcPr>
            <w:tcW w:w="0" w:type="dxa"/>
            <w:vAlign w:val="bottom"/>
          </w:tcPr>
          <w:p>
            <w:pPr>
              <w:spacing w:after="0"/>
              <w:rPr>
                <w:sz w:val="1"/>
                <w:szCs w:val="1"/>
                <w:color w:val="auto"/>
              </w:rPr>
            </w:pPr>
          </w:p>
        </w:tc>
      </w:tr>
      <w:tr>
        <w:trPr>
          <w:trHeight w:val="275"/>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3,414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4,952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(31 %)</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16,072</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(24 %)</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Total revenues excluding</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80"/>
              <w:spacing w:after="0" w:line="203" w:lineRule="exact"/>
              <w:rPr>
                <w:sz w:val="20"/>
                <w:szCs w:val="20"/>
                <w:color w:val="auto"/>
              </w:rPr>
            </w:pPr>
            <w:r>
              <w:rPr>
                <w:rFonts w:ascii="Arial" w:cs="Arial" w:eastAsia="Arial" w:hAnsi="Arial"/>
                <w:sz w:val="20"/>
                <w:szCs w:val="20"/>
                <w:color w:val="auto"/>
              </w:rPr>
              <w:t>REGEN-COV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3,018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2,654</w:t>
            </w:r>
          </w:p>
        </w:tc>
        <w:tc>
          <w:tcPr>
            <w:tcW w:w="1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14%</w:t>
            </w:r>
          </w:p>
        </w:tc>
        <w:tc>
          <w:tcPr>
            <w:tcW w:w="14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11,546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9,882</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ind w:left="180"/>
              <w:spacing w:after="0" w:line="224" w:lineRule="exact"/>
              <w:rPr>
                <w:sz w:val="20"/>
                <w:szCs w:val="20"/>
                <w:color w:val="auto"/>
              </w:rPr>
            </w:pPr>
            <w:r>
              <w:rPr>
                <w:rFonts w:ascii="Arial" w:cs="Arial" w:eastAsia="Arial" w:hAnsi="Arial"/>
                <w:sz w:val="20"/>
                <w:szCs w:val="20"/>
                <w:color w:val="auto"/>
              </w:rPr>
              <w:t>Ronapreve</w:t>
            </w:r>
            <w:r>
              <w:rPr>
                <w:rFonts w:ascii="Arial" w:cs="Arial" w:eastAsia="Arial" w:hAnsi="Arial"/>
                <w:sz w:val="25"/>
                <w:szCs w:val="25"/>
                <w:color w:val="auto"/>
                <w:vertAlign w:val="superscript"/>
              </w:rPr>
              <w:t>(a)</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60" w:hanging="118"/>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3" w:lineRule="exact"/>
        <w:rPr>
          <w:sz w:val="20"/>
          <w:szCs w:val="20"/>
          <w:color w:val="auto"/>
        </w:rPr>
      </w:pPr>
    </w:p>
    <w:p>
      <w:pPr>
        <w:jc w:val="both"/>
        <w:ind w:left="240" w:right="120" w:firstLine="2"/>
        <w:spacing w:after="0" w:line="225" w:lineRule="auto"/>
        <w:tabs>
          <w:tab w:leader="none" w:pos="425" w:val="left"/>
        </w:tabs>
        <w:numPr>
          <w:ilvl w:val="0"/>
          <w:numId w:val="14"/>
        </w:numPr>
        <w:rPr>
          <w:rFonts w:ascii="Arial" w:cs="Arial" w:eastAsia="Arial" w:hAnsi="Arial"/>
          <w:sz w:val="18"/>
          <w:szCs w:val="18"/>
          <w:color w:val="auto"/>
        </w:rPr>
      </w:pPr>
      <w:r>
        <w:rPr>
          <w:rFonts w:ascii="Arial" w:cs="Arial" w:eastAsia="Arial" w:hAnsi="Arial"/>
          <w:sz w:val="16"/>
          <w:szCs w:val="16"/>
          <w:color w:val="auto"/>
        </w:rPr>
        <w:t>Rest of world (ROW). Effective July 1, 2022, the Company began recording net product sales of Libtayo outside the United States. Excluded from this line item is approximately $17 million and $34 million of net product sales recorded by Sanofi in the fourth quarter and second half of 2022, respectively, in connection with sales in certain markets (Sanofi will record net product sales in such markets during a transition period until inventory on hand as of July 1, 2022 is sold through to the end customers).</w:t>
      </w:r>
    </w:p>
    <w:p>
      <w:pPr>
        <w:spacing w:after="0" w:line="3" w:lineRule="exact"/>
        <w:rPr>
          <w:rFonts w:ascii="Arial" w:cs="Arial" w:eastAsia="Arial" w:hAnsi="Arial"/>
          <w:sz w:val="18"/>
          <w:szCs w:val="18"/>
          <w:color w:val="auto"/>
        </w:rPr>
      </w:pPr>
    </w:p>
    <w:p>
      <w:pPr>
        <w:ind w:left="240" w:right="140" w:firstLine="2"/>
        <w:spacing w:after="0" w:line="239"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6"/>
          <w:szCs w:val="16"/>
          <w:color w:val="auto"/>
        </w:rPr>
        <w:t>Effective April 1, 2021, Kiniksa records net product sales of ARCALYST in the United States. Previously, the Company recorded net product sales of ARCALYST in the United States.</w:t>
      </w:r>
    </w:p>
    <w:p>
      <w:pPr>
        <w:spacing w:after="0" w:line="219"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Net product sales of EYLEA in the U.S. in the fourth quarter of 2022 were negatively impacted by (i) a short-term shift to off-label use of compounded bevacizumab, (ii) a temporary closing in the fourth quarter of 2022 of a not-for-profit fund that provides patient co-pay assistance, and (iii) an increase in sales-related deductions. Volumes of U.S. EYLEA in the fourth quarter of 2022 increased compared to the fourth quarter of 2021.</w:t>
      </w:r>
    </w:p>
    <w:p>
      <w:pPr>
        <w:spacing w:after="0" w:line="108" w:lineRule="exact"/>
        <w:rPr>
          <w:sz w:val="20"/>
          <w:szCs w:val="20"/>
          <w:color w:val="auto"/>
        </w:rPr>
      </w:pPr>
    </w:p>
    <w:p>
      <w:pPr>
        <w:ind w:right="340"/>
        <w:spacing w:after="0" w:line="272" w:lineRule="auto"/>
        <w:rPr>
          <w:sz w:val="20"/>
          <w:szCs w:val="20"/>
          <w:color w:val="auto"/>
        </w:rPr>
      </w:pPr>
      <w:r>
        <w:rPr>
          <w:rFonts w:ascii="Arial" w:cs="Arial" w:eastAsia="Arial" w:hAnsi="Arial"/>
          <w:sz w:val="22"/>
          <w:szCs w:val="22"/>
          <w:color w:val="auto"/>
        </w:rPr>
        <w:t>There were no sales of REGEN-COV in the U.S. during 2022 as the Company had completed its final deliveries of drug product under its agreements with the U.S. government as of December 31, 2021.</w:t>
      </w:r>
    </w:p>
    <w:p>
      <w:pPr>
        <w:spacing w:after="0" w:line="88"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Sanofi collaboration revenue increased 61% to $836 million in the fourth quarter of 2022, compared to the fourth quarter of 2021, and increased 50% to $2.856 billion for the full year 2022, compared to the full year 2021. This increase was primarily due to the Company's share of profits from commercialization of antibodies, which were $619 million and $388 million in the fourth quarter of 2022 and 2021, respectively, and $2.082 billion and $1.363 billion for full year 2022 and 2021, respectively. The change in the Company's share of profits from commercialization of antibodies was driven by profits associated with higher Dupixent sales. 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43" w:right="339" w:bottom="1440" w:gutter="0" w:footer="0" w:header="0"/>
        </w:sectPr>
      </w:pPr>
    </w:p>
    <w:bookmarkStart w:id="8" w:name="page9"/>
    <w:bookmarkEnd w:id="8"/>
    <w:p>
      <w:pPr>
        <w:jc w:val="both"/>
        <w:ind w:right="720"/>
        <w:spacing w:after="0" w:line="275" w:lineRule="auto"/>
        <w:rPr>
          <w:sz w:val="20"/>
          <w:szCs w:val="20"/>
          <w:color w:val="auto"/>
        </w:rPr>
      </w:pPr>
      <w:r>
        <w:rPr>
          <w:rFonts w:ascii="Arial" w:cs="Arial" w:eastAsia="Arial" w:hAnsi="Arial"/>
          <w:sz w:val="21"/>
          <w:szCs w:val="21"/>
          <w:color w:val="auto"/>
        </w:rPr>
        <w:t>addition, during 2022 the Company earned two $50 million sales-based milestones (including one in the fourth quarter of 2022) from Sanofi based upon sales of antibodies outside the U.S. on a rolling twelve-month basis, compared to earning one $50 million sales-based milestone in 2021 (in the third quarter of 2021).</w:t>
      </w:r>
    </w:p>
    <w:p>
      <w:pPr>
        <w:spacing w:after="0" w:line="88" w:lineRule="exact"/>
        <w:rPr>
          <w:sz w:val="20"/>
          <w:szCs w:val="20"/>
          <w:color w:val="auto"/>
        </w:rPr>
      </w:pPr>
    </w:p>
    <w:p>
      <w:pPr>
        <w:ind w:right="100"/>
        <w:spacing w:after="0" w:line="257" w:lineRule="auto"/>
        <w:rPr>
          <w:sz w:val="20"/>
          <w:szCs w:val="20"/>
          <w:color w:val="auto"/>
        </w:rPr>
      </w:pPr>
      <w:r>
        <w:rPr>
          <w:rFonts w:ascii="Arial" w:cs="Arial" w:eastAsia="Arial" w:hAnsi="Arial"/>
          <w:sz w:val="22"/>
          <w:szCs w:val="22"/>
          <w:color w:val="auto"/>
        </w:rPr>
        <w:t>Sanofi and Bayer collaboration revenue (and specifically, the share of profits the Company earned in connection with commercialization of products) was adversely impacted in 2022 by the U.S. dollar strengthening against foreign currencies, including the Japanese yen and the euro.</w:t>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Company recorded Roche collaboration revenue during full year 2022 and 2021 in connection with payments from Roche attributable to global gross profits from sales of Ronapreve. Roche collaboration revenue increased in the fourth quarter of 2022, compared to the fourth quarter of 2021, as no Roche collaboration revenue was recorded during the fourth quarter of 2021 since the Company owed a payment to Roche (which was recorded to Cost of goods sold) in connection with global gross profits of REGEN-COV and Ronapreve.</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ind w:left="720"/>
              <w:spacing w:after="0"/>
              <w:rPr>
                <w:sz w:val="20"/>
                <w:szCs w:val="20"/>
                <w:color w:val="auto"/>
              </w:rPr>
            </w:pPr>
            <w:r>
              <w:rPr>
                <w:rFonts w:ascii="Arial" w:cs="Arial" w:eastAsia="Arial" w:hAnsi="Arial"/>
                <w:sz w:val="20"/>
                <w:szCs w:val="20"/>
                <w:b w:val="1"/>
                <w:bCs w:val="1"/>
                <w:color w:val="auto"/>
              </w:rPr>
              <w:t>GAAP</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21"/>
                <w:szCs w:val="21"/>
                <w:color w:val="auto"/>
              </w:rPr>
            </w:pPr>
          </w:p>
        </w:tc>
        <w:tc>
          <w:tcPr>
            <w:tcW w:w="1080" w:type="dxa"/>
            <w:vAlign w:val="bottom"/>
            <w:gridSpan w:val="4"/>
          </w:tcPr>
          <w:p>
            <w:pPr>
              <w:ind w:left="20"/>
              <w:spacing w:after="0"/>
              <w:rPr>
                <w:sz w:val="20"/>
                <w:szCs w:val="20"/>
                <w:color w:val="auto"/>
              </w:rPr>
            </w:pPr>
            <w:r>
              <w:rPr>
                <w:rFonts w:ascii="Arial" w:cs="Arial" w:eastAsia="Arial" w:hAnsi="Arial"/>
                <w:sz w:val="20"/>
                <w:szCs w:val="20"/>
                <w:b w:val="1"/>
                <w:bCs w:val="1"/>
                <w:color w:val="auto"/>
              </w:rPr>
              <w:t>Q4 2022</w:t>
            </w:r>
          </w:p>
        </w:tc>
        <w:tc>
          <w:tcPr>
            <w:tcW w:w="14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b w:val="1"/>
                <w:bCs w:val="1"/>
                <w:color w:val="auto"/>
              </w:rPr>
              <w:t>Q4 2021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4"/>
          </w:tcPr>
          <w:p>
            <w:pPr>
              <w:ind w:left="4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Q4 2022</w:t>
            </w:r>
          </w:p>
        </w:tc>
        <w:tc>
          <w:tcPr>
            <w:tcW w:w="16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w w:val="98"/>
              </w:rPr>
              <w:t>Q4 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4180" w:type="dxa"/>
            <w:vAlign w:val="bottom"/>
            <w:tcBorders>
              <w:top w:val="single" w:sz="8" w:color="CCEEFF"/>
            </w:tcBorders>
            <w:shd w:val="clear" w:color="auto" w:fill="CCEEFF"/>
          </w:tcPr>
          <w:p>
            <w:pPr>
              <w:ind w:left="20"/>
              <w:spacing w:after="0" w:line="250" w:lineRule="exact"/>
              <w:rPr>
                <w:sz w:val="20"/>
                <w:szCs w:val="20"/>
                <w:color w:val="auto"/>
              </w:rPr>
            </w:pPr>
            <w:r>
              <w:rPr>
                <w:rFonts w:ascii="Arial" w:cs="Arial" w:eastAsia="Arial" w:hAnsi="Arial"/>
                <w:sz w:val="20"/>
                <w:szCs w:val="20"/>
                <w:color w:val="auto"/>
              </w:rPr>
              <w:t>Research and development (R&amp;D)</w:t>
            </w:r>
            <w:r>
              <w:rPr>
                <w:rFonts w:ascii="Arial" w:cs="Arial" w:eastAsia="Arial" w:hAnsi="Arial"/>
                <w:sz w:val="25"/>
                <w:szCs w:val="25"/>
                <w:color w:val="auto"/>
                <w:vertAlign w:val="superscript"/>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1,043</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738</w:t>
            </w: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41%</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911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635</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line="194" w:lineRule="exact"/>
              <w:rPr>
                <w:sz w:val="20"/>
                <w:szCs w:val="20"/>
                <w:color w:val="auto"/>
              </w:rPr>
            </w:pPr>
            <w:r>
              <w:rPr>
                <w:rFonts w:ascii="Arial" w:cs="Arial" w:eastAsia="Arial" w:hAnsi="Arial"/>
                <w:sz w:val="20"/>
                <w:szCs w:val="20"/>
                <w:color w:val="auto"/>
              </w:rPr>
              <w:t>Acquired in-process research and</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48</w:t>
            </w:r>
          </w:p>
        </w:tc>
        <w:tc>
          <w:tcPr>
            <w:tcW w:w="20" w:type="dxa"/>
            <w:vAlign w:val="bottom"/>
          </w:tcPr>
          <w:p>
            <w:pPr>
              <w:spacing w:after="0"/>
              <w:rPr>
                <w:sz w:val="16"/>
                <w:szCs w:val="16"/>
                <w:color w:val="auto"/>
              </w:rPr>
            </w:pPr>
          </w:p>
        </w:tc>
        <w:tc>
          <w:tcPr>
            <w:tcW w:w="1120" w:type="dxa"/>
            <w:vAlign w:val="bottom"/>
            <w:gridSpan w:val="3"/>
            <w:vMerge w:val="restart"/>
          </w:tcPr>
          <w:p>
            <w:pPr>
              <w:jc w:val="right"/>
              <w:ind w:right="1"/>
              <w:spacing w:after="0"/>
              <w:rPr>
                <w:sz w:val="20"/>
                <w:szCs w:val="20"/>
                <w:color w:val="auto"/>
              </w:rPr>
            </w:pPr>
            <w:r>
              <w:rPr>
                <w:rFonts w:ascii="Arial" w:cs="Arial" w:eastAsia="Arial" w:hAnsi="Arial"/>
                <w:sz w:val="20"/>
                <w:szCs w:val="20"/>
                <w:color w:val="auto"/>
              </w:rPr>
              <w:t>(38%)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4180" w:type="dxa"/>
            <w:vAlign w:val="bottom"/>
          </w:tcPr>
          <w:p>
            <w:pPr>
              <w:ind w:left="180"/>
              <w:spacing w:after="0" w:line="251" w:lineRule="exact"/>
              <w:rPr>
                <w:sz w:val="20"/>
                <w:szCs w:val="20"/>
                <w:color w:val="auto"/>
              </w:rPr>
            </w:pPr>
            <w:r>
              <w:rPr>
                <w:rFonts w:ascii="Arial" w:cs="Arial" w:eastAsia="Arial" w:hAnsi="Arial"/>
                <w:sz w:val="20"/>
                <w:szCs w:val="20"/>
                <w:color w:val="auto"/>
              </w:rPr>
              <w:t>development (IPR&amp;D)</w:t>
            </w:r>
            <w:r>
              <w:rPr>
                <w:rFonts w:ascii="Arial" w:cs="Arial" w:eastAsia="Arial" w:hAnsi="Arial"/>
                <w:sz w:val="25"/>
                <w:szCs w:val="25"/>
                <w:color w:val="auto"/>
                <w:vertAlign w:val="superscript"/>
              </w:rPr>
              <w:t>**</w:t>
            </w:r>
          </w:p>
        </w:tc>
        <w:tc>
          <w:tcPr>
            <w:tcW w:w="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 (SG&amp;A)</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560</w:t>
            </w:r>
          </w:p>
        </w:tc>
        <w:tc>
          <w:tcPr>
            <w:tcW w:w="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
              <w:spacing w:after="0"/>
              <w:rPr>
                <w:sz w:val="20"/>
                <w:szCs w:val="20"/>
                <w:color w:val="auto"/>
              </w:rPr>
            </w:pPr>
            <w:r>
              <w:rPr>
                <w:rFonts w:ascii="Arial" w:cs="Arial" w:eastAsia="Arial" w:hAnsi="Arial"/>
                <w:sz w:val="20"/>
                <w:szCs w:val="20"/>
                <w:color w:val="auto"/>
              </w:rPr>
              <w:t>18%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w:t>
            </w:r>
          </w:p>
        </w:tc>
        <w:tc>
          <w:tcPr>
            <w:tcW w:w="1160" w:type="dxa"/>
            <w:vAlign w:val="bottom"/>
            <w:gridSpan w:val="4"/>
            <w:shd w:val="clear" w:color="auto" w:fill="CCEEFF"/>
          </w:tcPr>
          <w:p>
            <w:pPr>
              <w:jc w:val="right"/>
              <w:ind w:right="21"/>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56"/>
        </w:trPr>
        <w:tc>
          <w:tcPr>
            <w:tcW w:w="418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812</w:t>
            </w:r>
          </w:p>
        </w:tc>
        <w:tc>
          <w:tcPr>
            <w:tcW w:w="20" w:type="dxa"/>
            <w:vAlign w:val="bottom"/>
          </w:tcPr>
          <w:p>
            <w:pPr>
              <w:spacing w:after="0"/>
              <w:rPr>
                <w:sz w:val="22"/>
                <w:szCs w:val="22"/>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20"/>
                <w:szCs w:val="20"/>
                <w:color w:val="auto"/>
              </w:rPr>
              <w:t>(63%)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126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559</w:t>
            </w:r>
          </w:p>
        </w:tc>
        <w:tc>
          <w:tcPr>
            <w:tcW w:w="1160" w:type="dxa"/>
            <w:vAlign w:val="bottom"/>
            <w:gridSpan w:val="4"/>
          </w:tcPr>
          <w:p>
            <w:pPr>
              <w:jc w:val="right"/>
              <w:ind w:right="21"/>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194"/>
        </w:trPr>
        <w:tc>
          <w:tcPr>
            <w:tcW w:w="418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Cost of collaboration and contract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171</w:t>
            </w:r>
          </w:p>
        </w:tc>
        <w:tc>
          <w:tcPr>
            <w:tcW w:w="20" w:type="dxa"/>
            <w:vAlign w:val="bottom"/>
            <w:shd w:val="clear" w:color="auto" w:fill="CCEEFF"/>
          </w:tcPr>
          <w:p>
            <w:pPr>
              <w:spacing w:after="0"/>
              <w:rPr>
                <w:sz w:val="16"/>
                <w:szCs w:val="16"/>
                <w:color w:val="auto"/>
              </w:rPr>
            </w:pPr>
          </w:p>
        </w:tc>
        <w:tc>
          <w:tcPr>
            <w:tcW w:w="112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39%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4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6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180" w:type="dxa"/>
            <w:vAlign w:val="bottom"/>
          </w:tcPr>
          <w:p>
            <w:pPr>
              <w:ind w:left="20"/>
              <w:spacing w:after="0"/>
              <w:rPr>
                <w:sz w:val="20"/>
                <w:szCs w:val="20"/>
                <w:color w:val="auto"/>
              </w:rPr>
            </w:pPr>
            <w:r>
              <w:rPr>
                <w:rFonts w:ascii="Arial" w:cs="Arial" w:eastAsia="Arial" w:hAnsi="Arial"/>
                <w:sz w:val="20"/>
                <w:szCs w:val="20"/>
                <w:color w:val="auto"/>
              </w:rPr>
              <w:t>Other operating (income) expense, net</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22"/>
                <w:szCs w:val="22"/>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20"/>
                <w:szCs w:val="20"/>
                <w:color w:val="auto"/>
              </w:rPr>
              <w:t>(56%)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387"/>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7"/>
          </w:tcPr>
          <w:p>
            <w:pPr>
              <w:ind w:left="720"/>
              <w:spacing w:after="0"/>
              <w:rPr>
                <w:sz w:val="20"/>
                <w:szCs w:val="20"/>
                <w:color w:val="auto"/>
              </w:rPr>
            </w:pPr>
            <w:r>
              <w:rPr>
                <w:rFonts w:ascii="Arial" w:cs="Arial" w:eastAsia="Arial" w:hAnsi="Arial"/>
                <w:sz w:val="20"/>
                <w:szCs w:val="20"/>
                <w:b w:val="1"/>
                <w:bCs w:val="1"/>
                <w:color w:val="auto"/>
              </w:rPr>
              <w:t>GAAP</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4"/>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4"/>
          </w:tcPr>
          <w:p>
            <w:pPr>
              <w:ind w:left="20"/>
              <w:spacing w:after="0"/>
              <w:rPr>
                <w:sz w:val="20"/>
                <w:szCs w:val="20"/>
                <w:color w:val="auto"/>
              </w:rPr>
            </w:pPr>
            <w:r>
              <w:rPr>
                <w:rFonts w:ascii="Arial" w:cs="Arial" w:eastAsia="Arial" w:hAnsi="Arial"/>
                <w:sz w:val="20"/>
                <w:szCs w:val="20"/>
                <w:b w:val="1"/>
                <w:bCs w:val="1"/>
                <w:color w:val="auto"/>
              </w:rPr>
              <w:t>FY 2022</w:t>
            </w: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ind w:left="20"/>
              <w:spacing w:after="0"/>
              <w:rPr>
                <w:sz w:val="20"/>
                <w:szCs w:val="20"/>
                <w:color w:val="auto"/>
              </w:rPr>
            </w:pPr>
            <w:r>
              <w:rPr>
                <w:rFonts w:ascii="Arial" w:cs="Arial" w:eastAsia="Arial" w:hAnsi="Arial"/>
                <w:sz w:val="20"/>
                <w:szCs w:val="20"/>
                <w:b w:val="1"/>
                <w:bCs w:val="1"/>
                <w:color w:val="auto"/>
              </w:rPr>
              <w:t>FY 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ind w:left="40"/>
              <w:spacing w:after="0"/>
              <w:rPr>
                <w:sz w:val="20"/>
                <w:szCs w:val="20"/>
                <w:color w:val="auto"/>
              </w:rPr>
            </w:pPr>
            <w:r>
              <w:rPr>
                <w:rFonts w:ascii="Arial" w:cs="Arial" w:eastAsia="Arial" w:hAnsi="Arial"/>
                <w:sz w:val="20"/>
                <w:szCs w:val="20"/>
                <w:b w:val="1"/>
                <w:bCs w:val="1"/>
                <w:color w:val="auto"/>
              </w:rPr>
              <w:t>% Change</w:t>
            </w: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FY 2022</w:t>
            </w: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b w:val="1"/>
                <w:bCs w:val="1"/>
                <w:color w:val="auto"/>
              </w:rPr>
              <w:t>FY 2021</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4180" w:type="dxa"/>
            <w:vAlign w:val="bottom"/>
            <w:tcBorders>
              <w:top w:val="single" w:sz="8" w:color="CCEEFF"/>
            </w:tcBorders>
            <w:shd w:val="clear" w:color="auto" w:fill="CCEEFF"/>
          </w:tcPr>
          <w:p>
            <w:pPr>
              <w:ind w:left="20"/>
              <w:spacing w:after="0" w:line="250" w:lineRule="exact"/>
              <w:rPr>
                <w:sz w:val="20"/>
                <w:szCs w:val="20"/>
                <w:color w:val="auto"/>
              </w:rPr>
            </w:pPr>
            <w:r>
              <w:rPr>
                <w:rFonts w:ascii="Arial" w:cs="Arial" w:eastAsia="Arial" w:hAnsi="Arial"/>
                <w:sz w:val="20"/>
                <w:szCs w:val="20"/>
                <w:color w:val="auto"/>
              </w:rPr>
              <w:t>Research and development</w:t>
            </w:r>
            <w:r>
              <w:rPr>
                <w:rFonts w:ascii="Arial" w:cs="Arial" w:eastAsia="Arial" w:hAnsi="Arial"/>
                <w:sz w:val="25"/>
                <w:szCs w:val="25"/>
                <w:color w:val="auto"/>
                <w:vertAlign w:val="superscript"/>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3,593</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2,860</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26%</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3,169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2,544</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gridSpan w:val="2"/>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line="194" w:lineRule="exact"/>
              <w:rPr>
                <w:sz w:val="20"/>
                <w:szCs w:val="20"/>
                <w:color w:val="auto"/>
              </w:rPr>
            </w:pPr>
            <w:r>
              <w:rPr>
                <w:rFonts w:ascii="Arial" w:cs="Arial" w:eastAsia="Arial" w:hAnsi="Arial"/>
                <w:sz w:val="20"/>
                <w:szCs w:val="20"/>
                <w:color w:val="auto"/>
              </w:rPr>
              <w:t>Acquired in-process research and</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255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48</w:t>
            </w:r>
          </w:p>
        </w:tc>
        <w:tc>
          <w:tcPr>
            <w:tcW w:w="20" w:type="dxa"/>
            <w:vAlign w:val="bottom"/>
          </w:tcPr>
          <w:p>
            <w:pPr>
              <w:spacing w:after="0"/>
              <w:rPr>
                <w:sz w:val="16"/>
                <w:szCs w:val="16"/>
                <w:color w:val="auto"/>
              </w:rPr>
            </w:pPr>
          </w:p>
        </w:tc>
        <w:tc>
          <w:tcPr>
            <w:tcW w:w="1120" w:type="dxa"/>
            <w:vAlign w:val="bottom"/>
            <w:gridSpan w:val="3"/>
            <w:vMerge w:val="restart"/>
          </w:tcPr>
          <w:p>
            <w:pPr>
              <w:jc w:val="right"/>
              <w:ind w:right="21"/>
              <w:spacing w:after="0"/>
              <w:rPr>
                <w:sz w:val="20"/>
                <w:szCs w:val="20"/>
                <w:color w:val="auto"/>
              </w:rPr>
            </w:pPr>
            <w:r>
              <w:rPr>
                <w:rFonts w:ascii="Arial" w:cs="Arial" w:eastAsia="Arial" w:hAnsi="Arial"/>
                <w:sz w:val="20"/>
                <w:szCs w:val="20"/>
                <w:color w:val="auto"/>
              </w:rPr>
              <w:t>431%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4180" w:type="dxa"/>
            <w:vAlign w:val="bottom"/>
          </w:tcPr>
          <w:p>
            <w:pPr>
              <w:ind w:left="180"/>
              <w:spacing w:after="0" w:line="251" w:lineRule="exact"/>
              <w:rPr>
                <w:sz w:val="20"/>
                <w:szCs w:val="20"/>
                <w:color w:val="auto"/>
              </w:rPr>
            </w:pPr>
            <w:r>
              <w:rPr>
                <w:rFonts w:ascii="Arial" w:cs="Arial" w:eastAsia="Arial" w:hAnsi="Arial"/>
                <w:sz w:val="20"/>
                <w:szCs w:val="20"/>
                <w:color w:val="auto"/>
              </w:rPr>
              <w:t>development</w:t>
            </w:r>
            <w:r>
              <w:rPr>
                <w:rFonts w:ascii="Arial" w:cs="Arial" w:eastAsia="Arial" w:hAnsi="Arial"/>
                <w:sz w:val="25"/>
                <w:szCs w:val="25"/>
                <w:color w:val="auto"/>
                <w:vertAlign w:val="superscript"/>
              </w:rPr>
              <w:t>**</w:t>
            </w:r>
          </w:p>
        </w:tc>
        <w:tc>
          <w:tcPr>
            <w:tcW w:w="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2,116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1,825</w:t>
            </w:r>
          </w:p>
        </w:tc>
        <w:tc>
          <w:tcPr>
            <w:tcW w:w="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21"/>
              <w:spacing w:after="0"/>
              <w:rPr>
                <w:sz w:val="20"/>
                <w:szCs w:val="20"/>
                <w:color w:val="auto"/>
              </w:rPr>
            </w:pPr>
            <w:r>
              <w:rPr>
                <w:rFonts w:ascii="Arial" w:cs="Arial" w:eastAsia="Arial" w:hAnsi="Arial"/>
                <w:sz w:val="20"/>
                <w:szCs w:val="20"/>
                <w:color w:val="auto"/>
              </w:rPr>
              <w:t>16%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1,606</w:t>
            </w:r>
          </w:p>
        </w:tc>
        <w:tc>
          <w:tcPr>
            <w:tcW w:w="1160" w:type="dxa"/>
            <w:vAlign w:val="bottom"/>
            <w:gridSpan w:val="4"/>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6"/>
        </w:trPr>
        <w:tc>
          <w:tcPr>
            <w:tcW w:w="4180" w:type="dxa"/>
            <w:vAlign w:val="bottom"/>
          </w:tcPr>
          <w:p>
            <w:pPr>
              <w:ind w:left="20"/>
              <w:spacing w:after="0"/>
              <w:rPr>
                <w:sz w:val="20"/>
                <w:szCs w:val="20"/>
                <w:color w:val="auto"/>
              </w:rPr>
            </w:pPr>
            <w:r>
              <w:rPr>
                <w:rFonts w:ascii="Arial" w:cs="Arial" w:eastAsia="Arial" w:hAnsi="Arial"/>
                <w:sz w:val="20"/>
                <w:szCs w:val="20"/>
                <w:color w:val="auto"/>
              </w:rPr>
              <w:t>Cost of goods sold</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1,773</w:t>
            </w:r>
          </w:p>
        </w:tc>
        <w:tc>
          <w:tcPr>
            <w:tcW w:w="20" w:type="dxa"/>
            <w:vAlign w:val="bottom"/>
          </w:tcPr>
          <w:p>
            <w:pPr>
              <w:spacing w:after="0"/>
              <w:rPr>
                <w:sz w:val="22"/>
                <w:szCs w:val="22"/>
                <w:color w:val="auto"/>
              </w:rPr>
            </w:pPr>
          </w:p>
        </w:tc>
        <w:tc>
          <w:tcPr>
            <w:tcW w:w="1120" w:type="dxa"/>
            <w:vAlign w:val="bottom"/>
            <w:gridSpan w:val="3"/>
          </w:tcPr>
          <w:p>
            <w:pPr>
              <w:jc w:val="right"/>
              <w:ind w:right="21"/>
              <w:spacing w:after="0"/>
              <w:rPr>
                <w:sz w:val="20"/>
                <w:szCs w:val="20"/>
                <w:color w:val="auto"/>
              </w:rPr>
            </w:pPr>
            <w:r>
              <w:rPr>
                <w:rFonts w:ascii="Arial" w:cs="Arial" w:eastAsia="Arial" w:hAnsi="Arial"/>
                <w:sz w:val="20"/>
                <w:szCs w:val="20"/>
                <w:color w:val="auto"/>
              </w:rPr>
              <w:t>(55%)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507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1,470</w:t>
            </w:r>
          </w:p>
        </w:tc>
        <w:tc>
          <w:tcPr>
            <w:tcW w:w="1160" w:type="dxa"/>
            <w:vAlign w:val="bottom"/>
            <w:gridSpan w:val="4"/>
          </w:tcPr>
          <w:p>
            <w:pPr>
              <w:jc w:val="right"/>
              <w:ind w:right="21"/>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194"/>
        </w:trPr>
        <w:tc>
          <w:tcPr>
            <w:tcW w:w="418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Cost of collaboration and contract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664</w:t>
            </w:r>
          </w:p>
        </w:tc>
        <w:tc>
          <w:tcPr>
            <w:tcW w:w="20" w:type="dxa"/>
            <w:vAlign w:val="bottom"/>
            <w:shd w:val="clear" w:color="auto" w:fill="CCEEFF"/>
          </w:tcPr>
          <w:p>
            <w:pPr>
              <w:spacing w:after="0"/>
              <w:rPr>
                <w:sz w:val="16"/>
                <w:szCs w:val="16"/>
                <w:color w:val="auto"/>
              </w:rPr>
            </w:pPr>
          </w:p>
        </w:tc>
        <w:tc>
          <w:tcPr>
            <w:tcW w:w="1120" w:type="dxa"/>
            <w:vAlign w:val="bottom"/>
            <w:gridSpan w:val="3"/>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4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w:t>
            </w:r>
          </w:p>
        </w:tc>
        <w:tc>
          <w:tcPr>
            <w:tcW w:w="16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180" w:type="dxa"/>
            <w:vAlign w:val="bottom"/>
          </w:tcPr>
          <w:p>
            <w:pPr>
              <w:ind w:left="20"/>
              <w:spacing w:after="0"/>
              <w:rPr>
                <w:sz w:val="20"/>
                <w:szCs w:val="20"/>
                <w:color w:val="auto"/>
              </w:rPr>
            </w:pPr>
            <w:r>
              <w:rPr>
                <w:rFonts w:ascii="Arial" w:cs="Arial" w:eastAsia="Arial" w:hAnsi="Arial"/>
                <w:sz w:val="20"/>
                <w:szCs w:val="20"/>
                <w:color w:val="auto"/>
              </w:rPr>
              <w:t>Other operating (income) expense, net</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(46)</w:t>
            </w:r>
          </w:p>
        </w:tc>
        <w:tc>
          <w:tcPr>
            <w:tcW w:w="20" w:type="dxa"/>
            <w:vAlign w:val="bottom"/>
          </w:tcPr>
          <w:p>
            <w:pPr>
              <w:spacing w:after="0"/>
              <w:rPr>
                <w:sz w:val="22"/>
                <w:szCs w:val="22"/>
                <w:color w:val="auto"/>
              </w:rPr>
            </w:pPr>
          </w:p>
        </w:tc>
        <w:tc>
          <w:tcPr>
            <w:tcW w:w="1120" w:type="dxa"/>
            <w:vAlign w:val="bottom"/>
            <w:gridSpan w:val="3"/>
          </w:tcPr>
          <w:p>
            <w:pPr>
              <w:jc w:val="right"/>
              <w:ind w:right="21"/>
              <w:spacing w:after="0"/>
              <w:rPr>
                <w:sz w:val="20"/>
                <w:szCs w:val="20"/>
                <w:color w:val="auto"/>
              </w:rPr>
            </w:pPr>
            <w:r>
              <w:rPr>
                <w:rFonts w:ascii="Arial" w:cs="Arial" w:eastAsia="Arial" w:hAnsi="Arial"/>
                <w:sz w:val="20"/>
                <w:szCs w:val="20"/>
                <w:color w:val="auto"/>
              </w:rPr>
              <w:t>96%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0" w:hanging="11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3" w:lineRule="exact"/>
        <w:rPr>
          <w:sz w:val="20"/>
          <w:szCs w:val="20"/>
          <w:color w:val="auto"/>
        </w:rPr>
      </w:pPr>
    </w:p>
    <w:p>
      <w:pPr>
        <w:ind w:left="180" w:right="320" w:firstLine="8"/>
        <w:spacing w:after="0" w:line="231" w:lineRule="auto"/>
        <w:tabs>
          <w:tab w:leader="none" w:pos="365" w:val="left"/>
        </w:tabs>
        <w:numPr>
          <w:ilvl w:val="0"/>
          <w:numId w:val="17"/>
        </w:numPr>
        <w:rPr>
          <w:rFonts w:ascii="Arial" w:cs="Arial" w:eastAsia="Arial" w:hAnsi="Arial"/>
          <w:sz w:val="18"/>
          <w:szCs w:val="18"/>
          <w:color w:val="auto"/>
        </w:rPr>
      </w:pPr>
      <w:r>
        <w:rPr>
          <w:rFonts w:ascii="Arial" w:cs="Arial" w:eastAsia="Arial" w:hAnsi="Arial"/>
          <w:sz w:val="16"/>
          <w:szCs w:val="16"/>
          <w:color w:val="auto"/>
        </w:rPr>
        <w:t>Certain reclassifications have been made to prior period amounts to conform with the current period's presentation. See note (f)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45" w:right="339" w:bottom="1440" w:gutter="0" w:footer="0" w:header="0"/>
        </w:sectPr>
      </w:pPr>
    </w:p>
    <w:bookmarkStart w:id="9" w:name="page10"/>
    <w:bookmarkEnd w:id="9"/>
    <w:p>
      <w:pPr>
        <w:ind w:left="660" w:right="240" w:hanging="328"/>
        <w:spacing w:after="0" w:line="251"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22"/>
          <w:szCs w:val="22"/>
          <w:color w:val="auto"/>
        </w:rPr>
        <w:t>GAAP and non-GAAP R&amp;D expenses increased in the fourth quarter and full year of 2022, compared to the same periods in the prior year, driven by the impact of the 2022 amendments to the Sanofi collaboration agreements, additional costs incurred in connection with the Company's late-stage pipeline, an increase in clinical manufacturing activities, and higher headcount and headcount-related costs. The increase for the full year of 2022, compared to full year 2021, was partly offset by lower costs incurred in connection with development activities for REGEN-COV and fasinumab.</w:t>
      </w:r>
    </w:p>
    <w:p>
      <w:pPr>
        <w:spacing w:after="0" w:line="46" w:lineRule="exact"/>
        <w:rPr>
          <w:rFonts w:ascii="Arial" w:cs="Arial" w:eastAsia="Arial" w:hAnsi="Arial"/>
          <w:sz w:val="22"/>
          <w:szCs w:val="22"/>
          <w:color w:val="auto"/>
        </w:rPr>
      </w:pPr>
    </w:p>
    <w:p>
      <w:pPr>
        <w:ind w:left="660" w:right="180" w:hanging="328"/>
        <w:spacing w:after="0" w:line="251"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22"/>
          <w:szCs w:val="22"/>
          <w:color w:val="auto"/>
        </w:rPr>
        <w:t>Acquired IPR&amp;D for full year 2022 included a $195 million charge related to the Company's acquisition of Checkmate Pharmaceuticals, Inc., a $30 million up-front payment in connection with the Company's collaboration agreement with CytomX (fourth quarter 2022), and a $20 million opt-in payment in connection with a product candidate under the Company's collaboration agreement with Adicet Bio, Inc. Acquired IPR&amp;D for the fourth quarter and full year of 2021 included $34 million in aggregate up-front payments in connection with the Company's collaboration agreement with Nykode Therapeutics.</w:t>
      </w:r>
    </w:p>
    <w:p>
      <w:pPr>
        <w:spacing w:after="0" w:line="32" w:lineRule="exact"/>
        <w:rPr>
          <w:rFonts w:ascii="Arial" w:cs="Arial" w:eastAsia="Arial" w:hAnsi="Arial"/>
          <w:sz w:val="22"/>
          <w:szCs w:val="22"/>
          <w:color w:val="auto"/>
        </w:rPr>
      </w:pPr>
    </w:p>
    <w:p>
      <w:pPr>
        <w:ind w:left="660" w:right="160" w:hanging="328"/>
        <w:spacing w:after="0" w:line="251"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22"/>
          <w:szCs w:val="22"/>
          <w:color w:val="auto"/>
        </w:rPr>
        <w:t>GAAP and non-GAAP SG&amp;A expenses increased in the fourth quarter and full year of 2022, compared to the same periods in the prior year, primarily due to an increase in commercialization-related expenses for Libtayo (as effective July 1, 2022, the Company became solely responsible for the commercialization of Libtayo worldwide), higher contributions to an independent not-for-profit patient assistance organization, and higher headcount and headcount-related costs, partly offset by educational campaigns related to COVID-19 that did not recur during 2022.</w:t>
      </w:r>
    </w:p>
    <w:p>
      <w:pPr>
        <w:spacing w:after="0" w:line="46" w:lineRule="exact"/>
        <w:rPr>
          <w:rFonts w:ascii="Arial" w:cs="Arial" w:eastAsia="Arial" w:hAnsi="Arial"/>
          <w:sz w:val="22"/>
          <w:szCs w:val="22"/>
          <w:color w:val="auto"/>
        </w:rPr>
      </w:pPr>
    </w:p>
    <w:p>
      <w:pPr>
        <w:ind w:left="660" w:hanging="328"/>
        <w:spacing w:after="0" w:line="250"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22"/>
          <w:szCs w:val="22"/>
          <w:color w:val="auto"/>
        </w:rPr>
        <w:t>GAAP and non-GAAP COGS decreased in the fourth quarter and full year of 2022, compared to the same periods in the prior year, primarily due to the Company recognizing U.S. REGEN-COV net product sales (and corresponding cost of goods sold) during 2021 and a 2021 payment of $260 million owed by the Company in connection with global gross profits under its Roche collaboration agreement; such transactions did not recur in 2022. GAAP and non-GAAP COGS also decreased in 2022 since effective July 1, 2022, following the acquisition of Libtayo worldwide rights, the Company is no longer obligated to pay Sanofi for their share of U.S. Libtayo gross profits.</w:t>
      </w:r>
    </w:p>
    <w:p>
      <w:pPr>
        <w:spacing w:after="0" w:line="31" w:lineRule="exact"/>
        <w:rPr>
          <w:rFonts w:ascii="Arial" w:cs="Arial" w:eastAsia="Arial" w:hAnsi="Arial"/>
          <w:sz w:val="22"/>
          <w:szCs w:val="22"/>
          <w:color w:val="auto"/>
        </w:rPr>
      </w:pPr>
    </w:p>
    <w:p>
      <w:pPr>
        <w:ind w:left="660" w:right="260"/>
        <w:spacing w:after="0" w:line="257" w:lineRule="auto"/>
        <w:rPr>
          <w:rFonts w:ascii="Arial" w:cs="Arial" w:eastAsia="Arial" w:hAnsi="Arial"/>
          <w:sz w:val="22"/>
          <w:szCs w:val="22"/>
          <w:color w:val="auto"/>
        </w:rPr>
      </w:pPr>
      <w:r>
        <w:rPr>
          <w:rFonts w:ascii="Arial" w:cs="Arial" w:eastAsia="Arial" w:hAnsi="Arial"/>
          <w:sz w:val="22"/>
          <w:szCs w:val="22"/>
          <w:color w:val="auto"/>
        </w:rPr>
        <w:t>GAAP COGS also decreased in the fourth quarter and full year of 2022 due to lower inventory write-offs and reserves. Non-GAAP COGS excluded certain charges related to REGEN-COV (primarily inventory write-offs and reserves) of $134 million and $197 million in the fourth quarter and full year of 2022, respectively, and $232 million in each of the fourth quarter and full year of 2021.</w:t>
      </w:r>
    </w:p>
    <w:p>
      <w:pPr>
        <w:spacing w:after="0" w:line="23" w:lineRule="exact"/>
        <w:rPr>
          <w:rFonts w:ascii="Arial" w:cs="Arial" w:eastAsia="Arial" w:hAnsi="Arial"/>
          <w:sz w:val="22"/>
          <w:szCs w:val="22"/>
          <w:color w:val="auto"/>
        </w:rPr>
      </w:pPr>
    </w:p>
    <w:p>
      <w:pPr>
        <w:ind w:left="660" w:right="140" w:hanging="328"/>
        <w:spacing w:after="0" w:line="264"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22"/>
          <w:szCs w:val="22"/>
          <w:color w:val="auto"/>
        </w:rPr>
        <w:t>Other operating (income) expense, net, for full year 2022 included the recognition of $44 million (an increase to other operating income) as a result of discontinuing further clinical development of fasinumab related to the Company's Teva and Mitsubishi Tanabe Pharma collaborative arrangements.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39" w:lineRule="exact"/>
        <w:rPr>
          <w:sz w:val="20"/>
          <w:szCs w:val="20"/>
          <w:color w:val="auto"/>
        </w:rPr>
      </w:pPr>
    </w:p>
    <w:p>
      <w:pPr>
        <w:ind w:right="260"/>
        <w:spacing w:after="0" w:line="257" w:lineRule="auto"/>
        <w:rPr>
          <w:sz w:val="20"/>
          <w:szCs w:val="20"/>
          <w:color w:val="auto"/>
        </w:rPr>
      </w:pPr>
      <w:r>
        <w:rPr>
          <w:rFonts w:ascii="Arial" w:cs="Arial" w:eastAsia="Arial" w:hAnsi="Arial"/>
          <w:sz w:val="22"/>
          <w:szCs w:val="22"/>
          <w:color w:val="auto"/>
        </w:rPr>
        <w:t>GAAP other income (expense) included the recognition of net unrealized gains on equity securities of $81 million in the fourth quarter of 2022, compared to $138 million of net unrealized losses in the fourth quarter of 2021. GAAP other income (expense) included the recognition of net unrealized losses on equity securities of $40 million for full year 2022, compared to net unrealized gains of $386 million for full year 2021.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64" w:right="339" w:bottom="1440" w:gutter="0" w:footer="0" w:header="0"/>
        </w:sectPr>
      </w:pPr>
    </w:p>
    <w:bookmarkStart w:id="10" w:name="page11"/>
    <w:bookmarkEnd w:id="10"/>
    <w:p>
      <w:pPr>
        <w:ind w:right="140"/>
        <w:spacing w:after="0" w:line="250" w:lineRule="auto"/>
        <w:rPr>
          <w:sz w:val="20"/>
          <w:szCs w:val="20"/>
          <w:color w:val="auto"/>
        </w:rPr>
      </w:pPr>
      <w:r>
        <w:rPr>
          <w:rFonts w:ascii="Arial" w:cs="Arial" w:eastAsia="Arial" w:hAnsi="Arial"/>
          <w:sz w:val="22"/>
          <w:szCs w:val="22"/>
          <w:color w:val="auto"/>
        </w:rPr>
        <w:t>In the fourth quarter and full year 2022, the Company's GAAP effective tax rate (ETR) was 9.6% and 10.7%, respectively, compared to 11.0% and 13.4% in the fourth quarter and full year 2021, respectively. The GAAP ETR in the fourth quarter and full year 2022, compared to the same periods in the prior year, included a higher benefit from the proportion of income earned in foreign jurisdictions with tax rates lower than the U.S. federal statutory rate (including the impact from REGEN-COV income earned in the U.S. during 2021). In the fourth quarter and full year 2022, the non-GAAP ETR was 11.3% and 12.1%, respectively, compared to 12.6% and 13.5% in the fourth quarter and full year 2021, respectively.</w:t>
      </w:r>
    </w:p>
    <w:p>
      <w:pPr>
        <w:spacing w:after="0" w:line="11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GAAP net income per diluted share was $10.50 in the fourth quarter of 2022, compared to $19.69 in the fourth quarter of 2021. GAAP net income per diluted share was $38.22 for the full year 2022, compared to $71.97 for full year 2021. Non-GAAP net income per diluted share was $12.56 in the fourth quarter of 2022, compared to $23.42 in the fourth quarter of 2021. Non-GAAP net income per diluted share was $44.98 for the full year 2022, compared to $74.35 for the full year 2021. A reconciliation of the Company's GAAP to non-GAAP results is included in Table 3 of this press release.</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During the full year 2022, the Company repurchased shares of common stock under its share repurchase program, and recorded the cost of the shares, or $2.100 billion, as Treasury Stock. As of December 31, 2022, $745 million remained available for share repurchases under the program. In January 2023, the Company's board of directors authorized a new share repurchase program to repurchase up to an additional $3.0 billion of the Company's common stock. Repurchases may be made from time to time at management's discretion through a variety of methods. The program has no time limit and can be discontinued at any time.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2023 Financial Guidance</w:t>
      </w:r>
      <w:r>
        <w:rPr>
          <w:rFonts w:ascii="Arial" w:cs="Arial" w:eastAsia="Arial" w:hAnsi="Arial"/>
          <w:sz w:val="12"/>
          <w:szCs w:val="12"/>
          <w:b w:val="1"/>
          <w:bCs w:val="1"/>
          <w:i w:val="1"/>
          <w:iCs w:val="1"/>
          <w:color w:val="auto"/>
        </w:rPr>
        <w:t>(c)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2023 financial guidance consists of the following components: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820" w:type="dxa"/>
            <w:vAlign w:val="bottom"/>
          </w:tcPr>
          <w:p>
            <w:pPr>
              <w:spacing w:after="0"/>
              <w:rPr>
                <w:sz w:val="23"/>
                <w:szCs w:val="23"/>
                <w:color w:val="auto"/>
              </w:rPr>
            </w:pPr>
          </w:p>
        </w:tc>
        <w:tc>
          <w:tcPr>
            <w:tcW w:w="2640" w:type="dxa"/>
            <w:vAlign w:val="bottom"/>
          </w:tcPr>
          <w:p>
            <w:pPr>
              <w:jc w:val="center"/>
              <w:spacing w:after="0"/>
              <w:rPr>
                <w:sz w:val="20"/>
                <w:szCs w:val="20"/>
                <w:color w:val="auto"/>
              </w:rPr>
            </w:pPr>
            <w:r>
              <w:rPr>
                <w:rFonts w:ascii="Arial" w:cs="Arial" w:eastAsia="Arial" w:hAnsi="Arial"/>
                <w:sz w:val="20"/>
                <w:szCs w:val="20"/>
                <w:b w:val="1"/>
                <w:bCs w:val="1"/>
                <w:color w:val="auto"/>
                <w:w w:val="99"/>
              </w:rPr>
              <w:t>2023 Guidance</w:t>
            </w:r>
          </w:p>
        </w:tc>
      </w:tr>
      <w:tr>
        <w:trPr>
          <w:trHeight w:val="34"/>
        </w:trPr>
        <w:tc>
          <w:tcPr>
            <w:tcW w:w="48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50"/>
        </w:trPr>
        <w:tc>
          <w:tcPr>
            <w:tcW w:w="4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6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$4.200–$4.435 billion</w:t>
            </w:r>
          </w:p>
        </w:tc>
      </w:tr>
      <w:tr>
        <w:trPr>
          <w:trHeight w:val="270"/>
        </w:trPr>
        <w:tc>
          <w:tcPr>
            <w:tcW w:w="482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640" w:type="dxa"/>
            <w:vAlign w:val="bottom"/>
          </w:tcPr>
          <w:p>
            <w:pPr>
              <w:jc w:val="center"/>
              <w:spacing w:after="0"/>
              <w:rPr>
                <w:sz w:val="20"/>
                <w:szCs w:val="20"/>
                <w:color w:val="auto"/>
              </w:rPr>
            </w:pPr>
            <w:r>
              <w:rPr>
                <w:rFonts w:ascii="Arial" w:cs="Arial" w:eastAsia="Arial" w:hAnsi="Arial"/>
                <w:sz w:val="20"/>
                <w:szCs w:val="20"/>
                <w:color w:val="auto"/>
                <w:w w:val="98"/>
              </w:rPr>
              <w:t>$3.725–$3.925 billion</w:t>
            </w:r>
          </w:p>
        </w:tc>
      </w:tr>
      <w:tr>
        <w:trPr>
          <w:trHeight w:val="270"/>
        </w:trPr>
        <w:tc>
          <w:tcPr>
            <w:tcW w:w="4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6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$2.460–$2.650 billion</w:t>
            </w:r>
          </w:p>
        </w:tc>
      </w:tr>
      <w:tr>
        <w:trPr>
          <w:trHeight w:val="270"/>
        </w:trPr>
        <w:tc>
          <w:tcPr>
            <w:tcW w:w="482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640" w:type="dxa"/>
            <w:vAlign w:val="bottom"/>
          </w:tcPr>
          <w:p>
            <w:pPr>
              <w:jc w:val="center"/>
              <w:spacing w:after="0"/>
              <w:rPr>
                <w:sz w:val="20"/>
                <w:szCs w:val="20"/>
                <w:color w:val="auto"/>
              </w:rPr>
            </w:pPr>
            <w:r>
              <w:rPr>
                <w:rFonts w:ascii="Arial" w:cs="Arial" w:eastAsia="Arial" w:hAnsi="Arial"/>
                <w:sz w:val="20"/>
                <w:szCs w:val="20"/>
                <w:color w:val="auto"/>
                <w:w w:val="98"/>
              </w:rPr>
              <w:t>$2.130–$2.280 billion</w:t>
            </w:r>
          </w:p>
        </w:tc>
      </w:tr>
      <w:tr>
        <w:trPr>
          <w:trHeight w:val="270"/>
        </w:trPr>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GAAP gross margin on net product sales</w:t>
            </w:r>
            <w:r>
              <w:rPr>
                <w:rFonts w:ascii="Arial" w:cs="Arial" w:eastAsia="Arial" w:hAnsi="Arial"/>
                <w:sz w:val="25"/>
                <w:szCs w:val="25"/>
                <w:color w:val="auto"/>
                <w:vertAlign w:val="superscript"/>
              </w:rPr>
              <w:t>(d)</w:t>
            </w:r>
          </w:p>
        </w:tc>
        <w:tc>
          <w:tcPr>
            <w:tcW w:w="26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88%–90%</w:t>
            </w:r>
          </w:p>
        </w:tc>
      </w:tr>
      <w:tr>
        <w:trPr>
          <w:trHeight w:val="270"/>
        </w:trPr>
        <w:tc>
          <w:tcPr>
            <w:tcW w:w="482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(a)(d)</w:t>
            </w:r>
          </w:p>
        </w:tc>
        <w:tc>
          <w:tcPr>
            <w:tcW w:w="2640" w:type="dxa"/>
            <w:vAlign w:val="bottom"/>
          </w:tcPr>
          <w:p>
            <w:pPr>
              <w:jc w:val="center"/>
              <w:spacing w:after="0"/>
              <w:rPr>
                <w:sz w:val="20"/>
                <w:szCs w:val="20"/>
                <w:color w:val="auto"/>
              </w:rPr>
            </w:pPr>
            <w:r>
              <w:rPr>
                <w:rFonts w:ascii="Arial" w:cs="Arial" w:eastAsia="Arial" w:hAnsi="Arial"/>
                <w:sz w:val="20"/>
                <w:szCs w:val="20"/>
                <w:color w:val="auto"/>
                <w:w w:val="98"/>
              </w:rPr>
              <w:t>90%–92%</w:t>
            </w:r>
          </w:p>
        </w:tc>
      </w:tr>
      <w:tr>
        <w:trPr>
          <w:trHeight w:val="270"/>
        </w:trPr>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(e)*</w:t>
            </w:r>
          </w:p>
        </w:tc>
        <w:tc>
          <w:tcPr>
            <w:tcW w:w="26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$720–$800 million</w:t>
            </w:r>
          </w:p>
        </w:tc>
      </w:tr>
      <w:tr>
        <w:trPr>
          <w:trHeight w:val="270"/>
        </w:trPr>
        <w:tc>
          <w:tcPr>
            <w:tcW w:w="482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640" w:type="dxa"/>
            <w:vAlign w:val="bottom"/>
          </w:tcPr>
          <w:p>
            <w:pPr>
              <w:jc w:val="center"/>
              <w:spacing w:after="0"/>
              <w:rPr>
                <w:sz w:val="20"/>
                <w:szCs w:val="20"/>
                <w:color w:val="auto"/>
              </w:rPr>
            </w:pPr>
            <w:r>
              <w:rPr>
                <w:rFonts w:ascii="Arial" w:cs="Arial" w:eastAsia="Arial" w:hAnsi="Arial"/>
                <w:sz w:val="20"/>
                <w:szCs w:val="20"/>
                <w:color w:val="auto"/>
                <w:w w:val="98"/>
              </w:rPr>
              <w:t>$825–$950 million</w:t>
            </w:r>
          </w:p>
        </w:tc>
      </w:tr>
      <w:tr>
        <w:trPr>
          <w:trHeight w:val="270"/>
        </w:trPr>
        <w:tc>
          <w:tcPr>
            <w:tcW w:w="4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6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10%–12%</w:t>
            </w:r>
          </w:p>
        </w:tc>
      </w:tr>
      <w:tr>
        <w:trPr>
          <w:trHeight w:val="343"/>
        </w:trPr>
        <w:tc>
          <w:tcPr>
            <w:tcW w:w="482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640" w:type="dxa"/>
            <w:vAlign w:val="bottom"/>
          </w:tcPr>
          <w:p>
            <w:pPr>
              <w:jc w:val="center"/>
              <w:spacing w:after="0"/>
              <w:rPr>
                <w:sz w:val="20"/>
                <w:szCs w:val="20"/>
                <w:color w:val="auto"/>
              </w:rPr>
            </w:pPr>
            <w:r>
              <w:rPr>
                <w:rFonts w:ascii="Arial" w:cs="Arial" w:eastAsia="Arial" w:hAnsi="Arial"/>
                <w:sz w:val="20"/>
                <w:szCs w:val="20"/>
                <w:color w:val="auto"/>
                <w:w w:val="96"/>
              </w:rPr>
              <w:t>11%–13%</w:t>
            </w:r>
          </w:p>
        </w:tc>
      </w:tr>
    </w:tbl>
    <w:p>
      <w:pPr>
        <w:spacing w:after="0" w:line="34" w:lineRule="exact"/>
        <w:rPr>
          <w:sz w:val="20"/>
          <w:szCs w:val="20"/>
          <w:color w:val="auto"/>
        </w:rPr>
      </w:pPr>
    </w:p>
    <w:p>
      <w:pPr>
        <w:ind w:left="180" w:right="4120" w:firstLine="8"/>
        <w:spacing w:after="0" w:line="231" w:lineRule="auto"/>
        <w:tabs>
          <w:tab w:leader="none" w:pos="295" w:val="left"/>
        </w:tabs>
        <w:numPr>
          <w:ilvl w:val="0"/>
          <w:numId w:val="19"/>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20" w:top="1045" w:right="39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A reconciliation of full year 2023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60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2040" w:type="dxa"/>
            <w:vAlign w:val="bottom"/>
            <w:gridSpan w:val="2"/>
          </w:tcPr>
          <w:p>
            <w:pPr>
              <w:ind w:left="460"/>
              <w:spacing w:after="0"/>
              <w:rPr>
                <w:sz w:val="20"/>
                <w:szCs w:val="20"/>
                <w:color w:val="auto"/>
              </w:rPr>
            </w:pPr>
            <w:r>
              <w:rPr>
                <w:rFonts w:ascii="Arial" w:cs="Arial" w:eastAsia="Arial" w:hAnsi="Arial"/>
                <w:sz w:val="20"/>
                <w:szCs w:val="20"/>
                <w:b w:val="1"/>
                <w:bCs w:val="1"/>
                <w:color w:val="auto"/>
              </w:rPr>
              <w:t>Low</w:t>
            </w:r>
          </w:p>
        </w:tc>
        <w:tc>
          <w:tcPr>
            <w:tcW w:w="880" w:type="dxa"/>
            <w:vAlign w:val="bottom"/>
          </w:tcPr>
          <w:p>
            <w:pPr>
              <w:spacing w:after="0"/>
              <w:rPr>
                <w:sz w:val="21"/>
                <w:szCs w:val="21"/>
                <w:color w:val="auto"/>
              </w:rPr>
            </w:pPr>
          </w:p>
        </w:tc>
        <w:tc>
          <w:tcPr>
            <w:tcW w:w="1640" w:type="dxa"/>
            <w:vAlign w:val="bottom"/>
          </w:tcPr>
          <w:p>
            <w:pPr>
              <w:jc w:val="right"/>
              <w:ind w:right="94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6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4,200</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4,435</w:t>
            </w:r>
          </w:p>
        </w:tc>
        <w:tc>
          <w:tcPr>
            <w:tcW w:w="0" w:type="dxa"/>
            <w:vAlign w:val="bottom"/>
          </w:tcPr>
          <w:p>
            <w:pPr>
              <w:spacing w:after="0"/>
              <w:rPr>
                <w:sz w:val="1"/>
                <w:szCs w:val="1"/>
                <w:color w:val="auto"/>
              </w:rPr>
            </w:pPr>
          </w:p>
        </w:tc>
      </w:tr>
      <w:tr>
        <w:trPr>
          <w:trHeight w:val="257"/>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470</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Acquisition-related integration costs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R&amp;D</w:t>
            </w:r>
          </w:p>
        </w:tc>
        <w:tc>
          <w:tcPr>
            <w:tcW w:w="6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3,725</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3,925</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600" w:type="dxa"/>
            <w:vAlign w:val="bottom"/>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2,460</w:t>
            </w:r>
          </w:p>
        </w:tc>
        <w:tc>
          <w:tcPr>
            <w:tcW w:w="120" w:type="dxa"/>
            <w:vAlign w:val="bottom"/>
          </w:tcPr>
          <w:p>
            <w:pPr>
              <w:spacing w:after="0"/>
              <w:rPr>
                <w:sz w:val="22"/>
                <w:szCs w:val="22"/>
                <w:color w:val="auto"/>
              </w:rPr>
            </w:pPr>
          </w:p>
        </w:tc>
        <w:tc>
          <w:tcPr>
            <w:tcW w:w="880" w:type="dxa"/>
            <w:vAlign w:val="bottom"/>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2,650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Acquisition-related integration costs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2,130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2,280</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88%</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56"/>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Intangible asset amortization expense</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90%</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20"/>
                <w:szCs w:val="20"/>
                <w:color w:val="auto"/>
              </w:rPr>
              <w:t>GAAP ETR</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10%</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189"/>
        </w:trPr>
        <w:tc>
          <w:tcPr>
            <w:tcW w:w="5340" w:type="dxa"/>
            <w:vAlign w:val="bottom"/>
            <w:shd w:val="clear" w:color="auto" w:fill="CCEEFF"/>
          </w:tcPr>
          <w:p>
            <w:pPr>
              <w:ind w:left="220"/>
              <w:spacing w:after="0" w:line="189" w:lineRule="exact"/>
              <w:rPr>
                <w:sz w:val="20"/>
                <w:szCs w:val="20"/>
                <w:color w:val="auto"/>
              </w:rPr>
            </w:pPr>
            <w:r>
              <w:rPr>
                <w:rFonts w:ascii="Arial" w:cs="Arial" w:eastAsia="Arial" w:hAnsi="Arial"/>
                <w:sz w:val="20"/>
                <w:szCs w:val="20"/>
                <w:color w:val="auto"/>
              </w:rPr>
              <w:t>Income tax effect of GAAP to non-GAAP reconciling</w:t>
            </w:r>
          </w:p>
        </w:tc>
        <w:tc>
          <w:tcPr>
            <w:tcW w:w="600" w:type="dxa"/>
            <w:vAlign w:val="bottom"/>
            <w:shd w:val="clear" w:color="auto" w:fill="CCEEFF"/>
          </w:tcPr>
          <w:p>
            <w:pPr>
              <w:spacing w:after="0"/>
              <w:rPr>
                <w:sz w:val="16"/>
                <w:szCs w:val="16"/>
                <w:color w:val="auto"/>
              </w:rPr>
            </w:pPr>
          </w:p>
        </w:tc>
        <w:tc>
          <w:tcPr>
            <w:tcW w:w="1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items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40" w:type="dxa"/>
            <w:vAlign w:val="bottom"/>
          </w:tcPr>
          <w:p>
            <w:pPr>
              <w:ind w:left="20"/>
              <w:spacing w:after="0"/>
              <w:rPr>
                <w:sz w:val="20"/>
                <w:szCs w:val="20"/>
                <w:color w:val="auto"/>
              </w:rPr>
            </w:pPr>
            <w:r>
              <w:rPr>
                <w:rFonts w:ascii="Arial" w:cs="Arial" w:eastAsia="Arial" w:hAnsi="Arial"/>
                <w:sz w:val="20"/>
                <w:szCs w:val="20"/>
                <w:color w:val="auto"/>
              </w:rPr>
              <w:t>Non-GAAP ETR</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w:t>
            </w: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00"/>
          </w:cols>
          <w:pgMar w:left="320" w:top="1045" w:right="1079" w:bottom="1440" w:gutter="0" w:footer="0" w:header="0"/>
        </w:sectPr>
      </w:pPr>
    </w:p>
    <w:bookmarkStart w:id="12" w:name="page13"/>
    <w:bookmarkEnd w:id="12"/>
    <w:p>
      <w:pPr>
        <w:ind w:left="394" w:right="80" w:hanging="394"/>
        <w:spacing w:after="0" w:line="216" w:lineRule="auto"/>
        <w:tabs>
          <w:tab w:leader="none" w:pos="394" w:val="left"/>
        </w:tabs>
        <w:numPr>
          <w:ilvl w:val="0"/>
          <w:numId w:val="20"/>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t>This press release uses non-GAAP R&amp;D, non-GAAP SG&amp;A, non-GAAP COGS, non-GAAP gross margin on net product sales, non-GAAP other income (expense), net, non-GAAP ETR, non-GAAP net income, non-GAAP net income per share, total revenues excluding REGEN-COV and Ronapreve,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6" w:lineRule="exact"/>
        <w:rPr>
          <w:rFonts w:ascii="Arial" w:cs="Arial" w:eastAsia="Arial" w:hAnsi="Arial"/>
          <w:sz w:val="16"/>
          <w:szCs w:val="16"/>
          <w:color w:val="auto"/>
        </w:rPr>
      </w:pPr>
    </w:p>
    <w:p>
      <w:pPr>
        <w:ind w:left="394" w:right="160"/>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restructuring- or integration-related expenses).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72" w:lineRule="exact"/>
        <w:rPr>
          <w:rFonts w:ascii="Arial" w:cs="Arial" w:eastAsia="Arial" w:hAnsi="Arial"/>
          <w:sz w:val="16"/>
          <w:szCs w:val="16"/>
          <w:color w:val="auto"/>
        </w:rPr>
      </w:pPr>
    </w:p>
    <w:p>
      <w:pPr>
        <w:ind w:left="394" w:right="360" w:hanging="394"/>
        <w:spacing w:after="0" w:line="227" w:lineRule="auto"/>
        <w:tabs>
          <w:tab w:leader="none" w:pos="394" w:val="left"/>
        </w:tabs>
        <w:numPr>
          <w:ilvl w:val="0"/>
          <w:numId w:val="20"/>
        </w:numPr>
        <w:rPr>
          <w:rFonts w:ascii="Arial" w:cs="Arial" w:eastAsia="Arial" w:hAnsi="Arial"/>
          <w:sz w:val="16"/>
          <w:szCs w:val="16"/>
          <w:color w:val="auto"/>
        </w:rPr>
      </w:pPr>
      <w:r>
        <w:rPr>
          <w:rFonts w:ascii="Arial" w:cs="Arial" w:eastAsia="Arial" w:hAnsi="Arial"/>
          <w:sz w:val="20"/>
          <w:szCs w:val="20"/>
          <w:color w:val="auto"/>
        </w:rPr>
        <w:t>The casirivimab and imdevimab antibody cocktail for COVID-19 is known as REGEN-COV in the United States and Ronapreve in other countries. The Company records net product sales of REGEN-COV in the United States and Roche records net product sales of Ronapreve outside the United States.</w:t>
      </w:r>
    </w:p>
    <w:p>
      <w:pPr>
        <w:spacing w:after="0" w:line="49" w:lineRule="exact"/>
        <w:rPr>
          <w:rFonts w:ascii="Arial" w:cs="Arial" w:eastAsia="Arial" w:hAnsi="Arial"/>
          <w:sz w:val="16"/>
          <w:szCs w:val="16"/>
          <w:color w:val="auto"/>
        </w:rPr>
      </w:pPr>
    </w:p>
    <w:p>
      <w:pPr>
        <w:ind w:left="394" w:right="840" w:hanging="394"/>
        <w:spacing w:after="0" w:line="234" w:lineRule="auto"/>
        <w:tabs>
          <w:tab w:leader="none" w:pos="394" w:val="left"/>
        </w:tabs>
        <w:numPr>
          <w:ilvl w:val="0"/>
          <w:numId w:val="20"/>
        </w:numPr>
        <w:rPr>
          <w:rFonts w:ascii="Arial" w:cs="Arial" w:eastAsia="Arial" w:hAnsi="Arial"/>
          <w:sz w:val="16"/>
          <w:szCs w:val="16"/>
          <w:color w:val="auto"/>
        </w:rPr>
      </w:pPr>
      <w:r>
        <w:rPr>
          <w:rFonts w:ascii="Arial" w:cs="Arial" w:eastAsia="Arial" w:hAnsi="Arial"/>
          <w:sz w:val="20"/>
          <w:szCs w:val="20"/>
          <w:color w:val="auto"/>
        </w:rPr>
        <w:t>The Company's 2023 financial guidance does not assume the completion of any significant business development transactions not completed as of the date of this press release.</w:t>
      </w:r>
    </w:p>
    <w:p>
      <w:pPr>
        <w:spacing w:after="0" w:line="51" w:lineRule="exact"/>
        <w:rPr>
          <w:rFonts w:ascii="Arial" w:cs="Arial" w:eastAsia="Arial" w:hAnsi="Arial"/>
          <w:sz w:val="16"/>
          <w:szCs w:val="16"/>
          <w:color w:val="auto"/>
        </w:rPr>
      </w:pPr>
    </w:p>
    <w:p>
      <w:pPr>
        <w:ind w:left="394" w:hanging="394"/>
        <w:spacing w:after="0" w:line="234" w:lineRule="auto"/>
        <w:tabs>
          <w:tab w:leader="none" w:pos="394" w:val="left"/>
        </w:tabs>
        <w:numPr>
          <w:ilvl w:val="0"/>
          <w:numId w:val="20"/>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51" w:lineRule="exact"/>
        <w:rPr>
          <w:rFonts w:ascii="Arial" w:cs="Arial" w:eastAsia="Arial" w:hAnsi="Arial"/>
          <w:sz w:val="16"/>
          <w:szCs w:val="16"/>
          <w:color w:val="auto"/>
        </w:rPr>
      </w:pPr>
    </w:p>
    <w:p>
      <w:pPr>
        <w:ind w:left="394" w:right="140" w:hanging="394"/>
        <w:spacing w:after="0" w:line="234" w:lineRule="auto"/>
        <w:tabs>
          <w:tab w:leader="none" w:pos="394" w:val="left"/>
        </w:tabs>
        <w:numPr>
          <w:ilvl w:val="0"/>
          <w:numId w:val="20"/>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51" w:lineRule="exact"/>
        <w:rPr>
          <w:rFonts w:ascii="Arial" w:cs="Arial" w:eastAsia="Arial" w:hAnsi="Arial"/>
          <w:sz w:val="16"/>
          <w:szCs w:val="16"/>
          <w:color w:val="auto"/>
        </w:rPr>
      </w:pPr>
    </w:p>
    <w:p>
      <w:pPr>
        <w:ind w:left="394" w:right="40" w:hanging="394"/>
        <w:spacing w:after="0" w:line="217" w:lineRule="auto"/>
        <w:tabs>
          <w:tab w:leader="none" w:pos="394" w:val="left"/>
        </w:tabs>
        <w:numPr>
          <w:ilvl w:val="0"/>
          <w:numId w:val="20"/>
        </w:numPr>
        <w:rPr>
          <w:rFonts w:ascii="Arial" w:cs="Arial" w:eastAsia="Arial" w:hAnsi="Arial"/>
          <w:sz w:val="16"/>
          <w:szCs w:val="16"/>
          <w:color w:val="auto"/>
        </w:rPr>
      </w:pPr>
      <w:r>
        <w:rPr>
          <w:rFonts w:ascii="Arial" w:cs="Arial" w:eastAsia="Arial" w:hAnsi="Arial"/>
          <w:sz w:val="20"/>
          <w:szCs w:val="20"/>
          <w:color w:val="auto"/>
        </w:rPr>
        <w:t>Beginning with the first quarter of 2022, the Company added Acquired in-process research and development as a new line item to its Statements of Operations, which includes IPR&amp;D acquired in connection with asset acquisitions as well as up-front/opt-in payments related to license and collaboration agreements. Amounts recorded in this line would have historically been recorded to Research and development expenses. Prior period amounts have been reclassified to conform with the current period's presentation.</w:t>
      </w:r>
    </w:p>
    <w:p>
      <w:pPr>
        <w:spacing w:after="0" w:line="94" w:lineRule="exact"/>
        <w:rPr>
          <w:rFonts w:ascii="Arial" w:cs="Arial" w:eastAsia="Arial" w:hAnsi="Arial"/>
          <w:sz w:val="16"/>
          <w:szCs w:val="16"/>
          <w:color w:val="auto"/>
        </w:rPr>
      </w:pPr>
    </w:p>
    <w:p>
      <w:pPr>
        <w:ind w:left="394" w:right="720"/>
        <w:spacing w:after="0" w:line="234" w:lineRule="auto"/>
        <w:rPr>
          <w:rFonts w:ascii="Arial" w:cs="Arial" w:eastAsia="Arial" w:hAnsi="Arial"/>
          <w:sz w:val="16"/>
          <w:szCs w:val="16"/>
          <w:color w:val="auto"/>
        </w:rPr>
      </w:pPr>
      <w:r>
        <w:rPr>
          <w:rFonts w:ascii="Arial" w:cs="Arial" w:eastAsia="Arial" w:hAnsi="Arial"/>
          <w:sz w:val="20"/>
          <w:szCs w:val="20"/>
          <w:color w:val="auto"/>
        </w:rPr>
        <w:t>Beginning with the first quarter of 2022, IPR&amp;D expenses are no longer excluded in the determination of non-GAAP financial results. Prior period non-GAAP results have also been updated to reflect these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94"/>
          </w:cols>
          <w:pgMar w:left="346" w:top="1090" w:right="35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fourth quarter and full year 2022 financial and operating results on Friday, February 3, 2023,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Regeneron is a leading biotechnology company that invents, develops, and commercializes life-transforming medicines for people with serious diseases. Founded and led for 35 years by physician-scientists, Regeneron's unique ability to repeatedly and consistently translate science into medicine has led to numerous FDA-approved treatments and product candidates in development, almost all of which were homegrown in Regeneron's laboratories. Regeneron's medicines and pipeline are designed to help patients with eye diseases, allergic and inflammatory diseases, cancer, cardiovascular and metabolic diseases, pain, hematologic conditions, infectious diseases, and rare diseases.</w:t>
      </w:r>
    </w:p>
    <w:p>
      <w:pPr>
        <w:spacing w:after="0" w:line="113" w:lineRule="exact"/>
        <w:rPr>
          <w:sz w:val="20"/>
          <w:szCs w:val="20"/>
          <w:color w:val="auto"/>
        </w:rPr>
      </w:pPr>
    </w:p>
    <w:p>
      <w:pPr>
        <w:ind w:right="380"/>
        <w:spacing w:after="0" w:line="253"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24" w:lineRule="exact"/>
        <w:rPr>
          <w:sz w:val="20"/>
          <w:szCs w:val="20"/>
          <w:color w:val="auto"/>
        </w:rPr>
      </w:pPr>
    </w:p>
    <w:p>
      <w:pPr>
        <w:ind w:right="580"/>
        <w:spacing w:after="0" w:line="371" w:lineRule="auto"/>
        <w:rPr>
          <w:sz w:val="20"/>
          <w:szCs w:val="20"/>
          <w:color w:val="auto"/>
        </w:rPr>
      </w:pPr>
      <w:r>
        <w:rPr>
          <w:rFonts w:ascii="Arial" w:cs="Arial" w:eastAsia="Arial" w:hAnsi="Arial"/>
          <w:sz w:val="22"/>
          <w:szCs w:val="22"/>
          <w:color w:val="auto"/>
        </w:rPr>
        <w:t xml:space="preserve">For additional information about Regeneron, please visit www.regeneron.com or follow @Regeneron on Twitter. </w:t>
      </w:r>
      <w:r>
        <w:rPr>
          <w:rFonts w:ascii="Arial" w:cs="Arial" w:eastAsia="Arial" w:hAnsi="Arial"/>
          <w:sz w:val="22"/>
          <w:szCs w:val="22"/>
          <w:b w:val="1"/>
          <w:bCs w:val="1"/>
          <w:color w:val="auto"/>
        </w:rPr>
        <w:t>Forward-Looking Statements and Use of Digital Media</w:t>
      </w:r>
    </w:p>
    <w:p>
      <w:pPr>
        <w:spacing w:after="0" w:line="1" w:lineRule="exact"/>
        <w:rPr>
          <w:sz w:val="20"/>
          <w:szCs w:val="20"/>
          <w:color w:val="auto"/>
        </w:rPr>
      </w:pPr>
    </w:p>
    <w:p>
      <w:pPr>
        <w:ind w:right="60"/>
        <w:spacing w:after="0" w:line="224"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 </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aflibercept 8 mg, pozelimab, odronextamab, itepekimab, fianlimab, garetosmab, linvoseltamab, REGN5713-5714-5715, Regeneron's other oncology programs (including its costimulatory</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043" w:right="359" w:bottom="1440" w:gutter="0" w:footer="0" w:header="0"/>
        </w:sectPr>
      </w:pPr>
    </w:p>
    <w:bookmarkStart w:id="14" w:name="page15"/>
    <w:bookmarkEnd w:id="14"/>
    <w:p>
      <w:pPr>
        <w:spacing w:after="0" w:line="228" w:lineRule="auto"/>
        <w:rPr>
          <w:sz w:val="20"/>
          <w:szCs w:val="20"/>
          <w:color w:val="auto"/>
        </w:rPr>
      </w:pPr>
      <w:r>
        <w:rPr>
          <w:rFonts w:ascii="Arial" w:cs="Arial" w:eastAsia="Arial" w:hAnsi="Arial"/>
          <w:sz w:val="22"/>
          <w:szCs w:val="22"/>
          <w:color w:val="auto"/>
        </w:rPr>
        <w:t>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and risks associated with intellectual property of other parties and pending or future litigation relating thereto (including without limitation the patent litigation and other related proceedings relating to EYLEA, Praluent, and REGEN-COV</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(casirivimab and imdevimab)),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883" w:right="379" w:bottom="1440" w:gutter="0" w:footer="0" w:header="0"/>
        </w:sectPr>
      </w:pPr>
    </w:p>
    <w:bookmarkStart w:id="15" w:name="page16"/>
    <w:bookmarkEnd w:id="15"/>
    <w:p>
      <w:pPr>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1045" w:right="49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260"/>
          </w:cols>
          <w:pgMar w:left="320" w:top="1045" w:right="49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1045" w:right="4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1</w:t>
      </w:r>
    </w:p>
    <w:p>
      <w:pPr>
        <w:spacing w:after="0" w:line="248" w:lineRule="exact"/>
        <w:rPr>
          <w:sz w:val="20"/>
          <w:szCs w:val="20"/>
          <w:color w:val="auto"/>
        </w:rPr>
      </w:pPr>
    </w:p>
    <w:p>
      <w:pPr>
        <w:jc w:val="center"/>
        <w:ind w:left="1200" w:right="21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REGENERON PHARMACEUTICALS, INC. CONDENSED CONSOLIDATED BALANCE SHEETS (Unaudited) </w:t>
      </w:r>
      <w:r>
        <w:rPr>
          <w:rFonts w:ascii="Times New Roman" w:cs="Times New Roman" w:eastAsia="Times New Roman" w:hAnsi="Times New Roman"/>
          <w:sz w:val="18"/>
          <w:szCs w:val="18"/>
          <w:b w:val="1"/>
          <w:bCs w:val="1"/>
          <w:i w:val="1"/>
          <w:iCs w:val="1"/>
          <w:color w:val="auto"/>
        </w:rPr>
        <w:t>(In millions)</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2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14,334.1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12,532.7</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w:t>
            </w: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3,301.4</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22,664.0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891" w:right="11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TABLE 2</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7"/>
        </w:trPr>
        <w:tc>
          <w:tcPr>
            <w:tcW w:w="3820" w:type="dxa"/>
            <w:vAlign w:val="bottom"/>
          </w:tcPr>
          <w:p>
            <w:pPr>
              <w:spacing w:after="0"/>
              <w:rPr>
                <w:sz w:val="24"/>
                <w:szCs w:val="24"/>
                <w:color w:val="auto"/>
              </w:rPr>
            </w:pPr>
          </w:p>
        </w:tc>
        <w:tc>
          <w:tcPr>
            <w:tcW w:w="3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860" w:type="dxa"/>
            <w:vAlign w:val="bottom"/>
            <w:gridSpan w:val="8"/>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3820" w:type="dxa"/>
            <w:vAlign w:val="bottom"/>
          </w:tcPr>
          <w:p>
            <w:pPr>
              <w:spacing w:after="0"/>
              <w:rPr>
                <w:sz w:val="20"/>
                <w:szCs w:val="20"/>
                <w:color w:val="auto"/>
              </w:rPr>
            </w:pPr>
          </w:p>
        </w:tc>
        <w:tc>
          <w:tcPr>
            <w:tcW w:w="3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38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650"/>
              <w:spacing w:after="0" w:line="202" w:lineRule="exact"/>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1"/>
        </w:trPr>
        <w:tc>
          <w:tcPr>
            <w:tcW w:w="3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0"/>
                <w:szCs w:val="20"/>
                <w:color w:val="auto"/>
              </w:rPr>
            </w:pPr>
          </w:p>
        </w:tc>
        <w:tc>
          <w:tcPr>
            <w:tcW w:w="21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38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line="225"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3"/>
                <w:szCs w:val="23"/>
                <w:b w:val="1"/>
                <w:bCs w:val="1"/>
                <w:color w:val="auto"/>
                <w:vertAlign w:val="superscript"/>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line="225"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3"/>
                <w:szCs w:val="23"/>
                <w:b w:val="1"/>
                <w:bCs w:val="1"/>
                <w:color w:val="auto"/>
                <w:vertAlign w:val="superscript"/>
              </w:rPr>
              <w:t>*</w:t>
            </w:r>
          </w:p>
        </w:tc>
      </w:tr>
      <w:tr>
        <w:trPr>
          <w:trHeight w:val="21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12,117.2</w:t>
            </w: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3,673.3</w:t>
            </w:r>
          </w:p>
        </w:tc>
      </w:tr>
      <w:tr>
        <w:trPr>
          <w:trHeight w:val="230"/>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w:t>
            </w:r>
          </w:p>
        </w:tc>
      </w:tr>
      <w:tr>
        <w:trPr>
          <w:trHeight w:val="223"/>
        </w:trPr>
        <w:tc>
          <w:tcPr>
            <w:tcW w:w="38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16,071.7</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2,860.1</w:t>
            </w:r>
          </w:p>
        </w:tc>
      </w:tr>
      <w:tr>
        <w:trPr>
          <w:trHeight w:val="23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w:t>
            </w: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1,773.1</w:t>
            </w: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r>
      <w:tr>
        <w:trPr>
          <w:trHeight w:val="229"/>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3"/>
        </w:trPr>
        <w:tc>
          <w:tcPr>
            <w:tcW w:w="38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7,124.9</w:t>
            </w:r>
          </w:p>
        </w:tc>
      </w:tr>
      <w:tr>
        <w:trPr>
          <w:trHeight w:val="250"/>
        </w:trPr>
        <w:tc>
          <w:tcPr>
            <w:tcW w:w="38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8,946.8</w:t>
            </w:r>
          </w:p>
        </w:tc>
      </w:tr>
      <w:tr>
        <w:trPr>
          <w:trHeight w:val="270"/>
        </w:trPr>
        <w:tc>
          <w:tcPr>
            <w:tcW w:w="3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3"/>
        </w:trPr>
        <w:tc>
          <w:tcPr>
            <w:tcW w:w="38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50"/>
        </w:trPr>
        <w:tc>
          <w:tcPr>
            <w:tcW w:w="38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9,325.8</w:t>
            </w:r>
          </w:p>
        </w:tc>
      </w:tr>
      <w:tr>
        <w:trPr>
          <w:trHeight w:val="270"/>
        </w:trPr>
        <w:tc>
          <w:tcPr>
            <w:tcW w:w="382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w:t>
            </w:r>
          </w:p>
        </w:tc>
      </w:tr>
      <w:tr>
        <w:trPr>
          <w:trHeight w:val="250"/>
        </w:trPr>
        <w:tc>
          <w:tcPr>
            <w:tcW w:w="38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8,075.3</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8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70"/>
        </w:trPr>
        <w:tc>
          <w:tcPr>
            <w:tcW w:w="3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bl>
    <w:p>
      <w:pPr>
        <w:spacing w:after="0" w:line="103" w:lineRule="exact"/>
        <w:rPr>
          <w:sz w:val="20"/>
          <w:szCs w:val="20"/>
          <w:color w:val="auto"/>
        </w:rPr>
      </w:pPr>
    </w:p>
    <w:p>
      <w:pPr>
        <w:ind w:left="380" w:hanging="138"/>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reclassifications have been made to prior period amounts to conform with the current period's presentation. See note (f) above for additional information.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89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3</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7"/>
        </w:trPr>
        <w:tc>
          <w:tcPr>
            <w:tcW w:w="60" w:type="dxa"/>
            <w:vAlign w:val="bottom"/>
          </w:tcPr>
          <w:p>
            <w:pPr>
              <w:spacing w:after="0"/>
              <w:rPr>
                <w:sz w:val="24"/>
                <w:szCs w:val="24"/>
                <w:color w:val="auto"/>
              </w:rPr>
            </w:pPr>
          </w:p>
        </w:tc>
        <w:tc>
          <w:tcPr>
            <w:tcW w:w="7560" w:type="dxa"/>
            <w:vAlign w:val="bottom"/>
            <w:gridSpan w:val="4"/>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60" w:type="dxa"/>
            <w:vAlign w:val="bottom"/>
            <w:gridSpan w:val="8"/>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INFORMATION (Unaudited)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7560" w:type="dxa"/>
            <w:vAlign w:val="bottom"/>
            <w:gridSpan w:val="4"/>
          </w:tcPr>
          <w:p>
            <w:pPr>
              <w:jc w:val="center"/>
              <w:ind w:left="3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17"/>
                <w:szCs w:val="17"/>
                <w:color w:val="auto"/>
              </w:rPr>
            </w:pPr>
          </w:p>
        </w:tc>
        <w:tc>
          <w:tcPr>
            <w:tcW w:w="1980" w:type="dxa"/>
            <w:vAlign w:val="bottom"/>
            <w:gridSpan w:val="4"/>
          </w:tcPr>
          <w:p>
            <w:pPr>
              <w:jc w:val="right"/>
              <w:ind w:right="630"/>
              <w:spacing w:after="0" w:line="202" w:lineRule="exact"/>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1"/>
        </w:trPr>
        <w:tc>
          <w:tcPr>
            <w:tcW w:w="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60" w:type="dxa"/>
            <w:vAlign w:val="bottom"/>
          </w:tcPr>
          <w:p>
            <w:pPr>
              <w:spacing w:after="0"/>
              <w:rPr>
                <w:sz w:val="20"/>
                <w:szCs w:val="20"/>
                <w:color w:val="auto"/>
              </w:rPr>
            </w:pPr>
          </w:p>
        </w:tc>
        <w:tc>
          <w:tcPr>
            <w:tcW w:w="19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60" w:type="dxa"/>
            <w:vAlign w:val="bottom"/>
          </w:tcPr>
          <w:p>
            <w:pPr>
              <w:spacing w:after="0"/>
              <w:rPr>
                <w:sz w:val="19"/>
                <w:szCs w:val="19"/>
                <w:color w:val="auto"/>
              </w:rPr>
            </w:pPr>
          </w:p>
        </w:tc>
        <w:tc>
          <w:tcPr>
            <w:tcW w:w="6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line="225"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3"/>
                <w:szCs w:val="23"/>
                <w:b w:val="1"/>
                <w:bCs w:val="1"/>
                <w:color w:val="auto"/>
                <w:vertAlign w:val="superscript"/>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line="225"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3"/>
                <w:szCs w:val="23"/>
                <w:b w:val="1"/>
                <w:bCs w:val="1"/>
                <w:color w:val="auto"/>
                <w:vertAlign w:val="superscript"/>
              </w:rPr>
              <w:t>*</w:t>
            </w:r>
          </w:p>
        </w:tc>
      </w:tr>
      <w:tr>
        <w:trPr>
          <w:trHeight w:val="223"/>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R&amp;D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2,860.1</w:t>
            </w:r>
          </w:p>
        </w:tc>
      </w:tr>
      <w:tr>
        <w:trPr>
          <w:trHeight w:val="229"/>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R&amp;D: Stock-based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R&amp;D: Acquisition-related integration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R&amp;D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2,543.5</w:t>
            </w:r>
          </w:p>
        </w:tc>
      </w:tr>
      <w:tr>
        <w:trPr>
          <w:trHeight w:val="20"/>
        </w:trPr>
        <w:tc>
          <w:tcPr>
            <w:tcW w:w="60" w:type="dxa"/>
            <w:vAlign w:val="bottom"/>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29"/>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SG&amp;A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SG&amp;A: Stock-based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9"/>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Acquisition-related integration costs and other</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60" w:type="dxa"/>
            <w:vAlign w:val="bottom"/>
          </w:tcPr>
          <w:p>
            <w:pPr>
              <w:spacing w:after="0"/>
              <w:rPr>
                <w:sz w:val="21"/>
                <w:szCs w:val="21"/>
                <w:color w:val="auto"/>
              </w:rPr>
            </w:pPr>
          </w:p>
        </w:tc>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SG&amp;A</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w:t>
            </w:r>
          </w:p>
        </w:tc>
      </w:tr>
      <w:tr>
        <w:trPr>
          <w:trHeight w:val="20"/>
        </w:trPr>
        <w:tc>
          <w:tcPr>
            <w:tcW w:w="6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COGS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1,773.1</w:t>
            </w:r>
          </w:p>
        </w:tc>
      </w:tr>
      <w:tr>
        <w:trPr>
          <w:trHeight w:val="229"/>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COGS: Stock-based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COGS: Intangible asset amortization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 w:type="dxa"/>
            <w:vAlign w:val="bottom"/>
          </w:tcPr>
          <w:p>
            <w:pPr>
              <w:spacing w:after="0"/>
              <w:rPr>
                <w:sz w:val="19"/>
                <w:szCs w:val="19"/>
                <w:color w:val="auto"/>
              </w:rPr>
            </w:pPr>
          </w:p>
        </w:tc>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COGS: Charges related to REGEN-COV</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48"/>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COGS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r>
      <w:tr>
        <w:trPr>
          <w:trHeight w:val="20"/>
        </w:trPr>
        <w:tc>
          <w:tcPr>
            <w:tcW w:w="6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other income (expense),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43"/>
        </w:trPr>
        <w:tc>
          <w:tcPr>
            <w:tcW w:w="60" w:type="dxa"/>
            <w:vAlign w:val="bottom"/>
          </w:tcPr>
          <w:p>
            <w:pPr>
              <w:spacing w:after="0"/>
              <w:rPr>
                <w:sz w:val="21"/>
                <w:szCs w:val="21"/>
                <w:color w:val="auto"/>
              </w:rPr>
            </w:pPr>
          </w:p>
        </w:tc>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income/expense: (Gains) losses on investments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r>
      <w:tr>
        <w:trPr>
          <w:trHeight w:val="248"/>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other income (expense),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6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r>
      <w:tr>
        <w:trPr>
          <w:trHeight w:val="230"/>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of GAAP to non-GAAP reconciling items above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effect of GAAP to non-GAAP reconciling items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3"/>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8,453.6</w:t>
            </w:r>
          </w:p>
        </w:tc>
      </w:tr>
      <w:tr>
        <w:trPr>
          <w:trHeight w:val="20"/>
        </w:trPr>
        <w:tc>
          <w:tcPr>
            <w:tcW w:w="60" w:type="dxa"/>
            <w:vAlign w:val="bottom"/>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29"/>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w:t>
            </w:r>
          </w:p>
        </w:tc>
      </w:tr>
      <w:tr>
        <w:trPr>
          <w:trHeight w:val="162"/>
        </w:trPr>
        <w:tc>
          <w:tcPr>
            <w:tcW w:w="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used in calculating: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bl>
    <w:p>
      <w:pPr>
        <w:spacing w:after="0" w:line="108" w:lineRule="exact"/>
        <w:rPr>
          <w:sz w:val="20"/>
          <w:szCs w:val="20"/>
          <w:color w:val="auto"/>
        </w:rPr>
      </w:pPr>
    </w:p>
    <w:p>
      <w:pPr>
        <w:ind w:left="420" w:hanging="131"/>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Prior period results have been revised to reflect certain changes to amounts excluded from non-GAAP results. See note (f) above for additional information.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891"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10000" w:type="dxa"/>
            <w:vAlign w:val="bottom"/>
            <w:gridSpan w:val="9"/>
          </w:tcPr>
          <w:p>
            <w:pPr>
              <w:ind w:left="1580"/>
              <w:spacing w:after="0"/>
              <w:rPr>
                <w:sz w:val="20"/>
                <w:szCs w:val="20"/>
                <w:color w:val="auto"/>
              </w:rPr>
            </w:pPr>
            <w:r>
              <w:rPr>
                <w:rFonts w:ascii="Times New Roman" w:cs="Times New Roman" w:eastAsia="Times New Roman" w:hAnsi="Times New Roman"/>
                <w:sz w:val="18"/>
                <w:szCs w:val="18"/>
                <w:b w:val="1"/>
                <w:bCs w:val="1"/>
                <w:color w:val="auto"/>
              </w:rPr>
              <w:t xml:space="preserve">RECONCILIATION OF GAAP TO NON-GAAP FINANCIAL INFORMATION (Unaudited) </w:t>
            </w:r>
            <w:r>
              <w:rPr>
                <w:rFonts w:ascii="Times New Roman" w:cs="Times New Roman" w:eastAsia="Times New Roman" w:hAnsi="Times New Roman"/>
                <w:sz w:val="18"/>
                <w:szCs w:val="18"/>
                <w:b w:val="1"/>
                <w:bCs w:val="1"/>
                <w:i w:val="1"/>
                <w:iCs w:val="1"/>
                <w:color w:val="auto"/>
              </w:rPr>
              <w:t>(continued)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1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0"/>
                <w:szCs w:val="20"/>
                <w:color w:val="auto"/>
              </w:rPr>
            </w:pPr>
          </w:p>
        </w:tc>
        <w:tc>
          <w:tcPr>
            <w:tcW w:w="21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63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 reconciliation: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16,071.7</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REGEN-COV net product sales in the United States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5,828.0</w:t>
            </w: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excluding REGEN-COV and Ronapreve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ETR</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effect of GAAP to non-GAAP reconciling items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ETR</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Free cash flow reconciliation: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6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0"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7"/>
        </w:trPr>
        <w:tc>
          <w:tcPr>
            <w:tcW w:w="7620" w:type="dxa"/>
            <w:vAlign w:val="bottom"/>
            <w:gridSpan w:val="4"/>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620" w:type="dxa"/>
            <w:vAlign w:val="bottom"/>
            <w:gridSpan w:val="4"/>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COLLABORATION REVENUE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6380" w:type="dxa"/>
            <w:vAlign w:val="bottom"/>
          </w:tcPr>
          <w:p>
            <w:pPr>
              <w:jc w:val="center"/>
              <w:ind w:left="479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2"/>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650"/>
              <w:spacing w:after="0" w:line="202" w:lineRule="exact"/>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1"/>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0"/>
                <w:szCs w:val="20"/>
                <w:color w:val="auto"/>
              </w:rPr>
            </w:pPr>
          </w:p>
        </w:tc>
        <w:tc>
          <w:tcPr>
            <w:tcW w:w="21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63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Antibody:</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antibodies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Immuno-oncology:</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76"/>
        </w:trPr>
        <w:tc>
          <w:tcPr>
            <w:tcW w:w="63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Regeneron's share of profits (losses) in connection with commercialization of</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6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Libtayo outside the United States</w:t>
            </w:r>
          </w:p>
        </w:tc>
        <w:tc>
          <w:tcPr>
            <w:tcW w:w="2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Reimbursement for manufacturing of ex-U.S. commercial supplies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1,902.2</w:t>
            </w:r>
          </w:p>
        </w:tc>
      </w:tr>
      <w:tr>
        <w:trPr>
          <w:trHeight w:val="250"/>
        </w:trPr>
        <w:tc>
          <w:tcPr>
            <w:tcW w:w="6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6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r>
      <w:tr>
        <w:trPr>
          <w:trHeight w:val="229"/>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for manufacturing of ex-U.S. commercial supplies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One-time payment in connection with change in Japan arrangement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1,409.3</w:t>
            </w:r>
          </w:p>
        </w:tc>
      </w:tr>
      <w:tr>
        <w:trPr>
          <w:trHeight w:val="250"/>
        </w:trPr>
        <w:tc>
          <w:tcPr>
            <w:tcW w:w="6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6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Global gross profit payment from Roche in connection with sales of REGEN-COV</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Ronapreve</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30"/>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3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3,673.3</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9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5</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7"/>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gridSpan w:val="20"/>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NET PRODUCT SALES OF REGENERON-DISCOVERED PRODUCTS (Unaudited)</w:t>
            </w:r>
          </w:p>
        </w:tc>
        <w:tc>
          <w:tcPr>
            <w:tcW w:w="146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ROW</w:t>
            </w: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ROW</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3"/>
        </w:trPr>
        <w:tc>
          <w:tcPr>
            <w:tcW w:w="40" w:type="dxa"/>
            <w:vAlign w:val="bottom"/>
          </w:tcPr>
          <w:p>
            <w:pPr>
              <w:spacing w:after="0"/>
              <w:rPr>
                <w:sz w:val="19"/>
                <w:szCs w:val="19"/>
                <w:color w:val="auto"/>
              </w:rPr>
            </w:pPr>
          </w:p>
        </w:tc>
        <w:tc>
          <w:tcPr>
            <w:tcW w:w="1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7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44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ROW</w:t>
            </w: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ROW</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3"/>
        </w:trPr>
        <w:tc>
          <w:tcPr>
            <w:tcW w:w="40" w:type="dxa"/>
            <w:vAlign w:val="bottom"/>
          </w:tcPr>
          <w:p>
            <w:pPr>
              <w:spacing w:after="0"/>
              <w:rPr>
                <w:sz w:val="19"/>
                <w:szCs w:val="19"/>
                <w:color w:val="auto"/>
              </w:rPr>
            </w:pPr>
          </w:p>
        </w:tc>
        <w:tc>
          <w:tcPr>
            <w:tcW w:w="1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7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9,243.2</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08" w:lineRule="exact"/>
        <w:rPr>
          <w:sz w:val="20"/>
          <w:szCs w:val="20"/>
          <w:color w:val="auto"/>
        </w:rPr>
      </w:pPr>
    </w:p>
    <w:p>
      <w:pPr>
        <w:jc w:val="both"/>
        <w:ind w:left="260" w:right="120" w:firstLine="2"/>
        <w:spacing w:after="0" w:line="221" w:lineRule="auto"/>
        <w:tabs>
          <w:tab w:leader="none" w:pos="3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11" w:lineRule="exact"/>
        <w:rPr>
          <w:sz w:val="20"/>
          <w:szCs w:val="20"/>
          <w:color w:val="auto"/>
        </w:rPr>
      </w:pPr>
    </w:p>
    <w:p>
      <w:pPr>
        <w:ind w:left="260" w:right="140" w:firstLine="2"/>
        <w:spacing w:after="0" w:line="204" w:lineRule="auto"/>
        <w:tabs>
          <w:tab w:leader="none" w:pos="43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6" w:lineRule="exact"/>
        <w:rPr>
          <w:rFonts w:ascii="Times New Roman" w:cs="Times New Roman" w:eastAsia="Times New Roman" w:hAnsi="Times New Roman"/>
          <w:sz w:val="22"/>
          <w:szCs w:val="22"/>
          <w:color w:val="auto"/>
          <w:vertAlign w:val="superscript"/>
        </w:rPr>
      </w:pPr>
    </w:p>
    <w:p>
      <w:pPr>
        <w:ind w:left="260" w:right="280" w:firstLine="2"/>
        <w:spacing w:after="0" w:line="204" w:lineRule="auto"/>
        <w:tabs>
          <w:tab w:leader="none" w:pos="437"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records global net product sales of Dupixent and Kevzara. The Company records its share of profits/losses in connection with global sales of Dupixent and Kevzara.</w:t>
      </w:r>
    </w:p>
    <w:p>
      <w:pPr>
        <w:spacing w:after="0" w:line="6" w:lineRule="exact"/>
        <w:rPr>
          <w:rFonts w:ascii="Times New Roman" w:cs="Times New Roman" w:eastAsia="Times New Roman" w:hAnsi="Times New Roman"/>
          <w:sz w:val="22"/>
          <w:szCs w:val="22"/>
          <w:color w:val="auto"/>
          <w:vertAlign w:val="superscript"/>
        </w:rPr>
      </w:pPr>
    </w:p>
    <w:p>
      <w:pPr>
        <w:ind w:left="260" w:right="120" w:firstLine="2"/>
        <w:spacing w:after="0" w:line="208" w:lineRule="auto"/>
        <w:tabs>
          <w:tab w:leader="none" w:pos="43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began recording net product sales of Libtayo outside the United States and pays Sanofi a royalty on global sales. Included in this line item is approximately $17 million and $34 million of net product sales recorded by Sanofi in the fourth quarter and second half of 2022, respectively, in connection with sales in certain markets (Sanofi will record net product sales in such markets during a transition period until inventory on hand as of July 1, 2022 is sold through to the end customers).</w:t>
      </w:r>
    </w:p>
    <w:p>
      <w:pPr>
        <w:spacing w:after="0" w:line="6" w:lineRule="exact"/>
        <w:rPr>
          <w:rFonts w:ascii="Times New Roman" w:cs="Times New Roman" w:eastAsia="Times New Roman" w:hAnsi="Times New Roman"/>
          <w:sz w:val="22"/>
          <w:szCs w:val="22"/>
          <w:color w:val="auto"/>
          <w:vertAlign w:val="superscript"/>
        </w:rPr>
      </w:pPr>
    </w:p>
    <w:p>
      <w:pPr>
        <w:ind w:left="260" w:right="160" w:firstLine="2"/>
        <w:spacing w:after="0" w:line="204" w:lineRule="auto"/>
        <w:tabs>
          <w:tab w:leader="none" w:pos="437"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Praluent in the United States. Sanofi records net product sales of Praluent outside the United States and pays the Company a royalty on such sales.</w:t>
      </w:r>
    </w:p>
    <w:p>
      <w:pPr>
        <w:spacing w:after="0" w:line="6" w:lineRule="exact"/>
        <w:rPr>
          <w:rFonts w:ascii="Times New Roman" w:cs="Times New Roman" w:eastAsia="Times New Roman" w:hAnsi="Times New Roman"/>
          <w:sz w:val="22"/>
          <w:szCs w:val="22"/>
          <w:color w:val="auto"/>
          <w:vertAlign w:val="superscript"/>
        </w:rPr>
      </w:pPr>
    </w:p>
    <w:p>
      <w:pPr>
        <w:ind w:left="260" w:right="220" w:firstLine="2"/>
        <w:spacing w:after="0" w:line="204" w:lineRule="auto"/>
        <w:tabs>
          <w:tab w:leader="none" w:pos="43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REGEN-COV in the United States and Roche records net product sales of Ronapreve outside the United States. The parties share gross profits from global sales of REGEN-COV and Ronapreve based on a pre-specified formula.</w:t>
      </w:r>
    </w:p>
    <w:p>
      <w:pPr>
        <w:spacing w:after="0" w:line="6" w:lineRule="exact"/>
        <w:rPr>
          <w:rFonts w:ascii="Times New Roman" w:cs="Times New Roman" w:eastAsia="Times New Roman" w:hAnsi="Times New Roman"/>
          <w:sz w:val="22"/>
          <w:szCs w:val="22"/>
          <w:color w:val="auto"/>
          <w:vertAlign w:val="superscript"/>
        </w:rPr>
      </w:pPr>
    </w:p>
    <w:p>
      <w:pPr>
        <w:ind w:left="260" w:right="160" w:firstLine="2"/>
        <w:spacing w:after="0" w:line="202" w:lineRule="auto"/>
        <w:tabs>
          <w:tab w:leader="none" w:pos="417"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Included in this line item are products which are sold by the Company and others. Refer to "Fourth Quarter 2022 Financial Results" section above for a complete listing of net product sales recorded by the Company. Not included in this line item are net product sales of ARCALYST subsequent to the first quarter of 2021, which are recorded by Kiniksa.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2023-02-03T06:10:03Z</dcterms:created>
  <dcterms:modified xsi:type="dcterms:W3CDTF">2023-02-03T06:10:03Z</dcterms:modified>
</cp:coreProperties>
</file>