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880"/>
        <w:spacing w:after="0"/>
        <w:rPr>
          <w:sz w:val="20"/>
          <w:szCs w:val="20"/>
          <w:color w:val="auto"/>
        </w:rPr>
      </w:pPr>
      <w:r>
        <w:rPr>
          <w:rFonts w:ascii="Arial" w:cs="Arial" w:eastAsia="Arial" w:hAnsi="Arial"/>
          <w:sz w:val="18"/>
          <w:szCs w:val="18"/>
          <w:color w:val="auto"/>
        </w:rPr>
        <w:t>SCHEDULE 14A</w:t>
      </w:r>
    </w:p>
    <w:p>
      <w:pPr>
        <w:jc w:val="right"/>
        <w:ind w:right="4940"/>
        <w:spacing w:after="0" w:line="234" w:lineRule="auto"/>
        <w:rPr>
          <w:sz w:val="20"/>
          <w:szCs w:val="20"/>
          <w:color w:val="auto"/>
        </w:rPr>
      </w:pPr>
      <w:r>
        <w:rPr>
          <w:rFonts w:ascii="Arial" w:cs="Arial" w:eastAsia="Arial" w:hAnsi="Arial"/>
          <w:sz w:val="18"/>
          <w:szCs w:val="18"/>
          <w:color w:val="auto"/>
        </w:rPr>
        <w:t>(Rule 14a-101)</w:t>
      </w:r>
    </w:p>
    <w:p>
      <w:pPr>
        <w:jc w:val="center"/>
        <w:ind w:right="-99"/>
        <w:spacing w:after="0" w:line="235" w:lineRule="auto"/>
        <w:rPr>
          <w:sz w:val="20"/>
          <w:szCs w:val="20"/>
          <w:color w:val="auto"/>
        </w:rPr>
      </w:pPr>
      <w:r>
        <w:rPr>
          <w:rFonts w:ascii="Arial" w:cs="Arial" w:eastAsia="Arial" w:hAnsi="Arial"/>
          <w:sz w:val="18"/>
          <w:szCs w:val="18"/>
          <w:color w:val="auto"/>
        </w:rPr>
        <w:t>INFORMATION REQUIRED IN PROXY STATEMENT</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14A INFORMATION</w:t>
      </w:r>
    </w:p>
    <w:p>
      <w:pPr>
        <w:spacing w:after="0" w:line="19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 the</w:t>
      </w:r>
    </w:p>
    <w:p>
      <w:pPr>
        <w:jc w:val="center"/>
        <w:ind w:right="-99"/>
        <w:spacing w:after="0"/>
        <w:tabs>
          <w:tab w:leader="none" w:pos="140" w:val="left"/>
        </w:tabs>
        <w:rPr>
          <w:sz w:val="20"/>
          <w:szCs w:val="20"/>
          <w:color w:val="auto"/>
        </w:rPr>
      </w:pPr>
      <w:r>
        <w:rPr>
          <w:rFonts w:ascii="Arial" w:cs="Arial" w:eastAsia="Arial" w:hAnsi="Arial"/>
          <w:sz w:val="18"/>
          <w:szCs w:val="18"/>
          <w:color w:val="auto"/>
        </w:rPr>
        <w:t>Securities Exchange Act of 1934 (Amendment No.</w:t>
        <w:tab/>
        <w:t>)</w:t>
      </w:r>
    </w:p>
    <w:p>
      <w:pPr>
        <w:spacing w:after="0" w:line="1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17" w:lineRule="exact"/>
        <w:rPr>
          <w:rFonts w:ascii="Arial" w:cs="Arial" w:eastAsia="Arial" w:hAnsi="Arial"/>
          <w:sz w:val="18"/>
          <w:szCs w:val="18"/>
          <w:color w:val="auto"/>
        </w:rPr>
      </w:pPr>
    </w:p>
    <w:p>
      <w:pPr>
        <w:ind w:left="340" w:right="8300" w:hanging="332"/>
        <w:spacing w:after="0" w:line="23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3"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 w:lineRule="exact"/>
        <w:rPr>
          <w:sz w:val="24"/>
          <w:szCs w:val="24"/>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6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71"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680" w:hanging="335"/>
        <w:spacing w:after="0" w:line="246"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37"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340" w:right="160" w:hanging="332"/>
        <w:spacing w:after="0" w:line="24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2"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-2967990</wp:posOffset>
            </wp:positionV>
            <wp:extent cx="6703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-2676525</wp:posOffset>
            </wp:positionV>
            <wp:extent cx="6703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-2221865</wp:posOffset>
            </wp:positionV>
            <wp:extent cx="6703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-1930400</wp:posOffset>
            </wp:positionV>
            <wp:extent cx="6703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-1638935</wp:posOffset>
            </wp:positionV>
            <wp:extent cx="6703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-507365</wp:posOffset>
            </wp:positionV>
            <wp:extent cx="6703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-215900</wp:posOffset>
            </wp:positionV>
            <wp:extent cx="6703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74930</wp:posOffset>
            </wp:positionV>
            <wp:extent cx="6703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-721995</wp:posOffset>
            </wp:positionV>
            <wp:extent cx="6703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242" w:right="4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8889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8936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right="2319"/>
        <w:spacing w:after="0" w:line="252" w:lineRule="auto"/>
        <w:rPr>
          <w:sz w:val="20"/>
          <w:szCs w:val="20"/>
          <w:color w:val="auto"/>
        </w:rPr>
      </w:pPr>
      <w:r>
        <w:rPr>
          <w:rFonts w:ascii="Arial" w:cs="Arial" w:eastAsia="Arial" w:hAnsi="Arial"/>
          <w:sz w:val="53"/>
          <w:szCs w:val="53"/>
          <w:b w:val="1"/>
          <w:bCs w:val="1"/>
          <w:color w:val="FFFFFF"/>
        </w:rPr>
        <w:t>PROXY STATEMENT AND NOTICE OF ANNUAL SHAREHOLDER MEETING</w:t>
      </w:r>
    </w:p>
    <w:p>
      <w:pPr>
        <w:spacing w:after="0" w:line="6" w:lineRule="exact"/>
        <w:rPr>
          <w:sz w:val="20"/>
          <w:szCs w:val="20"/>
          <w:color w:val="auto"/>
        </w:rPr>
      </w:pPr>
    </w:p>
    <w:p>
      <w:pPr>
        <w:spacing w:after="0"/>
        <w:rPr>
          <w:sz w:val="20"/>
          <w:szCs w:val="20"/>
          <w:color w:val="auto"/>
        </w:rPr>
      </w:pPr>
      <w:r>
        <w:rPr>
          <w:rFonts w:ascii="Arial" w:cs="Arial" w:eastAsia="Arial" w:hAnsi="Arial"/>
          <w:sz w:val="162"/>
          <w:szCs w:val="162"/>
          <w:color w:val="FFFFFF"/>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5551805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99"/>
          </w:cols>
          <w:pgMar w:left="1360" w:top="1440" w:right="1440" w:bottom="1440" w:gutter="0" w:footer="0" w:header="0"/>
        </w:sectPr>
      </w:pPr>
    </w:p>
    <w:bookmarkStart w:id="2" w:name="page3"/>
    <w:bookmarkEnd w:id="2"/>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902970</wp:posOffset>
            </wp:positionV>
            <wp:extent cx="38576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57625" cy="8890"/>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268605</wp:posOffset>
            </wp:positionV>
            <wp:extent cx="171450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05740"/>
                    </a:xfrm>
                    <a:prstGeom prst="rect">
                      <a:avLst/>
                    </a:prstGeom>
                    <a:noFill/>
                  </pic:spPr>
                </pic:pic>
              </a:graphicData>
            </a:graphic>
          </wp:anchor>
        </w:drawing>
      </w:r>
    </w:p>
    <w:p>
      <w:pPr>
        <w:spacing w:after="0"/>
        <w:rPr>
          <w:sz w:val="20"/>
          <w:szCs w:val="20"/>
          <w:color w:val="auto"/>
        </w:rPr>
      </w:pPr>
      <w:r>
        <w:rPr>
          <w:rFonts w:ascii="Arial" w:cs="Arial" w:eastAsia="Arial" w:hAnsi="Arial"/>
          <w:sz w:val="27"/>
          <w:szCs w:val="27"/>
          <w:b w:val="1"/>
          <w:bCs w:val="1"/>
          <w:color w:val="205BA8"/>
        </w:rPr>
        <w:t>PLEASE VIEW OUR 2020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00AEEF"/>
        </w:rPr>
        <w:t>investor.regeneron.com/2020AR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2601595</wp:posOffset>
            </wp:positionV>
            <wp:extent cx="38576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5762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115570</wp:posOffset>
            </wp:positionV>
            <wp:extent cx="3857625" cy="2177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5762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399"/>
        <w:spacing w:after="0" w:line="277" w:lineRule="auto"/>
        <w:rPr>
          <w:sz w:val="20"/>
          <w:szCs w:val="20"/>
          <w:color w:val="auto"/>
        </w:rPr>
      </w:pPr>
      <w:r>
        <w:rPr>
          <w:rFonts w:ascii="Arial" w:cs="Arial" w:eastAsia="Arial" w:hAnsi="Arial"/>
          <w:sz w:val="27"/>
          <w:szCs w:val="27"/>
          <w:b w:val="1"/>
          <w:bCs w:val="1"/>
          <w:color w:val="205BA8"/>
        </w:rPr>
        <w:t>PLEASE VIEW OUR 2020 RESPONSIBILITY REPORT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00AEEF"/>
        </w:rPr>
        <w:t>investor.regeneron.com/2020RR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115570</wp:posOffset>
            </wp:positionV>
            <wp:extent cx="7132320" cy="2383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r>
    </w:p>
    <w:p>
      <w:pPr>
        <w:sectPr>
          <w:pgSz w:w="11900" w:h="16838" w:orient="portrait"/>
          <w:cols w:equalWidth="0" w:num="1">
            <w:col w:w="9919"/>
          </w:cols>
          <w:pgMar w:left="540" w:top="1440" w:right="1440" w:bottom="1440" w:gutter="0" w:footer="0" w:header="0"/>
        </w:sectPr>
      </w:pPr>
    </w:p>
    <w:bookmarkStart w:id="3" w:name="page4"/>
    <w:bookmarkEnd w:id="3"/>
    <w:p>
      <w:pPr>
        <w:ind w:left="1520"/>
        <w:spacing w:after="0"/>
        <w:rPr>
          <w:sz w:val="20"/>
          <w:szCs w:val="20"/>
          <w:color w:val="auto"/>
        </w:rPr>
      </w:pPr>
      <w:r>
        <w:rPr>
          <w:rFonts w:ascii="Arial" w:cs="Arial" w:eastAsia="Arial" w:hAnsi="Arial"/>
          <w:sz w:val="59"/>
          <w:szCs w:val="59"/>
          <w:b w:val="1"/>
          <w:bCs w:val="1"/>
          <w:color w:val="205BA8"/>
        </w:rPr>
        <w:drawing>
          <wp:anchor simplePos="0" relativeHeight="251657728" behindDoc="1" locked="0" layoutInCell="0" allowOverlap="1">
            <wp:simplePos x="0" y="0"/>
            <wp:positionH relativeFrom="page">
              <wp:posOffset>387985</wp:posOffset>
            </wp:positionH>
            <wp:positionV relativeFrom="page">
              <wp:posOffset>269240</wp:posOffset>
            </wp:positionV>
            <wp:extent cx="6772275" cy="88468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772275" cy="8846820"/>
                    </a:xfrm>
                    <a:prstGeom prst="rect">
                      <a:avLst/>
                    </a:prstGeom>
                    <a:noFill/>
                  </pic:spPr>
                </pic:pic>
              </a:graphicData>
            </a:graphic>
          </wp:anchor>
        </w:drawing>
        <w:t>2020 BY THE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1460" w:type="dxa"/>
        <w:tblCellMar>
          <w:top w:w="0" w:type="dxa"/>
          <w:left w:w="0" w:type="dxa"/>
          <w:bottom w:w="0" w:type="dxa"/>
          <w:right w:w="0" w:type="dxa"/>
        </w:tblCellMar>
      </w:tblPr>
      <w:tr>
        <w:trPr>
          <w:trHeight w:val="172"/>
        </w:trPr>
        <w:tc>
          <w:tcPr>
            <w:tcW w:w="2200" w:type="dxa"/>
            <w:vAlign w:val="bottom"/>
          </w:tcPr>
          <w:p>
            <w:pPr>
              <w:spacing w:after="0"/>
              <w:rPr>
                <w:sz w:val="20"/>
                <w:szCs w:val="20"/>
                <w:color w:val="auto"/>
              </w:rPr>
            </w:pPr>
            <w:r>
              <w:rPr>
                <w:rFonts w:ascii="Arial" w:cs="Arial" w:eastAsia="Arial" w:hAnsi="Arial"/>
                <w:sz w:val="15"/>
                <w:szCs w:val="15"/>
                <w:b w:val="1"/>
                <w:bCs w:val="1"/>
                <w:color w:val="205BA8"/>
              </w:rPr>
              <w:t>30 investigational medicines</w:t>
            </w:r>
          </w:p>
        </w:tc>
        <w:tc>
          <w:tcPr>
            <w:tcW w:w="2280" w:type="dxa"/>
            <w:vAlign w:val="bottom"/>
          </w:tcPr>
          <w:p>
            <w:pPr>
              <w:ind w:left="100"/>
              <w:spacing w:after="0"/>
              <w:rPr>
                <w:sz w:val="20"/>
                <w:szCs w:val="20"/>
                <w:color w:val="auto"/>
              </w:rPr>
            </w:pPr>
            <w:r>
              <w:rPr>
                <w:rFonts w:ascii="Arial" w:cs="Arial" w:eastAsia="Arial" w:hAnsi="Arial"/>
                <w:sz w:val="15"/>
                <w:szCs w:val="15"/>
                <w:b w:val="1"/>
                <w:bCs w:val="1"/>
                <w:color w:val="205BA8"/>
              </w:rPr>
              <w:t>115 global and U.S. patient</w:t>
            </w:r>
          </w:p>
        </w:tc>
        <w:tc>
          <w:tcPr>
            <w:tcW w:w="2140" w:type="dxa"/>
            <w:vAlign w:val="bottom"/>
          </w:tcPr>
          <w:p>
            <w:pPr>
              <w:ind w:left="120"/>
              <w:spacing w:after="0"/>
              <w:rPr>
                <w:sz w:val="20"/>
                <w:szCs w:val="20"/>
                <w:color w:val="auto"/>
              </w:rPr>
            </w:pPr>
            <w:r>
              <w:rPr>
                <w:rFonts w:ascii="Arial" w:cs="Arial" w:eastAsia="Arial" w:hAnsi="Arial"/>
                <w:sz w:val="15"/>
                <w:szCs w:val="15"/>
                <w:b w:val="1"/>
                <w:bCs w:val="1"/>
                <w:color w:val="205BA8"/>
              </w:rPr>
              <w:t>41 countries where we</w:t>
            </w:r>
          </w:p>
        </w:tc>
        <w:tc>
          <w:tcPr>
            <w:tcW w:w="2400" w:type="dxa"/>
            <w:vAlign w:val="bottom"/>
          </w:tcPr>
          <w:p>
            <w:pPr>
              <w:ind w:left="280"/>
              <w:spacing w:after="0"/>
              <w:rPr>
                <w:sz w:val="20"/>
                <w:szCs w:val="20"/>
                <w:color w:val="auto"/>
              </w:rPr>
            </w:pPr>
            <w:r>
              <w:rPr>
                <w:rFonts w:ascii="Arial" w:cs="Arial" w:eastAsia="Arial" w:hAnsi="Arial"/>
                <w:sz w:val="15"/>
                <w:szCs w:val="15"/>
                <w:b w:val="1"/>
                <w:bCs w:val="1"/>
                <w:color w:val="205BA8"/>
              </w:rPr>
              <w:t>6 U.S. marketing applications</w:t>
            </w:r>
          </w:p>
        </w:tc>
      </w:tr>
      <w:tr>
        <w:trPr>
          <w:trHeight w:val="162"/>
        </w:trPr>
        <w:tc>
          <w:tcPr>
            <w:tcW w:w="2200" w:type="dxa"/>
            <w:vAlign w:val="bottom"/>
          </w:tcPr>
          <w:p>
            <w:pPr>
              <w:spacing w:after="0" w:line="162" w:lineRule="exact"/>
              <w:rPr>
                <w:sz w:val="20"/>
                <w:szCs w:val="20"/>
                <w:color w:val="auto"/>
              </w:rPr>
            </w:pPr>
            <w:r>
              <w:rPr>
                <w:rFonts w:ascii="Arial" w:cs="Arial" w:eastAsia="Arial" w:hAnsi="Arial"/>
                <w:sz w:val="15"/>
                <w:szCs w:val="15"/>
                <w:b w:val="1"/>
                <w:bCs w:val="1"/>
                <w:color w:val="205BA8"/>
              </w:rPr>
              <w:t>in clinical development</w:t>
            </w:r>
          </w:p>
        </w:tc>
        <w:tc>
          <w:tcPr>
            <w:tcW w:w="2280" w:type="dxa"/>
            <w:vAlign w:val="bottom"/>
          </w:tcPr>
          <w:p>
            <w:pPr>
              <w:ind w:left="100"/>
              <w:spacing w:after="0" w:line="162" w:lineRule="exact"/>
              <w:rPr>
                <w:sz w:val="20"/>
                <w:szCs w:val="20"/>
                <w:color w:val="auto"/>
              </w:rPr>
            </w:pPr>
            <w:r>
              <w:rPr>
                <w:rFonts w:ascii="Arial" w:cs="Arial" w:eastAsia="Arial" w:hAnsi="Arial"/>
                <w:sz w:val="15"/>
                <w:szCs w:val="15"/>
                <w:b w:val="1"/>
                <w:bCs w:val="1"/>
                <w:color w:val="205BA8"/>
              </w:rPr>
              <w:t>advocacy and professional</w:t>
            </w:r>
          </w:p>
        </w:tc>
        <w:tc>
          <w:tcPr>
            <w:tcW w:w="2140" w:type="dxa"/>
            <w:vAlign w:val="bottom"/>
          </w:tcPr>
          <w:p>
            <w:pPr>
              <w:ind w:left="120"/>
              <w:spacing w:after="0" w:line="162" w:lineRule="exact"/>
              <w:rPr>
                <w:sz w:val="20"/>
                <w:szCs w:val="20"/>
                <w:color w:val="auto"/>
              </w:rPr>
            </w:pPr>
            <w:r>
              <w:rPr>
                <w:rFonts w:ascii="Arial" w:cs="Arial" w:eastAsia="Arial" w:hAnsi="Arial"/>
                <w:sz w:val="15"/>
                <w:szCs w:val="15"/>
                <w:b w:val="1"/>
                <w:bCs w:val="1"/>
                <w:color w:val="205BA8"/>
              </w:rPr>
              <w:t>conducted clinical trials</w:t>
            </w:r>
          </w:p>
        </w:tc>
        <w:tc>
          <w:tcPr>
            <w:tcW w:w="2400" w:type="dxa"/>
            <w:vAlign w:val="bottom"/>
          </w:tcPr>
          <w:p>
            <w:pPr>
              <w:ind w:left="280"/>
              <w:spacing w:after="0" w:line="162" w:lineRule="exact"/>
              <w:rPr>
                <w:sz w:val="20"/>
                <w:szCs w:val="20"/>
                <w:color w:val="auto"/>
              </w:rPr>
            </w:pPr>
            <w:r>
              <w:rPr>
                <w:rFonts w:ascii="Arial" w:cs="Arial" w:eastAsia="Arial" w:hAnsi="Arial"/>
                <w:sz w:val="15"/>
                <w:szCs w:val="15"/>
                <w:b w:val="1"/>
                <w:bCs w:val="1"/>
                <w:color w:val="205BA8"/>
              </w:rPr>
              <w:t>for new products or new</w:t>
            </w:r>
          </w:p>
        </w:tc>
      </w:tr>
      <w:tr>
        <w:trPr>
          <w:trHeight w:val="162"/>
        </w:trPr>
        <w:tc>
          <w:tcPr>
            <w:tcW w:w="2200" w:type="dxa"/>
            <w:vAlign w:val="bottom"/>
          </w:tcPr>
          <w:p>
            <w:pPr>
              <w:spacing w:after="0"/>
              <w:rPr>
                <w:sz w:val="14"/>
                <w:szCs w:val="14"/>
                <w:color w:val="auto"/>
              </w:rPr>
            </w:pPr>
          </w:p>
        </w:tc>
        <w:tc>
          <w:tcPr>
            <w:tcW w:w="2280" w:type="dxa"/>
            <w:vAlign w:val="bottom"/>
          </w:tcPr>
          <w:p>
            <w:pPr>
              <w:ind w:left="100"/>
              <w:spacing w:after="0" w:line="162" w:lineRule="exact"/>
              <w:rPr>
                <w:sz w:val="20"/>
                <w:szCs w:val="20"/>
                <w:color w:val="auto"/>
              </w:rPr>
            </w:pPr>
            <w:r>
              <w:rPr>
                <w:rFonts w:ascii="Arial" w:cs="Arial" w:eastAsia="Arial" w:hAnsi="Arial"/>
                <w:sz w:val="15"/>
                <w:szCs w:val="15"/>
                <w:b w:val="1"/>
                <w:bCs w:val="1"/>
                <w:color w:val="205BA8"/>
              </w:rPr>
              <w:t>societies engaged across 25</w:t>
            </w:r>
          </w:p>
        </w:tc>
        <w:tc>
          <w:tcPr>
            <w:tcW w:w="2140" w:type="dxa"/>
            <w:vAlign w:val="bottom"/>
          </w:tcPr>
          <w:p>
            <w:pPr>
              <w:spacing w:after="0"/>
              <w:rPr>
                <w:sz w:val="14"/>
                <w:szCs w:val="14"/>
                <w:color w:val="auto"/>
              </w:rPr>
            </w:pPr>
          </w:p>
        </w:tc>
        <w:tc>
          <w:tcPr>
            <w:tcW w:w="2400" w:type="dxa"/>
            <w:vAlign w:val="bottom"/>
          </w:tcPr>
          <w:p>
            <w:pPr>
              <w:ind w:left="280"/>
              <w:spacing w:after="0" w:line="162" w:lineRule="exact"/>
              <w:rPr>
                <w:sz w:val="20"/>
                <w:szCs w:val="20"/>
                <w:color w:val="auto"/>
              </w:rPr>
            </w:pPr>
            <w:r>
              <w:rPr>
                <w:rFonts w:ascii="Arial" w:cs="Arial" w:eastAsia="Arial" w:hAnsi="Arial"/>
                <w:sz w:val="15"/>
                <w:szCs w:val="15"/>
                <w:b w:val="1"/>
                <w:bCs w:val="1"/>
                <w:color w:val="205BA8"/>
              </w:rPr>
              <w:t>indications for existing</w:t>
            </w:r>
          </w:p>
        </w:tc>
      </w:tr>
      <w:tr>
        <w:trPr>
          <w:trHeight w:val="202"/>
        </w:trPr>
        <w:tc>
          <w:tcPr>
            <w:tcW w:w="2200" w:type="dxa"/>
            <w:vAlign w:val="bottom"/>
          </w:tcPr>
          <w:p>
            <w:pPr>
              <w:spacing w:after="0"/>
              <w:rPr>
                <w:sz w:val="17"/>
                <w:szCs w:val="17"/>
                <w:color w:val="auto"/>
              </w:rPr>
            </w:pPr>
          </w:p>
        </w:tc>
        <w:tc>
          <w:tcPr>
            <w:tcW w:w="2280" w:type="dxa"/>
            <w:vAlign w:val="bottom"/>
          </w:tcPr>
          <w:p>
            <w:pPr>
              <w:ind w:left="100"/>
              <w:spacing w:after="0"/>
              <w:rPr>
                <w:sz w:val="20"/>
                <w:szCs w:val="20"/>
                <w:color w:val="auto"/>
              </w:rPr>
            </w:pPr>
            <w:r>
              <w:rPr>
                <w:rFonts w:ascii="Arial" w:cs="Arial" w:eastAsia="Arial" w:hAnsi="Arial"/>
                <w:sz w:val="15"/>
                <w:szCs w:val="15"/>
                <w:b w:val="1"/>
                <w:bCs w:val="1"/>
                <w:color w:val="205BA8"/>
              </w:rPr>
              <w:t>disease states</w:t>
            </w:r>
          </w:p>
        </w:tc>
        <w:tc>
          <w:tcPr>
            <w:tcW w:w="2140" w:type="dxa"/>
            <w:vAlign w:val="bottom"/>
          </w:tcPr>
          <w:p>
            <w:pPr>
              <w:spacing w:after="0"/>
              <w:rPr>
                <w:sz w:val="17"/>
                <w:szCs w:val="17"/>
                <w:color w:val="auto"/>
              </w:rPr>
            </w:pPr>
          </w:p>
        </w:tc>
        <w:tc>
          <w:tcPr>
            <w:tcW w:w="2400" w:type="dxa"/>
            <w:vAlign w:val="bottom"/>
          </w:tcPr>
          <w:p>
            <w:pPr>
              <w:ind w:left="280"/>
              <w:spacing w:after="0"/>
              <w:rPr>
                <w:sz w:val="20"/>
                <w:szCs w:val="20"/>
                <w:color w:val="auto"/>
              </w:rPr>
            </w:pPr>
            <w:r>
              <w:rPr>
                <w:rFonts w:ascii="Arial" w:cs="Arial" w:eastAsia="Arial" w:hAnsi="Arial"/>
                <w:sz w:val="15"/>
                <w:szCs w:val="15"/>
                <w:b w:val="1"/>
                <w:bCs w:val="1"/>
                <w:color w:val="205BA8"/>
              </w:rPr>
              <w:t>products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80" w:type="dxa"/>
            <w:vAlign w:val="bottom"/>
          </w:tcPr>
          <w:p>
            <w:pPr>
              <w:ind w:left="1480"/>
              <w:spacing w:after="0"/>
              <w:rPr>
                <w:sz w:val="20"/>
                <w:szCs w:val="20"/>
                <w:color w:val="auto"/>
              </w:rPr>
            </w:pPr>
            <w:r>
              <w:rPr>
                <w:rFonts w:ascii="Arial" w:cs="Arial" w:eastAsia="Arial" w:hAnsi="Arial"/>
                <w:sz w:val="15"/>
                <w:szCs w:val="15"/>
                <w:b w:val="1"/>
                <w:bCs w:val="1"/>
                <w:color w:val="205BA8"/>
              </w:rPr>
              <w:t>$3.9 million raised from</w:t>
            </w:r>
          </w:p>
        </w:tc>
        <w:tc>
          <w:tcPr>
            <w:tcW w:w="2220" w:type="dxa"/>
            <w:vAlign w:val="bottom"/>
          </w:tcPr>
          <w:p>
            <w:pPr>
              <w:spacing w:after="0"/>
              <w:rPr>
                <w:sz w:val="20"/>
                <w:szCs w:val="20"/>
                <w:color w:val="auto"/>
              </w:rPr>
            </w:pPr>
            <w:r>
              <w:rPr>
                <w:rFonts w:ascii="Arial" w:cs="Arial" w:eastAsia="Arial" w:hAnsi="Arial"/>
                <w:sz w:val="15"/>
                <w:szCs w:val="15"/>
                <w:b w:val="1"/>
                <w:bCs w:val="1"/>
                <w:color w:val="205BA8"/>
              </w:rPr>
              <w:t>179 manuscripts published in</w:t>
            </w:r>
          </w:p>
        </w:tc>
        <w:tc>
          <w:tcPr>
            <w:tcW w:w="2200" w:type="dxa"/>
            <w:vAlign w:val="bottom"/>
          </w:tcPr>
          <w:p>
            <w:pPr>
              <w:ind w:left="80"/>
              <w:spacing w:after="0"/>
              <w:rPr>
                <w:sz w:val="20"/>
                <w:szCs w:val="20"/>
                <w:color w:val="auto"/>
              </w:rPr>
            </w:pPr>
            <w:r>
              <w:rPr>
                <w:rFonts w:ascii="Arial" w:cs="Arial" w:eastAsia="Arial" w:hAnsi="Arial"/>
                <w:sz w:val="15"/>
                <w:szCs w:val="15"/>
                <w:b w:val="1"/>
                <w:bCs w:val="1"/>
                <w:color w:val="205BA8"/>
              </w:rPr>
              <w:t>100+ Regeneron Genetics</w:t>
            </w:r>
          </w:p>
        </w:tc>
        <w:tc>
          <w:tcPr>
            <w:tcW w:w="3040" w:type="dxa"/>
            <w:vAlign w:val="bottom"/>
          </w:tcPr>
          <w:p>
            <w:pPr>
              <w:ind w:left="160"/>
              <w:spacing w:after="0"/>
              <w:rPr>
                <w:sz w:val="20"/>
                <w:szCs w:val="20"/>
                <w:color w:val="auto"/>
              </w:rPr>
            </w:pPr>
            <w:r>
              <w:rPr>
                <w:rFonts w:ascii="Arial" w:cs="Arial" w:eastAsia="Arial" w:hAnsi="Arial"/>
                <w:sz w:val="15"/>
                <w:szCs w:val="15"/>
                <w:b w:val="1"/>
                <w:bCs w:val="1"/>
                <w:color w:val="205BA8"/>
              </w:rPr>
              <w:t>Provided STEM experiences to</w:t>
            </w:r>
          </w:p>
        </w:tc>
      </w:tr>
      <w:tr>
        <w:trPr>
          <w:trHeight w:val="162"/>
        </w:trPr>
        <w:tc>
          <w:tcPr>
            <w:tcW w:w="3780" w:type="dxa"/>
            <w:vAlign w:val="bottom"/>
          </w:tcPr>
          <w:p>
            <w:pPr>
              <w:ind w:left="1480"/>
              <w:spacing w:after="0" w:line="162" w:lineRule="exact"/>
              <w:rPr>
                <w:sz w:val="20"/>
                <w:szCs w:val="20"/>
                <w:color w:val="auto"/>
              </w:rPr>
            </w:pPr>
            <w:r>
              <w:rPr>
                <w:rFonts w:ascii="Arial" w:cs="Arial" w:eastAsia="Arial" w:hAnsi="Arial"/>
                <w:sz w:val="15"/>
                <w:szCs w:val="15"/>
                <w:b w:val="1"/>
                <w:bCs w:val="1"/>
                <w:color w:val="205BA8"/>
              </w:rPr>
              <w:t>employee donations and</w:t>
            </w:r>
          </w:p>
        </w:tc>
        <w:tc>
          <w:tcPr>
            <w:tcW w:w="2220" w:type="dxa"/>
            <w:vAlign w:val="bottom"/>
          </w:tcPr>
          <w:p>
            <w:pPr>
              <w:spacing w:after="0" w:line="162" w:lineRule="exact"/>
              <w:rPr>
                <w:sz w:val="20"/>
                <w:szCs w:val="20"/>
                <w:color w:val="auto"/>
              </w:rPr>
            </w:pPr>
            <w:r>
              <w:rPr>
                <w:rFonts w:ascii="Arial" w:cs="Arial" w:eastAsia="Arial" w:hAnsi="Arial"/>
                <w:sz w:val="15"/>
                <w:szCs w:val="15"/>
                <w:b w:val="1"/>
                <w:bCs w:val="1"/>
                <w:color w:val="205BA8"/>
              </w:rPr>
              <w:t>peer-reviewed journals</w:t>
            </w:r>
          </w:p>
        </w:tc>
        <w:tc>
          <w:tcPr>
            <w:tcW w:w="2200" w:type="dxa"/>
            <w:vAlign w:val="bottom"/>
          </w:tcPr>
          <w:p>
            <w:pPr>
              <w:ind w:left="80"/>
              <w:spacing w:after="0" w:line="162" w:lineRule="exact"/>
              <w:rPr>
                <w:sz w:val="20"/>
                <w:szCs w:val="20"/>
                <w:color w:val="auto"/>
              </w:rPr>
            </w:pPr>
            <w:r>
              <w:rPr>
                <w:rFonts w:ascii="Arial" w:cs="Arial" w:eastAsia="Arial" w:hAnsi="Arial"/>
                <w:sz w:val="15"/>
                <w:szCs w:val="15"/>
                <w:b w:val="1"/>
                <w:bCs w:val="1"/>
                <w:color w:val="205BA8"/>
              </w:rPr>
              <w:t>Center collaborations in 21</w:t>
            </w:r>
          </w:p>
        </w:tc>
        <w:tc>
          <w:tcPr>
            <w:tcW w:w="3040" w:type="dxa"/>
            <w:vAlign w:val="bottom"/>
          </w:tcPr>
          <w:p>
            <w:pPr>
              <w:ind w:left="160"/>
              <w:spacing w:after="0" w:line="162" w:lineRule="exact"/>
              <w:rPr>
                <w:sz w:val="20"/>
                <w:szCs w:val="20"/>
                <w:color w:val="auto"/>
              </w:rPr>
            </w:pPr>
            <w:r>
              <w:rPr>
                <w:rFonts w:ascii="Arial" w:cs="Arial" w:eastAsia="Arial" w:hAnsi="Arial"/>
                <w:sz w:val="15"/>
                <w:szCs w:val="15"/>
                <w:b w:val="1"/>
                <w:bCs w:val="1"/>
                <w:color w:val="205BA8"/>
              </w:rPr>
              <w:t>524,000 students</w:t>
            </w:r>
          </w:p>
        </w:tc>
      </w:tr>
      <w:tr>
        <w:trPr>
          <w:trHeight w:val="162"/>
        </w:trPr>
        <w:tc>
          <w:tcPr>
            <w:tcW w:w="3780" w:type="dxa"/>
            <w:vAlign w:val="bottom"/>
          </w:tcPr>
          <w:p>
            <w:pPr>
              <w:ind w:left="1480"/>
              <w:spacing w:after="0" w:line="162" w:lineRule="exact"/>
              <w:rPr>
                <w:sz w:val="20"/>
                <w:szCs w:val="20"/>
                <w:color w:val="auto"/>
              </w:rPr>
            </w:pPr>
            <w:r>
              <w:rPr>
                <w:rFonts w:ascii="Arial" w:cs="Arial" w:eastAsia="Arial" w:hAnsi="Arial"/>
                <w:sz w:val="15"/>
                <w:szCs w:val="15"/>
                <w:b w:val="1"/>
                <w:bCs w:val="1"/>
                <w:color w:val="205BA8"/>
              </w:rPr>
              <w:t>company matches – nearly four</w:t>
            </w:r>
          </w:p>
        </w:tc>
        <w:tc>
          <w:tcPr>
            <w:tcW w:w="2220" w:type="dxa"/>
            <w:vAlign w:val="bottom"/>
          </w:tcPr>
          <w:p>
            <w:pPr>
              <w:spacing w:after="0"/>
              <w:rPr>
                <w:sz w:val="14"/>
                <w:szCs w:val="14"/>
                <w:color w:val="auto"/>
              </w:rPr>
            </w:pPr>
          </w:p>
        </w:tc>
        <w:tc>
          <w:tcPr>
            <w:tcW w:w="2200" w:type="dxa"/>
            <w:vAlign w:val="bottom"/>
          </w:tcPr>
          <w:p>
            <w:pPr>
              <w:ind w:left="80"/>
              <w:spacing w:after="0" w:line="162" w:lineRule="exact"/>
              <w:rPr>
                <w:sz w:val="20"/>
                <w:szCs w:val="20"/>
                <w:color w:val="auto"/>
              </w:rPr>
            </w:pPr>
            <w:r>
              <w:rPr>
                <w:rFonts w:ascii="Arial" w:cs="Arial" w:eastAsia="Arial" w:hAnsi="Arial"/>
                <w:sz w:val="15"/>
                <w:szCs w:val="15"/>
                <w:b w:val="1"/>
                <w:bCs w:val="1"/>
                <w:color w:val="205BA8"/>
              </w:rPr>
              <w:t>countries</w:t>
            </w:r>
          </w:p>
        </w:tc>
        <w:tc>
          <w:tcPr>
            <w:tcW w:w="3040" w:type="dxa"/>
            <w:vAlign w:val="bottom"/>
          </w:tcPr>
          <w:p>
            <w:pPr>
              <w:spacing w:after="0"/>
              <w:rPr>
                <w:sz w:val="14"/>
                <w:szCs w:val="14"/>
                <w:color w:val="auto"/>
              </w:rPr>
            </w:pPr>
          </w:p>
        </w:tc>
      </w:tr>
      <w:tr>
        <w:trPr>
          <w:trHeight w:val="202"/>
        </w:trPr>
        <w:tc>
          <w:tcPr>
            <w:tcW w:w="3780" w:type="dxa"/>
            <w:vAlign w:val="bottom"/>
          </w:tcPr>
          <w:p>
            <w:pPr>
              <w:ind w:left="1480"/>
              <w:spacing w:after="0"/>
              <w:rPr>
                <w:sz w:val="20"/>
                <w:szCs w:val="20"/>
                <w:color w:val="auto"/>
              </w:rPr>
            </w:pPr>
            <w:r>
              <w:rPr>
                <w:rFonts w:ascii="Arial" w:cs="Arial" w:eastAsia="Arial" w:hAnsi="Arial"/>
                <w:sz w:val="15"/>
                <w:szCs w:val="15"/>
                <w:b w:val="1"/>
                <w:bCs w:val="1"/>
                <w:color w:val="205BA8"/>
              </w:rPr>
              <w:t>times previous years</w:t>
            </w:r>
          </w:p>
        </w:tc>
        <w:tc>
          <w:tcPr>
            <w:tcW w:w="2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58"/>
        </w:trPr>
        <w:tc>
          <w:tcPr>
            <w:tcW w:w="3780" w:type="dxa"/>
            <w:vAlign w:val="bottom"/>
            <w:tcBorders>
              <w:bottom w:val="single" w:sz="8" w:color="C0C0C0"/>
            </w:tcBorders>
          </w:tcPr>
          <w:p>
            <w:pPr>
              <w:spacing w:after="0"/>
              <w:rPr>
                <w:sz w:val="22"/>
                <w:szCs w:val="22"/>
                <w:color w:val="auto"/>
              </w:rPr>
            </w:pPr>
          </w:p>
        </w:tc>
        <w:tc>
          <w:tcPr>
            <w:tcW w:w="2220" w:type="dxa"/>
            <w:vAlign w:val="bottom"/>
            <w:tcBorders>
              <w:bottom w:val="single" w:sz="8" w:color="C0C0C0"/>
            </w:tcBorders>
          </w:tcPr>
          <w:p>
            <w:pPr>
              <w:spacing w:after="0"/>
              <w:rPr>
                <w:sz w:val="22"/>
                <w:szCs w:val="22"/>
                <w:color w:val="auto"/>
              </w:rPr>
            </w:pPr>
          </w:p>
        </w:tc>
        <w:tc>
          <w:tcPr>
            <w:tcW w:w="2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1051" w:right="339" w:bottom="1440" w:gutter="0" w:footer="0" w:header="0"/>
        </w:sectPr>
      </w:pPr>
    </w:p>
    <w:bookmarkStart w:id="4" w:name="page5"/>
    <w:bookmarkEnd w:id="4"/>
    <w:p>
      <w:pPr>
        <w:ind w:left="360"/>
        <w:spacing w:after="0"/>
        <w:rPr>
          <w:sz w:val="20"/>
          <w:szCs w:val="20"/>
          <w:color w:val="auto"/>
        </w:rPr>
      </w:pPr>
      <w:r>
        <w:rPr>
          <w:rFonts w:ascii="Arial" w:cs="Arial" w:eastAsia="Arial" w:hAnsi="Arial"/>
          <w:sz w:val="53"/>
          <w:szCs w:val="53"/>
          <w:b w:val="1"/>
          <w:bCs w:val="1"/>
          <w:color w:val="FFFFFF"/>
        </w:rPr>
        <w:drawing>
          <wp:anchor simplePos="0" relativeHeight="251657728" behindDoc="1" locked="0" layoutInCell="0" allowOverlap="1">
            <wp:simplePos x="0" y="0"/>
            <wp:positionH relativeFrom="page">
              <wp:posOffset>362585</wp:posOffset>
            </wp:positionH>
            <wp:positionV relativeFrom="page">
              <wp:posOffset>269240</wp:posOffset>
            </wp:positionV>
            <wp:extent cx="6831965" cy="1114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831965" cy="1114425"/>
                    </a:xfrm>
                    <a:prstGeom prst="rect">
                      <a:avLst/>
                    </a:prstGeom>
                    <a:noFill/>
                  </pic:spPr>
                </pic:pic>
              </a:graphicData>
            </a:graphic>
          </wp:anchor>
        </w:drawing>
        <w:t>LETTER TO SHAREHOLDERS</w:t>
      </w:r>
    </w:p>
    <w:p>
      <w:pPr>
        <w:sectPr>
          <w:pgSz w:w="11900" w:h="16838" w:orient="portrait"/>
          <w:cols w:equalWidth="0" w:num="1">
            <w:col w:w="9019"/>
          </w:cols>
          <w:pgMar w:left="1440" w:top="12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60"/>
        <w:spacing w:after="0"/>
        <w:rPr>
          <w:sz w:val="20"/>
          <w:szCs w:val="20"/>
          <w:color w:val="auto"/>
        </w:rPr>
      </w:pPr>
      <w:r>
        <w:rPr>
          <w:rFonts w:ascii="Arial" w:cs="Arial" w:eastAsia="Arial" w:hAnsi="Arial"/>
          <w:sz w:val="29"/>
          <w:szCs w:val="29"/>
          <w:b w:val="1"/>
          <w:bCs w:val="1"/>
          <w:color w:val="C44E5E"/>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27940</wp:posOffset>
            </wp:positionV>
            <wp:extent cx="52635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196" w:lineRule="exact"/>
        <w:rPr>
          <w:sz w:val="20"/>
          <w:szCs w:val="20"/>
          <w:color w:val="auto"/>
        </w:rPr>
      </w:pPr>
    </w:p>
    <w:p>
      <w:pPr>
        <w:ind w:left="360" w:right="479"/>
        <w:spacing w:after="0" w:line="230" w:lineRule="auto"/>
        <w:rPr>
          <w:sz w:val="20"/>
          <w:szCs w:val="20"/>
          <w:color w:val="auto"/>
        </w:rPr>
      </w:pPr>
      <w:r>
        <w:rPr>
          <w:rFonts w:ascii="Arial" w:cs="Arial" w:eastAsia="Arial" w:hAnsi="Arial"/>
          <w:sz w:val="15"/>
          <w:szCs w:val="15"/>
          <w:color w:val="auto"/>
        </w:rPr>
        <w:t>When we wrote to you this time last year, the novel coronavirus, SARS-CoV-2, had recently been declared a global pandemic. Our team had quickly identified ways Regeneron could help and had already begun isolating novel antibodies to combat the disease, but no one recognized the epic, world-changing challenges COVID-19 and 2020 would bring. The numbers have been sobering – nearly 100 million people infected globally, several million dead, and almost everyone impacted in some significant way. The Regeneron team has been deeply impacted as well, from an early outbreak near our headquarters in Westchester, New York, to the personal loss of loved ones.</w:t>
      </w:r>
    </w:p>
    <w:p>
      <w:pPr>
        <w:spacing w:after="0" w:line="142" w:lineRule="exact"/>
        <w:rPr>
          <w:sz w:val="20"/>
          <w:szCs w:val="20"/>
          <w:color w:val="auto"/>
        </w:rPr>
      </w:pPr>
    </w:p>
    <w:p>
      <w:pPr>
        <w:ind w:left="360" w:right="499"/>
        <w:spacing w:after="0" w:line="230" w:lineRule="auto"/>
        <w:rPr>
          <w:sz w:val="20"/>
          <w:szCs w:val="20"/>
          <w:color w:val="auto"/>
        </w:rPr>
      </w:pPr>
      <w:r>
        <w:rPr>
          <w:rFonts w:ascii="Arial" w:cs="Arial" w:eastAsia="Arial" w:hAnsi="Arial"/>
          <w:sz w:val="15"/>
          <w:szCs w:val="15"/>
          <w:color w:val="auto"/>
        </w:rPr>
        <w:t>Despite this unprecedented public health crisis, 2020 was an inspiring year in many ways, demonstrating the power of science and the resilience of our team. We discovered, developed, and manufactured our novel REGEN-COV™ (casirivimab with imdevimab) antibody cocktail treatment for COVID-19 in record time – just 10 months from program inception through an emergency use authorization (“EUA”) from the U.S. Food and Drug Administration (“FDA”). To date, tens of thousands of patients have received REGEN-COV, and we are now working in partnership with the U.S. government, healthcare providers, and advocacy groups to ensure all appropriate patients can access it.</w:t>
      </w:r>
    </w:p>
    <w:p>
      <w:pPr>
        <w:spacing w:after="0" w:line="142" w:lineRule="exact"/>
        <w:rPr>
          <w:sz w:val="20"/>
          <w:szCs w:val="20"/>
          <w:color w:val="auto"/>
        </w:rPr>
      </w:pPr>
    </w:p>
    <w:p>
      <w:pPr>
        <w:ind w:left="360" w:right="499"/>
        <w:spacing w:after="0" w:line="229" w:lineRule="auto"/>
        <w:rPr>
          <w:sz w:val="20"/>
          <w:szCs w:val="20"/>
          <w:color w:val="auto"/>
        </w:rPr>
      </w:pPr>
      <w:r>
        <w:rPr>
          <w:rFonts w:ascii="Arial" w:cs="Arial" w:eastAsia="Arial" w:hAnsi="Arial"/>
          <w:sz w:val="15"/>
          <w:szCs w:val="15"/>
          <w:color w:val="auto"/>
        </w:rPr>
        <w:t>Unlike vaccines, which trigger the body’s own immune response to protect against infection, REGEN-COV provides virus neutralizing antibodies directly to the patient. In the pivotal Phase 3 treatment trial, REGEN-COV reduced hospitalization or death by 70% in high-risk outpatients and reduced symptom duration. As we do our part to bring this pandemic to an end, we continue to evaluate REGEN-COV in additional patient populations, at lower dose levels, and for prevention purposes. To that end, results from the Phase 3 prevention trial showed that REGEN-COV administered as a subcutaneous injection reduced the risk of symptomatic SARS-CoV-2 infections by 81% among household contacts of infected patients. As of April 2021, more than 25,000 people have participated in clinical trials of REGEN-COV, and we thank all the individuals, investigators, and collaborators.</w:t>
      </w:r>
    </w:p>
    <w:p>
      <w:pPr>
        <w:spacing w:after="0" w:line="151" w:lineRule="exact"/>
        <w:rPr>
          <w:sz w:val="20"/>
          <w:szCs w:val="20"/>
          <w:color w:val="auto"/>
        </w:rPr>
      </w:pPr>
    </w:p>
    <w:p>
      <w:pPr>
        <w:ind w:left="360" w:right="499"/>
        <w:spacing w:after="0" w:line="204" w:lineRule="auto"/>
        <w:rPr>
          <w:sz w:val="20"/>
          <w:szCs w:val="20"/>
          <w:color w:val="auto"/>
        </w:rPr>
      </w:pPr>
      <w:r>
        <w:rPr>
          <w:rFonts w:ascii="Arial" w:cs="Arial" w:eastAsia="Arial" w:hAnsi="Arial"/>
          <w:sz w:val="15"/>
          <w:szCs w:val="15"/>
          <w:color w:val="auto"/>
        </w:rPr>
        <w:t>Our financial position remained strong this year, with top-line growth of 30% and bottom-line growth of 28%</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through an increasingly diversified set of revenue and earnings streams. Total revenues for 2020 increased to $8.5 billion, compared to $6.6 billion for the full year 2019.</w:t>
      </w:r>
    </w:p>
    <w:p>
      <w:pPr>
        <w:spacing w:after="0" w:line="151" w:lineRule="exact"/>
        <w:rPr>
          <w:sz w:val="20"/>
          <w:szCs w:val="20"/>
          <w:color w:val="auto"/>
        </w:rPr>
      </w:pPr>
    </w:p>
    <w:p>
      <w:pPr>
        <w:ind w:left="360" w:right="459"/>
        <w:spacing w:after="0" w:line="211" w:lineRule="auto"/>
        <w:rPr>
          <w:sz w:val="20"/>
          <w:szCs w:val="20"/>
          <w:color w:val="auto"/>
        </w:rPr>
      </w:pPr>
      <w:r>
        <w:rPr>
          <w:rFonts w:ascii="Arial" w:cs="Arial" w:eastAsia="Arial" w:hAnsi="Arial"/>
          <w:sz w:val="15"/>
          <w:szCs w:val="15"/>
          <w:color w:val="auto"/>
        </w:rPr>
        <w:t>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(aflibercept) Injection continues to reach more patients in competitive eye disease markets, with its efficacy, safety, and convenience setting a high bar for current and potential future entries. We are confident in the durability and continued growth of this important medicine for years to come. Annual EYLEA global net product sales reached nearly $8 billion in 2020 (net product sales outside the U.S. recorded by our collaborator Bayer), and $4.9 billion in the U.S., still without a single price increase in its history.</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Looking to the rest of our growing portfolio, more than 80% of our top-line growth in 2020 came from products and</w:t>
      </w:r>
    </w:p>
    <w:p>
      <w:pPr>
        <w:ind w:left="360" w:right="399"/>
        <w:spacing w:after="0" w:line="215" w:lineRule="auto"/>
        <w:rPr>
          <w:sz w:val="20"/>
          <w:szCs w:val="20"/>
          <w:color w:val="auto"/>
        </w:rPr>
      </w:pPr>
      <w:r>
        <w:rPr>
          <w:rFonts w:ascii="Arial" w:cs="Arial" w:eastAsia="Arial" w:hAnsi="Arial"/>
          <w:sz w:val="15"/>
          <w:szCs w:val="15"/>
          <w:color w:val="auto"/>
        </w:rPr>
        <w:t>revenues other than EYLEA. Dupixent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(dupilumab) global net product sales in 2020 (recorded by our collaborator Sanofi) were more than $4 billion, reflecting growth of 75% versus 2019. This “pipeline in a product” continues to reach more patients in need with an expanded FDA indication for atopic dermatitis in patients ages 6 to 11 and an FDA acceptance of our supplemental application as an add-on treatment for children aged 6 to 11 years with uncontrolled moderate-to-severe asthma, with even more room to grow as it meets its potential to transform the treatment of certain type 2 inflammatory diseases. We also made Dupixent treatment more convenient with the FDA approval of a single-dose, 300mg pre-filled syringe.</w:t>
      </w:r>
    </w:p>
    <w:p>
      <w:pPr>
        <w:spacing w:after="0" w:line="152" w:lineRule="exact"/>
        <w:rPr>
          <w:sz w:val="20"/>
          <w:szCs w:val="20"/>
          <w:color w:val="auto"/>
        </w:rPr>
      </w:pPr>
    </w:p>
    <w:p>
      <w:pPr>
        <w:ind w:left="360" w:right="379"/>
        <w:spacing w:after="0" w:line="215" w:lineRule="auto"/>
        <w:rPr>
          <w:sz w:val="20"/>
          <w:szCs w:val="20"/>
          <w:color w:val="auto"/>
        </w:rPr>
      </w:pPr>
      <w:r>
        <w:rPr>
          <w:rFonts w:ascii="Arial" w:cs="Arial" w:eastAsia="Arial" w:hAnsi="Arial"/>
          <w:sz w:val="15"/>
          <w:szCs w:val="15"/>
          <w:color w:val="auto"/>
        </w:rPr>
        <w:t>As the foundation of our oncology portfolio, our PD-1 inhibitor Libtayo</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(cemiplimab) is achieving significant and steady growth with FDA approvals in two new indications, non-small cell lung cancer and basal cell carcinoma, in early 2021. Global net product sales for Libtayo were $348 million in 2020, representing 80% year-over-year growth. We are making progress in other cancers as well, including in March 2021 when positive results in overall survival prompted us to stop our cervical cancer trial early, with the data forming the basis of upcoming regulatory submissions. With 11 investigational therapeutics in clinic for a wide range of cancers, including eight bispecific antibodies, we continue to diversify our approach to oncology and are positioned to lead the next wave of innovation in immuno-oncology.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92710</wp:posOffset>
            </wp:positionV>
            <wp:extent cx="5212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25" w:lineRule="exact"/>
        <w:rPr>
          <w:sz w:val="20"/>
          <w:szCs w:val="20"/>
          <w:color w:val="auto"/>
        </w:rPr>
      </w:pPr>
    </w:p>
    <w:p>
      <w:pPr>
        <w:ind w:left="580" w:right="659" w:hanging="180"/>
        <w:spacing w:after="0" w:line="249" w:lineRule="auto"/>
        <w:tabs>
          <w:tab w:leader="none" w:pos="580" w:val="left"/>
        </w:tabs>
        <w:numPr>
          <w:ilvl w:val="0"/>
          <w:numId w:val="6"/>
        </w:numPr>
        <w:rPr>
          <w:rFonts w:ascii="Arial" w:cs="Arial" w:eastAsia="Arial" w:hAnsi="Arial"/>
          <w:sz w:val="14"/>
          <w:szCs w:val="14"/>
          <w:b w:val="1"/>
          <w:bCs w:val="1"/>
          <w:color w:val="205BA8"/>
        </w:rPr>
      </w:pPr>
      <w:r>
        <w:rPr>
          <w:rFonts w:ascii="Arial" w:cs="Arial" w:eastAsia="Arial" w:hAnsi="Arial"/>
          <w:sz w:val="14"/>
          <w:szCs w:val="14"/>
          <w:color w:val="auto"/>
        </w:rPr>
        <w:t>Bottom-line growth represented by non-GAAP net income per share – diluted, which is not a measure calculated in accordance with U.S. Generally Accepted Accounting Principles (“GAAP”). See Appendix A for a definition of this measure and a reconciliation of this measure to the most directly comparable GAAP financial measure.</w:t>
      </w:r>
    </w:p>
    <w:p>
      <w:pPr>
        <w:spacing w:after="0" w:line="201" w:lineRule="exact"/>
        <w:rPr>
          <w:sz w:val="20"/>
          <w:szCs w:val="20"/>
          <w:color w:val="auto"/>
        </w:rPr>
      </w:pPr>
    </w:p>
    <w:p>
      <w:pPr>
        <w:jc w:val="right"/>
        <w:ind w:right="239"/>
        <w:spacing w:after="0"/>
        <w:rPr>
          <w:sz w:val="20"/>
          <w:szCs w:val="20"/>
          <w:color w:val="auto"/>
        </w:rPr>
      </w:pPr>
      <w:r>
        <w:rPr>
          <w:rFonts w:ascii="Arial" w:cs="Arial" w:eastAsia="Arial" w:hAnsi="Arial"/>
          <w:sz w:val="13"/>
          <w:szCs w:val="13"/>
          <w:b w:val="1"/>
          <w:bCs w:val="1"/>
          <w:color w:val="205BA8"/>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158750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216" w:right="1440"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045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Our COVID-19 program and other important progress this year was made possible by decades of investment in our</w:t>
      </w:r>
    </w:p>
    <w:p>
      <w:pPr>
        <w:ind w:left="360" w:right="439"/>
        <w:spacing w:after="0" w:line="211" w:lineRule="auto"/>
        <w:rPr>
          <w:sz w:val="20"/>
          <w:szCs w:val="20"/>
          <w:color w:val="auto"/>
        </w:rPr>
      </w:pPr>
      <w:r>
        <w:rPr>
          <w:rFonts w:ascii="Arial" w:cs="Arial" w:eastAsia="Arial" w:hAnsi="Arial"/>
          <w:sz w:val="15"/>
          <w:szCs w:val="15"/>
          <w:color w:val="auto"/>
        </w:rPr>
        <w:t xml:space="preserve">foundational </w:t>
      </w:r>
      <w:r>
        <w:rPr>
          <w:rFonts w:ascii="Arial" w:cs="Arial" w:eastAsia="Arial" w:hAnsi="Arial"/>
          <w:sz w:val="15"/>
          <w:szCs w:val="15"/>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5"/>
          <w:szCs w:val="15"/>
          <w:color w:val="auto"/>
        </w:rPr>
        <w:t xml:space="preserve"> antibody discovery and development technologies, as well as in world-class manufacturing enterprise. Thanks to these investments and the hard work of our colleagues, in 2020 and early 2021 we achieved two new FDA-approvals of novel, Regeneron-discovered antibody medicines: the multi-antibody cocktail Inmazeb™ (atoltivimab, maftivimab, and odesivimab-ebgn) for Ebola, and the ANGPTL3 inhibiting antibody Evkeeza™ (evinacumab) for a rare form of inherited high cholesterol.</w:t>
      </w:r>
    </w:p>
    <w:p>
      <w:pPr>
        <w:spacing w:after="0" w:line="144" w:lineRule="exact"/>
        <w:rPr>
          <w:sz w:val="20"/>
          <w:szCs w:val="20"/>
          <w:color w:val="auto"/>
        </w:rPr>
      </w:pPr>
    </w:p>
    <w:p>
      <w:pPr>
        <w:ind w:left="360" w:right="439"/>
        <w:spacing w:after="0" w:line="229" w:lineRule="auto"/>
        <w:rPr>
          <w:sz w:val="20"/>
          <w:szCs w:val="20"/>
          <w:color w:val="auto"/>
        </w:rPr>
      </w:pPr>
      <w:r>
        <w:rPr>
          <w:rFonts w:ascii="Arial" w:cs="Arial" w:eastAsia="Arial" w:hAnsi="Arial"/>
          <w:sz w:val="15"/>
          <w:szCs w:val="15"/>
          <w:color w:val="auto"/>
        </w:rPr>
        <w:t>Regeneron is known for our science-driven approach, and as such our pipeline and research efforts continue to expand. We continue to reinvest a significant portion of our growing revenue into our R&amp;D efforts to fuel the remarkable innovation and curiosity of our world-class team. Our early pipeline is increasingly powered by genetics, thanks to significant insights</w:t>
      </w:r>
    </w:p>
    <w:p>
      <w:pPr>
        <w:spacing w:after="0" w:line="2" w:lineRule="exact"/>
        <w:rPr>
          <w:sz w:val="20"/>
          <w:szCs w:val="20"/>
          <w:color w:val="auto"/>
        </w:rPr>
      </w:pPr>
    </w:p>
    <w:p>
      <w:pPr>
        <w:ind w:left="360" w:right="479"/>
        <w:spacing w:after="0" w:line="211" w:lineRule="auto"/>
        <w:rPr>
          <w:sz w:val="20"/>
          <w:szCs w:val="20"/>
          <w:color w:val="auto"/>
        </w:rPr>
      </w:pPr>
      <w:r>
        <w:rPr>
          <w:rFonts w:ascii="Arial" w:cs="Arial" w:eastAsia="Arial" w:hAnsi="Arial"/>
          <w:sz w:val="15"/>
          <w:szCs w:val="15"/>
          <w:color w:val="auto"/>
        </w:rPr>
        <w:t>from the Regeneron Genetics Center</w:t>
      </w:r>
      <w:r>
        <w:rPr>
          <w:rFonts w:ascii="Arial" w:cs="Arial" w:eastAsia="Arial" w:hAnsi="Arial"/>
          <w:sz w:val="25"/>
          <w:szCs w:val="25"/>
          <w:color w:val="auto"/>
          <w:vertAlign w:val="superscript"/>
        </w:rPr>
        <w:t>®</w:t>
      </w:r>
      <w:r>
        <w:rPr>
          <w:rFonts w:ascii="Arial" w:cs="Arial" w:eastAsia="Arial" w:hAnsi="Arial"/>
          <w:sz w:val="15"/>
          <w:szCs w:val="15"/>
          <w:color w:val="auto"/>
        </w:rPr>
        <w:t>, which reveals new targets for exploration as well as enriching current clinical programs. Our genetics medicine efforts also include important collaborations with Intellia Therapeutics, Inc. and Alnylam Pharmaceuticals, Inc., which pair Regeneron’s biologic and antibody capabilities with cutting-edge technologies like CRISPR gene editing and RNA silencing. Both of these partnerships advanced candidates into clinical development for the first time in the past year.</w:t>
      </w:r>
    </w:p>
    <w:p>
      <w:pPr>
        <w:spacing w:after="0" w:line="144" w:lineRule="exact"/>
        <w:rPr>
          <w:sz w:val="20"/>
          <w:szCs w:val="20"/>
          <w:color w:val="auto"/>
        </w:rPr>
      </w:pPr>
    </w:p>
    <w:p>
      <w:pPr>
        <w:ind w:left="360" w:right="599"/>
        <w:spacing w:after="0" w:line="231" w:lineRule="auto"/>
        <w:rPr>
          <w:sz w:val="20"/>
          <w:szCs w:val="20"/>
          <w:color w:val="auto"/>
        </w:rPr>
      </w:pPr>
      <w:r>
        <w:rPr>
          <w:rFonts w:ascii="Arial" w:cs="Arial" w:eastAsia="Arial" w:hAnsi="Arial"/>
          <w:sz w:val="15"/>
          <w:szCs w:val="15"/>
          <w:color w:val="auto"/>
        </w:rPr>
        <w:t>While 2020 tested us in new ways, we are proud to say that the Regeneron team successfully advanced our mission of using the power of science to bring new medicines to people in need. We came together as never before. Watching our employees rally to support each other was awe-inspiring, as was the strong spirit of collaboration and pride in our collective purpose. We head into this next year with the confidence that we will continue to tackle some of the world’s biggest health and scientific challenges.</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98425</wp:posOffset>
            </wp:positionV>
            <wp:extent cx="942975" cy="300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2975" cy="3003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98425</wp:posOffset>
            </wp:positionV>
            <wp:extent cx="102870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0" cy="26543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98425</wp:posOffset>
            </wp:positionV>
            <wp:extent cx="942975" cy="3340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297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2120" w:type="dxa"/>
            <w:vAlign w:val="bottom"/>
          </w:tcPr>
          <w:p>
            <w:pPr>
              <w:spacing w:after="0"/>
              <w:rPr>
                <w:sz w:val="20"/>
                <w:szCs w:val="20"/>
                <w:color w:val="auto"/>
              </w:rPr>
            </w:pPr>
            <w:r>
              <w:rPr>
                <w:rFonts w:ascii="Arial" w:cs="Arial" w:eastAsia="Arial" w:hAnsi="Arial"/>
                <w:sz w:val="15"/>
                <w:szCs w:val="15"/>
                <w:b w:val="1"/>
                <w:bCs w:val="1"/>
                <w:color w:val="205BA8"/>
              </w:rPr>
              <w:t>P. Roy Vagelos,</w:t>
            </w:r>
          </w:p>
        </w:tc>
        <w:tc>
          <w:tcPr>
            <w:tcW w:w="2760" w:type="dxa"/>
            <w:vAlign w:val="bottom"/>
          </w:tcPr>
          <w:p>
            <w:pPr>
              <w:ind w:left="600"/>
              <w:spacing w:after="0"/>
              <w:rPr>
                <w:sz w:val="20"/>
                <w:szCs w:val="20"/>
                <w:color w:val="auto"/>
              </w:rPr>
            </w:pPr>
            <w:r>
              <w:rPr>
                <w:rFonts w:ascii="Arial" w:cs="Arial" w:eastAsia="Arial" w:hAnsi="Arial"/>
                <w:sz w:val="15"/>
                <w:szCs w:val="15"/>
                <w:b w:val="1"/>
                <w:bCs w:val="1"/>
                <w:color w:val="205BA8"/>
              </w:rPr>
              <w:t>Leonard S. Schleifer,</w:t>
            </w:r>
          </w:p>
        </w:tc>
        <w:tc>
          <w:tcPr>
            <w:tcW w:w="2400" w:type="dxa"/>
            <w:vAlign w:val="bottom"/>
          </w:tcPr>
          <w:p>
            <w:pPr>
              <w:ind w:left="620"/>
              <w:spacing w:after="0"/>
              <w:rPr>
                <w:sz w:val="20"/>
                <w:szCs w:val="20"/>
                <w:color w:val="auto"/>
              </w:rPr>
            </w:pPr>
            <w:r>
              <w:rPr>
                <w:rFonts w:ascii="Arial" w:cs="Arial" w:eastAsia="Arial" w:hAnsi="Arial"/>
                <w:sz w:val="15"/>
                <w:szCs w:val="15"/>
                <w:b w:val="1"/>
                <w:bCs w:val="1"/>
                <w:color w:val="205BA8"/>
              </w:rPr>
              <w:t>George D. Yancopoulos,</w:t>
            </w:r>
          </w:p>
        </w:tc>
      </w:tr>
      <w:tr>
        <w:trPr>
          <w:trHeight w:val="180"/>
        </w:trPr>
        <w:tc>
          <w:tcPr>
            <w:tcW w:w="2120" w:type="dxa"/>
            <w:vAlign w:val="bottom"/>
          </w:tcPr>
          <w:p>
            <w:pPr>
              <w:spacing w:after="0"/>
              <w:rPr>
                <w:sz w:val="20"/>
                <w:szCs w:val="20"/>
                <w:color w:val="auto"/>
              </w:rPr>
            </w:pPr>
            <w:r>
              <w:rPr>
                <w:rFonts w:ascii="Arial" w:cs="Arial" w:eastAsia="Arial" w:hAnsi="Arial"/>
                <w:sz w:val="15"/>
                <w:szCs w:val="15"/>
                <w:b w:val="1"/>
                <w:bCs w:val="1"/>
                <w:color w:val="205BA8"/>
              </w:rPr>
              <w:t>M.D.</w:t>
            </w:r>
          </w:p>
        </w:tc>
        <w:tc>
          <w:tcPr>
            <w:tcW w:w="2760" w:type="dxa"/>
            <w:vAlign w:val="bottom"/>
          </w:tcPr>
          <w:p>
            <w:pPr>
              <w:ind w:left="600"/>
              <w:spacing w:after="0"/>
              <w:rPr>
                <w:sz w:val="20"/>
                <w:szCs w:val="20"/>
                <w:color w:val="auto"/>
              </w:rPr>
            </w:pPr>
            <w:r>
              <w:rPr>
                <w:rFonts w:ascii="Arial" w:cs="Arial" w:eastAsia="Arial" w:hAnsi="Arial"/>
                <w:sz w:val="15"/>
                <w:szCs w:val="15"/>
                <w:b w:val="1"/>
                <w:bCs w:val="1"/>
                <w:color w:val="205BA8"/>
              </w:rPr>
              <w:t>M.D., Ph.D.</w:t>
            </w:r>
          </w:p>
        </w:tc>
        <w:tc>
          <w:tcPr>
            <w:tcW w:w="2400" w:type="dxa"/>
            <w:vAlign w:val="bottom"/>
          </w:tcPr>
          <w:p>
            <w:pPr>
              <w:ind w:left="620"/>
              <w:spacing w:after="0"/>
              <w:rPr>
                <w:sz w:val="20"/>
                <w:szCs w:val="20"/>
                <w:color w:val="auto"/>
              </w:rPr>
            </w:pPr>
            <w:r>
              <w:rPr>
                <w:rFonts w:ascii="Arial" w:cs="Arial" w:eastAsia="Arial" w:hAnsi="Arial"/>
                <w:sz w:val="15"/>
                <w:szCs w:val="15"/>
                <w:b w:val="1"/>
                <w:bCs w:val="1"/>
                <w:color w:val="205BA8"/>
              </w:rPr>
              <w:t>M.D., Ph.D.</w:t>
            </w:r>
          </w:p>
        </w:tc>
      </w:tr>
      <w:tr>
        <w:trPr>
          <w:trHeight w:val="162"/>
        </w:trPr>
        <w:tc>
          <w:tcPr>
            <w:tcW w:w="2120" w:type="dxa"/>
            <w:vAlign w:val="bottom"/>
          </w:tcPr>
          <w:p>
            <w:pPr>
              <w:spacing w:after="0" w:line="162" w:lineRule="exact"/>
              <w:rPr>
                <w:sz w:val="20"/>
                <w:szCs w:val="20"/>
                <w:color w:val="auto"/>
              </w:rPr>
            </w:pPr>
            <w:r>
              <w:rPr>
                <w:rFonts w:ascii="Arial" w:cs="Arial" w:eastAsia="Arial" w:hAnsi="Arial"/>
                <w:sz w:val="15"/>
                <w:szCs w:val="15"/>
                <w:color w:val="auto"/>
              </w:rPr>
              <w:t>Chairman of the Board</w:t>
            </w:r>
          </w:p>
        </w:tc>
        <w:tc>
          <w:tcPr>
            <w:tcW w:w="2760" w:type="dxa"/>
            <w:vAlign w:val="bottom"/>
          </w:tcPr>
          <w:p>
            <w:pPr>
              <w:ind w:left="600"/>
              <w:spacing w:after="0" w:line="162" w:lineRule="exact"/>
              <w:rPr>
                <w:sz w:val="20"/>
                <w:szCs w:val="20"/>
                <w:color w:val="auto"/>
              </w:rPr>
            </w:pPr>
            <w:r>
              <w:rPr>
                <w:rFonts w:ascii="Arial" w:cs="Arial" w:eastAsia="Arial" w:hAnsi="Arial"/>
                <w:sz w:val="15"/>
                <w:szCs w:val="15"/>
                <w:color w:val="auto"/>
              </w:rPr>
              <w:t>President and</w:t>
            </w:r>
          </w:p>
        </w:tc>
        <w:tc>
          <w:tcPr>
            <w:tcW w:w="2400" w:type="dxa"/>
            <w:vAlign w:val="bottom"/>
          </w:tcPr>
          <w:p>
            <w:pPr>
              <w:ind w:left="620"/>
              <w:spacing w:after="0" w:line="162" w:lineRule="exact"/>
              <w:rPr>
                <w:sz w:val="20"/>
                <w:szCs w:val="20"/>
                <w:color w:val="auto"/>
              </w:rPr>
            </w:pPr>
            <w:r>
              <w:rPr>
                <w:rFonts w:ascii="Arial" w:cs="Arial" w:eastAsia="Arial" w:hAnsi="Arial"/>
                <w:sz w:val="15"/>
                <w:szCs w:val="15"/>
                <w:color w:val="auto"/>
              </w:rPr>
              <w:t>President and</w:t>
            </w:r>
          </w:p>
        </w:tc>
      </w:tr>
      <w:tr>
        <w:trPr>
          <w:trHeight w:val="184"/>
        </w:trPr>
        <w:tc>
          <w:tcPr>
            <w:tcW w:w="2120" w:type="dxa"/>
            <w:vAlign w:val="bottom"/>
          </w:tcPr>
          <w:p>
            <w:pPr>
              <w:spacing w:after="0"/>
              <w:rPr>
                <w:sz w:val="16"/>
                <w:szCs w:val="16"/>
                <w:color w:val="auto"/>
              </w:rPr>
            </w:pPr>
          </w:p>
        </w:tc>
        <w:tc>
          <w:tcPr>
            <w:tcW w:w="2760" w:type="dxa"/>
            <w:vAlign w:val="bottom"/>
          </w:tcPr>
          <w:p>
            <w:pPr>
              <w:ind w:left="600"/>
              <w:spacing w:after="0"/>
              <w:rPr>
                <w:sz w:val="20"/>
                <w:szCs w:val="20"/>
                <w:color w:val="auto"/>
              </w:rPr>
            </w:pPr>
            <w:r>
              <w:rPr>
                <w:rFonts w:ascii="Arial" w:cs="Arial" w:eastAsia="Arial" w:hAnsi="Arial"/>
                <w:sz w:val="15"/>
                <w:szCs w:val="15"/>
                <w:color w:val="auto"/>
              </w:rPr>
              <w:t>Chief Executive Officer</w:t>
            </w:r>
          </w:p>
        </w:tc>
        <w:tc>
          <w:tcPr>
            <w:tcW w:w="2400" w:type="dxa"/>
            <w:vAlign w:val="bottom"/>
          </w:tcPr>
          <w:p>
            <w:pPr>
              <w:ind w:left="620"/>
              <w:spacing w:after="0"/>
              <w:rPr>
                <w:sz w:val="20"/>
                <w:szCs w:val="20"/>
                <w:color w:val="auto"/>
              </w:rPr>
            </w:pPr>
            <w:r>
              <w:rPr>
                <w:rFonts w:ascii="Arial" w:cs="Arial" w:eastAsia="Arial" w:hAnsi="Arial"/>
                <w:sz w:val="15"/>
                <w:szCs w:val="15"/>
                <w:color w:val="auto"/>
              </w:rPr>
              <w:t>Chief Scientific Officer</w:t>
            </w:r>
          </w:p>
        </w:tc>
      </w:tr>
    </w:tbl>
    <w:p>
      <w:pPr>
        <w:spacing w:after="0" w:line="364"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205BA8"/>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158750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9001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900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80"/>
        <w:spacing w:after="0"/>
        <w:rPr>
          <w:sz w:val="20"/>
          <w:szCs w:val="20"/>
          <w:color w:val="auto"/>
        </w:rPr>
      </w:pPr>
      <w:r>
        <w:rPr>
          <w:rFonts w:ascii="Arial" w:cs="Arial" w:eastAsia="Arial" w:hAnsi="Arial"/>
          <w:sz w:val="12"/>
          <w:szCs w:val="12"/>
          <w:b w:val="1"/>
          <w:bCs w:val="1"/>
          <w:color w:val="205BA8"/>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406400</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ind w:left="3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345440</wp:posOffset>
            </wp:positionH>
            <wp:positionV relativeFrom="page">
              <wp:posOffset>371475</wp:posOffset>
            </wp:positionV>
            <wp:extent cx="685800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00" cy="17145"/>
                    </a:xfrm>
                    <a:prstGeom prst="rect">
                      <a:avLst/>
                    </a:prstGeom>
                    <a:noFill/>
                  </pic:spPr>
                </pic:pic>
              </a:graphicData>
            </a:graphic>
          </wp:anchor>
        </w:drawing>
        <w:drawing>
          <wp:anchor simplePos="0" relativeHeight="251657728" behindDoc="1" locked="0" layoutInCell="0" allowOverlap="1">
            <wp:simplePos x="0" y="0"/>
            <wp:positionH relativeFrom="page">
              <wp:posOffset>1142365</wp:posOffset>
            </wp:positionH>
            <wp:positionV relativeFrom="page">
              <wp:posOffset>594360</wp:posOffset>
            </wp:positionV>
            <wp:extent cx="171450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05740"/>
                    </a:xfrm>
                    <a:prstGeom prst="rect">
                      <a:avLst/>
                    </a:prstGeom>
                    <a:noFill/>
                  </pic:spPr>
                </pic:pic>
              </a:graphicData>
            </a:graphic>
          </wp:anchor>
        </w:drawing>
        <w:t>REGENERON PHARMACEUTICALS, INC.</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777 Old Saw Mill River Road</w:t>
      </w:r>
    </w:p>
    <w:p>
      <w:pPr>
        <w:ind w:left="360"/>
        <w:spacing w:after="0"/>
        <w:rPr>
          <w:sz w:val="20"/>
          <w:szCs w:val="20"/>
          <w:color w:val="auto"/>
        </w:rPr>
      </w:pPr>
      <w:r>
        <w:rPr>
          <w:rFonts w:ascii="Arial" w:cs="Arial" w:eastAsia="Arial" w:hAnsi="Arial"/>
          <w:sz w:val="15"/>
          <w:szCs w:val="15"/>
          <w:color w:val="auto"/>
        </w:rPr>
        <w:t>Tarrytown, New York 10591-6707</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29"/>
          <w:szCs w:val="29"/>
          <w:b w:val="1"/>
          <w:bCs w:val="1"/>
          <w:color w:val="C44E5E"/>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27940</wp:posOffset>
            </wp:positionV>
            <wp:extent cx="52635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196" w:lineRule="exact"/>
        <w:rPr>
          <w:sz w:val="20"/>
          <w:szCs w:val="20"/>
          <w:color w:val="auto"/>
        </w:rPr>
      </w:pPr>
    </w:p>
    <w:p>
      <w:pPr>
        <w:ind w:left="360" w:right="639"/>
        <w:spacing w:after="0" w:line="233" w:lineRule="auto"/>
        <w:rPr>
          <w:sz w:val="20"/>
          <w:szCs w:val="20"/>
          <w:color w:val="auto"/>
        </w:rPr>
      </w:pPr>
      <w:r>
        <w:rPr>
          <w:rFonts w:ascii="Arial" w:cs="Arial" w:eastAsia="Arial" w:hAnsi="Arial"/>
          <w:sz w:val="15"/>
          <w:szCs w:val="15"/>
          <w:color w:val="auto"/>
        </w:rPr>
        <w:t>The 2021 Annual Meeting of Shareholders of Regeneron Pharmaceuticals, Inc. (the “Company”) will be held on Friday, June 11, 2021, commencing at 10:30 a.m., Eastern Time, virtually via the Internet and, if required by New York law (as discussed below), at the Westchester Marriott Hotel, 670 White Plains Road, Tarrytown, New York, for the following purposes:</w:t>
      </w:r>
    </w:p>
    <w:p>
      <w:pPr>
        <w:spacing w:after="0" w:line="140" w:lineRule="exact"/>
        <w:rPr>
          <w:sz w:val="20"/>
          <w:szCs w:val="20"/>
          <w:color w:val="auto"/>
        </w:rPr>
      </w:pPr>
    </w:p>
    <w:p>
      <w:pPr>
        <w:ind w:left="700" w:hanging="336"/>
        <w:spacing w:after="0"/>
        <w:tabs>
          <w:tab w:leader="none" w:pos="700" w:val="left"/>
        </w:tabs>
        <w:numPr>
          <w:ilvl w:val="0"/>
          <w:numId w:val="7"/>
        </w:numPr>
        <w:rPr>
          <w:rFonts w:ascii="Arial" w:cs="Arial" w:eastAsia="Arial" w:hAnsi="Arial"/>
          <w:sz w:val="15"/>
          <w:szCs w:val="15"/>
          <w:b w:val="1"/>
          <w:bCs w:val="1"/>
          <w:color w:val="205BA8"/>
        </w:rPr>
      </w:pPr>
      <w:r>
        <w:rPr>
          <w:rFonts w:ascii="Arial" w:cs="Arial" w:eastAsia="Arial" w:hAnsi="Arial"/>
          <w:sz w:val="15"/>
          <w:szCs w:val="15"/>
          <w:color w:val="auto"/>
        </w:rPr>
        <w:t>to elect four Class III directors for a three-year term;</w:t>
      </w:r>
    </w:p>
    <w:p>
      <w:pPr>
        <w:spacing w:after="0" w:line="71" w:lineRule="exact"/>
        <w:rPr>
          <w:sz w:val="20"/>
          <w:szCs w:val="20"/>
          <w:color w:val="auto"/>
        </w:rPr>
      </w:pPr>
    </w:p>
    <w:p>
      <w:pPr>
        <w:ind w:left="700" w:right="339" w:hanging="336"/>
        <w:spacing w:after="0" w:line="242" w:lineRule="auto"/>
        <w:tabs>
          <w:tab w:leader="none" w:pos="700" w:val="left"/>
        </w:tabs>
        <w:numPr>
          <w:ilvl w:val="0"/>
          <w:numId w:val="8"/>
        </w:numPr>
        <w:rPr>
          <w:rFonts w:ascii="Arial" w:cs="Arial" w:eastAsia="Arial" w:hAnsi="Arial"/>
          <w:sz w:val="15"/>
          <w:szCs w:val="15"/>
          <w:b w:val="1"/>
          <w:bCs w:val="1"/>
          <w:color w:val="205BA8"/>
        </w:rPr>
      </w:pPr>
      <w:r>
        <w:rPr>
          <w:rFonts w:ascii="Arial" w:cs="Arial" w:eastAsia="Arial" w:hAnsi="Arial"/>
          <w:sz w:val="15"/>
          <w:szCs w:val="15"/>
          <w:color w:val="auto"/>
        </w:rPr>
        <w:t>to ratify the appointment of PricewaterhouseCoopers LLP as the Company’s independent registered public accounting firm for the fiscal year ending December 31, 2021; and</w:t>
      </w:r>
    </w:p>
    <w:p>
      <w:pPr>
        <w:spacing w:after="0" w:line="57" w:lineRule="exact"/>
        <w:rPr>
          <w:sz w:val="20"/>
          <w:szCs w:val="20"/>
          <w:color w:val="auto"/>
        </w:rPr>
      </w:pPr>
    </w:p>
    <w:p>
      <w:pPr>
        <w:ind w:left="700" w:right="359" w:hanging="336"/>
        <w:spacing w:after="0" w:line="242" w:lineRule="auto"/>
        <w:tabs>
          <w:tab w:leader="none" w:pos="700" w:val="left"/>
        </w:tabs>
        <w:numPr>
          <w:ilvl w:val="0"/>
          <w:numId w:val="9"/>
        </w:numPr>
        <w:rPr>
          <w:rFonts w:ascii="Arial" w:cs="Arial" w:eastAsia="Arial" w:hAnsi="Arial"/>
          <w:sz w:val="15"/>
          <w:szCs w:val="15"/>
          <w:b w:val="1"/>
          <w:bCs w:val="1"/>
          <w:color w:val="205BA8"/>
        </w:rPr>
      </w:pPr>
      <w:r>
        <w:rPr>
          <w:rFonts w:ascii="Arial" w:cs="Arial" w:eastAsia="Arial" w:hAnsi="Arial"/>
          <w:sz w:val="15"/>
          <w:szCs w:val="15"/>
          <w:color w:val="auto"/>
        </w:rPr>
        <w:t>to act upon such other matters as may properly come before the meeting and any adjournment(s) or postponement(s) thereof.</w:t>
      </w:r>
    </w:p>
    <w:p>
      <w:pPr>
        <w:spacing w:after="0" w:line="138" w:lineRule="exact"/>
        <w:rPr>
          <w:sz w:val="20"/>
          <w:szCs w:val="20"/>
          <w:color w:val="auto"/>
        </w:rPr>
      </w:pPr>
    </w:p>
    <w:p>
      <w:pPr>
        <w:ind w:left="360" w:right="579"/>
        <w:spacing w:after="0" w:line="242" w:lineRule="auto"/>
        <w:rPr>
          <w:sz w:val="20"/>
          <w:szCs w:val="20"/>
          <w:color w:val="auto"/>
        </w:rPr>
      </w:pPr>
      <w:r>
        <w:rPr>
          <w:rFonts w:ascii="Arial" w:cs="Arial" w:eastAsia="Arial" w:hAnsi="Arial"/>
          <w:sz w:val="15"/>
          <w:szCs w:val="15"/>
          <w:color w:val="auto"/>
        </w:rPr>
        <w:t>The board of directors has fixed the close of business on April 13, 2021 as the record date for determining shareholders entitled to notice of, and to vote at, the Annual Meeting and at any adjournment(s) or postponement(s) thereof.</w:t>
      </w:r>
    </w:p>
    <w:p>
      <w:pPr>
        <w:spacing w:after="0" w:line="138" w:lineRule="exact"/>
        <w:rPr>
          <w:sz w:val="20"/>
          <w:szCs w:val="20"/>
          <w:color w:val="auto"/>
        </w:rPr>
      </w:pPr>
    </w:p>
    <w:p>
      <w:pPr>
        <w:ind w:left="360" w:right="399"/>
        <w:spacing w:after="0"/>
        <w:rPr>
          <w:sz w:val="20"/>
          <w:szCs w:val="20"/>
          <w:color w:val="auto"/>
        </w:rPr>
      </w:pPr>
      <w:r>
        <w:rPr>
          <w:rFonts w:ascii="Arial" w:cs="Arial" w:eastAsia="Arial" w:hAnsi="Arial"/>
          <w:sz w:val="15"/>
          <w:szCs w:val="15"/>
          <w:color w:val="auto"/>
        </w:rPr>
        <w:t>Pursuant to the rules of the Securities and Exchange Commission (the “SEC”), we have elected to use the “Notice and Access” method of providing our proxy materials over the Internet. Accordingly, we will mail, beginning on or about April 23, 2021, a Notice of Internet Availability of Proxy Materials to our shareholders of record and beneficial owners as of the record date (other than (i) those who previously elected to receive proxy materials by e-mail, (ii) those who have previously asked to receive paper copies of the proxy materials, and (iii) shareholders who participate and hold shares of common stock in the Regeneron Pharmaceuticals, Inc. 401(k) Savings Plan or the Regeneron Ireland Share Participation Plan).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spacing w:after="0" w:line="240" w:lineRule="exact"/>
        <w:rPr>
          <w:sz w:val="20"/>
          <w:szCs w:val="20"/>
          <w:color w:val="auto"/>
        </w:rPr>
      </w:pPr>
    </w:p>
    <w:p>
      <w:pPr>
        <w:ind w:left="360" w:right="399"/>
        <w:spacing w:after="0" w:line="233" w:lineRule="auto"/>
        <w:rPr>
          <w:sz w:val="20"/>
          <w:szCs w:val="20"/>
          <w:color w:val="auto"/>
        </w:rPr>
      </w:pPr>
      <w:r>
        <w:rPr>
          <w:rFonts w:ascii="Arial" w:cs="Arial" w:eastAsia="Arial" w:hAnsi="Arial"/>
          <w:sz w:val="15"/>
          <w:szCs w:val="15"/>
          <w:color w:val="auto"/>
        </w:rPr>
        <w:t>The Notice of Internet Availability of Proxy Materials also contains a toll-free telephone number, an e-mail address, and a website where shareholders can request a paper or electronic copy of the proxy statement, our 2020 annual report, and/or a form of proxy relating to the Annual Meeting. These materials are available free of charge. The Notice also contains information on how to access and vote the form of proxy.</w:t>
      </w:r>
    </w:p>
    <w:p>
      <w:pPr>
        <w:spacing w:after="0" w:line="140" w:lineRule="exact"/>
        <w:rPr>
          <w:sz w:val="20"/>
          <w:szCs w:val="20"/>
          <w:color w:val="auto"/>
        </w:rPr>
      </w:pPr>
    </w:p>
    <w:p>
      <w:pPr>
        <w:ind w:left="360" w:right="399"/>
        <w:spacing w:after="0"/>
        <w:rPr>
          <w:sz w:val="20"/>
          <w:szCs w:val="20"/>
          <w:color w:val="auto"/>
        </w:rPr>
      </w:pPr>
      <w:r>
        <w:rPr>
          <w:rFonts w:ascii="Arial" w:cs="Arial" w:eastAsia="Arial" w:hAnsi="Arial"/>
          <w:sz w:val="15"/>
          <w:szCs w:val="15"/>
          <w:color w:val="auto"/>
        </w:rPr>
        <w:t xml:space="preserve">Due to continuing concerns regarding the COVID-19 pandemic and to assist in protecting the health and well-being of our shareholders, directors, and employees, we have opted to hold the Annual Meeting as a virtual-only meeting. Shareholders will be able to attend the Annual Meeting and participate electronically, which will allow them to vote their shares on the date of the Annual Meeting and ask questions during the meeting. Under New York law, the legal requirement to include an in-person option has been waived by relevant governmental action. If this waiver is no longer in effect for the Annual Meeting, shareholders will have the option to attend the Annual Meeting in person at the Westchester Marriott Hotel, 670 White Plains Road, Tarrytown, New York (or at another venue if required by the circumstances). In any such case, we would notify our shareholders in advance on our website and by issuing a press release and filing it as additional proxy material with the SEC. Please visit our website at </w:t>
      </w:r>
      <w:r>
        <w:rPr>
          <w:rFonts w:ascii="Arial" w:cs="Arial" w:eastAsia="Arial" w:hAnsi="Arial"/>
          <w:sz w:val="15"/>
          <w:szCs w:val="15"/>
          <w:b w:val="1"/>
          <w:bCs w:val="1"/>
          <w:color w:val="auto"/>
        </w:rPr>
        <w:t>http://newsroom.regeneron.com</w:t>
      </w:r>
      <w:r>
        <w:rPr>
          <w:rFonts w:ascii="Arial" w:cs="Arial" w:eastAsia="Arial" w:hAnsi="Arial"/>
          <w:sz w:val="15"/>
          <w:szCs w:val="15"/>
          <w:color w:val="auto"/>
        </w:rPr>
        <w:t xml:space="preserve"> for the most up-to-date information on the Annual Meeting, including information regarding any government-imposed limits on public gatherings or any procedures and limitations concerning in-person attendees applicable to the Annual Meeting that may be in effect at that time.</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55245</wp:posOffset>
            </wp:positionV>
            <wp:extent cx="1285875" cy="411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58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Joseph J. LaRosa</w:t>
      </w:r>
    </w:p>
    <w:p>
      <w:pPr>
        <w:ind w:left="360"/>
        <w:spacing w:after="0" w:line="225" w:lineRule="auto"/>
        <w:rPr>
          <w:sz w:val="20"/>
          <w:szCs w:val="20"/>
          <w:color w:val="auto"/>
        </w:rPr>
      </w:pPr>
      <w:r>
        <w:rPr>
          <w:rFonts w:ascii="Arial" w:cs="Arial" w:eastAsia="Arial" w:hAnsi="Arial"/>
          <w:sz w:val="15"/>
          <w:szCs w:val="15"/>
          <w:color w:val="auto"/>
        </w:rPr>
        <w:t>Executive Vice President, General Counsel and Secretary</w:t>
      </w:r>
    </w:p>
    <w:p>
      <w:pPr>
        <w:ind w:left="360"/>
        <w:spacing w:after="0"/>
        <w:rPr>
          <w:sz w:val="20"/>
          <w:szCs w:val="20"/>
          <w:color w:val="auto"/>
        </w:rPr>
      </w:pPr>
      <w:r>
        <w:rPr>
          <w:rFonts w:ascii="Arial" w:cs="Arial" w:eastAsia="Arial" w:hAnsi="Arial"/>
          <w:sz w:val="15"/>
          <w:szCs w:val="15"/>
          <w:color w:val="auto"/>
        </w:rPr>
        <w:t>April 23, 2021</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205BA8"/>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158750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28"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9001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858000" cy="900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180"/>
        <w:spacing w:after="0"/>
        <w:rPr>
          <w:sz w:val="20"/>
          <w:szCs w:val="20"/>
          <w:color w:val="auto"/>
        </w:rPr>
      </w:pPr>
      <w:r>
        <w:rPr>
          <w:rFonts w:ascii="Arial" w:cs="Arial" w:eastAsia="Arial" w:hAnsi="Arial"/>
          <w:sz w:val="12"/>
          <w:szCs w:val="12"/>
          <w:b w:val="1"/>
          <w:bCs w:val="1"/>
          <w:color w:val="205BA8"/>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ind w:left="180"/>
        <w:spacing w:after="0"/>
        <w:rPr>
          <w:sz w:val="20"/>
          <w:szCs w:val="20"/>
          <w:color w:val="auto"/>
        </w:rPr>
      </w:pPr>
      <w:r>
        <w:rPr>
          <w:rFonts w:ascii="Arial" w:cs="Arial" w:eastAsia="Arial" w:hAnsi="Arial"/>
          <w:sz w:val="53"/>
          <w:szCs w:val="53"/>
          <w:b w:val="1"/>
          <w:bCs w:val="1"/>
          <w:color w:val="205BA8"/>
        </w:rPr>
        <w:drawing>
          <wp:anchor simplePos="0" relativeHeight="251657728" behindDoc="1" locked="0" layoutInCell="0" allowOverlap="1">
            <wp:simplePos x="0" y="0"/>
            <wp:positionH relativeFrom="page">
              <wp:posOffset>345440</wp:posOffset>
            </wp:positionH>
            <wp:positionV relativeFrom="page">
              <wp:posOffset>397510</wp:posOffset>
            </wp:positionV>
            <wp:extent cx="68580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00" cy="17145"/>
                    </a:xfrm>
                    <a:prstGeom prst="rect">
                      <a:avLst/>
                    </a:prstGeom>
                    <a:noFill/>
                  </pic:spPr>
                </pic:pic>
              </a:graphicData>
            </a:graphic>
          </wp:anchor>
        </w:drawing>
        <w:t>TABLE OF CONTENTS</w:t>
      </w:r>
    </w:p>
    <w:p>
      <w:pPr>
        <w:sectPr>
          <w:pgSz w:w="11900" w:h="16838" w:orient="portrait"/>
          <w:cols w:equalWidth="0" w:num="1">
            <w:col w:w="9140"/>
          </w:cols>
          <w:pgMar w:left="1440" w:top="1000" w:right="1319" w:bottom="1440" w:gutter="0" w:footer="0" w:header="0"/>
        </w:sectPr>
      </w:pPr>
    </w:p>
    <w:p>
      <w:pPr>
        <w:spacing w:after="0" w:line="200" w:lineRule="exact"/>
        <w:rPr>
          <w:sz w:val="20"/>
          <w:szCs w:val="20"/>
          <w:color w:val="auto"/>
        </w:rPr>
      </w:pPr>
    </w:p>
    <w:p>
      <w:pPr>
        <w:spacing w:after="0" w:line="266" w:lineRule="exact"/>
        <w:rPr>
          <w:sz w:val="20"/>
          <w:szCs w:val="20"/>
          <w:color w:val="auto"/>
        </w:rPr>
      </w:pPr>
    </w:p>
    <w:tbl>
      <w:tblPr>
        <w:tblLayout w:type="fixed"/>
        <w:tblInd w:w="180" w:type="dxa"/>
        <w:tblCellMar>
          <w:top w:w="0" w:type="dxa"/>
          <w:left w:w="0" w:type="dxa"/>
          <w:bottom w:w="0" w:type="dxa"/>
          <w:right w:w="0" w:type="dxa"/>
        </w:tblCellMar>
      </w:tblPr>
      <w:tr>
        <w:trPr>
          <w:trHeight w:val="202"/>
        </w:trPr>
        <w:tc>
          <w:tcPr>
            <w:tcW w:w="3780" w:type="dxa"/>
            <w:vAlign w:val="bottom"/>
          </w:tcPr>
          <w:p>
            <w:pPr>
              <w:spacing w:after="0"/>
              <w:rPr>
                <w:rFonts w:ascii="Arial" w:cs="Arial" w:eastAsia="Arial" w:hAnsi="Arial"/>
                <w:sz w:val="15"/>
                <w:szCs w:val="15"/>
                <w:b w:val="1"/>
                <w:bCs w:val="1"/>
                <w:color w:val="205BA8"/>
              </w:rPr>
            </w:pPr>
            <w:hyperlink w:anchor="page12">
              <w:r>
                <w:rPr>
                  <w:rFonts w:ascii="Arial" w:cs="Arial" w:eastAsia="Arial" w:hAnsi="Arial"/>
                  <w:sz w:val="15"/>
                  <w:szCs w:val="15"/>
                  <w:b w:val="1"/>
                  <w:bCs w:val="1"/>
                  <w:color w:val="205BA8"/>
                </w:rPr>
                <w:t>Users’ Guide</w:t>
              </w:r>
            </w:hyperlink>
          </w:p>
        </w:tc>
        <w:tc>
          <w:tcPr>
            <w:tcW w:w="320" w:type="dxa"/>
            <w:vAlign w:val="bottom"/>
          </w:tcPr>
          <w:p>
            <w:pPr>
              <w:jc w:val="right"/>
              <w:spacing w:after="0"/>
              <w:rPr>
                <w:sz w:val="20"/>
                <w:szCs w:val="20"/>
                <w:color w:val="auto"/>
              </w:rPr>
            </w:pPr>
            <w:r>
              <w:rPr>
                <w:rFonts w:ascii="Arial" w:cs="Arial" w:eastAsia="Arial" w:hAnsi="Arial"/>
                <w:sz w:val="15"/>
                <w:szCs w:val="15"/>
                <w:b w:val="1"/>
                <w:bCs w:val="1"/>
                <w:color w:val="205BA8"/>
              </w:rPr>
              <w:t>1</w:t>
            </w:r>
          </w:p>
        </w:tc>
      </w:tr>
      <w:tr>
        <w:trPr>
          <w:trHeight w:val="243"/>
        </w:trPr>
        <w:tc>
          <w:tcPr>
            <w:tcW w:w="3780" w:type="dxa"/>
            <w:vAlign w:val="bottom"/>
          </w:tcPr>
          <w:p>
            <w:pPr>
              <w:spacing w:after="0"/>
              <w:rPr>
                <w:rFonts w:ascii="Arial" w:cs="Arial" w:eastAsia="Arial" w:hAnsi="Arial"/>
                <w:sz w:val="15"/>
                <w:szCs w:val="15"/>
                <w:b w:val="1"/>
                <w:bCs w:val="1"/>
                <w:color w:val="auto"/>
              </w:rPr>
            </w:pPr>
            <w:hyperlink w:anchor="page12">
              <w:r>
                <w:rPr>
                  <w:rFonts w:ascii="Arial" w:cs="Arial" w:eastAsia="Arial" w:hAnsi="Arial"/>
                  <w:sz w:val="15"/>
                  <w:szCs w:val="15"/>
                  <w:b w:val="1"/>
                  <w:bCs w:val="1"/>
                  <w:color w:val="auto"/>
                </w:rPr>
                <w:t>Proxy Dashboard</w:t>
              </w:r>
            </w:hyperlink>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1</w:t>
            </w:r>
          </w:p>
        </w:tc>
      </w:tr>
      <w:tr>
        <w:trPr>
          <w:trHeight w:val="243"/>
        </w:trPr>
        <w:tc>
          <w:tcPr>
            <w:tcW w:w="3780" w:type="dxa"/>
            <w:vAlign w:val="bottom"/>
          </w:tcPr>
          <w:p>
            <w:pPr>
              <w:spacing w:after="0"/>
              <w:rPr>
                <w:rFonts w:ascii="Arial" w:cs="Arial" w:eastAsia="Arial" w:hAnsi="Arial"/>
                <w:sz w:val="15"/>
                <w:szCs w:val="15"/>
                <w:b w:val="1"/>
                <w:bCs w:val="1"/>
                <w:color w:val="auto"/>
              </w:rPr>
            </w:pPr>
            <w:hyperlink w:anchor="page13">
              <w:r>
                <w:rPr>
                  <w:rFonts w:ascii="Arial" w:cs="Arial" w:eastAsia="Arial" w:hAnsi="Arial"/>
                  <w:sz w:val="15"/>
                  <w:szCs w:val="15"/>
                  <w:b w:val="1"/>
                  <w:bCs w:val="1"/>
                  <w:color w:val="auto"/>
                </w:rPr>
                <w:t>Proxy Highlights</w:t>
              </w:r>
            </w:hyperlink>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2</w:t>
            </w:r>
          </w:p>
        </w:tc>
      </w:tr>
      <w:tr>
        <w:trPr>
          <w:trHeight w:val="243"/>
        </w:trPr>
        <w:tc>
          <w:tcPr>
            <w:tcW w:w="3780" w:type="dxa"/>
            <w:vAlign w:val="bottom"/>
          </w:tcPr>
          <w:p>
            <w:pPr>
              <w:spacing w:after="0"/>
              <w:rPr>
                <w:rFonts w:ascii="Arial" w:cs="Arial" w:eastAsia="Arial" w:hAnsi="Arial"/>
                <w:sz w:val="15"/>
                <w:szCs w:val="15"/>
                <w:b w:val="1"/>
                <w:bCs w:val="1"/>
                <w:color w:val="auto"/>
              </w:rPr>
            </w:pPr>
            <w:hyperlink w:anchor="page14">
              <w:r>
                <w:rPr>
                  <w:rFonts w:ascii="Arial" w:cs="Arial" w:eastAsia="Arial" w:hAnsi="Arial"/>
                  <w:sz w:val="15"/>
                  <w:szCs w:val="15"/>
                  <w:b w:val="1"/>
                  <w:bCs w:val="1"/>
                  <w:color w:val="auto"/>
                </w:rPr>
                <w:t>General Information about the Meeting</w:t>
              </w:r>
            </w:hyperlink>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3</w:t>
            </w:r>
          </w:p>
        </w:tc>
      </w:tr>
      <w:tr>
        <w:trPr>
          <w:trHeight w:val="243"/>
        </w:trPr>
        <w:tc>
          <w:tcPr>
            <w:tcW w:w="3780" w:type="dxa"/>
            <w:vAlign w:val="bottom"/>
          </w:tcPr>
          <w:p>
            <w:pPr>
              <w:spacing w:after="0"/>
              <w:rPr>
                <w:rFonts w:ascii="Arial" w:cs="Arial" w:eastAsia="Arial" w:hAnsi="Arial"/>
                <w:sz w:val="15"/>
                <w:szCs w:val="15"/>
                <w:b w:val="1"/>
                <w:bCs w:val="1"/>
                <w:color w:val="205BA8"/>
              </w:rPr>
            </w:pPr>
            <w:hyperlink w:anchor="page20">
              <w:r>
                <w:rPr>
                  <w:rFonts w:ascii="Arial" w:cs="Arial" w:eastAsia="Arial" w:hAnsi="Arial"/>
                  <w:sz w:val="15"/>
                  <w:szCs w:val="15"/>
                  <w:b w:val="1"/>
                  <w:bCs w:val="1"/>
                  <w:color w:val="205BA8"/>
                </w:rPr>
                <w:t>Board of Directors</w:t>
              </w:r>
            </w:hyperlink>
          </w:p>
        </w:tc>
        <w:tc>
          <w:tcPr>
            <w:tcW w:w="320" w:type="dxa"/>
            <w:vAlign w:val="bottom"/>
          </w:tcPr>
          <w:p>
            <w:pPr>
              <w:jc w:val="right"/>
              <w:spacing w:after="0"/>
              <w:rPr>
                <w:sz w:val="20"/>
                <w:szCs w:val="20"/>
                <w:color w:val="auto"/>
              </w:rPr>
            </w:pPr>
            <w:r>
              <w:rPr>
                <w:rFonts w:ascii="Arial" w:cs="Arial" w:eastAsia="Arial" w:hAnsi="Arial"/>
                <w:sz w:val="15"/>
                <w:szCs w:val="15"/>
                <w:b w:val="1"/>
                <w:bCs w:val="1"/>
                <w:color w:val="205BA8"/>
              </w:rPr>
              <w:t>9</w:t>
            </w:r>
          </w:p>
        </w:tc>
      </w:tr>
      <w:tr>
        <w:trPr>
          <w:trHeight w:val="243"/>
        </w:trPr>
        <w:tc>
          <w:tcPr>
            <w:tcW w:w="3780" w:type="dxa"/>
            <w:vAlign w:val="bottom"/>
          </w:tcPr>
          <w:p>
            <w:pPr>
              <w:spacing w:after="0"/>
              <w:rPr>
                <w:rFonts w:ascii="Arial" w:cs="Arial" w:eastAsia="Arial" w:hAnsi="Arial"/>
                <w:sz w:val="15"/>
                <w:szCs w:val="15"/>
                <w:b w:val="1"/>
                <w:bCs w:val="1"/>
                <w:color w:val="auto"/>
              </w:rPr>
            </w:pPr>
            <w:hyperlink w:anchor="page20">
              <w:r>
                <w:rPr>
                  <w:rFonts w:ascii="Arial" w:cs="Arial" w:eastAsia="Arial" w:hAnsi="Arial"/>
                  <w:sz w:val="15"/>
                  <w:szCs w:val="15"/>
                  <w:b w:val="1"/>
                  <w:bCs w:val="1"/>
                  <w:color w:val="auto"/>
                </w:rPr>
                <w:t>Meet the Board</w:t>
              </w:r>
            </w:hyperlink>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9</w:t>
            </w:r>
          </w:p>
        </w:tc>
      </w:tr>
      <w:tr>
        <w:trPr>
          <w:trHeight w:val="243"/>
        </w:trPr>
        <w:tc>
          <w:tcPr>
            <w:tcW w:w="3780" w:type="dxa"/>
            <w:vAlign w:val="bottom"/>
          </w:tcPr>
          <w:p>
            <w:pPr>
              <w:spacing w:after="0"/>
              <w:rPr>
                <w:rFonts w:ascii="Arial" w:cs="Arial" w:eastAsia="Arial" w:hAnsi="Arial"/>
                <w:sz w:val="15"/>
                <w:szCs w:val="15"/>
                <w:b w:val="1"/>
                <w:bCs w:val="1"/>
                <w:color w:val="auto"/>
              </w:rPr>
            </w:pPr>
            <w:hyperlink w:anchor="page33">
              <w:r>
                <w:rPr>
                  <w:rFonts w:ascii="Arial" w:cs="Arial" w:eastAsia="Arial" w:hAnsi="Arial"/>
                  <w:sz w:val="15"/>
                  <w:szCs w:val="15"/>
                  <w:b w:val="1"/>
                  <w:bCs w:val="1"/>
                  <w:color w:val="auto"/>
                </w:rPr>
                <w:t>Board Committees</w:t>
              </w:r>
            </w:hyperlink>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22</w:t>
            </w:r>
          </w:p>
        </w:tc>
      </w:tr>
      <w:tr>
        <w:trPr>
          <w:trHeight w:val="243"/>
        </w:trPr>
        <w:tc>
          <w:tcPr>
            <w:tcW w:w="3780" w:type="dxa"/>
            <w:vAlign w:val="bottom"/>
          </w:tcPr>
          <w:p>
            <w:pPr>
              <w:spacing w:after="0"/>
              <w:rPr>
                <w:rFonts w:ascii="Arial" w:cs="Arial" w:eastAsia="Arial" w:hAnsi="Arial"/>
                <w:sz w:val="15"/>
                <w:szCs w:val="15"/>
                <w:b w:val="1"/>
                <w:bCs w:val="1"/>
                <w:color w:val="auto"/>
              </w:rPr>
            </w:pPr>
            <w:hyperlink w:anchor="page35">
              <w:r>
                <w:rPr>
                  <w:rFonts w:ascii="Arial" w:cs="Arial" w:eastAsia="Arial" w:hAnsi="Arial"/>
                  <w:sz w:val="15"/>
                  <w:szCs w:val="15"/>
                  <w:b w:val="1"/>
                  <w:bCs w:val="1"/>
                  <w:color w:val="auto"/>
                </w:rPr>
                <w:t>Board Governance</w:t>
              </w:r>
            </w:hyperlink>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24</w:t>
            </w:r>
          </w:p>
        </w:tc>
      </w:tr>
      <w:tr>
        <w:trPr>
          <w:trHeight w:val="243"/>
        </w:trPr>
        <w:tc>
          <w:tcPr>
            <w:tcW w:w="3780" w:type="dxa"/>
            <w:vAlign w:val="bottom"/>
          </w:tcPr>
          <w:p>
            <w:pPr>
              <w:ind w:left="180"/>
              <w:spacing w:after="0"/>
              <w:rPr>
                <w:rFonts w:ascii="Arial" w:cs="Arial" w:eastAsia="Arial" w:hAnsi="Arial"/>
                <w:sz w:val="15"/>
                <w:szCs w:val="15"/>
                <w:color w:val="auto"/>
              </w:rPr>
            </w:pPr>
            <w:hyperlink w:anchor="page35">
              <w:r>
                <w:rPr>
                  <w:rFonts w:ascii="Arial" w:cs="Arial" w:eastAsia="Arial" w:hAnsi="Arial"/>
                  <w:sz w:val="15"/>
                  <w:szCs w:val="15"/>
                  <w:color w:val="auto"/>
                </w:rPr>
                <w:t>Board Structure</w:t>
              </w:r>
            </w:hyperlink>
          </w:p>
        </w:tc>
        <w:tc>
          <w:tcPr>
            <w:tcW w:w="32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43"/>
        </w:trPr>
        <w:tc>
          <w:tcPr>
            <w:tcW w:w="3780" w:type="dxa"/>
            <w:vAlign w:val="bottom"/>
          </w:tcPr>
          <w:p>
            <w:pPr>
              <w:ind w:left="180"/>
              <w:spacing w:after="0"/>
              <w:rPr>
                <w:rFonts w:ascii="Arial" w:cs="Arial" w:eastAsia="Arial" w:hAnsi="Arial"/>
                <w:sz w:val="15"/>
                <w:szCs w:val="15"/>
                <w:color w:val="auto"/>
              </w:rPr>
            </w:pPr>
            <w:hyperlink w:anchor="page35">
              <w:r>
                <w:rPr>
                  <w:rFonts w:ascii="Arial" w:cs="Arial" w:eastAsia="Arial" w:hAnsi="Arial"/>
                  <w:sz w:val="15"/>
                  <w:szCs w:val="15"/>
                  <w:color w:val="auto"/>
                </w:rPr>
                <w:t>Board Meetings and Attendance of Directors</w:t>
              </w:r>
            </w:hyperlink>
          </w:p>
        </w:tc>
        <w:tc>
          <w:tcPr>
            <w:tcW w:w="32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21"/>
        </w:trPr>
        <w:tc>
          <w:tcPr>
            <w:tcW w:w="3780" w:type="dxa"/>
            <w:vAlign w:val="bottom"/>
          </w:tcPr>
          <w:p>
            <w:pPr>
              <w:ind w:left="180"/>
              <w:spacing w:after="0"/>
              <w:rPr>
                <w:rFonts w:ascii="Arial" w:cs="Arial" w:eastAsia="Arial" w:hAnsi="Arial"/>
                <w:sz w:val="15"/>
                <w:szCs w:val="15"/>
                <w:color w:val="auto"/>
              </w:rPr>
            </w:pPr>
            <w:hyperlink w:anchor="page35">
              <w:r>
                <w:rPr>
                  <w:rFonts w:ascii="Arial" w:cs="Arial" w:eastAsia="Arial" w:hAnsi="Arial"/>
                  <w:sz w:val="15"/>
                  <w:szCs w:val="15"/>
                  <w:color w:val="auto"/>
                </w:rPr>
                <w:t>Procedures Relating to Nominees; Board</w:t>
              </w:r>
            </w:hyperlink>
          </w:p>
        </w:tc>
        <w:tc>
          <w:tcPr>
            <w:tcW w:w="320" w:type="dxa"/>
            <w:vAlign w:val="bottom"/>
          </w:tcPr>
          <w:p>
            <w:pPr>
              <w:spacing w:after="0"/>
              <w:rPr>
                <w:sz w:val="19"/>
                <w:szCs w:val="19"/>
                <w:color w:val="auto"/>
              </w:rPr>
            </w:pPr>
          </w:p>
        </w:tc>
      </w:tr>
      <w:tr>
        <w:trPr>
          <w:trHeight w:val="184"/>
        </w:trPr>
        <w:tc>
          <w:tcPr>
            <w:tcW w:w="3780" w:type="dxa"/>
            <w:vAlign w:val="bottom"/>
          </w:tcPr>
          <w:p>
            <w:pPr>
              <w:ind w:left="180"/>
              <w:spacing w:after="0"/>
              <w:rPr>
                <w:rFonts w:ascii="Arial" w:cs="Arial" w:eastAsia="Arial" w:hAnsi="Arial"/>
                <w:sz w:val="15"/>
                <w:szCs w:val="15"/>
                <w:color w:val="auto"/>
              </w:rPr>
            </w:pPr>
            <w:hyperlink w:anchor="page35">
              <w:r>
                <w:rPr>
                  <w:rFonts w:ascii="Arial" w:cs="Arial" w:eastAsia="Arial" w:hAnsi="Arial"/>
                  <w:sz w:val="15"/>
                  <w:szCs w:val="15"/>
                  <w:color w:val="auto"/>
                </w:rPr>
                <w:t>Succession Planning</w:t>
              </w:r>
            </w:hyperlink>
          </w:p>
        </w:tc>
        <w:tc>
          <w:tcPr>
            <w:tcW w:w="32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43"/>
        </w:trPr>
        <w:tc>
          <w:tcPr>
            <w:tcW w:w="3780" w:type="dxa"/>
            <w:vAlign w:val="bottom"/>
          </w:tcPr>
          <w:p>
            <w:pPr>
              <w:ind w:left="180"/>
              <w:spacing w:after="0"/>
              <w:rPr>
                <w:rFonts w:ascii="Arial" w:cs="Arial" w:eastAsia="Arial" w:hAnsi="Arial"/>
                <w:sz w:val="15"/>
                <w:szCs w:val="15"/>
                <w:color w:val="auto"/>
              </w:rPr>
            </w:pPr>
            <w:hyperlink w:anchor="page36">
              <w:r>
                <w:rPr>
                  <w:rFonts w:ascii="Arial" w:cs="Arial" w:eastAsia="Arial" w:hAnsi="Arial"/>
                  <w:sz w:val="15"/>
                  <w:szCs w:val="15"/>
                  <w:color w:val="auto"/>
                </w:rPr>
                <w:t>Board and Committee Self-Assessments</w:t>
              </w:r>
            </w:hyperlink>
          </w:p>
        </w:tc>
        <w:tc>
          <w:tcPr>
            <w:tcW w:w="32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21"/>
        </w:trPr>
        <w:tc>
          <w:tcPr>
            <w:tcW w:w="3780" w:type="dxa"/>
            <w:vAlign w:val="bottom"/>
          </w:tcPr>
          <w:p>
            <w:pPr>
              <w:ind w:left="180"/>
              <w:spacing w:after="0"/>
              <w:rPr>
                <w:rFonts w:ascii="Arial" w:cs="Arial" w:eastAsia="Arial" w:hAnsi="Arial"/>
                <w:sz w:val="15"/>
                <w:szCs w:val="15"/>
                <w:color w:val="auto"/>
              </w:rPr>
            </w:pPr>
            <w:hyperlink w:anchor="page37">
              <w:r>
                <w:rPr>
                  <w:rFonts w:ascii="Arial" w:cs="Arial" w:eastAsia="Arial" w:hAnsi="Arial"/>
                  <w:sz w:val="15"/>
                  <w:szCs w:val="15"/>
                  <w:color w:val="auto"/>
                </w:rPr>
                <w:t>Shareholder Rights to Remove Directors for Cause</w:t>
              </w:r>
            </w:hyperlink>
          </w:p>
        </w:tc>
        <w:tc>
          <w:tcPr>
            <w:tcW w:w="320" w:type="dxa"/>
            <w:vAlign w:val="bottom"/>
          </w:tcPr>
          <w:p>
            <w:pPr>
              <w:spacing w:after="0"/>
              <w:rPr>
                <w:sz w:val="19"/>
                <w:szCs w:val="19"/>
                <w:color w:val="auto"/>
              </w:rPr>
            </w:pPr>
          </w:p>
        </w:tc>
      </w:tr>
      <w:tr>
        <w:trPr>
          <w:trHeight w:val="184"/>
        </w:trPr>
        <w:tc>
          <w:tcPr>
            <w:tcW w:w="3780" w:type="dxa"/>
            <w:vAlign w:val="bottom"/>
          </w:tcPr>
          <w:p>
            <w:pPr>
              <w:ind w:left="180"/>
              <w:spacing w:after="0"/>
              <w:rPr>
                <w:rFonts w:ascii="Arial" w:cs="Arial" w:eastAsia="Arial" w:hAnsi="Arial"/>
                <w:sz w:val="15"/>
                <w:szCs w:val="15"/>
                <w:color w:val="auto"/>
              </w:rPr>
            </w:pPr>
            <w:hyperlink w:anchor="page37">
              <w:r>
                <w:rPr>
                  <w:rFonts w:ascii="Arial" w:cs="Arial" w:eastAsia="Arial" w:hAnsi="Arial"/>
                  <w:sz w:val="15"/>
                  <w:szCs w:val="15"/>
                  <w:color w:val="auto"/>
                </w:rPr>
                <w:t>and to Call Special Shareholder Meeting</w:t>
              </w:r>
            </w:hyperlink>
          </w:p>
        </w:tc>
        <w:tc>
          <w:tcPr>
            <w:tcW w:w="32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43"/>
        </w:trPr>
        <w:tc>
          <w:tcPr>
            <w:tcW w:w="3780" w:type="dxa"/>
            <w:vAlign w:val="bottom"/>
          </w:tcPr>
          <w:p>
            <w:pPr>
              <w:ind w:left="180"/>
              <w:spacing w:after="0"/>
              <w:rPr>
                <w:rFonts w:ascii="Arial" w:cs="Arial" w:eastAsia="Arial" w:hAnsi="Arial"/>
                <w:sz w:val="15"/>
                <w:szCs w:val="15"/>
                <w:color w:val="auto"/>
              </w:rPr>
            </w:pPr>
            <w:hyperlink w:anchor="page37">
              <w:r>
                <w:rPr>
                  <w:rFonts w:ascii="Arial" w:cs="Arial" w:eastAsia="Arial" w:hAnsi="Arial"/>
                  <w:sz w:val="15"/>
                  <w:szCs w:val="15"/>
                  <w:color w:val="auto"/>
                </w:rPr>
                <w:t>Director Independence</w:t>
              </w:r>
            </w:hyperlink>
          </w:p>
        </w:tc>
        <w:tc>
          <w:tcPr>
            <w:tcW w:w="32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43"/>
        </w:trPr>
        <w:tc>
          <w:tcPr>
            <w:tcW w:w="3780" w:type="dxa"/>
            <w:vAlign w:val="bottom"/>
          </w:tcPr>
          <w:p>
            <w:pPr>
              <w:ind w:left="180"/>
              <w:spacing w:after="0"/>
              <w:rPr>
                <w:rFonts w:ascii="Arial" w:cs="Arial" w:eastAsia="Arial" w:hAnsi="Arial"/>
                <w:sz w:val="15"/>
                <w:szCs w:val="15"/>
                <w:color w:val="auto"/>
              </w:rPr>
            </w:pPr>
            <w:hyperlink w:anchor="page38">
              <w:r>
                <w:rPr>
                  <w:rFonts w:ascii="Arial" w:cs="Arial" w:eastAsia="Arial" w:hAnsi="Arial"/>
                  <w:sz w:val="15"/>
                  <w:szCs w:val="15"/>
                  <w:color w:val="auto"/>
                </w:rPr>
                <w:t>Board Leadership and Role in Risk Oversight</w:t>
              </w:r>
            </w:hyperlink>
          </w:p>
        </w:tc>
        <w:tc>
          <w:tcPr>
            <w:tcW w:w="32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21"/>
        </w:trPr>
        <w:tc>
          <w:tcPr>
            <w:tcW w:w="3780" w:type="dxa"/>
            <w:vAlign w:val="bottom"/>
          </w:tcPr>
          <w:p>
            <w:pPr>
              <w:ind w:left="180"/>
              <w:spacing w:after="0"/>
              <w:rPr>
                <w:rFonts w:ascii="Arial" w:cs="Arial" w:eastAsia="Arial" w:hAnsi="Arial"/>
                <w:sz w:val="15"/>
                <w:szCs w:val="15"/>
                <w:color w:val="auto"/>
              </w:rPr>
            </w:pPr>
            <w:hyperlink w:anchor="page38">
              <w:r>
                <w:rPr>
                  <w:rFonts w:ascii="Arial" w:cs="Arial" w:eastAsia="Arial" w:hAnsi="Arial"/>
                  <w:sz w:val="15"/>
                  <w:szCs w:val="15"/>
                  <w:color w:val="auto"/>
                </w:rPr>
                <w:t>Executive Compensation Processes and</w:t>
              </w:r>
            </w:hyperlink>
          </w:p>
        </w:tc>
        <w:tc>
          <w:tcPr>
            <w:tcW w:w="320" w:type="dxa"/>
            <w:vAlign w:val="bottom"/>
          </w:tcPr>
          <w:p>
            <w:pPr>
              <w:spacing w:after="0"/>
              <w:rPr>
                <w:sz w:val="19"/>
                <w:szCs w:val="19"/>
                <w:color w:val="auto"/>
              </w:rPr>
            </w:pPr>
          </w:p>
        </w:tc>
      </w:tr>
      <w:tr>
        <w:trPr>
          <w:trHeight w:val="184"/>
        </w:trPr>
        <w:tc>
          <w:tcPr>
            <w:tcW w:w="3780" w:type="dxa"/>
            <w:vAlign w:val="bottom"/>
          </w:tcPr>
          <w:p>
            <w:pPr>
              <w:ind w:left="180"/>
              <w:spacing w:after="0"/>
              <w:rPr>
                <w:rFonts w:ascii="Arial" w:cs="Arial" w:eastAsia="Arial" w:hAnsi="Arial"/>
                <w:sz w:val="15"/>
                <w:szCs w:val="15"/>
                <w:color w:val="auto"/>
              </w:rPr>
            </w:pPr>
            <w:hyperlink w:anchor="page38">
              <w:r>
                <w:rPr>
                  <w:rFonts w:ascii="Arial" w:cs="Arial" w:eastAsia="Arial" w:hAnsi="Arial"/>
                  <w:sz w:val="15"/>
                  <w:szCs w:val="15"/>
                  <w:color w:val="auto"/>
                </w:rPr>
                <w:t>Procedures; Role of Compensation Consultants</w:t>
              </w:r>
            </w:hyperlink>
          </w:p>
        </w:tc>
        <w:tc>
          <w:tcPr>
            <w:tcW w:w="32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43"/>
        </w:trPr>
        <w:tc>
          <w:tcPr>
            <w:tcW w:w="3780" w:type="dxa"/>
            <w:vAlign w:val="bottom"/>
          </w:tcPr>
          <w:p>
            <w:pPr>
              <w:spacing w:after="0"/>
              <w:rPr>
                <w:rFonts w:ascii="Arial" w:cs="Arial" w:eastAsia="Arial" w:hAnsi="Arial"/>
                <w:sz w:val="15"/>
                <w:szCs w:val="15"/>
                <w:b w:val="1"/>
                <w:bCs w:val="1"/>
                <w:color w:val="auto"/>
              </w:rPr>
            </w:pPr>
            <w:hyperlink w:anchor="page39">
              <w:r>
                <w:rPr>
                  <w:rFonts w:ascii="Arial" w:cs="Arial" w:eastAsia="Arial" w:hAnsi="Arial"/>
                  <w:sz w:val="15"/>
                  <w:szCs w:val="15"/>
                  <w:b w:val="1"/>
                  <w:bCs w:val="1"/>
                  <w:color w:val="auto"/>
                </w:rPr>
                <w:t>Compensation of Directors</w:t>
              </w:r>
            </w:hyperlink>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28</w:t>
            </w:r>
          </w:p>
        </w:tc>
      </w:tr>
    </w:tbl>
    <w:p>
      <w:pPr>
        <w:spacing w:after="0" w:line="124" w:lineRule="exact"/>
        <w:rPr>
          <w:sz w:val="20"/>
          <w:szCs w:val="20"/>
          <w:color w:val="auto"/>
        </w:rPr>
      </w:pPr>
    </w:p>
    <w:p>
      <w:pPr>
        <w:ind w:left="180"/>
        <w:spacing w:after="0"/>
        <w:rPr>
          <w:rFonts w:ascii="Arial" w:cs="Arial" w:eastAsia="Arial" w:hAnsi="Arial"/>
          <w:sz w:val="22"/>
          <w:szCs w:val="22"/>
          <w:b w:val="1"/>
          <w:bCs w:val="1"/>
          <w:color w:val="auto"/>
        </w:rPr>
      </w:pPr>
      <w:hyperlink w:anchor="page43">
        <w:r>
          <w:rPr>
            <w:rFonts w:ascii="Arial" w:cs="Arial" w:eastAsia="Arial" w:hAnsi="Arial"/>
            <w:sz w:val="22"/>
            <w:szCs w:val="22"/>
            <w:b w:val="1"/>
            <w:bCs w:val="1"/>
            <w:color w:val="auto"/>
          </w:rPr>
          <w:t>PROPOSAL NO. 1</w:t>
        </w:r>
      </w:hyperlink>
    </w:p>
    <w:p>
      <w:pPr>
        <w:spacing w:after="0" w:line="18" w:lineRule="exact"/>
        <w:rPr>
          <w:sz w:val="20"/>
          <w:szCs w:val="20"/>
          <w:color w:val="auto"/>
        </w:rPr>
      </w:pPr>
    </w:p>
    <w:p>
      <w:pPr>
        <w:ind w:left="180"/>
        <w:spacing w:after="0"/>
        <w:rPr>
          <w:rFonts w:ascii="Arial" w:cs="Arial" w:eastAsia="Arial" w:hAnsi="Arial"/>
          <w:sz w:val="28"/>
          <w:szCs w:val="28"/>
          <w:b w:val="1"/>
          <w:bCs w:val="1"/>
          <w:color w:val="C44E5D"/>
        </w:rPr>
      </w:pPr>
      <w:hyperlink w:anchor="page43">
        <w:r>
          <w:rPr>
            <w:rFonts w:ascii="Arial" w:cs="Arial" w:eastAsia="Arial" w:hAnsi="Arial"/>
            <w:sz w:val="28"/>
            <w:szCs w:val="28"/>
            <w:b w:val="1"/>
            <w:bCs w:val="1"/>
            <w:color w:val="C44E5D"/>
          </w:rPr>
          <w:t xml:space="preserve">ELECTION OF DIRECTORS </w:t>
        </w:r>
      </w:hyperlink>
      <w:r>
        <w:rPr>
          <w:rFonts w:ascii="Arial" w:cs="Arial" w:eastAsia="Arial" w:hAnsi="Arial"/>
          <w:sz w:val="28"/>
          <w:szCs w:val="28"/>
          <w:b w:val="1"/>
          <w:bCs w:val="1"/>
          <w:color w:val="C44E5D"/>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12700</wp:posOffset>
            </wp:positionV>
            <wp:extent cx="26060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202"/>
        </w:trPr>
        <w:tc>
          <w:tcPr>
            <w:tcW w:w="3620" w:type="dxa"/>
            <w:vAlign w:val="bottom"/>
          </w:tcPr>
          <w:p>
            <w:pPr>
              <w:spacing w:after="0"/>
              <w:rPr>
                <w:rFonts w:ascii="Arial" w:cs="Arial" w:eastAsia="Arial" w:hAnsi="Arial"/>
                <w:sz w:val="15"/>
                <w:szCs w:val="15"/>
                <w:b w:val="1"/>
                <w:bCs w:val="1"/>
                <w:color w:val="205BA8"/>
              </w:rPr>
            </w:pPr>
            <w:hyperlink w:anchor="page44">
              <w:r>
                <w:rPr>
                  <w:rFonts w:ascii="Arial" w:cs="Arial" w:eastAsia="Arial" w:hAnsi="Arial"/>
                  <w:sz w:val="15"/>
                  <w:szCs w:val="15"/>
                  <w:b w:val="1"/>
                  <w:bCs w:val="1"/>
                  <w:color w:val="205BA8"/>
                </w:rPr>
                <w:t>The Company</w:t>
              </w:r>
            </w:hyperlink>
          </w:p>
        </w:tc>
        <w:tc>
          <w:tcPr>
            <w:tcW w:w="480" w:type="dxa"/>
            <w:vAlign w:val="bottom"/>
          </w:tcPr>
          <w:p>
            <w:pPr>
              <w:jc w:val="right"/>
              <w:spacing w:after="0"/>
              <w:rPr>
                <w:sz w:val="20"/>
                <w:szCs w:val="20"/>
                <w:color w:val="auto"/>
              </w:rPr>
            </w:pPr>
            <w:r>
              <w:rPr>
                <w:rFonts w:ascii="Arial" w:cs="Arial" w:eastAsia="Arial" w:hAnsi="Arial"/>
                <w:sz w:val="15"/>
                <w:szCs w:val="15"/>
                <w:b w:val="1"/>
                <w:bCs w:val="1"/>
                <w:color w:val="205BA8"/>
              </w:rPr>
              <w:t>33</w:t>
            </w:r>
          </w:p>
        </w:tc>
      </w:tr>
      <w:tr>
        <w:trPr>
          <w:trHeight w:val="243"/>
        </w:trPr>
        <w:tc>
          <w:tcPr>
            <w:tcW w:w="3620" w:type="dxa"/>
            <w:vAlign w:val="bottom"/>
          </w:tcPr>
          <w:p>
            <w:pPr>
              <w:spacing w:after="0"/>
              <w:rPr>
                <w:rFonts w:ascii="Arial" w:cs="Arial" w:eastAsia="Arial" w:hAnsi="Arial"/>
                <w:sz w:val="15"/>
                <w:szCs w:val="15"/>
                <w:b w:val="1"/>
                <w:bCs w:val="1"/>
                <w:color w:val="auto"/>
              </w:rPr>
            </w:pPr>
            <w:hyperlink w:anchor="page44">
              <w:r>
                <w:rPr>
                  <w:rFonts w:ascii="Arial" w:cs="Arial" w:eastAsia="Arial" w:hAnsi="Arial"/>
                  <w:sz w:val="15"/>
                  <w:szCs w:val="15"/>
                  <w:b w:val="1"/>
                  <w:bCs w:val="1"/>
                  <w:color w:val="auto"/>
                </w:rPr>
                <w:t>Executive Officers of the Company</w:t>
              </w:r>
            </w:hyperlink>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33</w:t>
            </w:r>
          </w:p>
        </w:tc>
      </w:tr>
      <w:tr>
        <w:trPr>
          <w:trHeight w:val="243"/>
        </w:trPr>
        <w:tc>
          <w:tcPr>
            <w:tcW w:w="3620" w:type="dxa"/>
            <w:vAlign w:val="bottom"/>
          </w:tcPr>
          <w:p>
            <w:pPr>
              <w:spacing w:after="0"/>
              <w:rPr>
                <w:rFonts w:ascii="Arial" w:cs="Arial" w:eastAsia="Arial" w:hAnsi="Arial"/>
                <w:sz w:val="15"/>
                <w:szCs w:val="15"/>
                <w:b w:val="1"/>
                <w:bCs w:val="1"/>
                <w:color w:val="auto"/>
              </w:rPr>
            </w:pPr>
            <w:hyperlink w:anchor="page46">
              <w:r>
                <w:rPr>
                  <w:rFonts w:ascii="Arial" w:cs="Arial" w:eastAsia="Arial" w:hAnsi="Arial"/>
                  <w:sz w:val="15"/>
                  <w:szCs w:val="15"/>
                  <w:b w:val="1"/>
                  <w:bCs w:val="1"/>
                  <w:color w:val="auto"/>
                </w:rPr>
                <w:t>Corporate Governance</w:t>
              </w:r>
            </w:hyperlink>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35</w:t>
            </w:r>
          </w:p>
        </w:tc>
      </w:tr>
      <w:tr>
        <w:trPr>
          <w:trHeight w:val="243"/>
        </w:trPr>
        <w:tc>
          <w:tcPr>
            <w:tcW w:w="3620" w:type="dxa"/>
            <w:vAlign w:val="bottom"/>
          </w:tcPr>
          <w:p>
            <w:pPr>
              <w:ind w:left="180"/>
              <w:spacing w:after="0"/>
              <w:rPr>
                <w:rFonts w:ascii="Arial" w:cs="Arial" w:eastAsia="Arial" w:hAnsi="Arial"/>
                <w:sz w:val="15"/>
                <w:szCs w:val="15"/>
                <w:color w:val="auto"/>
              </w:rPr>
            </w:pPr>
            <w:hyperlink w:anchor="page46">
              <w:r>
                <w:rPr>
                  <w:rFonts w:ascii="Arial" w:cs="Arial" w:eastAsia="Arial" w:hAnsi="Arial"/>
                  <w:sz w:val="15"/>
                  <w:szCs w:val="15"/>
                  <w:color w:val="auto"/>
                </w:rPr>
                <w:t>Overview</w:t>
              </w:r>
            </w:hyperlink>
          </w:p>
        </w:tc>
        <w:tc>
          <w:tcPr>
            <w:tcW w:w="48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43"/>
        </w:trPr>
        <w:tc>
          <w:tcPr>
            <w:tcW w:w="3620" w:type="dxa"/>
            <w:vAlign w:val="bottom"/>
          </w:tcPr>
          <w:p>
            <w:pPr>
              <w:ind w:left="180"/>
              <w:spacing w:after="0"/>
              <w:rPr>
                <w:rFonts w:ascii="Arial" w:cs="Arial" w:eastAsia="Arial" w:hAnsi="Arial"/>
                <w:sz w:val="15"/>
                <w:szCs w:val="15"/>
                <w:color w:val="auto"/>
              </w:rPr>
            </w:pPr>
            <w:hyperlink w:anchor="page46">
              <w:r>
                <w:rPr>
                  <w:rFonts w:ascii="Arial" w:cs="Arial" w:eastAsia="Arial" w:hAnsi="Arial"/>
                  <w:sz w:val="15"/>
                  <w:szCs w:val="15"/>
                  <w:color w:val="auto"/>
                </w:rPr>
                <w:t>Code of Ethics</w:t>
              </w:r>
            </w:hyperlink>
          </w:p>
        </w:tc>
        <w:tc>
          <w:tcPr>
            <w:tcW w:w="48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21"/>
        </w:trPr>
        <w:tc>
          <w:tcPr>
            <w:tcW w:w="3620" w:type="dxa"/>
            <w:vAlign w:val="bottom"/>
          </w:tcPr>
          <w:p>
            <w:pPr>
              <w:ind w:left="180"/>
              <w:spacing w:after="0"/>
              <w:rPr>
                <w:rFonts w:ascii="Arial" w:cs="Arial" w:eastAsia="Arial" w:hAnsi="Arial"/>
                <w:sz w:val="15"/>
                <w:szCs w:val="15"/>
                <w:color w:val="auto"/>
              </w:rPr>
            </w:pPr>
            <w:hyperlink w:anchor="page46">
              <w:r>
                <w:rPr>
                  <w:rFonts w:ascii="Arial" w:cs="Arial" w:eastAsia="Arial" w:hAnsi="Arial"/>
                  <w:sz w:val="15"/>
                  <w:szCs w:val="15"/>
                  <w:color w:val="auto"/>
                </w:rPr>
                <w:t>Succession Planning and Talent Development</w:t>
              </w:r>
            </w:hyperlink>
          </w:p>
        </w:tc>
        <w:tc>
          <w:tcPr>
            <w:tcW w:w="480" w:type="dxa"/>
            <w:vAlign w:val="bottom"/>
          </w:tcPr>
          <w:p>
            <w:pPr>
              <w:spacing w:after="0"/>
              <w:rPr>
                <w:sz w:val="19"/>
                <w:szCs w:val="19"/>
                <w:color w:val="auto"/>
              </w:rPr>
            </w:pPr>
          </w:p>
        </w:tc>
      </w:tr>
      <w:tr>
        <w:trPr>
          <w:trHeight w:val="184"/>
        </w:trPr>
        <w:tc>
          <w:tcPr>
            <w:tcW w:w="3620" w:type="dxa"/>
            <w:vAlign w:val="bottom"/>
          </w:tcPr>
          <w:p>
            <w:pPr>
              <w:ind w:left="180"/>
              <w:spacing w:after="0"/>
              <w:rPr>
                <w:rFonts w:ascii="Arial" w:cs="Arial" w:eastAsia="Arial" w:hAnsi="Arial"/>
                <w:sz w:val="15"/>
                <w:szCs w:val="15"/>
                <w:color w:val="auto"/>
              </w:rPr>
            </w:pPr>
            <w:hyperlink w:anchor="page46">
              <w:r>
                <w:rPr>
                  <w:rFonts w:ascii="Arial" w:cs="Arial" w:eastAsia="Arial" w:hAnsi="Arial"/>
                  <w:sz w:val="15"/>
                  <w:szCs w:val="15"/>
                  <w:color w:val="auto"/>
                </w:rPr>
                <w:t>Process</w:t>
              </w:r>
            </w:hyperlink>
          </w:p>
        </w:tc>
        <w:tc>
          <w:tcPr>
            <w:tcW w:w="48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43"/>
        </w:trPr>
        <w:tc>
          <w:tcPr>
            <w:tcW w:w="3620" w:type="dxa"/>
            <w:vAlign w:val="bottom"/>
          </w:tcPr>
          <w:p>
            <w:pPr>
              <w:ind w:left="180"/>
              <w:spacing w:after="0"/>
              <w:rPr>
                <w:rFonts w:ascii="Arial" w:cs="Arial" w:eastAsia="Arial" w:hAnsi="Arial"/>
                <w:sz w:val="15"/>
                <w:szCs w:val="15"/>
                <w:color w:val="auto"/>
              </w:rPr>
            </w:pPr>
            <w:hyperlink w:anchor="page47">
              <w:r>
                <w:rPr>
                  <w:rFonts w:ascii="Arial" w:cs="Arial" w:eastAsia="Arial" w:hAnsi="Arial"/>
                  <w:sz w:val="15"/>
                  <w:szCs w:val="15"/>
                  <w:color w:val="auto"/>
                </w:rPr>
                <w:t>Corporate Responsibility</w:t>
              </w:r>
            </w:hyperlink>
          </w:p>
        </w:tc>
        <w:tc>
          <w:tcPr>
            <w:tcW w:w="48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43"/>
        </w:trPr>
        <w:tc>
          <w:tcPr>
            <w:tcW w:w="3620" w:type="dxa"/>
            <w:vAlign w:val="bottom"/>
          </w:tcPr>
          <w:p>
            <w:pPr>
              <w:ind w:left="180"/>
              <w:spacing w:after="0"/>
              <w:rPr>
                <w:rFonts w:ascii="Arial" w:cs="Arial" w:eastAsia="Arial" w:hAnsi="Arial"/>
                <w:sz w:val="15"/>
                <w:szCs w:val="15"/>
                <w:color w:val="auto"/>
              </w:rPr>
            </w:pPr>
            <w:hyperlink w:anchor="page50">
              <w:r>
                <w:rPr>
                  <w:rFonts w:ascii="Arial" w:cs="Arial" w:eastAsia="Arial" w:hAnsi="Arial"/>
                  <w:sz w:val="15"/>
                  <w:szCs w:val="15"/>
                  <w:color w:val="auto"/>
                </w:rPr>
                <w:t>Public Policy Engagement</w:t>
              </w:r>
            </w:hyperlink>
          </w:p>
        </w:tc>
        <w:tc>
          <w:tcPr>
            <w:tcW w:w="48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43"/>
        </w:trPr>
        <w:tc>
          <w:tcPr>
            <w:tcW w:w="3620" w:type="dxa"/>
            <w:vAlign w:val="bottom"/>
          </w:tcPr>
          <w:p>
            <w:pPr>
              <w:spacing w:after="0"/>
              <w:rPr>
                <w:rFonts w:ascii="Arial" w:cs="Arial" w:eastAsia="Arial" w:hAnsi="Arial"/>
                <w:sz w:val="15"/>
                <w:szCs w:val="15"/>
                <w:b w:val="1"/>
                <w:bCs w:val="1"/>
                <w:color w:val="auto"/>
              </w:rPr>
            </w:pPr>
            <w:hyperlink w:anchor="page51">
              <w:r>
                <w:rPr>
                  <w:rFonts w:ascii="Arial" w:cs="Arial" w:eastAsia="Arial" w:hAnsi="Arial"/>
                  <w:sz w:val="15"/>
                  <w:szCs w:val="15"/>
                  <w:b w:val="1"/>
                  <w:bCs w:val="1"/>
                  <w:color w:val="auto"/>
                </w:rPr>
                <w:t>Delinquent Section 16(a) Reports</w:t>
              </w:r>
            </w:hyperlink>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40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3720" w:type="dxa"/>
            <w:vAlign w:val="bottom"/>
          </w:tcPr>
          <w:p>
            <w:pPr>
              <w:spacing w:after="0"/>
              <w:rPr>
                <w:rFonts w:ascii="Arial" w:cs="Arial" w:eastAsia="Arial" w:hAnsi="Arial"/>
                <w:sz w:val="15"/>
                <w:szCs w:val="15"/>
                <w:b w:val="1"/>
                <w:bCs w:val="1"/>
                <w:color w:val="auto"/>
              </w:rPr>
            </w:pPr>
            <w:hyperlink w:anchor="page52">
              <w:r>
                <w:rPr>
                  <w:rFonts w:ascii="Arial" w:cs="Arial" w:eastAsia="Arial" w:hAnsi="Arial"/>
                  <w:sz w:val="15"/>
                  <w:szCs w:val="15"/>
                  <w:b w:val="1"/>
                  <w:bCs w:val="1"/>
                  <w:color w:val="auto"/>
                </w:rPr>
                <w:t>Certain Relationships and Related Transactions</w:t>
              </w:r>
            </w:hyperlink>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41</w:t>
            </w:r>
          </w:p>
        </w:tc>
      </w:tr>
      <w:tr>
        <w:trPr>
          <w:trHeight w:val="221"/>
        </w:trPr>
        <w:tc>
          <w:tcPr>
            <w:tcW w:w="3720" w:type="dxa"/>
            <w:vAlign w:val="bottom"/>
          </w:tcPr>
          <w:p>
            <w:pPr>
              <w:ind w:left="360"/>
              <w:spacing w:after="0"/>
              <w:rPr>
                <w:rFonts w:ascii="Arial" w:cs="Arial" w:eastAsia="Arial" w:hAnsi="Arial"/>
                <w:sz w:val="15"/>
                <w:szCs w:val="15"/>
                <w:color w:val="auto"/>
              </w:rPr>
            </w:pPr>
            <w:hyperlink w:anchor="page52">
              <w:r>
                <w:rPr>
                  <w:rFonts w:ascii="Arial" w:cs="Arial" w:eastAsia="Arial" w:hAnsi="Arial"/>
                  <w:sz w:val="15"/>
                  <w:szCs w:val="15"/>
                  <w:color w:val="auto"/>
                </w:rPr>
                <w:t>Review, Approval, or Ratification of Transactions</w:t>
              </w:r>
            </w:hyperlink>
          </w:p>
        </w:tc>
        <w:tc>
          <w:tcPr>
            <w:tcW w:w="380" w:type="dxa"/>
            <w:vAlign w:val="bottom"/>
          </w:tcPr>
          <w:p>
            <w:pPr>
              <w:spacing w:after="0"/>
              <w:rPr>
                <w:sz w:val="19"/>
                <w:szCs w:val="19"/>
                <w:color w:val="auto"/>
              </w:rPr>
            </w:pPr>
          </w:p>
        </w:tc>
      </w:tr>
      <w:tr>
        <w:trPr>
          <w:trHeight w:val="184"/>
        </w:trPr>
        <w:tc>
          <w:tcPr>
            <w:tcW w:w="3720" w:type="dxa"/>
            <w:vAlign w:val="bottom"/>
          </w:tcPr>
          <w:p>
            <w:pPr>
              <w:ind w:left="360"/>
              <w:spacing w:after="0"/>
              <w:rPr>
                <w:rFonts w:ascii="Arial" w:cs="Arial" w:eastAsia="Arial" w:hAnsi="Arial"/>
                <w:sz w:val="15"/>
                <w:szCs w:val="15"/>
                <w:color w:val="auto"/>
              </w:rPr>
            </w:pPr>
            <w:hyperlink w:anchor="page52">
              <w:r>
                <w:rPr>
                  <w:rFonts w:ascii="Arial" w:cs="Arial" w:eastAsia="Arial" w:hAnsi="Arial"/>
                  <w:sz w:val="15"/>
                  <w:szCs w:val="15"/>
                  <w:color w:val="auto"/>
                </w:rPr>
                <w:t>with Related Persons</w:t>
              </w:r>
            </w:hyperlink>
          </w:p>
        </w:tc>
        <w:tc>
          <w:tcPr>
            <w:tcW w:w="38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43"/>
        </w:trPr>
        <w:tc>
          <w:tcPr>
            <w:tcW w:w="3720" w:type="dxa"/>
            <w:vAlign w:val="bottom"/>
          </w:tcPr>
          <w:p>
            <w:pPr>
              <w:ind w:left="360"/>
              <w:spacing w:after="0"/>
              <w:rPr>
                <w:rFonts w:ascii="Arial" w:cs="Arial" w:eastAsia="Arial" w:hAnsi="Arial"/>
                <w:sz w:val="15"/>
                <w:szCs w:val="15"/>
                <w:color w:val="auto"/>
              </w:rPr>
            </w:pPr>
            <w:hyperlink w:anchor="page52">
              <w:r>
                <w:rPr>
                  <w:rFonts w:ascii="Arial" w:cs="Arial" w:eastAsia="Arial" w:hAnsi="Arial"/>
                  <w:sz w:val="15"/>
                  <w:szCs w:val="15"/>
                  <w:color w:val="auto"/>
                </w:rPr>
                <w:t>Transactions with Related Persons</w:t>
              </w:r>
            </w:hyperlink>
          </w:p>
        </w:tc>
        <w:tc>
          <w:tcPr>
            <w:tcW w:w="38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43"/>
        </w:trPr>
        <w:tc>
          <w:tcPr>
            <w:tcW w:w="3720" w:type="dxa"/>
            <w:vAlign w:val="bottom"/>
          </w:tcPr>
          <w:p>
            <w:pPr>
              <w:ind w:left="360"/>
              <w:spacing w:after="0"/>
              <w:rPr>
                <w:rFonts w:ascii="Arial" w:cs="Arial" w:eastAsia="Arial" w:hAnsi="Arial"/>
                <w:sz w:val="15"/>
                <w:szCs w:val="15"/>
                <w:color w:val="auto"/>
              </w:rPr>
            </w:pPr>
            <w:hyperlink w:anchor="page54">
              <w:r>
                <w:rPr>
                  <w:rFonts w:ascii="Arial" w:cs="Arial" w:eastAsia="Arial" w:hAnsi="Arial"/>
                  <w:sz w:val="15"/>
                  <w:szCs w:val="15"/>
                  <w:color w:val="auto"/>
                </w:rPr>
                <w:t>Other</w:t>
              </w:r>
            </w:hyperlink>
          </w:p>
        </w:tc>
        <w:tc>
          <w:tcPr>
            <w:tcW w:w="38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43"/>
        </w:trPr>
        <w:tc>
          <w:tcPr>
            <w:tcW w:w="3720" w:type="dxa"/>
            <w:vAlign w:val="bottom"/>
          </w:tcPr>
          <w:p>
            <w:pPr>
              <w:spacing w:after="0"/>
              <w:rPr>
                <w:rFonts w:ascii="Arial" w:cs="Arial" w:eastAsia="Arial" w:hAnsi="Arial"/>
                <w:sz w:val="15"/>
                <w:szCs w:val="15"/>
                <w:b w:val="1"/>
                <w:bCs w:val="1"/>
                <w:color w:val="auto"/>
              </w:rPr>
            </w:pPr>
            <w:hyperlink w:anchor="page55">
              <w:r>
                <w:rPr>
                  <w:rFonts w:ascii="Arial" w:cs="Arial" w:eastAsia="Arial" w:hAnsi="Arial"/>
                  <w:sz w:val="15"/>
                  <w:szCs w:val="15"/>
                  <w:b w:val="1"/>
                  <w:bCs w:val="1"/>
                  <w:color w:val="auto"/>
                </w:rPr>
                <w:t>Audit Matters</w:t>
              </w:r>
            </w:hyperlink>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44</w:t>
            </w:r>
          </w:p>
        </w:tc>
      </w:tr>
      <w:tr>
        <w:trPr>
          <w:trHeight w:val="243"/>
        </w:trPr>
        <w:tc>
          <w:tcPr>
            <w:tcW w:w="3720" w:type="dxa"/>
            <w:vAlign w:val="bottom"/>
          </w:tcPr>
          <w:p>
            <w:pPr>
              <w:ind w:left="360"/>
              <w:spacing w:after="0"/>
              <w:rPr>
                <w:rFonts w:ascii="Arial" w:cs="Arial" w:eastAsia="Arial" w:hAnsi="Arial"/>
                <w:sz w:val="15"/>
                <w:szCs w:val="15"/>
                <w:color w:val="auto"/>
              </w:rPr>
            </w:pPr>
            <w:hyperlink w:anchor="page55">
              <w:r>
                <w:rPr>
                  <w:rFonts w:ascii="Arial" w:cs="Arial" w:eastAsia="Arial" w:hAnsi="Arial"/>
                  <w:sz w:val="15"/>
                  <w:szCs w:val="15"/>
                  <w:color w:val="auto"/>
                </w:rPr>
                <w:t>Introduction</w:t>
              </w:r>
            </w:hyperlink>
          </w:p>
        </w:tc>
        <w:tc>
          <w:tcPr>
            <w:tcW w:w="38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21"/>
        </w:trPr>
        <w:tc>
          <w:tcPr>
            <w:tcW w:w="3720" w:type="dxa"/>
            <w:vAlign w:val="bottom"/>
          </w:tcPr>
          <w:p>
            <w:pPr>
              <w:ind w:left="360"/>
              <w:spacing w:after="0"/>
              <w:rPr>
                <w:rFonts w:ascii="Arial" w:cs="Arial" w:eastAsia="Arial" w:hAnsi="Arial"/>
                <w:sz w:val="15"/>
                <w:szCs w:val="15"/>
                <w:color w:val="auto"/>
              </w:rPr>
            </w:pPr>
            <w:hyperlink w:anchor="page55">
              <w:r>
                <w:rPr>
                  <w:rFonts w:ascii="Arial" w:cs="Arial" w:eastAsia="Arial" w:hAnsi="Arial"/>
                  <w:sz w:val="15"/>
                  <w:szCs w:val="15"/>
                  <w:color w:val="auto"/>
                </w:rPr>
                <w:t>Information about Fees Paid to Independent</w:t>
              </w:r>
            </w:hyperlink>
          </w:p>
        </w:tc>
        <w:tc>
          <w:tcPr>
            <w:tcW w:w="380" w:type="dxa"/>
            <w:vAlign w:val="bottom"/>
          </w:tcPr>
          <w:p>
            <w:pPr>
              <w:spacing w:after="0"/>
              <w:rPr>
                <w:sz w:val="19"/>
                <w:szCs w:val="19"/>
                <w:color w:val="auto"/>
              </w:rPr>
            </w:pPr>
          </w:p>
        </w:tc>
      </w:tr>
      <w:tr>
        <w:trPr>
          <w:trHeight w:val="184"/>
        </w:trPr>
        <w:tc>
          <w:tcPr>
            <w:tcW w:w="3720" w:type="dxa"/>
            <w:vAlign w:val="bottom"/>
          </w:tcPr>
          <w:p>
            <w:pPr>
              <w:ind w:left="360"/>
              <w:spacing w:after="0"/>
              <w:rPr>
                <w:rFonts w:ascii="Arial" w:cs="Arial" w:eastAsia="Arial" w:hAnsi="Arial"/>
                <w:sz w:val="15"/>
                <w:szCs w:val="15"/>
                <w:color w:val="auto"/>
              </w:rPr>
            </w:pPr>
            <w:hyperlink w:anchor="page55">
              <w:r>
                <w:rPr>
                  <w:rFonts w:ascii="Arial" w:cs="Arial" w:eastAsia="Arial" w:hAnsi="Arial"/>
                  <w:sz w:val="15"/>
                  <w:szCs w:val="15"/>
                  <w:color w:val="auto"/>
                </w:rPr>
                <w:t>Registered Public Accounting Firm</w:t>
              </w:r>
            </w:hyperlink>
          </w:p>
        </w:tc>
        <w:tc>
          <w:tcPr>
            <w:tcW w:w="38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43"/>
        </w:trPr>
        <w:tc>
          <w:tcPr>
            <w:tcW w:w="3720" w:type="dxa"/>
            <w:vAlign w:val="bottom"/>
          </w:tcPr>
          <w:p>
            <w:pPr>
              <w:ind w:left="360"/>
              <w:spacing w:after="0"/>
              <w:rPr>
                <w:rFonts w:ascii="Arial" w:cs="Arial" w:eastAsia="Arial" w:hAnsi="Arial"/>
                <w:sz w:val="15"/>
                <w:szCs w:val="15"/>
                <w:color w:val="auto"/>
              </w:rPr>
            </w:pPr>
            <w:hyperlink w:anchor="page56">
              <w:r>
                <w:rPr>
                  <w:rFonts w:ascii="Arial" w:cs="Arial" w:eastAsia="Arial" w:hAnsi="Arial"/>
                  <w:sz w:val="15"/>
                  <w:szCs w:val="15"/>
                  <w:color w:val="auto"/>
                </w:rPr>
                <w:t>Audit Committee Report</w:t>
              </w:r>
            </w:hyperlink>
          </w:p>
        </w:tc>
        <w:tc>
          <w:tcPr>
            <w:tcW w:w="38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359"/>
        </w:trPr>
        <w:tc>
          <w:tcPr>
            <w:tcW w:w="3720" w:type="dxa"/>
            <w:vAlign w:val="bottom"/>
          </w:tcPr>
          <w:p>
            <w:pPr>
              <w:spacing w:after="0"/>
              <w:rPr>
                <w:sz w:val="20"/>
                <w:szCs w:val="20"/>
                <w:color w:val="auto"/>
              </w:rPr>
            </w:pPr>
            <w:r>
              <w:rPr>
                <w:rFonts w:ascii="Arial" w:cs="Arial" w:eastAsia="Arial" w:hAnsi="Arial"/>
                <w:sz w:val="22"/>
                <w:szCs w:val="22"/>
                <w:b w:val="1"/>
                <w:bCs w:val="1"/>
                <w:color w:val="auto"/>
              </w:rPr>
              <w:t>PROPOSAL NO. 2</w:t>
            </w:r>
          </w:p>
        </w:tc>
        <w:tc>
          <w:tcPr>
            <w:tcW w:w="380" w:type="dxa"/>
            <w:vAlign w:val="bottom"/>
          </w:tcPr>
          <w:p>
            <w:pPr>
              <w:spacing w:after="0"/>
              <w:rPr>
                <w:sz w:val="24"/>
                <w:szCs w:val="24"/>
                <w:color w:val="auto"/>
              </w:rPr>
            </w:pPr>
          </w:p>
        </w:tc>
      </w:tr>
      <w:tr>
        <w:trPr>
          <w:trHeight w:val="338"/>
        </w:trPr>
        <w:tc>
          <w:tcPr>
            <w:tcW w:w="3720" w:type="dxa"/>
            <w:vAlign w:val="bottom"/>
          </w:tcPr>
          <w:p>
            <w:pPr>
              <w:spacing w:after="0"/>
              <w:rPr>
                <w:rFonts w:ascii="Arial" w:cs="Arial" w:eastAsia="Arial" w:hAnsi="Arial"/>
                <w:sz w:val="29"/>
                <w:szCs w:val="29"/>
                <w:b w:val="1"/>
                <w:bCs w:val="1"/>
                <w:color w:val="C44E5D"/>
              </w:rPr>
            </w:pPr>
            <w:hyperlink w:anchor="page57">
              <w:r>
                <w:rPr>
                  <w:rFonts w:ascii="Arial" w:cs="Arial" w:eastAsia="Arial" w:hAnsi="Arial"/>
                  <w:sz w:val="29"/>
                  <w:szCs w:val="29"/>
                  <w:b w:val="1"/>
                  <w:bCs w:val="1"/>
                  <w:color w:val="C44E5D"/>
                </w:rPr>
                <w:t>RATIFICATION OF</w:t>
              </w:r>
            </w:hyperlink>
          </w:p>
        </w:tc>
        <w:tc>
          <w:tcPr>
            <w:tcW w:w="380" w:type="dxa"/>
            <w:vAlign w:val="bottom"/>
          </w:tcPr>
          <w:p>
            <w:pPr>
              <w:spacing w:after="0"/>
              <w:rPr>
                <w:sz w:val="24"/>
                <w:szCs w:val="24"/>
                <w:color w:val="auto"/>
              </w:rPr>
            </w:pPr>
          </w:p>
        </w:tc>
      </w:tr>
      <w:tr>
        <w:trPr>
          <w:trHeight w:val="338"/>
        </w:trPr>
        <w:tc>
          <w:tcPr>
            <w:tcW w:w="3720" w:type="dxa"/>
            <w:vAlign w:val="bottom"/>
          </w:tcPr>
          <w:p>
            <w:pPr>
              <w:spacing w:after="0"/>
              <w:rPr>
                <w:rFonts w:ascii="Arial" w:cs="Arial" w:eastAsia="Arial" w:hAnsi="Arial"/>
                <w:sz w:val="29"/>
                <w:szCs w:val="29"/>
                <w:b w:val="1"/>
                <w:bCs w:val="1"/>
                <w:color w:val="C44E5D"/>
              </w:rPr>
            </w:pPr>
            <w:hyperlink w:anchor="page57">
              <w:r>
                <w:rPr>
                  <w:rFonts w:ascii="Arial" w:cs="Arial" w:eastAsia="Arial" w:hAnsi="Arial"/>
                  <w:sz w:val="29"/>
                  <w:szCs w:val="29"/>
                  <w:b w:val="1"/>
                  <w:bCs w:val="1"/>
                  <w:color w:val="C44E5D"/>
                </w:rPr>
                <w:t>APPOINTMENT OF</w:t>
              </w:r>
            </w:hyperlink>
          </w:p>
        </w:tc>
        <w:tc>
          <w:tcPr>
            <w:tcW w:w="380" w:type="dxa"/>
            <w:vAlign w:val="bottom"/>
          </w:tcPr>
          <w:p>
            <w:pPr>
              <w:spacing w:after="0"/>
              <w:rPr>
                <w:sz w:val="24"/>
                <w:szCs w:val="24"/>
                <w:color w:val="auto"/>
              </w:rPr>
            </w:pPr>
          </w:p>
        </w:tc>
      </w:tr>
      <w:tr>
        <w:trPr>
          <w:trHeight w:val="338"/>
        </w:trPr>
        <w:tc>
          <w:tcPr>
            <w:tcW w:w="3720" w:type="dxa"/>
            <w:vAlign w:val="bottom"/>
          </w:tcPr>
          <w:p>
            <w:pPr>
              <w:spacing w:after="0"/>
              <w:rPr>
                <w:rFonts w:ascii="Arial" w:cs="Arial" w:eastAsia="Arial" w:hAnsi="Arial"/>
                <w:sz w:val="29"/>
                <w:szCs w:val="29"/>
                <w:b w:val="1"/>
                <w:bCs w:val="1"/>
                <w:color w:val="C44E5D"/>
              </w:rPr>
            </w:pPr>
            <w:hyperlink w:anchor="page57">
              <w:r>
                <w:rPr>
                  <w:rFonts w:ascii="Arial" w:cs="Arial" w:eastAsia="Arial" w:hAnsi="Arial"/>
                  <w:sz w:val="29"/>
                  <w:szCs w:val="29"/>
                  <w:b w:val="1"/>
                  <w:bCs w:val="1"/>
                  <w:color w:val="C44E5D"/>
                </w:rPr>
                <w:t>INDEPENDENT</w:t>
              </w:r>
            </w:hyperlink>
          </w:p>
        </w:tc>
        <w:tc>
          <w:tcPr>
            <w:tcW w:w="380" w:type="dxa"/>
            <w:vAlign w:val="bottom"/>
          </w:tcPr>
          <w:p>
            <w:pPr>
              <w:spacing w:after="0"/>
              <w:rPr>
                <w:sz w:val="24"/>
                <w:szCs w:val="24"/>
                <w:color w:val="auto"/>
              </w:rPr>
            </w:pPr>
          </w:p>
        </w:tc>
      </w:tr>
      <w:tr>
        <w:trPr>
          <w:trHeight w:val="338"/>
        </w:trPr>
        <w:tc>
          <w:tcPr>
            <w:tcW w:w="3720" w:type="dxa"/>
            <w:vAlign w:val="bottom"/>
          </w:tcPr>
          <w:p>
            <w:pPr>
              <w:spacing w:after="0"/>
              <w:rPr>
                <w:rFonts w:ascii="Arial" w:cs="Arial" w:eastAsia="Arial" w:hAnsi="Arial"/>
                <w:sz w:val="29"/>
                <w:szCs w:val="29"/>
                <w:b w:val="1"/>
                <w:bCs w:val="1"/>
                <w:color w:val="C44E5D"/>
              </w:rPr>
            </w:pPr>
            <w:hyperlink w:anchor="page57">
              <w:r>
                <w:rPr>
                  <w:rFonts w:ascii="Arial" w:cs="Arial" w:eastAsia="Arial" w:hAnsi="Arial"/>
                  <w:sz w:val="29"/>
                  <w:szCs w:val="29"/>
                  <w:b w:val="1"/>
                  <w:bCs w:val="1"/>
                  <w:color w:val="C44E5D"/>
                </w:rPr>
                <w:t>REGISTERED PUBLIC</w:t>
              </w:r>
            </w:hyperlink>
          </w:p>
        </w:tc>
        <w:tc>
          <w:tcPr>
            <w:tcW w:w="380" w:type="dxa"/>
            <w:vAlign w:val="bottom"/>
          </w:tcPr>
          <w:p>
            <w:pPr>
              <w:spacing w:after="0"/>
              <w:rPr>
                <w:sz w:val="24"/>
                <w:szCs w:val="24"/>
                <w:color w:val="auto"/>
              </w:rPr>
            </w:pPr>
          </w:p>
        </w:tc>
      </w:tr>
      <w:tr>
        <w:trPr>
          <w:trHeight w:val="383"/>
        </w:trPr>
        <w:tc>
          <w:tcPr>
            <w:tcW w:w="3720" w:type="dxa"/>
            <w:vAlign w:val="bottom"/>
          </w:tcPr>
          <w:p>
            <w:pPr>
              <w:spacing w:after="0"/>
              <w:rPr>
                <w:rFonts w:ascii="Arial" w:cs="Arial" w:eastAsia="Arial" w:hAnsi="Arial"/>
                <w:sz w:val="29"/>
                <w:szCs w:val="29"/>
                <w:b w:val="1"/>
                <w:bCs w:val="1"/>
                <w:color w:val="C44E5D"/>
              </w:rPr>
            </w:pPr>
            <w:hyperlink w:anchor="page57">
              <w:r>
                <w:rPr>
                  <w:rFonts w:ascii="Arial" w:cs="Arial" w:eastAsia="Arial" w:hAnsi="Arial"/>
                  <w:sz w:val="29"/>
                  <w:szCs w:val="29"/>
                  <w:b w:val="1"/>
                  <w:bCs w:val="1"/>
                  <w:color w:val="C44E5D"/>
                </w:rPr>
                <w:t>ACCOUNTING FIRM</w:t>
              </w:r>
            </w:hyperlink>
          </w:p>
        </w:tc>
        <w:tc>
          <w:tcPr>
            <w:tcW w:w="380" w:type="dxa"/>
            <w:vAlign w:val="bottom"/>
          </w:tcPr>
          <w:p>
            <w:pPr>
              <w:jc w:val="right"/>
              <w:spacing w:after="0"/>
              <w:rPr>
                <w:sz w:val="20"/>
                <w:szCs w:val="20"/>
                <w:color w:val="auto"/>
              </w:rPr>
            </w:pPr>
            <w:r>
              <w:rPr>
                <w:rFonts w:ascii="Arial" w:cs="Arial" w:eastAsia="Arial" w:hAnsi="Arial"/>
                <w:sz w:val="29"/>
                <w:szCs w:val="29"/>
                <w:b w:val="1"/>
                <w:bCs w:val="1"/>
                <w:color w:val="C44E5D"/>
              </w:rPr>
              <w:t>46</w:t>
            </w:r>
          </w:p>
        </w:tc>
      </w:tr>
      <w:tr>
        <w:trPr>
          <w:trHeight w:val="76"/>
        </w:trPr>
        <w:tc>
          <w:tcPr>
            <w:tcW w:w="3720" w:type="dxa"/>
            <w:vAlign w:val="bottom"/>
            <w:tcBorders>
              <w:bottom w:val="single" w:sz="8" w:color="1F5AA8"/>
            </w:tcBorders>
          </w:tcPr>
          <w:p>
            <w:pPr>
              <w:spacing w:after="0"/>
              <w:rPr>
                <w:sz w:val="6"/>
                <w:szCs w:val="6"/>
                <w:color w:val="auto"/>
              </w:rPr>
            </w:pPr>
          </w:p>
        </w:tc>
        <w:tc>
          <w:tcPr>
            <w:tcW w:w="380" w:type="dxa"/>
            <w:vAlign w:val="bottom"/>
            <w:tcBorders>
              <w:bottom w:val="single" w:sz="8" w:color="1F5AA8"/>
            </w:tcBorders>
          </w:tcPr>
          <w:p>
            <w:pPr>
              <w:spacing w:after="0"/>
              <w:rPr>
                <w:sz w:val="6"/>
                <w:szCs w:val="6"/>
                <w:color w:val="auto"/>
              </w:rPr>
            </w:pPr>
          </w:p>
        </w:tc>
      </w:tr>
      <w:tr>
        <w:trPr>
          <w:trHeight w:val="350"/>
        </w:trPr>
        <w:tc>
          <w:tcPr>
            <w:tcW w:w="3720" w:type="dxa"/>
            <w:vAlign w:val="bottom"/>
          </w:tcPr>
          <w:p>
            <w:pPr>
              <w:spacing w:after="0"/>
              <w:rPr>
                <w:rFonts w:ascii="Arial" w:cs="Arial" w:eastAsia="Arial" w:hAnsi="Arial"/>
                <w:sz w:val="15"/>
                <w:szCs w:val="15"/>
                <w:b w:val="1"/>
                <w:bCs w:val="1"/>
                <w:color w:val="205BA8"/>
              </w:rPr>
            </w:pPr>
            <w:hyperlink w:anchor="page58">
              <w:r>
                <w:rPr>
                  <w:rFonts w:ascii="Arial" w:cs="Arial" w:eastAsia="Arial" w:hAnsi="Arial"/>
                  <w:sz w:val="15"/>
                  <w:szCs w:val="15"/>
                  <w:b w:val="1"/>
                  <w:bCs w:val="1"/>
                  <w:color w:val="205BA8"/>
                </w:rPr>
                <w:t>Shareholders</w:t>
              </w:r>
            </w:hyperlink>
          </w:p>
        </w:tc>
        <w:tc>
          <w:tcPr>
            <w:tcW w:w="380" w:type="dxa"/>
            <w:vAlign w:val="bottom"/>
          </w:tcPr>
          <w:p>
            <w:pPr>
              <w:jc w:val="right"/>
              <w:spacing w:after="0"/>
              <w:rPr>
                <w:sz w:val="20"/>
                <w:szCs w:val="20"/>
                <w:color w:val="auto"/>
              </w:rPr>
            </w:pPr>
            <w:r>
              <w:rPr>
                <w:rFonts w:ascii="Arial" w:cs="Arial" w:eastAsia="Arial" w:hAnsi="Arial"/>
                <w:sz w:val="15"/>
                <w:szCs w:val="15"/>
                <w:b w:val="1"/>
                <w:bCs w:val="1"/>
                <w:color w:val="205BA8"/>
              </w:rPr>
              <w:t>47</w:t>
            </w:r>
          </w:p>
        </w:tc>
      </w:tr>
      <w:tr>
        <w:trPr>
          <w:trHeight w:val="221"/>
        </w:trPr>
        <w:tc>
          <w:tcPr>
            <w:tcW w:w="3720" w:type="dxa"/>
            <w:vAlign w:val="bottom"/>
          </w:tcPr>
          <w:p>
            <w:pPr>
              <w:ind w:left="360"/>
              <w:spacing w:after="0"/>
              <w:rPr>
                <w:rFonts w:ascii="Arial" w:cs="Arial" w:eastAsia="Arial" w:hAnsi="Arial"/>
                <w:sz w:val="15"/>
                <w:szCs w:val="15"/>
                <w:color w:val="auto"/>
              </w:rPr>
            </w:pPr>
            <w:hyperlink w:anchor="page58">
              <w:r>
                <w:rPr>
                  <w:rFonts w:ascii="Arial" w:cs="Arial" w:eastAsia="Arial" w:hAnsi="Arial"/>
                  <w:sz w:val="15"/>
                  <w:szCs w:val="15"/>
                  <w:color w:val="auto"/>
                </w:rPr>
                <w:t>Security Ownership of Certain Beneficial Owners</w:t>
              </w:r>
            </w:hyperlink>
          </w:p>
        </w:tc>
        <w:tc>
          <w:tcPr>
            <w:tcW w:w="380" w:type="dxa"/>
            <w:vAlign w:val="bottom"/>
          </w:tcPr>
          <w:p>
            <w:pPr>
              <w:spacing w:after="0"/>
              <w:rPr>
                <w:sz w:val="19"/>
                <w:szCs w:val="19"/>
                <w:color w:val="auto"/>
              </w:rPr>
            </w:pPr>
          </w:p>
        </w:tc>
      </w:tr>
      <w:tr>
        <w:trPr>
          <w:trHeight w:val="184"/>
        </w:trPr>
        <w:tc>
          <w:tcPr>
            <w:tcW w:w="3720" w:type="dxa"/>
            <w:vAlign w:val="bottom"/>
          </w:tcPr>
          <w:p>
            <w:pPr>
              <w:ind w:left="360"/>
              <w:spacing w:after="0"/>
              <w:rPr>
                <w:rFonts w:ascii="Arial" w:cs="Arial" w:eastAsia="Arial" w:hAnsi="Arial"/>
                <w:sz w:val="15"/>
                <w:szCs w:val="15"/>
                <w:color w:val="auto"/>
              </w:rPr>
            </w:pPr>
            <w:hyperlink w:anchor="page58">
              <w:r>
                <w:rPr>
                  <w:rFonts w:ascii="Arial" w:cs="Arial" w:eastAsia="Arial" w:hAnsi="Arial"/>
                  <w:sz w:val="15"/>
                  <w:szCs w:val="15"/>
                  <w:color w:val="auto"/>
                </w:rPr>
                <w:t>and Management</w:t>
              </w:r>
            </w:hyperlink>
          </w:p>
        </w:tc>
        <w:tc>
          <w:tcPr>
            <w:tcW w:w="38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43"/>
        </w:trPr>
        <w:tc>
          <w:tcPr>
            <w:tcW w:w="3720" w:type="dxa"/>
            <w:vAlign w:val="bottom"/>
          </w:tcPr>
          <w:p>
            <w:pPr>
              <w:ind w:left="360"/>
              <w:spacing w:after="0"/>
              <w:rPr>
                <w:rFonts w:ascii="Arial" w:cs="Arial" w:eastAsia="Arial" w:hAnsi="Arial"/>
                <w:sz w:val="15"/>
                <w:szCs w:val="15"/>
                <w:color w:val="auto"/>
              </w:rPr>
            </w:pPr>
            <w:hyperlink w:anchor="page61">
              <w:r>
                <w:rPr>
                  <w:rFonts w:ascii="Arial" w:cs="Arial" w:eastAsia="Arial" w:hAnsi="Arial"/>
                  <w:sz w:val="15"/>
                  <w:szCs w:val="15"/>
                  <w:color w:val="auto"/>
                </w:rPr>
                <w:t>Shareholder Communications</w:t>
              </w:r>
            </w:hyperlink>
          </w:p>
        </w:tc>
        <w:tc>
          <w:tcPr>
            <w:tcW w:w="38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43"/>
        </w:trPr>
        <w:tc>
          <w:tcPr>
            <w:tcW w:w="3720" w:type="dxa"/>
            <w:vAlign w:val="bottom"/>
          </w:tcPr>
          <w:p>
            <w:pPr>
              <w:spacing w:after="0"/>
              <w:rPr>
                <w:rFonts w:ascii="Arial" w:cs="Arial" w:eastAsia="Arial" w:hAnsi="Arial"/>
                <w:sz w:val="15"/>
                <w:szCs w:val="15"/>
                <w:b w:val="1"/>
                <w:bCs w:val="1"/>
                <w:color w:val="205BA8"/>
              </w:rPr>
            </w:pPr>
            <w:hyperlink w:anchor="page62">
              <w:r>
                <w:rPr>
                  <w:rFonts w:ascii="Arial" w:cs="Arial" w:eastAsia="Arial" w:hAnsi="Arial"/>
                  <w:sz w:val="15"/>
                  <w:szCs w:val="15"/>
                  <w:b w:val="1"/>
                  <w:bCs w:val="1"/>
                  <w:color w:val="205BA8"/>
                </w:rPr>
                <w:t>Compensation-Related Matters</w:t>
              </w:r>
            </w:hyperlink>
          </w:p>
        </w:tc>
        <w:tc>
          <w:tcPr>
            <w:tcW w:w="380" w:type="dxa"/>
            <w:vAlign w:val="bottom"/>
          </w:tcPr>
          <w:p>
            <w:pPr>
              <w:jc w:val="right"/>
              <w:spacing w:after="0"/>
              <w:rPr>
                <w:sz w:val="20"/>
                <w:szCs w:val="20"/>
                <w:color w:val="auto"/>
              </w:rPr>
            </w:pPr>
            <w:r>
              <w:rPr>
                <w:rFonts w:ascii="Arial" w:cs="Arial" w:eastAsia="Arial" w:hAnsi="Arial"/>
                <w:sz w:val="15"/>
                <w:szCs w:val="15"/>
                <w:b w:val="1"/>
                <w:bCs w:val="1"/>
                <w:color w:val="205BA8"/>
              </w:rPr>
              <w:t>51</w:t>
            </w:r>
          </w:p>
        </w:tc>
      </w:tr>
      <w:tr>
        <w:trPr>
          <w:trHeight w:val="243"/>
        </w:trPr>
        <w:tc>
          <w:tcPr>
            <w:tcW w:w="3720" w:type="dxa"/>
            <w:vAlign w:val="bottom"/>
          </w:tcPr>
          <w:p>
            <w:pPr>
              <w:spacing w:after="0"/>
              <w:rPr>
                <w:rFonts w:ascii="Arial" w:cs="Arial" w:eastAsia="Arial" w:hAnsi="Arial"/>
                <w:sz w:val="15"/>
                <w:szCs w:val="15"/>
                <w:b w:val="1"/>
                <w:bCs w:val="1"/>
                <w:color w:val="auto"/>
              </w:rPr>
            </w:pPr>
            <w:hyperlink w:anchor="page62">
              <w:r>
                <w:rPr>
                  <w:rFonts w:ascii="Arial" w:cs="Arial" w:eastAsia="Arial" w:hAnsi="Arial"/>
                  <w:sz w:val="15"/>
                  <w:szCs w:val="15"/>
                  <w:b w:val="1"/>
                  <w:bCs w:val="1"/>
                  <w:color w:val="auto"/>
                </w:rPr>
                <w:t>Table of Contents</w:t>
              </w:r>
            </w:hyperlink>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51</w:t>
            </w:r>
          </w:p>
        </w:tc>
      </w:tr>
      <w:tr>
        <w:trPr>
          <w:trHeight w:val="243"/>
        </w:trPr>
        <w:tc>
          <w:tcPr>
            <w:tcW w:w="3720" w:type="dxa"/>
            <w:vAlign w:val="bottom"/>
          </w:tcPr>
          <w:p>
            <w:pPr>
              <w:spacing w:after="0"/>
              <w:rPr>
                <w:rFonts w:ascii="Arial" w:cs="Arial" w:eastAsia="Arial" w:hAnsi="Arial"/>
                <w:sz w:val="15"/>
                <w:szCs w:val="15"/>
                <w:b w:val="1"/>
                <w:bCs w:val="1"/>
                <w:color w:val="auto"/>
              </w:rPr>
            </w:pPr>
            <w:hyperlink w:anchor="page63">
              <w:r>
                <w:rPr>
                  <w:rFonts w:ascii="Arial" w:cs="Arial" w:eastAsia="Arial" w:hAnsi="Arial"/>
                  <w:sz w:val="15"/>
                  <w:szCs w:val="15"/>
                  <w:b w:val="1"/>
                  <w:bCs w:val="1"/>
                  <w:color w:val="auto"/>
                </w:rPr>
                <w:t>Compensation Discussion and Analysis</w:t>
              </w:r>
            </w:hyperlink>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52</w:t>
            </w:r>
          </w:p>
        </w:tc>
      </w:tr>
      <w:tr>
        <w:trPr>
          <w:trHeight w:val="243"/>
        </w:trPr>
        <w:tc>
          <w:tcPr>
            <w:tcW w:w="3720" w:type="dxa"/>
            <w:vAlign w:val="bottom"/>
          </w:tcPr>
          <w:p>
            <w:pPr>
              <w:ind w:left="180"/>
              <w:spacing w:after="0"/>
              <w:rPr>
                <w:rFonts w:ascii="Arial" w:cs="Arial" w:eastAsia="Arial" w:hAnsi="Arial"/>
                <w:sz w:val="15"/>
                <w:szCs w:val="15"/>
                <w:b w:val="1"/>
                <w:bCs w:val="1"/>
                <w:color w:val="205BA8"/>
              </w:rPr>
            </w:pPr>
            <w:hyperlink w:anchor="page64">
              <w:r>
                <w:rPr>
                  <w:rFonts w:ascii="Arial" w:cs="Arial" w:eastAsia="Arial" w:hAnsi="Arial"/>
                  <w:sz w:val="15"/>
                  <w:szCs w:val="15"/>
                  <w:b w:val="1"/>
                  <w:bCs w:val="1"/>
                  <w:color w:val="205BA8"/>
                </w:rPr>
                <w:t>Executive Summary</w:t>
              </w:r>
            </w:hyperlink>
          </w:p>
        </w:tc>
        <w:tc>
          <w:tcPr>
            <w:tcW w:w="380" w:type="dxa"/>
            <w:vAlign w:val="bottom"/>
          </w:tcPr>
          <w:p>
            <w:pPr>
              <w:jc w:val="right"/>
              <w:spacing w:after="0"/>
              <w:rPr>
                <w:sz w:val="20"/>
                <w:szCs w:val="20"/>
                <w:color w:val="auto"/>
              </w:rPr>
            </w:pPr>
            <w:r>
              <w:rPr>
                <w:rFonts w:ascii="Arial" w:cs="Arial" w:eastAsia="Arial" w:hAnsi="Arial"/>
                <w:sz w:val="15"/>
                <w:szCs w:val="15"/>
                <w:b w:val="1"/>
                <w:bCs w:val="1"/>
                <w:color w:val="205BA8"/>
              </w:rPr>
              <w:t>53</w:t>
            </w:r>
          </w:p>
        </w:tc>
      </w:tr>
      <w:tr>
        <w:trPr>
          <w:trHeight w:val="243"/>
        </w:trPr>
        <w:tc>
          <w:tcPr>
            <w:tcW w:w="3720" w:type="dxa"/>
            <w:vAlign w:val="bottom"/>
          </w:tcPr>
          <w:p>
            <w:pPr>
              <w:ind w:left="180"/>
              <w:spacing w:after="0"/>
              <w:rPr>
                <w:rFonts w:ascii="Arial" w:cs="Arial" w:eastAsia="Arial" w:hAnsi="Arial"/>
                <w:sz w:val="15"/>
                <w:szCs w:val="15"/>
                <w:b w:val="1"/>
                <w:bCs w:val="1"/>
                <w:color w:val="205BA8"/>
              </w:rPr>
            </w:pPr>
            <w:hyperlink w:anchor="page65">
              <w:r>
                <w:rPr>
                  <w:rFonts w:ascii="Arial" w:cs="Arial" w:eastAsia="Arial" w:hAnsi="Arial"/>
                  <w:sz w:val="15"/>
                  <w:szCs w:val="15"/>
                  <w:b w:val="1"/>
                  <w:bCs w:val="1"/>
                  <w:color w:val="205BA8"/>
                </w:rPr>
                <w:t>Compensation Program Overview</w:t>
              </w:r>
            </w:hyperlink>
          </w:p>
        </w:tc>
        <w:tc>
          <w:tcPr>
            <w:tcW w:w="380" w:type="dxa"/>
            <w:vAlign w:val="bottom"/>
          </w:tcPr>
          <w:p>
            <w:pPr>
              <w:jc w:val="right"/>
              <w:spacing w:after="0"/>
              <w:rPr>
                <w:sz w:val="20"/>
                <w:szCs w:val="20"/>
                <w:color w:val="auto"/>
              </w:rPr>
            </w:pPr>
            <w:r>
              <w:rPr>
                <w:rFonts w:ascii="Arial" w:cs="Arial" w:eastAsia="Arial" w:hAnsi="Arial"/>
                <w:sz w:val="15"/>
                <w:szCs w:val="15"/>
                <w:b w:val="1"/>
                <w:bCs w:val="1"/>
                <w:color w:val="205BA8"/>
              </w:rPr>
              <w:t>54</w:t>
            </w:r>
          </w:p>
        </w:tc>
      </w:tr>
      <w:tr>
        <w:trPr>
          <w:trHeight w:val="243"/>
        </w:trPr>
        <w:tc>
          <w:tcPr>
            <w:tcW w:w="3720" w:type="dxa"/>
            <w:vAlign w:val="bottom"/>
          </w:tcPr>
          <w:p>
            <w:pPr>
              <w:ind w:left="360"/>
              <w:spacing w:after="0"/>
              <w:rPr>
                <w:rFonts w:ascii="Arial" w:cs="Arial" w:eastAsia="Arial" w:hAnsi="Arial"/>
                <w:sz w:val="15"/>
                <w:szCs w:val="15"/>
                <w:color w:val="auto"/>
              </w:rPr>
            </w:pPr>
            <w:hyperlink w:anchor="page65">
              <w:r>
                <w:rPr>
                  <w:rFonts w:ascii="Arial" w:cs="Arial" w:eastAsia="Arial" w:hAnsi="Arial"/>
                  <w:sz w:val="15"/>
                  <w:szCs w:val="15"/>
                  <w:color w:val="auto"/>
                </w:rPr>
                <w:t>Our Corporate Culture and Pay Philosophy</w:t>
              </w:r>
            </w:hyperlink>
          </w:p>
        </w:tc>
        <w:tc>
          <w:tcPr>
            <w:tcW w:w="38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43"/>
        </w:trPr>
        <w:tc>
          <w:tcPr>
            <w:tcW w:w="3720" w:type="dxa"/>
            <w:vAlign w:val="bottom"/>
          </w:tcPr>
          <w:p>
            <w:pPr>
              <w:ind w:left="360"/>
              <w:spacing w:after="0"/>
              <w:rPr>
                <w:rFonts w:ascii="Arial" w:cs="Arial" w:eastAsia="Arial" w:hAnsi="Arial"/>
                <w:sz w:val="15"/>
                <w:szCs w:val="15"/>
                <w:color w:val="auto"/>
              </w:rPr>
            </w:pPr>
            <w:hyperlink w:anchor="page65">
              <w:r>
                <w:rPr>
                  <w:rFonts w:ascii="Arial" w:cs="Arial" w:eastAsia="Arial" w:hAnsi="Arial"/>
                  <w:sz w:val="15"/>
                  <w:szCs w:val="15"/>
                  <w:color w:val="auto"/>
                </w:rPr>
                <w:t>2020 Business Highlights</w:t>
              </w:r>
            </w:hyperlink>
          </w:p>
        </w:tc>
        <w:tc>
          <w:tcPr>
            <w:tcW w:w="38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43"/>
        </w:trPr>
        <w:tc>
          <w:tcPr>
            <w:tcW w:w="3720" w:type="dxa"/>
            <w:vAlign w:val="bottom"/>
          </w:tcPr>
          <w:p>
            <w:pPr>
              <w:ind w:left="360"/>
              <w:spacing w:after="0"/>
              <w:rPr>
                <w:rFonts w:ascii="Arial" w:cs="Arial" w:eastAsia="Arial" w:hAnsi="Arial"/>
                <w:sz w:val="15"/>
                <w:szCs w:val="15"/>
                <w:color w:val="auto"/>
              </w:rPr>
            </w:pPr>
            <w:hyperlink w:anchor="page67">
              <w:r>
                <w:rPr>
                  <w:rFonts w:ascii="Arial" w:cs="Arial" w:eastAsia="Arial" w:hAnsi="Arial"/>
                  <w:sz w:val="15"/>
                  <w:szCs w:val="15"/>
                  <w:color w:val="auto"/>
                </w:rPr>
                <w:t>2020 Compensation Highlights</w:t>
              </w:r>
            </w:hyperlink>
          </w:p>
        </w:tc>
        <w:tc>
          <w:tcPr>
            <w:tcW w:w="38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243"/>
        </w:trPr>
        <w:tc>
          <w:tcPr>
            <w:tcW w:w="3720" w:type="dxa"/>
            <w:vAlign w:val="bottom"/>
          </w:tcPr>
          <w:p>
            <w:pPr>
              <w:ind w:left="360"/>
              <w:spacing w:after="0"/>
              <w:rPr>
                <w:rFonts w:ascii="Arial" w:cs="Arial" w:eastAsia="Arial" w:hAnsi="Arial"/>
                <w:sz w:val="15"/>
                <w:szCs w:val="15"/>
                <w:color w:val="auto"/>
              </w:rPr>
            </w:pPr>
            <w:hyperlink w:anchor="page69">
              <w:r>
                <w:rPr>
                  <w:rFonts w:ascii="Arial" w:cs="Arial" w:eastAsia="Arial" w:hAnsi="Arial"/>
                  <w:sz w:val="15"/>
                  <w:szCs w:val="15"/>
                  <w:color w:val="auto"/>
                </w:rPr>
                <w:t>Shareholder Engagement and Feedback</w:t>
              </w:r>
            </w:hyperlink>
          </w:p>
        </w:tc>
        <w:tc>
          <w:tcPr>
            <w:tcW w:w="38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243"/>
        </w:trPr>
        <w:tc>
          <w:tcPr>
            <w:tcW w:w="3720" w:type="dxa"/>
            <w:vAlign w:val="bottom"/>
          </w:tcPr>
          <w:p>
            <w:pPr>
              <w:ind w:left="360"/>
              <w:spacing w:after="0"/>
              <w:rPr>
                <w:rFonts w:ascii="Arial" w:cs="Arial" w:eastAsia="Arial" w:hAnsi="Arial"/>
                <w:sz w:val="15"/>
                <w:szCs w:val="15"/>
                <w:color w:val="auto"/>
              </w:rPr>
            </w:pPr>
            <w:hyperlink w:anchor="page70">
              <w:r>
                <w:rPr>
                  <w:rFonts w:ascii="Arial" w:cs="Arial" w:eastAsia="Arial" w:hAnsi="Arial"/>
                  <w:sz w:val="15"/>
                  <w:szCs w:val="15"/>
                  <w:color w:val="auto"/>
                </w:rPr>
                <w:t>How Our Pay Program Works</w:t>
              </w:r>
            </w:hyperlink>
          </w:p>
        </w:tc>
        <w:tc>
          <w:tcPr>
            <w:tcW w:w="38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243"/>
        </w:trPr>
        <w:tc>
          <w:tcPr>
            <w:tcW w:w="3720" w:type="dxa"/>
            <w:vAlign w:val="bottom"/>
          </w:tcPr>
          <w:p>
            <w:pPr>
              <w:ind w:left="360"/>
              <w:spacing w:after="0"/>
              <w:rPr>
                <w:rFonts w:ascii="Arial" w:cs="Arial" w:eastAsia="Arial" w:hAnsi="Arial"/>
                <w:sz w:val="15"/>
                <w:szCs w:val="15"/>
                <w:color w:val="auto"/>
              </w:rPr>
            </w:pPr>
            <w:hyperlink w:anchor="page71">
              <w:r>
                <w:rPr>
                  <w:rFonts w:ascii="Arial" w:cs="Arial" w:eastAsia="Arial" w:hAnsi="Arial"/>
                  <w:sz w:val="15"/>
                  <w:szCs w:val="15"/>
                  <w:color w:val="auto"/>
                </w:rPr>
                <w:t>Key Governance Features</w:t>
              </w:r>
            </w:hyperlink>
          </w:p>
        </w:tc>
        <w:tc>
          <w:tcPr>
            <w:tcW w:w="38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43"/>
        </w:trPr>
        <w:tc>
          <w:tcPr>
            <w:tcW w:w="3720" w:type="dxa"/>
            <w:vAlign w:val="bottom"/>
          </w:tcPr>
          <w:p>
            <w:pPr>
              <w:spacing w:after="0"/>
              <w:rPr>
                <w:rFonts w:ascii="Arial" w:cs="Arial" w:eastAsia="Arial" w:hAnsi="Arial"/>
                <w:sz w:val="15"/>
                <w:szCs w:val="15"/>
                <w:b w:val="1"/>
                <w:bCs w:val="1"/>
                <w:color w:val="205BA8"/>
              </w:rPr>
            </w:pPr>
            <w:hyperlink w:anchor="page72">
              <w:r>
                <w:rPr>
                  <w:rFonts w:ascii="Arial" w:cs="Arial" w:eastAsia="Arial" w:hAnsi="Arial"/>
                  <w:sz w:val="15"/>
                  <w:szCs w:val="15"/>
                  <w:b w:val="1"/>
                  <w:bCs w:val="1"/>
                  <w:color w:val="205BA8"/>
                </w:rPr>
                <w:t>Compensation Program Objectives</w:t>
              </w:r>
            </w:hyperlink>
          </w:p>
        </w:tc>
        <w:tc>
          <w:tcPr>
            <w:tcW w:w="380" w:type="dxa"/>
            <w:vAlign w:val="bottom"/>
          </w:tcPr>
          <w:p>
            <w:pPr>
              <w:jc w:val="right"/>
              <w:spacing w:after="0"/>
              <w:rPr>
                <w:sz w:val="20"/>
                <w:szCs w:val="20"/>
                <w:color w:val="auto"/>
              </w:rPr>
            </w:pPr>
            <w:r>
              <w:rPr>
                <w:rFonts w:ascii="Arial" w:cs="Arial" w:eastAsia="Arial" w:hAnsi="Arial"/>
                <w:sz w:val="15"/>
                <w:szCs w:val="15"/>
                <w:b w:val="1"/>
                <w:bCs w:val="1"/>
                <w:color w:val="205BA8"/>
              </w:rPr>
              <w:t>61</w:t>
            </w:r>
          </w:p>
        </w:tc>
      </w:tr>
    </w:tbl>
    <w:p>
      <w:pPr>
        <w:spacing w:after="0" w:line="200" w:lineRule="exact"/>
        <w:rPr>
          <w:sz w:val="20"/>
          <w:szCs w:val="20"/>
          <w:color w:val="auto"/>
        </w:rPr>
      </w:pPr>
    </w:p>
    <w:p>
      <w:pPr>
        <w:sectPr>
          <w:pgSz w:w="11900" w:h="16838" w:orient="portrait"/>
          <w:cols w:equalWidth="0" w:num="2">
            <w:col w:w="4280" w:space="440"/>
            <w:col w:w="4420"/>
          </w:cols>
          <w:pgMar w:left="1440" w:top="1000" w:right="1319" w:bottom="1440" w:gutter="0" w:footer="0" w:header="0"/>
          <w:type w:val="continuous"/>
        </w:sectPr>
      </w:pPr>
    </w:p>
    <w:p>
      <w:pPr>
        <w:spacing w:after="0" w:line="92" w:lineRule="exact"/>
        <w:rPr>
          <w:sz w:val="20"/>
          <w:szCs w:val="20"/>
          <w:color w:val="auto"/>
        </w:rPr>
      </w:pPr>
    </w:p>
    <w:p>
      <w:pPr>
        <w:ind w:left="180"/>
        <w:spacing w:after="0"/>
        <w:tabs>
          <w:tab w:leader="none" w:pos="8920" w:val="left"/>
          <w:tab w:leader="none" w:pos="9080" w:val="left"/>
        </w:tabs>
        <w:rPr>
          <w:sz w:val="20"/>
          <w:szCs w:val="20"/>
          <w:color w:val="auto"/>
        </w:rPr>
      </w:pPr>
      <w:r>
        <w:rPr>
          <w:rFonts w:ascii="Arial" w:cs="Arial" w:eastAsia="Arial" w:hAnsi="Arial"/>
          <w:sz w:val="13"/>
          <w:szCs w:val="13"/>
          <w:b w:val="1"/>
          <w:bCs w:val="1"/>
          <w:color w:val="2952A4"/>
        </w:rPr>
        <w:t>2021 PROXY STATEMENT AND NOTICE OF ANNUAL SHAREHOLDER MEETING</w:t>
      </w:r>
      <w:r>
        <w:rPr>
          <w:sz w:val="20"/>
          <w:szCs w:val="20"/>
          <w:color w:val="auto"/>
        </w:rPr>
        <w:tab/>
      </w:r>
      <w:r>
        <w:rPr>
          <w:rFonts w:ascii="Arial" w:cs="Arial" w:eastAsia="Arial" w:hAnsi="Arial"/>
          <w:sz w:val="14"/>
          <w:szCs w:val="14"/>
          <w:color w:val="00A5EC"/>
        </w:rPr>
        <w:t>/</w:t>
      </w:r>
      <w:r>
        <w:rPr>
          <w:sz w:val="20"/>
          <w:szCs w:val="20"/>
          <w:color w:val="auto"/>
        </w:rPr>
        <w:tab/>
      </w:r>
      <w:r>
        <w:rPr>
          <w:rFonts w:ascii="Arial" w:cs="Arial" w:eastAsia="Arial" w:hAnsi="Arial"/>
          <w:sz w:val="14"/>
          <w:szCs w:val="14"/>
          <w:b w:val="1"/>
          <w:bCs w:val="1"/>
          <w:color w:val="00A5EC"/>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140"/>
          </w:cols>
          <w:pgMar w:left="1440" w:top="1000" w:right="131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53"/>
          <w:szCs w:val="53"/>
          <w:b w:val="1"/>
          <w:bCs w:val="1"/>
          <w:color w:val="205BA8"/>
        </w:rPr>
        <w:drawing>
          <wp:anchor simplePos="0" relativeHeight="251657728" behindDoc="1" locked="0" layoutInCell="0" allowOverlap="1">
            <wp:simplePos x="0" y="0"/>
            <wp:positionH relativeFrom="page">
              <wp:posOffset>345440</wp:posOffset>
            </wp:positionH>
            <wp:positionV relativeFrom="page">
              <wp:posOffset>397510</wp:posOffset>
            </wp:positionV>
            <wp:extent cx="685800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00" cy="17145"/>
                    </a:xfrm>
                    <a:prstGeom prst="rect">
                      <a:avLst/>
                    </a:prstGeom>
                    <a:noFill/>
                  </pic:spPr>
                </pic:pic>
              </a:graphicData>
            </a:graphic>
          </wp:anchor>
        </w:drawing>
        <w:t xml:space="preserve">TABLE OF CONTENTS </w:t>
      </w:r>
      <w:r>
        <w:rPr>
          <w:rFonts w:ascii="Arial" w:cs="Arial" w:eastAsia="Arial" w:hAnsi="Arial"/>
          <w:sz w:val="53"/>
          <w:szCs w:val="53"/>
          <w:color w:val="205BA8"/>
        </w:rPr>
        <w:t>(CONT.)</w:t>
      </w:r>
    </w:p>
    <w:p>
      <w:pPr>
        <w:sectPr>
          <w:pgSz w:w="11900" w:h="16838" w:orient="portrait"/>
          <w:cols w:equalWidth="0" w:num="1">
            <w:col w:w="9919"/>
          </w:cols>
          <w:pgMar w:left="540" w:top="1000"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1260"/>
        <w:spacing w:after="0" w:line="267" w:lineRule="auto"/>
        <w:rPr>
          <w:rFonts w:ascii="Arial" w:cs="Arial" w:eastAsia="Arial" w:hAnsi="Arial"/>
          <w:sz w:val="15"/>
          <w:szCs w:val="15"/>
          <w:b w:val="1"/>
          <w:bCs w:val="1"/>
          <w:color w:val="205BA8"/>
        </w:rPr>
      </w:pPr>
      <w:hyperlink w:anchor="page73">
        <w:r>
          <w:rPr>
            <w:rFonts w:ascii="Arial" w:cs="Arial" w:eastAsia="Arial" w:hAnsi="Arial"/>
            <w:sz w:val="15"/>
            <w:szCs w:val="15"/>
            <w:b w:val="1"/>
            <w:bCs w:val="1"/>
            <w:color w:val="205BA8"/>
          </w:rPr>
          <w:t>Components of Executive Pay: What We Pay and</w:t>
        </w:r>
      </w:hyperlink>
      <w:r>
        <w:rPr>
          <w:rFonts w:ascii="Arial" w:cs="Arial" w:eastAsia="Arial" w:hAnsi="Arial"/>
          <w:sz w:val="15"/>
          <w:szCs w:val="15"/>
          <w:b w:val="1"/>
          <w:bCs w:val="1"/>
          <w:color w:val="205BA8"/>
        </w:rPr>
        <w:t xml:space="preserve"> </w:t>
      </w:r>
      <w:hyperlink w:anchor="page73">
        <w:r>
          <w:rPr>
            <w:rFonts w:ascii="Arial" w:cs="Arial" w:eastAsia="Arial" w:hAnsi="Arial"/>
            <w:sz w:val="15"/>
            <w:szCs w:val="15"/>
            <w:b w:val="1"/>
            <w:bCs w:val="1"/>
            <w:color w:val="205BA8"/>
          </w:rPr>
          <w:t>Why We Pay It</w:t>
        </w:r>
      </w:hyperlink>
    </w:p>
    <w:p>
      <w:pPr>
        <w:spacing w:after="0" w:line="39" w:lineRule="exact"/>
        <w:rPr>
          <w:sz w:val="20"/>
          <w:szCs w:val="20"/>
          <w:color w:val="auto"/>
        </w:rPr>
      </w:pPr>
    </w:p>
    <w:p>
      <w:pPr>
        <w:ind w:left="1440"/>
        <w:spacing w:after="0"/>
        <w:rPr>
          <w:rFonts w:ascii="Arial" w:cs="Arial" w:eastAsia="Arial" w:hAnsi="Arial"/>
          <w:sz w:val="15"/>
          <w:szCs w:val="15"/>
          <w:color w:val="auto"/>
        </w:rPr>
      </w:pPr>
      <w:hyperlink w:anchor="page74">
        <w:r>
          <w:rPr>
            <w:rFonts w:ascii="Arial" w:cs="Arial" w:eastAsia="Arial" w:hAnsi="Arial"/>
            <w:sz w:val="15"/>
            <w:szCs w:val="15"/>
            <w:color w:val="auto"/>
          </w:rPr>
          <w:t>Base Salaries</w:t>
        </w:r>
      </w:hyperlink>
    </w:p>
    <w:p>
      <w:pPr>
        <w:spacing w:after="0" w:line="71" w:lineRule="exact"/>
        <w:rPr>
          <w:sz w:val="20"/>
          <w:szCs w:val="20"/>
          <w:color w:val="auto"/>
        </w:rPr>
      </w:pPr>
    </w:p>
    <w:p>
      <w:pPr>
        <w:ind w:left="1440"/>
        <w:spacing w:after="0"/>
        <w:rPr>
          <w:rFonts w:ascii="Arial" w:cs="Arial" w:eastAsia="Arial" w:hAnsi="Arial"/>
          <w:sz w:val="15"/>
          <w:szCs w:val="15"/>
          <w:color w:val="auto"/>
        </w:rPr>
      </w:pPr>
      <w:hyperlink w:anchor="page74">
        <w:r>
          <w:rPr>
            <w:rFonts w:ascii="Arial" w:cs="Arial" w:eastAsia="Arial" w:hAnsi="Arial"/>
            <w:sz w:val="15"/>
            <w:szCs w:val="15"/>
            <w:color w:val="auto"/>
          </w:rPr>
          <w:t>Annual Cash Incentives</w:t>
        </w:r>
      </w:hyperlink>
    </w:p>
    <w:p>
      <w:pPr>
        <w:spacing w:after="0" w:line="71" w:lineRule="exact"/>
        <w:rPr>
          <w:sz w:val="20"/>
          <w:szCs w:val="20"/>
          <w:color w:val="auto"/>
        </w:rPr>
      </w:pPr>
    </w:p>
    <w:p>
      <w:pPr>
        <w:ind w:left="1440"/>
        <w:spacing w:after="0"/>
        <w:rPr>
          <w:rFonts w:ascii="Arial" w:cs="Arial" w:eastAsia="Arial" w:hAnsi="Arial"/>
          <w:sz w:val="15"/>
          <w:szCs w:val="15"/>
          <w:color w:val="auto"/>
        </w:rPr>
      </w:pPr>
      <w:hyperlink w:anchor="page80">
        <w:r>
          <w:rPr>
            <w:rFonts w:ascii="Arial" w:cs="Arial" w:eastAsia="Arial" w:hAnsi="Arial"/>
            <w:sz w:val="15"/>
            <w:szCs w:val="15"/>
            <w:color w:val="auto"/>
          </w:rPr>
          <w:t>Annual Equity Awards</w:t>
        </w:r>
      </w:hyperlink>
    </w:p>
    <w:p>
      <w:pPr>
        <w:spacing w:after="0" w:line="71" w:lineRule="exact"/>
        <w:rPr>
          <w:sz w:val="20"/>
          <w:szCs w:val="20"/>
          <w:color w:val="auto"/>
        </w:rPr>
      </w:pPr>
    </w:p>
    <w:p>
      <w:pPr>
        <w:ind w:left="1440"/>
        <w:spacing w:after="0"/>
        <w:rPr>
          <w:rFonts w:ascii="Arial" w:cs="Arial" w:eastAsia="Arial" w:hAnsi="Arial"/>
          <w:sz w:val="15"/>
          <w:szCs w:val="15"/>
          <w:color w:val="auto"/>
        </w:rPr>
      </w:pPr>
      <w:hyperlink w:anchor="page84">
        <w:r>
          <w:rPr>
            <w:rFonts w:ascii="Arial" w:cs="Arial" w:eastAsia="Arial" w:hAnsi="Arial"/>
            <w:sz w:val="15"/>
            <w:szCs w:val="15"/>
            <w:color w:val="auto"/>
          </w:rPr>
          <w:t>Perquisites and Personal Benefits</w:t>
        </w:r>
      </w:hyperlink>
    </w:p>
    <w:p>
      <w:pPr>
        <w:spacing w:after="0" w:line="71" w:lineRule="exact"/>
        <w:rPr>
          <w:sz w:val="20"/>
          <w:szCs w:val="20"/>
          <w:color w:val="auto"/>
        </w:rPr>
      </w:pPr>
    </w:p>
    <w:p>
      <w:pPr>
        <w:ind w:left="1440"/>
        <w:spacing w:after="0"/>
        <w:rPr>
          <w:rFonts w:ascii="Arial" w:cs="Arial" w:eastAsia="Arial" w:hAnsi="Arial"/>
          <w:sz w:val="15"/>
          <w:szCs w:val="15"/>
          <w:color w:val="auto"/>
        </w:rPr>
      </w:pPr>
      <w:hyperlink w:anchor="page84">
        <w:r>
          <w:rPr>
            <w:rFonts w:ascii="Arial" w:cs="Arial" w:eastAsia="Arial" w:hAnsi="Arial"/>
            <w:sz w:val="15"/>
            <w:szCs w:val="15"/>
            <w:color w:val="auto"/>
          </w:rPr>
          <w:t>Potential Severance Payments</w:t>
        </w:r>
      </w:hyperlink>
    </w:p>
    <w:p>
      <w:pPr>
        <w:spacing w:after="0" w:line="53" w:lineRule="exact"/>
        <w:rPr>
          <w:sz w:val="20"/>
          <w:szCs w:val="20"/>
          <w:color w:val="auto"/>
        </w:rPr>
      </w:pPr>
    </w:p>
    <w:p>
      <w:pPr>
        <w:ind w:left="1260"/>
        <w:spacing w:after="0"/>
        <w:rPr>
          <w:rFonts w:ascii="Arial" w:cs="Arial" w:eastAsia="Arial" w:hAnsi="Arial"/>
          <w:sz w:val="15"/>
          <w:szCs w:val="15"/>
          <w:b w:val="1"/>
          <w:bCs w:val="1"/>
          <w:color w:val="205BA8"/>
        </w:rPr>
      </w:pPr>
      <w:hyperlink w:anchor="page86">
        <w:r>
          <w:rPr>
            <w:rFonts w:ascii="Arial" w:cs="Arial" w:eastAsia="Arial" w:hAnsi="Arial"/>
            <w:sz w:val="15"/>
            <w:szCs w:val="15"/>
            <w:b w:val="1"/>
            <w:bCs w:val="1"/>
            <w:color w:val="205BA8"/>
          </w:rPr>
          <w:t>Compensation Processes</w:t>
        </w:r>
      </w:hyperlink>
    </w:p>
    <w:p>
      <w:pPr>
        <w:spacing w:after="0" w:line="89" w:lineRule="exact"/>
        <w:rPr>
          <w:sz w:val="20"/>
          <w:szCs w:val="20"/>
          <w:color w:val="auto"/>
        </w:rPr>
      </w:pPr>
    </w:p>
    <w:p>
      <w:pPr>
        <w:ind w:left="1440"/>
        <w:spacing w:after="0"/>
        <w:rPr>
          <w:rFonts w:ascii="Arial" w:cs="Arial" w:eastAsia="Arial" w:hAnsi="Arial"/>
          <w:sz w:val="15"/>
          <w:szCs w:val="15"/>
          <w:color w:val="auto"/>
        </w:rPr>
      </w:pPr>
      <w:hyperlink w:anchor="page86">
        <w:r>
          <w:rPr>
            <w:rFonts w:ascii="Arial" w:cs="Arial" w:eastAsia="Arial" w:hAnsi="Arial"/>
            <w:sz w:val="15"/>
            <w:szCs w:val="15"/>
            <w:color w:val="auto"/>
          </w:rPr>
          <w:t>Compensation Committee</w:t>
        </w:r>
      </w:hyperlink>
    </w:p>
    <w:p>
      <w:pPr>
        <w:spacing w:after="0" w:line="71" w:lineRule="exact"/>
        <w:rPr>
          <w:sz w:val="20"/>
          <w:szCs w:val="20"/>
          <w:color w:val="auto"/>
        </w:rPr>
      </w:pPr>
    </w:p>
    <w:p>
      <w:pPr>
        <w:ind w:left="1440"/>
        <w:spacing w:after="0"/>
        <w:rPr>
          <w:rFonts w:ascii="Arial" w:cs="Arial" w:eastAsia="Arial" w:hAnsi="Arial"/>
          <w:sz w:val="15"/>
          <w:szCs w:val="15"/>
          <w:color w:val="auto"/>
        </w:rPr>
      </w:pPr>
      <w:hyperlink w:anchor="page86">
        <w:r>
          <w:rPr>
            <w:rFonts w:ascii="Arial" w:cs="Arial" w:eastAsia="Arial" w:hAnsi="Arial"/>
            <w:sz w:val="15"/>
            <w:szCs w:val="15"/>
            <w:color w:val="auto"/>
          </w:rPr>
          <w:t>Management</w:t>
        </w:r>
      </w:hyperlink>
    </w:p>
    <w:p>
      <w:pPr>
        <w:spacing w:after="0" w:line="71" w:lineRule="exact"/>
        <w:rPr>
          <w:sz w:val="20"/>
          <w:szCs w:val="20"/>
          <w:color w:val="auto"/>
        </w:rPr>
      </w:pPr>
    </w:p>
    <w:p>
      <w:pPr>
        <w:ind w:left="1440"/>
        <w:spacing w:after="0"/>
        <w:rPr>
          <w:rFonts w:ascii="Arial" w:cs="Arial" w:eastAsia="Arial" w:hAnsi="Arial"/>
          <w:sz w:val="15"/>
          <w:szCs w:val="15"/>
          <w:color w:val="auto"/>
        </w:rPr>
      </w:pPr>
      <w:hyperlink w:anchor="page87">
        <w:r>
          <w:rPr>
            <w:rFonts w:ascii="Arial" w:cs="Arial" w:eastAsia="Arial" w:hAnsi="Arial"/>
            <w:sz w:val="15"/>
            <w:szCs w:val="15"/>
            <w:color w:val="auto"/>
          </w:rPr>
          <w:t>Shareholder Input and Outreach</w:t>
        </w:r>
      </w:hyperlink>
    </w:p>
    <w:p>
      <w:pPr>
        <w:spacing w:after="0" w:line="71" w:lineRule="exact"/>
        <w:rPr>
          <w:sz w:val="20"/>
          <w:szCs w:val="20"/>
          <w:color w:val="auto"/>
        </w:rPr>
      </w:pPr>
    </w:p>
    <w:p>
      <w:pPr>
        <w:ind w:left="1440"/>
        <w:spacing w:after="0"/>
        <w:rPr>
          <w:rFonts w:ascii="Arial" w:cs="Arial" w:eastAsia="Arial" w:hAnsi="Arial"/>
          <w:sz w:val="15"/>
          <w:szCs w:val="15"/>
          <w:color w:val="auto"/>
        </w:rPr>
      </w:pPr>
      <w:hyperlink w:anchor="page90">
        <w:r>
          <w:rPr>
            <w:rFonts w:ascii="Arial" w:cs="Arial" w:eastAsia="Arial" w:hAnsi="Arial"/>
            <w:sz w:val="15"/>
            <w:szCs w:val="15"/>
            <w:color w:val="auto"/>
          </w:rPr>
          <w:t>Independent Compensation Consultant</w:t>
        </w:r>
      </w:hyperlink>
    </w:p>
    <w:p>
      <w:pPr>
        <w:spacing w:after="0" w:line="71" w:lineRule="exact"/>
        <w:rPr>
          <w:sz w:val="20"/>
          <w:szCs w:val="20"/>
          <w:color w:val="auto"/>
        </w:rPr>
      </w:pPr>
    </w:p>
    <w:p>
      <w:pPr>
        <w:ind w:left="1440"/>
        <w:spacing w:after="0"/>
        <w:rPr>
          <w:rFonts w:ascii="Arial" w:cs="Arial" w:eastAsia="Arial" w:hAnsi="Arial"/>
          <w:sz w:val="15"/>
          <w:szCs w:val="15"/>
          <w:color w:val="auto"/>
        </w:rPr>
      </w:pPr>
      <w:hyperlink w:anchor="page90">
        <w:r>
          <w:rPr>
            <w:rFonts w:ascii="Arial" w:cs="Arial" w:eastAsia="Arial" w:hAnsi="Arial"/>
            <w:sz w:val="15"/>
            <w:szCs w:val="15"/>
            <w:color w:val="auto"/>
          </w:rPr>
          <w:t>Peer Data</w:t>
        </w:r>
      </w:hyperlink>
    </w:p>
    <w:p>
      <w:pPr>
        <w:spacing w:after="0" w:line="71" w:lineRule="exact"/>
        <w:rPr>
          <w:sz w:val="20"/>
          <w:szCs w:val="20"/>
          <w:color w:val="auto"/>
        </w:rPr>
      </w:pPr>
    </w:p>
    <w:p>
      <w:pPr>
        <w:ind w:left="1440"/>
        <w:spacing w:after="0"/>
        <w:rPr>
          <w:rFonts w:ascii="Arial" w:cs="Arial" w:eastAsia="Arial" w:hAnsi="Arial"/>
          <w:sz w:val="15"/>
          <w:szCs w:val="15"/>
          <w:color w:val="auto"/>
        </w:rPr>
      </w:pPr>
      <w:hyperlink w:anchor="page92">
        <w:r>
          <w:rPr>
            <w:rFonts w:ascii="Arial" w:cs="Arial" w:eastAsia="Arial" w:hAnsi="Arial"/>
            <w:sz w:val="15"/>
            <w:szCs w:val="15"/>
            <w:color w:val="auto"/>
          </w:rPr>
          <w:t>Risk Assessment</w:t>
        </w:r>
      </w:hyperlink>
    </w:p>
    <w:p>
      <w:pPr>
        <w:spacing w:after="0" w:line="71" w:lineRule="exact"/>
        <w:rPr>
          <w:sz w:val="20"/>
          <w:szCs w:val="20"/>
          <w:color w:val="auto"/>
        </w:rPr>
      </w:pPr>
    </w:p>
    <w:p>
      <w:pPr>
        <w:ind w:left="1440"/>
        <w:spacing w:after="0"/>
        <w:rPr>
          <w:rFonts w:ascii="Arial" w:cs="Arial" w:eastAsia="Arial" w:hAnsi="Arial"/>
          <w:sz w:val="15"/>
          <w:szCs w:val="15"/>
          <w:color w:val="auto"/>
        </w:rPr>
      </w:pPr>
      <w:hyperlink w:anchor="page92">
        <w:r>
          <w:rPr>
            <w:rFonts w:ascii="Arial" w:cs="Arial" w:eastAsia="Arial" w:hAnsi="Arial"/>
            <w:sz w:val="15"/>
            <w:szCs w:val="15"/>
            <w:color w:val="auto"/>
          </w:rPr>
          <w:t>Tax Implications</w:t>
        </w:r>
      </w:hyperlink>
    </w:p>
    <w:p>
      <w:pPr>
        <w:spacing w:after="0" w:line="53" w:lineRule="exact"/>
        <w:rPr>
          <w:sz w:val="20"/>
          <w:szCs w:val="20"/>
          <w:color w:val="auto"/>
        </w:rPr>
      </w:pPr>
    </w:p>
    <w:p>
      <w:pPr>
        <w:ind w:left="1080"/>
        <w:spacing w:after="0"/>
        <w:rPr>
          <w:rFonts w:ascii="Arial" w:cs="Arial" w:eastAsia="Arial" w:hAnsi="Arial"/>
          <w:sz w:val="15"/>
          <w:szCs w:val="15"/>
          <w:b w:val="1"/>
          <w:bCs w:val="1"/>
          <w:color w:val="auto"/>
        </w:rPr>
      </w:pPr>
      <w:hyperlink w:anchor="page94">
        <w:r>
          <w:rPr>
            <w:rFonts w:ascii="Arial" w:cs="Arial" w:eastAsia="Arial" w:hAnsi="Arial"/>
            <w:sz w:val="15"/>
            <w:szCs w:val="15"/>
            <w:b w:val="1"/>
            <w:bCs w:val="1"/>
            <w:color w:val="auto"/>
          </w:rPr>
          <w:t>Compensation Committee Report</w:t>
        </w:r>
      </w:hyperlink>
    </w:p>
    <w:p>
      <w:pPr>
        <w:spacing w:after="0" w:line="71" w:lineRule="exact"/>
        <w:rPr>
          <w:sz w:val="20"/>
          <w:szCs w:val="20"/>
          <w:color w:val="auto"/>
        </w:rPr>
      </w:pPr>
    </w:p>
    <w:p>
      <w:pPr>
        <w:ind w:left="1080"/>
        <w:spacing w:after="0"/>
        <w:rPr>
          <w:rFonts w:ascii="Arial" w:cs="Arial" w:eastAsia="Arial" w:hAnsi="Arial"/>
          <w:sz w:val="15"/>
          <w:szCs w:val="15"/>
          <w:b w:val="1"/>
          <w:bCs w:val="1"/>
          <w:color w:val="auto"/>
        </w:rPr>
      </w:pPr>
      <w:hyperlink w:anchor="page94">
        <w:r>
          <w:rPr>
            <w:rFonts w:ascii="Arial" w:cs="Arial" w:eastAsia="Arial" w:hAnsi="Arial"/>
            <w:sz w:val="15"/>
            <w:szCs w:val="15"/>
            <w:b w:val="1"/>
            <w:bCs w:val="1"/>
            <w:color w:val="auto"/>
          </w:rPr>
          <w:t>Compensation Committee Interlocks and Insider</w:t>
        </w:r>
      </w:hyperlink>
    </w:p>
    <w:p>
      <w:pPr>
        <w:spacing w:after="0" w:line="8" w:lineRule="exact"/>
        <w:rPr>
          <w:sz w:val="20"/>
          <w:szCs w:val="20"/>
          <w:color w:val="auto"/>
        </w:rPr>
      </w:pPr>
    </w:p>
    <w:p>
      <w:pPr>
        <w:ind w:left="1080"/>
        <w:spacing w:after="0"/>
        <w:rPr>
          <w:rFonts w:ascii="Arial" w:cs="Arial" w:eastAsia="Arial" w:hAnsi="Arial"/>
          <w:sz w:val="15"/>
          <w:szCs w:val="15"/>
          <w:b w:val="1"/>
          <w:bCs w:val="1"/>
          <w:color w:val="auto"/>
        </w:rPr>
      </w:pPr>
      <w:hyperlink w:anchor="page94">
        <w:r>
          <w:rPr>
            <w:rFonts w:ascii="Arial" w:cs="Arial" w:eastAsia="Arial" w:hAnsi="Arial"/>
            <w:sz w:val="15"/>
            <w:szCs w:val="15"/>
            <w:b w:val="1"/>
            <w:bCs w:val="1"/>
            <w:color w:val="auto"/>
          </w:rPr>
          <w:t>Participation</w:t>
        </w:r>
      </w:hyperlink>
    </w:p>
    <w:p>
      <w:pPr>
        <w:spacing w:after="0" w:line="53" w:lineRule="exact"/>
        <w:rPr>
          <w:sz w:val="20"/>
          <w:szCs w:val="20"/>
          <w:color w:val="auto"/>
        </w:rPr>
      </w:pPr>
    </w:p>
    <w:p>
      <w:pPr>
        <w:ind w:left="1080"/>
        <w:spacing w:after="0"/>
        <w:rPr>
          <w:rFonts w:ascii="Arial" w:cs="Arial" w:eastAsia="Arial" w:hAnsi="Arial"/>
          <w:sz w:val="15"/>
          <w:szCs w:val="15"/>
          <w:b w:val="1"/>
          <w:bCs w:val="1"/>
          <w:color w:val="auto"/>
        </w:rPr>
      </w:pPr>
      <w:hyperlink w:anchor="page95">
        <w:r>
          <w:rPr>
            <w:rFonts w:ascii="Arial" w:cs="Arial" w:eastAsia="Arial" w:hAnsi="Arial"/>
            <w:sz w:val="15"/>
            <w:szCs w:val="15"/>
            <w:b w:val="1"/>
            <w:bCs w:val="1"/>
            <w:color w:val="auto"/>
          </w:rPr>
          <w:t>Compensation Dashboard</w:t>
        </w:r>
      </w:hyperlink>
    </w:p>
    <w:p>
      <w:pPr>
        <w:spacing w:after="0" w:line="71" w:lineRule="exact"/>
        <w:rPr>
          <w:sz w:val="20"/>
          <w:szCs w:val="20"/>
          <w:color w:val="auto"/>
        </w:rPr>
      </w:pPr>
    </w:p>
    <w:p>
      <w:pPr>
        <w:ind w:left="1080"/>
        <w:spacing w:after="0"/>
        <w:rPr>
          <w:rFonts w:ascii="Arial" w:cs="Arial" w:eastAsia="Arial" w:hAnsi="Arial"/>
          <w:sz w:val="15"/>
          <w:szCs w:val="15"/>
          <w:b w:val="1"/>
          <w:bCs w:val="1"/>
          <w:color w:val="205BA8"/>
        </w:rPr>
      </w:pPr>
      <w:hyperlink w:anchor="page95">
        <w:r>
          <w:rPr>
            <w:rFonts w:ascii="Arial" w:cs="Arial" w:eastAsia="Arial" w:hAnsi="Arial"/>
            <w:sz w:val="15"/>
            <w:szCs w:val="15"/>
            <w:b w:val="1"/>
            <w:bCs w:val="1"/>
            <w:color w:val="205BA8"/>
          </w:rPr>
          <w:t>2020 Executive Compensation Tables</w:t>
        </w:r>
      </w:hyperlink>
    </w:p>
    <w:p>
      <w:pPr>
        <w:spacing w:after="0" w:line="89" w:lineRule="exact"/>
        <w:rPr>
          <w:sz w:val="20"/>
          <w:szCs w:val="20"/>
          <w:color w:val="auto"/>
        </w:rPr>
      </w:pPr>
    </w:p>
    <w:p>
      <w:pPr>
        <w:ind w:left="1440"/>
        <w:spacing w:after="0"/>
        <w:rPr>
          <w:rFonts w:ascii="Arial" w:cs="Arial" w:eastAsia="Arial" w:hAnsi="Arial"/>
          <w:sz w:val="15"/>
          <w:szCs w:val="15"/>
          <w:color w:val="auto"/>
        </w:rPr>
      </w:pPr>
      <w:hyperlink w:anchor="page95">
        <w:r>
          <w:rPr>
            <w:rFonts w:ascii="Arial" w:cs="Arial" w:eastAsia="Arial" w:hAnsi="Arial"/>
            <w:sz w:val="15"/>
            <w:szCs w:val="15"/>
            <w:color w:val="auto"/>
          </w:rPr>
          <w:t>2020 Summary Compensation Table</w:t>
        </w:r>
      </w:hyperlink>
    </w:p>
    <w:p>
      <w:pPr>
        <w:spacing w:after="0" w:line="71" w:lineRule="exact"/>
        <w:rPr>
          <w:sz w:val="20"/>
          <w:szCs w:val="20"/>
          <w:color w:val="auto"/>
        </w:rPr>
      </w:pPr>
    </w:p>
    <w:p>
      <w:pPr>
        <w:ind w:left="1440"/>
        <w:spacing w:after="0"/>
        <w:rPr>
          <w:rFonts w:ascii="Arial" w:cs="Arial" w:eastAsia="Arial" w:hAnsi="Arial"/>
          <w:sz w:val="15"/>
          <w:szCs w:val="15"/>
          <w:color w:val="auto"/>
        </w:rPr>
      </w:pPr>
      <w:hyperlink w:anchor="page96">
        <w:r>
          <w:rPr>
            <w:rFonts w:ascii="Arial" w:cs="Arial" w:eastAsia="Arial" w:hAnsi="Arial"/>
            <w:sz w:val="15"/>
            <w:szCs w:val="15"/>
            <w:color w:val="auto"/>
          </w:rPr>
          <w:t>2020 Grants of Plan-Based Awards</w:t>
        </w:r>
      </w:hyperlink>
    </w:p>
    <w:p>
      <w:pPr>
        <w:spacing w:after="0" w:line="60" w:lineRule="exact"/>
        <w:rPr>
          <w:sz w:val="20"/>
          <w:szCs w:val="20"/>
          <w:color w:val="auto"/>
        </w:rPr>
      </w:pPr>
    </w:p>
    <w:p>
      <w:pPr>
        <w:ind w:left="1440"/>
        <w:spacing w:after="0"/>
        <w:rPr>
          <w:rFonts w:ascii="Arial" w:cs="Arial" w:eastAsia="Arial" w:hAnsi="Arial"/>
          <w:sz w:val="15"/>
          <w:szCs w:val="15"/>
          <w:color w:val="auto"/>
        </w:rPr>
      </w:pPr>
      <w:hyperlink w:anchor="page97">
        <w:r>
          <w:rPr>
            <w:rFonts w:ascii="Arial" w:cs="Arial" w:eastAsia="Arial" w:hAnsi="Arial"/>
            <w:sz w:val="15"/>
            <w:szCs w:val="15"/>
            <w:color w:val="auto"/>
          </w:rPr>
          <w:t>Outstanding Equity Awards at 2020 Fiscal</w:t>
        </w:r>
      </w:hyperlink>
    </w:p>
    <w:p>
      <w:pPr>
        <w:ind w:left="1440"/>
        <w:spacing w:after="0"/>
        <w:rPr>
          <w:rFonts w:ascii="Arial" w:cs="Arial" w:eastAsia="Arial" w:hAnsi="Arial"/>
          <w:sz w:val="15"/>
          <w:szCs w:val="15"/>
          <w:color w:val="auto"/>
        </w:rPr>
      </w:pPr>
      <w:hyperlink w:anchor="page97">
        <w:r>
          <w:rPr>
            <w:rFonts w:ascii="Arial" w:cs="Arial" w:eastAsia="Arial" w:hAnsi="Arial"/>
            <w:sz w:val="15"/>
            <w:szCs w:val="15"/>
            <w:color w:val="auto"/>
          </w:rPr>
          <w:t>Year-End</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8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205BA8"/>
                <w:w w:val="83"/>
              </w:rPr>
              <w:t>62</w:t>
            </w:r>
          </w:p>
        </w:tc>
        <w:tc>
          <w:tcPr>
            <w:tcW w:w="3760" w:type="dxa"/>
            <w:vAlign w:val="bottom"/>
          </w:tcPr>
          <w:p>
            <w:pPr>
              <w:ind w:left="580"/>
              <w:spacing w:after="0"/>
              <w:rPr>
                <w:rFonts w:ascii="Arial" w:cs="Arial" w:eastAsia="Arial" w:hAnsi="Arial"/>
                <w:sz w:val="15"/>
                <w:szCs w:val="15"/>
                <w:color w:val="auto"/>
              </w:rPr>
            </w:pPr>
            <w:hyperlink w:anchor="page99">
              <w:r>
                <w:rPr>
                  <w:rFonts w:ascii="Arial" w:cs="Arial" w:eastAsia="Arial" w:hAnsi="Arial"/>
                  <w:sz w:val="15"/>
                  <w:szCs w:val="15"/>
                  <w:color w:val="auto"/>
                </w:rPr>
                <w:t>2020 Option Exercises and Stock Vested</w:t>
              </w:r>
            </w:hyperlink>
          </w:p>
        </w:tc>
        <w:tc>
          <w:tcPr>
            <w:tcW w:w="560" w:type="dxa"/>
            <w:vAlign w:val="bottom"/>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62"/>
        </w:trPr>
        <w:tc>
          <w:tcPr>
            <w:tcW w:w="380" w:type="dxa"/>
            <w:vAlign w:val="bottom"/>
            <w:vMerge w:val="continue"/>
          </w:tcPr>
          <w:p>
            <w:pPr>
              <w:spacing w:after="0"/>
              <w:rPr>
                <w:sz w:val="14"/>
                <w:szCs w:val="14"/>
                <w:color w:val="auto"/>
              </w:rPr>
            </w:pPr>
          </w:p>
        </w:tc>
        <w:tc>
          <w:tcPr>
            <w:tcW w:w="3760" w:type="dxa"/>
            <w:vAlign w:val="bottom"/>
            <w:vMerge w:val="restart"/>
          </w:tcPr>
          <w:p>
            <w:pPr>
              <w:ind w:left="580"/>
              <w:spacing w:after="0"/>
              <w:rPr>
                <w:rFonts w:ascii="Arial" w:cs="Arial" w:eastAsia="Arial" w:hAnsi="Arial"/>
                <w:sz w:val="15"/>
                <w:szCs w:val="15"/>
                <w:color w:val="auto"/>
              </w:rPr>
            </w:pPr>
            <w:hyperlink w:anchor="page99">
              <w:r>
                <w:rPr>
                  <w:rFonts w:ascii="Arial" w:cs="Arial" w:eastAsia="Arial" w:hAnsi="Arial"/>
                  <w:sz w:val="15"/>
                  <w:szCs w:val="15"/>
                  <w:color w:val="auto"/>
                </w:rPr>
                <w:t>Post-Employment Compensation</w:t>
              </w:r>
            </w:hyperlink>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81"/>
        </w:trPr>
        <w:tc>
          <w:tcPr>
            <w:tcW w:w="380" w:type="dxa"/>
            <w:vAlign w:val="bottom"/>
            <w:vMerge w:val="restart"/>
          </w:tcPr>
          <w:p>
            <w:pPr>
              <w:jc w:val="right"/>
              <w:ind w:right="144"/>
              <w:spacing w:after="0"/>
              <w:rPr>
                <w:sz w:val="20"/>
                <w:szCs w:val="20"/>
                <w:color w:val="auto"/>
              </w:rPr>
            </w:pPr>
            <w:r>
              <w:rPr>
                <w:rFonts w:ascii="Arial" w:cs="Arial" w:eastAsia="Arial" w:hAnsi="Arial"/>
                <w:sz w:val="15"/>
                <w:szCs w:val="15"/>
                <w:color w:val="auto"/>
                <w:w w:val="83"/>
              </w:rPr>
              <w:t>63</w:t>
            </w:r>
          </w:p>
        </w:tc>
        <w:tc>
          <w:tcPr>
            <w:tcW w:w="3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0" w:type="dxa"/>
            <w:vAlign w:val="bottom"/>
            <w:vMerge w:val="continue"/>
          </w:tcPr>
          <w:p>
            <w:pPr>
              <w:spacing w:after="0"/>
              <w:rPr>
                <w:sz w:val="14"/>
                <w:szCs w:val="14"/>
                <w:color w:val="auto"/>
              </w:rPr>
            </w:pPr>
          </w:p>
        </w:tc>
        <w:tc>
          <w:tcPr>
            <w:tcW w:w="3760" w:type="dxa"/>
            <w:vAlign w:val="bottom"/>
            <w:vMerge w:val="restart"/>
          </w:tcPr>
          <w:p>
            <w:pPr>
              <w:ind w:left="220"/>
              <w:spacing w:after="0"/>
              <w:rPr>
                <w:rFonts w:ascii="Arial" w:cs="Arial" w:eastAsia="Arial" w:hAnsi="Arial"/>
                <w:sz w:val="15"/>
                <w:szCs w:val="15"/>
                <w:b w:val="1"/>
                <w:bCs w:val="1"/>
                <w:color w:val="205BA8"/>
              </w:rPr>
            </w:pPr>
            <w:hyperlink w:anchor="page103">
              <w:r>
                <w:rPr>
                  <w:rFonts w:ascii="Arial" w:cs="Arial" w:eastAsia="Arial" w:hAnsi="Arial"/>
                  <w:sz w:val="15"/>
                  <w:szCs w:val="15"/>
                  <w:b w:val="1"/>
                  <w:bCs w:val="1"/>
                  <w:color w:val="205BA8"/>
                </w:rPr>
                <w:t>Additional Compensation Information</w:t>
              </w:r>
            </w:hyperlink>
          </w:p>
        </w:tc>
        <w:tc>
          <w:tcPr>
            <w:tcW w:w="560" w:type="dxa"/>
            <w:vAlign w:val="bottom"/>
            <w:vMerge w:val="restart"/>
          </w:tcPr>
          <w:p>
            <w:pPr>
              <w:jc w:val="right"/>
              <w:spacing w:after="0"/>
              <w:rPr>
                <w:sz w:val="20"/>
                <w:szCs w:val="20"/>
                <w:color w:val="auto"/>
              </w:rPr>
            </w:pPr>
            <w:r>
              <w:rPr>
                <w:rFonts w:ascii="Arial" w:cs="Arial" w:eastAsia="Arial" w:hAnsi="Arial"/>
                <w:sz w:val="15"/>
                <w:szCs w:val="15"/>
                <w:b w:val="1"/>
                <w:bCs w:val="1"/>
                <w:color w:val="205BA8"/>
              </w:rPr>
              <w:t>92</w:t>
            </w:r>
          </w:p>
        </w:tc>
        <w:tc>
          <w:tcPr>
            <w:tcW w:w="0" w:type="dxa"/>
            <w:vAlign w:val="bottom"/>
          </w:tcPr>
          <w:p>
            <w:pPr>
              <w:spacing w:after="0"/>
              <w:rPr>
                <w:sz w:val="1"/>
                <w:szCs w:val="1"/>
                <w:color w:val="auto"/>
              </w:rPr>
            </w:pPr>
          </w:p>
        </w:tc>
      </w:tr>
      <w:tr>
        <w:trPr>
          <w:trHeight w:val="81"/>
        </w:trPr>
        <w:tc>
          <w:tcPr>
            <w:tcW w:w="380" w:type="dxa"/>
            <w:vAlign w:val="bottom"/>
            <w:vMerge w:val="restart"/>
          </w:tcPr>
          <w:p>
            <w:pPr>
              <w:jc w:val="right"/>
              <w:ind w:right="144"/>
              <w:spacing w:after="0"/>
              <w:rPr>
                <w:sz w:val="20"/>
                <w:szCs w:val="20"/>
                <w:color w:val="auto"/>
              </w:rPr>
            </w:pPr>
            <w:r>
              <w:rPr>
                <w:rFonts w:ascii="Arial" w:cs="Arial" w:eastAsia="Arial" w:hAnsi="Arial"/>
                <w:sz w:val="15"/>
                <w:szCs w:val="15"/>
                <w:color w:val="auto"/>
                <w:w w:val="83"/>
              </w:rPr>
              <w:t>63</w:t>
            </w:r>
          </w:p>
        </w:tc>
        <w:tc>
          <w:tcPr>
            <w:tcW w:w="3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0" w:type="dxa"/>
            <w:vAlign w:val="bottom"/>
            <w:vMerge w:val="continue"/>
          </w:tcPr>
          <w:p>
            <w:pPr>
              <w:spacing w:after="0"/>
              <w:rPr>
                <w:sz w:val="14"/>
                <w:szCs w:val="14"/>
                <w:color w:val="auto"/>
              </w:rPr>
            </w:pPr>
          </w:p>
        </w:tc>
        <w:tc>
          <w:tcPr>
            <w:tcW w:w="3760" w:type="dxa"/>
            <w:vAlign w:val="bottom"/>
            <w:vMerge w:val="restart"/>
          </w:tcPr>
          <w:p>
            <w:pPr>
              <w:ind w:left="580"/>
              <w:spacing w:after="0"/>
              <w:rPr>
                <w:rFonts w:ascii="Arial" w:cs="Arial" w:eastAsia="Arial" w:hAnsi="Arial"/>
                <w:sz w:val="15"/>
                <w:szCs w:val="15"/>
                <w:color w:val="auto"/>
              </w:rPr>
            </w:pPr>
            <w:hyperlink w:anchor="page103">
              <w:r>
                <w:rPr>
                  <w:rFonts w:ascii="Arial" w:cs="Arial" w:eastAsia="Arial" w:hAnsi="Arial"/>
                  <w:sz w:val="15"/>
                  <w:szCs w:val="15"/>
                  <w:color w:val="auto"/>
                </w:rPr>
                <w:t>Annual Cash Incentives</w:t>
              </w:r>
            </w:hyperlink>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81"/>
        </w:trPr>
        <w:tc>
          <w:tcPr>
            <w:tcW w:w="380" w:type="dxa"/>
            <w:vAlign w:val="bottom"/>
            <w:vMerge w:val="restart"/>
          </w:tcPr>
          <w:p>
            <w:pPr>
              <w:jc w:val="right"/>
              <w:ind w:right="144"/>
              <w:spacing w:after="0"/>
              <w:rPr>
                <w:sz w:val="20"/>
                <w:szCs w:val="20"/>
                <w:color w:val="auto"/>
              </w:rPr>
            </w:pPr>
            <w:r>
              <w:rPr>
                <w:rFonts w:ascii="Arial" w:cs="Arial" w:eastAsia="Arial" w:hAnsi="Arial"/>
                <w:sz w:val="15"/>
                <w:szCs w:val="15"/>
                <w:color w:val="auto"/>
                <w:w w:val="83"/>
              </w:rPr>
              <w:t>69</w:t>
            </w:r>
          </w:p>
        </w:tc>
        <w:tc>
          <w:tcPr>
            <w:tcW w:w="3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0" w:type="dxa"/>
            <w:vAlign w:val="bottom"/>
            <w:vMerge w:val="continue"/>
          </w:tcPr>
          <w:p>
            <w:pPr>
              <w:spacing w:after="0"/>
              <w:rPr>
                <w:sz w:val="14"/>
                <w:szCs w:val="14"/>
                <w:color w:val="auto"/>
              </w:rPr>
            </w:pPr>
          </w:p>
        </w:tc>
        <w:tc>
          <w:tcPr>
            <w:tcW w:w="3760" w:type="dxa"/>
            <w:vAlign w:val="bottom"/>
            <w:vMerge w:val="restart"/>
          </w:tcPr>
          <w:p>
            <w:pPr>
              <w:ind w:left="580"/>
              <w:spacing w:after="0"/>
              <w:rPr>
                <w:rFonts w:ascii="Arial" w:cs="Arial" w:eastAsia="Arial" w:hAnsi="Arial"/>
                <w:sz w:val="15"/>
                <w:szCs w:val="15"/>
                <w:color w:val="auto"/>
              </w:rPr>
            </w:pPr>
            <w:hyperlink w:anchor="page104">
              <w:r>
                <w:rPr>
                  <w:rFonts w:ascii="Arial" w:cs="Arial" w:eastAsia="Arial" w:hAnsi="Arial"/>
                  <w:sz w:val="15"/>
                  <w:szCs w:val="15"/>
                  <w:color w:val="auto"/>
                </w:rPr>
                <w:t>Perquisites and Personal Benefits</w:t>
              </w:r>
            </w:hyperlink>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81"/>
        </w:trPr>
        <w:tc>
          <w:tcPr>
            <w:tcW w:w="380" w:type="dxa"/>
            <w:vAlign w:val="bottom"/>
            <w:vMerge w:val="restart"/>
          </w:tcPr>
          <w:p>
            <w:pPr>
              <w:jc w:val="right"/>
              <w:ind w:right="144"/>
              <w:spacing w:after="0"/>
              <w:rPr>
                <w:sz w:val="20"/>
                <w:szCs w:val="20"/>
                <w:color w:val="auto"/>
              </w:rPr>
            </w:pPr>
            <w:r>
              <w:rPr>
                <w:rFonts w:ascii="Arial" w:cs="Arial" w:eastAsia="Arial" w:hAnsi="Arial"/>
                <w:sz w:val="15"/>
                <w:szCs w:val="15"/>
                <w:color w:val="auto"/>
                <w:w w:val="83"/>
              </w:rPr>
              <w:t>73</w:t>
            </w:r>
          </w:p>
        </w:tc>
        <w:tc>
          <w:tcPr>
            <w:tcW w:w="3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0" w:type="dxa"/>
            <w:vAlign w:val="bottom"/>
            <w:vMerge w:val="continue"/>
          </w:tcPr>
          <w:p>
            <w:pPr>
              <w:spacing w:after="0"/>
              <w:rPr>
                <w:sz w:val="14"/>
                <w:szCs w:val="14"/>
                <w:color w:val="auto"/>
              </w:rPr>
            </w:pPr>
          </w:p>
        </w:tc>
        <w:tc>
          <w:tcPr>
            <w:tcW w:w="3760" w:type="dxa"/>
            <w:vAlign w:val="bottom"/>
            <w:vMerge w:val="restart"/>
          </w:tcPr>
          <w:p>
            <w:pPr>
              <w:ind w:left="580"/>
              <w:spacing w:after="0"/>
              <w:rPr>
                <w:rFonts w:ascii="Arial" w:cs="Arial" w:eastAsia="Arial" w:hAnsi="Arial"/>
                <w:sz w:val="15"/>
                <w:szCs w:val="15"/>
                <w:color w:val="auto"/>
              </w:rPr>
            </w:pPr>
            <w:hyperlink w:anchor="page106">
              <w:r>
                <w:rPr>
                  <w:rFonts w:ascii="Arial" w:cs="Arial" w:eastAsia="Arial" w:hAnsi="Arial"/>
                  <w:sz w:val="15"/>
                  <w:szCs w:val="15"/>
                  <w:color w:val="auto"/>
                </w:rPr>
                <w:t>Potential Severance Payments</w:t>
              </w:r>
            </w:hyperlink>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81"/>
        </w:trPr>
        <w:tc>
          <w:tcPr>
            <w:tcW w:w="380" w:type="dxa"/>
            <w:vAlign w:val="bottom"/>
            <w:vMerge w:val="restart"/>
          </w:tcPr>
          <w:p>
            <w:pPr>
              <w:jc w:val="right"/>
              <w:ind w:right="144"/>
              <w:spacing w:after="0"/>
              <w:rPr>
                <w:sz w:val="20"/>
                <w:szCs w:val="20"/>
                <w:color w:val="auto"/>
              </w:rPr>
            </w:pPr>
            <w:r>
              <w:rPr>
                <w:rFonts w:ascii="Arial" w:cs="Arial" w:eastAsia="Arial" w:hAnsi="Arial"/>
                <w:sz w:val="15"/>
                <w:szCs w:val="15"/>
                <w:color w:val="auto"/>
                <w:w w:val="83"/>
              </w:rPr>
              <w:t>73</w:t>
            </w:r>
          </w:p>
        </w:tc>
        <w:tc>
          <w:tcPr>
            <w:tcW w:w="3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0" w:type="dxa"/>
            <w:vAlign w:val="bottom"/>
            <w:vMerge w:val="continue"/>
          </w:tcPr>
          <w:p>
            <w:pPr>
              <w:spacing w:after="0"/>
              <w:rPr>
                <w:sz w:val="14"/>
                <w:szCs w:val="14"/>
                <w:color w:val="auto"/>
              </w:rPr>
            </w:pPr>
          </w:p>
        </w:tc>
        <w:tc>
          <w:tcPr>
            <w:tcW w:w="3760" w:type="dxa"/>
            <w:vAlign w:val="bottom"/>
            <w:vMerge w:val="restart"/>
          </w:tcPr>
          <w:p>
            <w:pPr>
              <w:ind w:left="580"/>
              <w:spacing w:after="0"/>
              <w:rPr>
                <w:rFonts w:ascii="Arial" w:cs="Arial" w:eastAsia="Arial" w:hAnsi="Arial"/>
                <w:sz w:val="15"/>
                <w:szCs w:val="15"/>
                <w:color w:val="auto"/>
              </w:rPr>
            </w:pPr>
            <w:hyperlink w:anchor="page107">
              <w:r>
                <w:rPr>
                  <w:rFonts w:ascii="Arial" w:cs="Arial" w:eastAsia="Arial" w:hAnsi="Arial"/>
                  <w:sz w:val="15"/>
                  <w:szCs w:val="15"/>
                  <w:color w:val="auto"/>
                </w:rPr>
                <w:t>Pay Ratio</w:t>
              </w:r>
            </w:hyperlink>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81"/>
        </w:trPr>
        <w:tc>
          <w:tcPr>
            <w:tcW w:w="38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205BA8"/>
                <w:w w:val="83"/>
              </w:rPr>
              <w:t>75</w:t>
            </w:r>
          </w:p>
        </w:tc>
        <w:tc>
          <w:tcPr>
            <w:tcW w:w="3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80" w:type="dxa"/>
            <w:vAlign w:val="bottom"/>
            <w:vMerge w:val="continue"/>
          </w:tcPr>
          <w:p>
            <w:pPr>
              <w:spacing w:after="0"/>
              <w:rPr>
                <w:sz w:val="14"/>
                <w:szCs w:val="14"/>
                <w:color w:val="auto"/>
              </w:rPr>
            </w:pPr>
          </w:p>
        </w:tc>
        <w:tc>
          <w:tcPr>
            <w:tcW w:w="3760" w:type="dxa"/>
            <w:vAlign w:val="bottom"/>
            <w:vMerge w:val="restart"/>
          </w:tcPr>
          <w:p>
            <w:pPr>
              <w:ind w:left="580"/>
              <w:spacing w:after="0"/>
              <w:rPr>
                <w:rFonts w:ascii="Arial" w:cs="Arial" w:eastAsia="Arial" w:hAnsi="Arial"/>
                <w:sz w:val="15"/>
                <w:szCs w:val="15"/>
                <w:color w:val="auto"/>
              </w:rPr>
            </w:pPr>
            <w:hyperlink w:anchor="page108">
              <w:r>
                <w:rPr>
                  <w:rFonts w:ascii="Arial" w:cs="Arial" w:eastAsia="Arial" w:hAnsi="Arial"/>
                  <w:sz w:val="15"/>
                  <w:szCs w:val="15"/>
                  <w:color w:val="auto"/>
                </w:rPr>
                <w:t>Equity Compensation Information</w:t>
              </w:r>
            </w:hyperlink>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81"/>
        </w:trPr>
        <w:tc>
          <w:tcPr>
            <w:tcW w:w="380" w:type="dxa"/>
            <w:vAlign w:val="bottom"/>
            <w:vMerge w:val="restart"/>
          </w:tcPr>
          <w:p>
            <w:pPr>
              <w:jc w:val="right"/>
              <w:ind w:right="144"/>
              <w:spacing w:after="0"/>
              <w:rPr>
                <w:sz w:val="20"/>
                <w:szCs w:val="20"/>
                <w:color w:val="auto"/>
              </w:rPr>
            </w:pPr>
            <w:r>
              <w:rPr>
                <w:rFonts w:ascii="Arial" w:cs="Arial" w:eastAsia="Arial" w:hAnsi="Arial"/>
                <w:sz w:val="15"/>
                <w:szCs w:val="15"/>
                <w:color w:val="auto"/>
                <w:w w:val="83"/>
              </w:rPr>
              <w:t>75</w:t>
            </w:r>
          </w:p>
        </w:tc>
        <w:tc>
          <w:tcPr>
            <w:tcW w:w="3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38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vMerge w:val="restart"/>
          </w:tcPr>
          <w:p>
            <w:pPr>
              <w:jc w:val="right"/>
              <w:ind w:right="364"/>
              <w:spacing w:after="0"/>
              <w:rPr>
                <w:sz w:val="20"/>
                <w:szCs w:val="20"/>
                <w:color w:val="auto"/>
              </w:rPr>
            </w:pPr>
            <w:r>
              <w:rPr>
                <w:rFonts w:ascii="Arial" w:cs="Arial" w:eastAsia="Arial" w:hAnsi="Arial"/>
                <w:sz w:val="15"/>
                <w:szCs w:val="15"/>
                <w:color w:val="auto"/>
                <w:w w:val="83"/>
              </w:rPr>
              <w:t>75</w:t>
            </w:r>
          </w:p>
        </w:tc>
        <w:tc>
          <w:tcPr>
            <w:tcW w:w="3620" w:type="dxa"/>
            <w:vAlign w:val="bottom"/>
          </w:tcPr>
          <w:p>
            <w:pPr>
              <w:spacing w:after="0" w:line="207" w:lineRule="exact"/>
              <w:rPr>
                <w:rFonts w:ascii="Arial" w:cs="Arial" w:eastAsia="Arial" w:hAnsi="Arial"/>
                <w:sz w:val="23"/>
                <w:szCs w:val="23"/>
                <w:b w:val="1"/>
                <w:bCs w:val="1"/>
                <w:color w:val="C44E5E"/>
              </w:rPr>
            </w:pPr>
            <w:hyperlink w:anchor="page110">
              <w:r>
                <w:rPr>
                  <w:rFonts w:ascii="Arial" w:cs="Arial" w:eastAsia="Arial" w:hAnsi="Arial"/>
                  <w:sz w:val="23"/>
                  <w:szCs w:val="23"/>
                  <w:b w:val="1"/>
                  <w:bCs w:val="1"/>
                  <w:color w:val="C44E5E"/>
                </w:rPr>
                <w:t>OTHER MATTERS</w:t>
              </w:r>
            </w:hyperlink>
          </w:p>
        </w:tc>
        <w:tc>
          <w:tcPr>
            <w:tcW w:w="480" w:type="dxa"/>
            <w:vAlign w:val="bottom"/>
          </w:tcPr>
          <w:p>
            <w:pPr>
              <w:jc w:val="right"/>
              <w:spacing w:after="0" w:line="207" w:lineRule="exact"/>
              <w:rPr>
                <w:sz w:val="20"/>
                <w:szCs w:val="20"/>
                <w:color w:val="auto"/>
              </w:rPr>
            </w:pPr>
            <w:r>
              <w:rPr>
                <w:rFonts w:ascii="Arial" w:cs="Arial" w:eastAsia="Arial" w:hAnsi="Arial"/>
                <w:sz w:val="23"/>
                <w:szCs w:val="23"/>
                <w:b w:val="1"/>
                <w:bCs w:val="1"/>
                <w:color w:val="C44E5E"/>
              </w:rPr>
              <w:t>99</w:t>
            </w:r>
          </w:p>
        </w:tc>
        <w:tc>
          <w:tcPr>
            <w:tcW w:w="0" w:type="dxa"/>
            <w:vAlign w:val="bottom"/>
          </w:tcPr>
          <w:p>
            <w:pPr>
              <w:spacing w:after="0"/>
              <w:rPr>
                <w:sz w:val="1"/>
                <w:szCs w:val="1"/>
                <w:color w:val="auto"/>
              </w:rPr>
            </w:pPr>
          </w:p>
        </w:tc>
      </w:tr>
      <w:tr>
        <w:trPr>
          <w:trHeight w:val="46"/>
        </w:trPr>
        <w:tc>
          <w:tcPr>
            <w:tcW w:w="600" w:type="dxa"/>
            <w:vAlign w:val="bottom"/>
            <w:vMerge w:val="continue"/>
          </w:tcPr>
          <w:p>
            <w:pPr>
              <w:spacing w:after="0"/>
              <w:rPr>
                <w:sz w:val="4"/>
                <w:szCs w:val="4"/>
                <w:color w:val="auto"/>
              </w:rPr>
            </w:pPr>
          </w:p>
        </w:tc>
        <w:tc>
          <w:tcPr>
            <w:tcW w:w="3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600" w:type="dxa"/>
            <w:vAlign w:val="bottom"/>
            <w:vMerge w:val="restart"/>
          </w:tcPr>
          <w:p>
            <w:pPr>
              <w:jc w:val="right"/>
              <w:ind w:right="364"/>
              <w:spacing w:after="0"/>
              <w:rPr>
                <w:sz w:val="20"/>
                <w:szCs w:val="20"/>
                <w:color w:val="auto"/>
              </w:rPr>
            </w:pPr>
            <w:r>
              <w:rPr>
                <w:rFonts w:ascii="Arial" w:cs="Arial" w:eastAsia="Arial" w:hAnsi="Arial"/>
                <w:sz w:val="15"/>
                <w:szCs w:val="15"/>
                <w:color w:val="auto"/>
                <w:w w:val="83"/>
              </w:rPr>
              <w:t>76</w:t>
            </w:r>
          </w:p>
        </w:tc>
        <w:tc>
          <w:tcPr>
            <w:tcW w:w="3620" w:type="dxa"/>
            <w:vAlign w:val="bottom"/>
            <w:tcBorders>
              <w:bottom w:val="single" w:sz="8" w:color="1F5AA8"/>
            </w:tcBorders>
          </w:tcPr>
          <w:p>
            <w:pPr>
              <w:spacing w:after="0"/>
              <w:rPr>
                <w:sz w:val="7"/>
                <w:szCs w:val="7"/>
                <w:color w:val="auto"/>
              </w:rPr>
            </w:pPr>
          </w:p>
        </w:tc>
        <w:tc>
          <w:tcPr>
            <w:tcW w:w="480" w:type="dxa"/>
            <w:vAlign w:val="bottom"/>
            <w:tcBorders>
              <w:bottom w:val="single" w:sz="8" w:color="1F5AA8"/>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600" w:type="dxa"/>
            <w:vAlign w:val="bottom"/>
            <w:vMerge w:val="continue"/>
          </w:tcPr>
          <w:p>
            <w:pPr>
              <w:spacing w:after="0"/>
              <w:rPr>
                <w:sz w:val="11"/>
                <w:szCs w:val="11"/>
                <w:color w:val="auto"/>
              </w:rPr>
            </w:pPr>
          </w:p>
        </w:tc>
        <w:tc>
          <w:tcPr>
            <w:tcW w:w="3620" w:type="dxa"/>
            <w:vAlign w:val="bottom"/>
            <w:vMerge w:val="restart"/>
          </w:tcPr>
          <w:p>
            <w:pPr>
              <w:spacing w:after="0"/>
              <w:rPr>
                <w:rFonts w:ascii="Arial" w:cs="Arial" w:eastAsia="Arial" w:hAnsi="Arial"/>
                <w:sz w:val="15"/>
                <w:szCs w:val="15"/>
                <w:b w:val="1"/>
                <w:bCs w:val="1"/>
                <w:color w:val="auto"/>
              </w:rPr>
            </w:pPr>
            <w:hyperlink w:anchor="page112">
              <w:r>
                <w:rPr>
                  <w:rFonts w:ascii="Arial" w:cs="Arial" w:eastAsia="Arial" w:hAnsi="Arial"/>
                  <w:sz w:val="15"/>
                  <w:szCs w:val="15"/>
                  <w:b w:val="1"/>
                  <w:bCs w:val="1"/>
                  <w:color w:val="auto"/>
                </w:rPr>
                <w:t>Appendix A – Note Regarding Forward-Looking</w:t>
              </w:r>
            </w:hyperlink>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00" w:type="dxa"/>
            <w:vAlign w:val="bottom"/>
          </w:tcPr>
          <w:p>
            <w:pPr>
              <w:jc w:val="right"/>
              <w:ind w:right="364"/>
              <w:spacing w:after="0"/>
              <w:rPr>
                <w:sz w:val="20"/>
                <w:szCs w:val="20"/>
                <w:color w:val="auto"/>
              </w:rPr>
            </w:pPr>
            <w:r>
              <w:rPr>
                <w:rFonts w:ascii="Arial" w:cs="Arial" w:eastAsia="Arial" w:hAnsi="Arial"/>
                <w:sz w:val="15"/>
                <w:szCs w:val="15"/>
                <w:color w:val="auto"/>
                <w:w w:val="83"/>
              </w:rPr>
              <w:t>79</w:t>
            </w:r>
          </w:p>
        </w:tc>
        <w:tc>
          <w:tcPr>
            <w:tcW w:w="3620" w:type="dxa"/>
            <w:vAlign w:val="bottom"/>
            <w:vMerge w:val="continue"/>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101</w:t>
            </w:r>
          </w:p>
        </w:tc>
        <w:tc>
          <w:tcPr>
            <w:tcW w:w="0" w:type="dxa"/>
            <w:vAlign w:val="bottom"/>
          </w:tcPr>
          <w:p>
            <w:pPr>
              <w:spacing w:after="0"/>
              <w:rPr>
                <w:sz w:val="1"/>
                <w:szCs w:val="1"/>
                <w:color w:val="auto"/>
              </w:rPr>
            </w:pPr>
          </w:p>
        </w:tc>
      </w:tr>
      <w:tr>
        <w:trPr>
          <w:trHeight w:val="202"/>
        </w:trPr>
        <w:tc>
          <w:tcPr>
            <w:tcW w:w="600" w:type="dxa"/>
            <w:vAlign w:val="bottom"/>
            <w:vMerge w:val="restart"/>
          </w:tcPr>
          <w:p>
            <w:pPr>
              <w:jc w:val="right"/>
              <w:ind w:right="364"/>
              <w:spacing w:after="0"/>
              <w:rPr>
                <w:sz w:val="20"/>
                <w:szCs w:val="20"/>
                <w:color w:val="auto"/>
              </w:rPr>
            </w:pPr>
            <w:r>
              <w:rPr>
                <w:rFonts w:ascii="Arial" w:cs="Arial" w:eastAsia="Arial" w:hAnsi="Arial"/>
                <w:sz w:val="15"/>
                <w:szCs w:val="15"/>
                <w:color w:val="auto"/>
                <w:w w:val="83"/>
              </w:rPr>
              <w:t>79</w:t>
            </w:r>
          </w:p>
        </w:tc>
        <w:tc>
          <w:tcPr>
            <w:tcW w:w="3620" w:type="dxa"/>
            <w:vAlign w:val="bottom"/>
          </w:tcPr>
          <w:p>
            <w:pPr>
              <w:spacing w:after="0"/>
              <w:rPr>
                <w:rFonts w:ascii="Arial" w:cs="Arial" w:eastAsia="Arial" w:hAnsi="Arial"/>
                <w:sz w:val="15"/>
                <w:szCs w:val="15"/>
                <w:b w:val="1"/>
                <w:bCs w:val="1"/>
                <w:color w:val="auto"/>
              </w:rPr>
            </w:pPr>
            <w:hyperlink w:anchor="page112">
              <w:r>
                <w:rPr>
                  <w:rFonts w:ascii="Arial" w:cs="Arial" w:eastAsia="Arial" w:hAnsi="Arial"/>
                  <w:sz w:val="15"/>
                  <w:szCs w:val="15"/>
                  <w:b w:val="1"/>
                  <w:bCs w:val="1"/>
                  <w:color w:val="auto"/>
                </w:rPr>
                <w:t>Statements and Non-GAAP Financial Measures</w:t>
              </w:r>
            </w:hyperlink>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0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600" w:type="dxa"/>
            <w:vAlign w:val="bottom"/>
          </w:tcPr>
          <w:p>
            <w:pPr>
              <w:jc w:val="right"/>
              <w:ind w:right="364"/>
              <w:spacing w:after="0"/>
              <w:rPr>
                <w:sz w:val="20"/>
                <w:szCs w:val="20"/>
                <w:color w:val="auto"/>
              </w:rPr>
            </w:pPr>
            <w:r>
              <w:rPr>
                <w:rFonts w:ascii="Arial" w:cs="Arial" w:eastAsia="Arial" w:hAnsi="Arial"/>
                <w:sz w:val="15"/>
                <w:szCs w:val="15"/>
                <w:color w:val="auto"/>
                <w:w w:val="83"/>
              </w:rPr>
              <w:t>81</w:t>
            </w:r>
          </w:p>
        </w:tc>
        <w:tc>
          <w:tcPr>
            <w:tcW w:w="3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81</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83</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83</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84</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color w:val="205BA8"/>
        </w:rPr>
        <w:t>84</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84</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85</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86</w:t>
      </w:r>
    </w:p>
    <w:p>
      <w:pPr>
        <w:spacing w:after="0" w:line="200" w:lineRule="exact"/>
        <w:rPr>
          <w:sz w:val="20"/>
          <w:szCs w:val="20"/>
          <w:color w:val="auto"/>
        </w:rPr>
      </w:pPr>
    </w:p>
    <w:p>
      <w:pPr>
        <w:sectPr>
          <w:pgSz w:w="11900" w:h="16838" w:orient="portrait"/>
          <w:cols w:equalWidth="0" w:num="2">
            <w:col w:w="4820" w:space="200"/>
            <w:col w:w="4899"/>
          </w:cols>
          <w:pgMar w:left="540" w:top="100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080" w:right="199"/>
        <w:spacing w:after="0" w:line="235" w:lineRule="auto"/>
        <w:rPr>
          <w:sz w:val="20"/>
          <w:szCs w:val="20"/>
          <w:color w:val="auto"/>
        </w:rPr>
      </w:pPr>
      <w:r>
        <w:rPr>
          <w:rFonts w:ascii="Arial" w:cs="Arial" w:eastAsia="Arial" w:hAnsi="Arial"/>
          <w:sz w:val="15"/>
          <w:szCs w:val="15"/>
          <w:color w:val="auto"/>
        </w:rPr>
        <w:t>NOTE REGARDING FORWARD-LOOKING STATEMENTS AND NON-GAAP FINANCIAL MEASURES: See Appendix A for important information regarding forward-looking statements and financial measures not calculated in accordance with U.S. Generally Accepted Accounting Principles contained in this proxy statement.</w:t>
      </w:r>
    </w:p>
    <w:p>
      <w:pPr>
        <w:spacing w:after="0" w:line="151" w:lineRule="exact"/>
        <w:rPr>
          <w:sz w:val="20"/>
          <w:szCs w:val="20"/>
          <w:color w:val="auto"/>
        </w:rPr>
      </w:pPr>
    </w:p>
    <w:p>
      <w:pPr>
        <w:jc w:val="both"/>
        <w:ind w:left="1080" w:right="199"/>
        <w:spacing w:after="0" w:line="183" w:lineRule="auto"/>
        <w:rPr>
          <w:sz w:val="20"/>
          <w:szCs w:val="20"/>
          <w:color w:val="auto"/>
        </w:rPr>
      </w:pPr>
      <w:r>
        <w:rPr>
          <w:rFonts w:ascii="Arial" w:cs="Arial" w:eastAsia="Arial" w:hAnsi="Arial"/>
          <w:sz w:val="14"/>
          <w:szCs w:val="14"/>
          <w:color w:val="auto"/>
        </w:rPr>
        <w:t>NOTE REGARDING TRADEMARKS AND PRODUCT NAMES: “ARCALYST</w:t>
      </w:r>
      <w:r>
        <w:rPr>
          <w:rFonts w:ascii="Arial" w:cs="Arial" w:eastAsia="Arial" w:hAnsi="Arial"/>
          <w:sz w:val="23"/>
          <w:szCs w:val="23"/>
          <w:color w:val="auto"/>
          <w:vertAlign w:val="superscript"/>
        </w:rPr>
        <w:t>®</w:t>
      </w:r>
      <w:r>
        <w:rPr>
          <w:rFonts w:ascii="Arial" w:cs="Arial" w:eastAsia="Arial" w:hAnsi="Arial"/>
          <w:sz w:val="14"/>
          <w:szCs w:val="14"/>
          <w:color w:val="auto"/>
        </w:rPr>
        <w:t>,” “Evkeeza</w:t>
      </w:r>
      <w:r>
        <w:rPr>
          <w:rFonts w:ascii="Arial" w:cs="Arial" w:eastAsia="Arial" w:hAnsi="Arial"/>
          <w:sz w:val="23"/>
          <w:szCs w:val="23"/>
          <w:color w:val="auto"/>
          <w:vertAlign w:val="superscript"/>
        </w:rPr>
        <w:t>™</w:t>
      </w:r>
      <w:r>
        <w:rPr>
          <w:rFonts w:ascii="Arial" w:cs="Arial" w:eastAsia="Arial" w:hAnsi="Arial"/>
          <w:sz w:val="14"/>
          <w:szCs w:val="14"/>
          <w:color w:val="auto"/>
        </w:rPr>
        <w:t>,” “EYLEA</w:t>
      </w:r>
      <w:r>
        <w:rPr>
          <w:rFonts w:ascii="Arial" w:cs="Arial" w:eastAsia="Arial" w:hAnsi="Arial"/>
          <w:sz w:val="23"/>
          <w:szCs w:val="23"/>
          <w:color w:val="auto"/>
          <w:vertAlign w:val="superscript"/>
        </w:rPr>
        <w:t>®</w:t>
      </w:r>
      <w:r>
        <w:rPr>
          <w:rFonts w:ascii="Arial" w:cs="Arial" w:eastAsia="Arial" w:hAnsi="Arial"/>
          <w:sz w:val="14"/>
          <w:szCs w:val="14"/>
          <w:color w:val="auto"/>
        </w:rPr>
        <w:t>,” “Inmazeb</w:t>
      </w:r>
      <w:r>
        <w:rPr>
          <w:rFonts w:ascii="Arial" w:cs="Arial" w:eastAsia="Arial" w:hAnsi="Arial"/>
          <w:sz w:val="23"/>
          <w:szCs w:val="23"/>
          <w:color w:val="auto"/>
          <w:vertAlign w:val="superscript"/>
        </w:rPr>
        <w:t>™</w:t>
      </w:r>
      <w:r>
        <w:rPr>
          <w:rFonts w:ascii="Arial" w:cs="Arial" w:eastAsia="Arial" w:hAnsi="Arial"/>
          <w:sz w:val="14"/>
          <w:szCs w:val="14"/>
          <w:color w:val="auto"/>
        </w:rPr>
        <w:t>,” “Libtayo</w:t>
      </w:r>
      <w:r>
        <w:rPr>
          <w:rFonts w:ascii="Arial" w:cs="Arial" w:eastAsia="Arial" w:hAnsi="Arial"/>
          <w:sz w:val="23"/>
          <w:szCs w:val="23"/>
          <w:color w:val="auto"/>
          <w:vertAlign w:val="superscript"/>
        </w:rPr>
        <w:t>®</w:t>
      </w:r>
      <w:r>
        <w:rPr>
          <w:rFonts w:ascii="Arial" w:cs="Arial" w:eastAsia="Arial" w:hAnsi="Arial"/>
          <w:sz w:val="14"/>
          <w:szCs w:val="14"/>
          <w:color w:val="auto"/>
        </w:rPr>
        <w:t>” (in the United States), “Praluent</w:t>
      </w:r>
      <w:r>
        <w:rPr>
          <w:rFonts w:ascii="Arial" w:cs="Arial" w:eastAsia="Arial" w:hAnsi="Arial"/>
          <w:sz w:val="23"/>
          <w:szCs w:val="23"/>
          <w:color w:val="auto"/>
          <w:vertAlign w:val="superscript"/>
        </w:rPr>
        <w:t>®</w:t>
      </w:r>
      <w:r>
        <w:rPr>
          <w:rFonts w:ascii="Arial" w:cs="Arial" w:eastAsia="Arial" w:hAnsi="Arial"/>
          <w:sz w:val="14"/>
          <w:szCs w:val="14"/>
          <w:color w:val="auto"/>
        </w:rPr>
        <w:t>” (in the United States), “REGEN-COV™,” Regeneron</w:t>
      </w:r>
      <w:r>
        <w:rPr>
          <w:rFonts w:ascii="Arial" w:cs="Arial" w:eastAsia="Arial" w:hAnsi="Arial"/>
          <w:sz w:val="23"/>
          <w:szCs w:val="23"/>
          <w:color w:val="auto"/>
          <w:vertAlign w:val="superscript"/>
        </w:rPr>
        <w:t>®</w:t>
      </w:r>
      <w:r>
        <w:rPr>
          <w:rFonts w:ascii="Arial" w:cs="Arial" w:eastAsia="Arial" w:hAnsi="Arial"/>
          <w:sz w:val="14"/>
          <w:szCs w:val="14"/>
          <w:color w:val="auto"/>
        </w:rPr>
        <w:t>,” “Regeneron Genetics</w:t>
      </w:r>
    </w:p>
    <w:p>
      <w:pPr>
        <w:spacing w:after="0" w:line="2" w:lineRule="exact"/>
        <w:rPr>
          <w:sz w:val="20"/>
          <w:szCs w:val="20"/>
          <w:color w:val="auto"/>
        </w:rPr>
      </w:pPr>
    </w:p>
    <w:p>
      <w:pPr>
        <w:jc w:val="both"/>
        <w:ind w:left="1080" w:right="199"/>
        <w:spacing w:after="0" w:line="204" w:lineRule="auto"/>
        <w:rPr>
          <w:sz w:val="20"/>
          <w:szCs w:val="20"/>
          <w:color w:val="auto"/>
        </w:rPr>
      </w:pPr>
      <w:r>
        <w:rPr>
          <w:rFonts w:ascii="Arial" w:cs="Arial" w:eastAsia="Arial" w:hAnsi="Arial"/>
          <w:sz w:val="15"/>
          <w:szCs w:val="15"/>
          <w:color w:val="auto"/>
        </w:rPr>
        <w:t>Center</w:t>
      </w:r>
      <w:r>
        <w:rPr>
          <w:rFonts w:ascii="Arial" w:cs="Arial" w:eastAsia="Arial" w:hAnsi="Arial"/>
          <w:sz w:val="25"/>
          <w:szCs w:val="25"/>
          <w:color w:val="auto"/>
          <w:vertAlign w:val="superscript"/>
        </w:rPr>
        <w:t>®</w:t>
      </w:r>
      <w:r>
        <w:rPr>
          <w:rFonts w:ascii="Arial" w:cs="Arial" w:eastAsia="Arial" w:hAnsi="Arial"/>
          <w:sz w:val="15"/>
          <w:szCs w:val="15"/>
          <w:color w:val="auto"/>
        </w:rPr>
        <w:t>,” “</w:t>
      </w:r>
      <w:r>
        <w:rPr>
          <w:rFonts w:ascii="Arial" w:cs="Arial" w:eastAsia="Arial" w:hAnsi="Arial"/>
          <w:sz w:val="15"/>
          <w:szCs w:val="15"/>
          <w:i w:val="1"/>
          <w:iCs w:val="1"/>
          <w:color w:val="auto"/>
        </w:rPr>
        <w:t>VelociGene</w:t>
      </w:r>
      <w:r>
        <w:rPr>
          <w:rFonts w:ascii="Arial" w:cs="Arial" w:eastAsia="Arial" w:hAnsi="Arial"/>
          <w:sz w:val="25"/>
          <w:szCs w:val="25"/>
          <w:color w:val="auto"/>
          <w:vertAlign w:val="superscript"/>
        </w:rPr>
        <w:t>®</w:t>
      </w:r>
      <w:r>
        <w:rPr>
          <w:rFonts w:ascii="Arial" w:cs="Arial" w:eastAsia="Arial" w:hAnsi="Arial"/>
          <w:sz w:val="15"/>
          <w:szCs w:val="15"/>
          <w:color w:val="auto"/>
        </w:rPr>
        <w:t>,” “</w:t>
      </w:r>
      <w:r>
        <w:rPr>
          <w:rFonts w:ascii="Arial" w:cs="Arial" w:eastAsia="Arial" w:hAnsi="Arial"/>
          <w:sz w:val="15"/>
          <w:szCs w:val="15"/>
          <w:i w:val="1"/>
          <w:iCs w:val="1"/>
          <w:color w:val="auto"/>
        </w:rPr>
        <w:t>VelocImmune</w:t>
      </w:r>
      <w:r>
        <w:rPr>
          <w:rFonts w:ascii="Arial" w:cs="Arial" w:eastAsia="Arial" w:hAnsi="Arial"/>
          <w:sz w:val="25"/>
          <w:szCs w:val="25"/>
          <w:color w:val="auto"/>
          <w:vertAlign w:val="superscript"/>
        </w:rPr>
        <w:t>®</w:t>
      </w:r>
      <w:r>
        <w:rPr>
          <w:rFonts w:ascii="Arial" w:cs="Arial" w:eastAsia="Arial" w:hAnsi="Arial"/>
          <w:sz w:val="15"/>
          <w:szCs w:val="15"/>
          <w:color w:val="auto"/>
        </w:rPr>
        <w:t>,” “</w:t>
      </w:r>
      <w:r>
        <w:rPr>
          <w:rFonts w:ascii="Arial" w:cs="Arial" w:eastAsia="Arial" w:hAnsi="Arial"/>
          <w:sz w:val="15"/>
          <w:szCs w:val="15"/>
          <w:i w:val="1"/>
          <w:iCs w:val="1"/>
          <w:color w:val="auto"/>
        </w:rPr>
        <w:t>VelociSuite</w:t>
      </w:r>
      <w:r>
        <w:rPr>
          <w:rFonts w:ascii="Arial" w:cs="Arial" w:eastAsia="Arial" w:hAnsi="Arial"/>
          <w:sz w:val="25"/>
          <w:szCs w:val="25"/>
          <w:color w:val="auto"/>
          <w:vertAlign w:val="superscript"/>
        </w:rPr>
        <w:t>®</w:t>
      </w:r>
      <w:r>
        <w:rPr>
          <w:rFonts w:ascii="Arial" w:cs="Arial" w:eastAsia="Arial" w:hAnsi="Arial"/>
          <w:sz w:val="15"/>
          <w:szCs w:val="15"/>
          <w:color w:val="auto"/>
        </w:rPr>
        <w:t>,” and “ZALTRAP</w:t>
      </w:r>
      <w:r>
        <w:rPr>
          <w:rFonts w:ascii="Arial" w:cs="Arial" w:eastAsia="Arial" w:hAnsi="Arial"/>
          <w:sz w:val="25"/>
          <w:szCs w:val="25"/>
          <w:color w:val="auto"/>
          <w:vertAlign w:val="superscript"/>
        </w:rPr>
        <w:t>®</w:t>
      </w:r>
      <w:r>
        <w:rPr>
          <w:rFonts w:ascii="Arial" w:cs="Arial" w:eastAsia="Arial" w:hAnsi="Arial"/>
          <w:sz w:val="15"/>
          <w:szCs w:val="15"/>
          <w:color w:val="auto"/>
        </w:rPr>
        <w:t>” are trademarks of Regeneron Pharmaceuticals, Inc. (“Regeneron”). This proxy statement refers to products marketed or otherwise commercialized by Regeneron, its collaborators, and other parties. Consult the product label in each territory for specific information about such products.</w:t>
      </w:r>
    </w:p>
    <w:p>
      <w:pPr>
        <w:spacing w:after="0" w:line="213" w:lineRule="exact"/>
        <w:rPr>
          <w:sz w:val="20"/>
          <w:szCs w:val="20"/>
          <w:color w:val="auto"/>
        </w:rPr>
      </w:pPr>
    </w:p>
    <w:p>
      <w:pPr>
        <w:ind w:left="760"/>
        <w:spacing w:after="0"/>
        <w:tabs>
          <w:tab w:leader="none" w:pos="4960" w:val="left"/>
        </w:tabs>
        <w:rPr>
          <w:sz w:val="20"/>
          <w:szCs w:val="20"/>
          <w:color w:val="auto"/>
        </w:rPr>
      </w:pPr>
      <w:r>
        <w:rPr>
          <w:rFonts w:ascii="Arial" w:cs="Arial" w:eastAsia="Arial" w:hAnsi="Arial"/>
          <w:sz w:val="14"/>
          <w:szCs w:val="14"/>
          <w:b w:val="1"/>
          <w:bCs w:val="1"/>
          <w:color w:val="00A5EC"/>
        </w:rPr>
        <w:t xml:space="preserve">ii  </w:t>
      </w:r>
      <w:r>
        <w:rPr>
          <w:rFonts w:ascii="Arial" w:cs="Arial" w:eastAsia="Arial" w:hAnsi="Arial"/>
          <w:sz w:val="14"/>
          <w:szCs w:val="14"/>
          <w:color w:val="00A5EC"/>
        </w:rPr>
        <w:t>/</w:t>
      </w:r>
      <w:r>
        <w:rPr>
          <w:sz w:val="20"/>
          <w:szCs w:val="20"/>
          <w:color w:val="auto"/>
        </w:rPr>
        <w:tab/>
      </w:r>
      <w:r>
        <w:rPr>
          <w:rFonts w:ascii="Arial" w:cs="Arial" w:eastAsia="Arial" w:hAnsi="Arial"/>
          <w:sz w:val="12"/>
          <w:szCs w:val="12"/>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163195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919"/>
          </w:cols>
          <w:pgMar w:left="540" w:top="1000" w:right="1440" w:bottom="1440" w:gutter="0" w:footer="0" w:header="0"/>
          <w:type w:val="continuous"/>
        </w:sectPr>
      </w:pPr>
    </w:p>
    <w:bookmarkStart w:id="11" w:name="page12"/>
    <w:bookmarkEnd w:id="11"/>
    <w:p>
      <w:pPr>
        <w:ind w:left="1300"/>
        <w:spacing w:after="0"/>
        <w:rPr>
          <w:sz w:val="20"/>
          <w:szCs w:val="20"/>
          <w:color w:val="auto"/>
        </w:rPr>
      </w:pPr>
      <w:r>
        <w:rPr>
          <w:rFonts w:ascii="Arial" w:cs="Arial" w:eastAsia="Arial" w:hAnsi="Arial"/>
          <w:sz w:val="68"/>
          <w:szCs w:val="68"/>
          <w:b w:val="1"/>
          <w:bCs w:val="1"/>
          <w:color w:val="FFFFFF"/>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2172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17295"/>
                    </a:xfrm>
                    <a:prstGeom prst="rect">
                      <a:avLst/>
                    </a:prstGeom>
                    <a:noFill/>
                  </pic:spPr>
                </pic:pic>
              </a:graphicData>
            </a:graphic>
          </wp:anchor>
        </w:drawing>
        <w:t>USERS' GUIDE</w:t>
      </w:r>
    </w:p>
    <w:p>
      <w:pPr>
        <w:spacing w:after="0" w:line="200" w:lineRule="exact"/>
        <w:rPr>
          <w:sz w:val="20"/>
          <w:szCs w:val="20"/>
          <w:color w:val="auto"/>
        </w:rPr>
      </w:pPr>
    </w:p>
    <w:p>
      <w:pPr>
        <w:spacing w:after="0" w:line="392" w:lineRule="exact"/>
        <w:rPr>
          <w:sz w:val="20"/>
          <w:szCs w:val="20"/>
          <w:color w:val="auto"/>
        </w:rPr>
      </w:pPr>
    </w:p>
    <w:p>
      <w:pPr>
        <w:ind w:left="1300"/>
        <w:spacing w:after="0"/>
        <w:rPr>
          <w:sz w:val="20"/>
          <w:szCs w:val="20"/>
          <w:color w:val="auto"/>
        </w:rPr>
      </w:pPr>
      <w:r>
        <w:rPr>
          <w:rFonts w:ascii="Arial" w:cs="Arial" w:eastAsia="Arial" w:hAnsi="Arial"/>
          <w:sz w:val="59"/>
          <w:szCs w:val="59"/>
          <w:b w:val="1"/>
          <w:bCs w:val="1"/>
          <w:color w:val="205BA8"/>
        </w:rPr>
        <w:t>PROXY DASHBOARD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9"/>
          <w:szCs w:val="29"/>
          <w:b w:val="1"/>
          <w:bCs w:val="1"/>
          <w:color w:val="C44E5E"/>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27940</wp:posOffset>
            </wp:positionV>
            <wp:extent cx="54864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tcPr>
          <w:p>
            <w:pPr>
              <w:spacing w:after="0"/>
              <w:rPr>
                <w:sz w:val="15"/>
                <w:szCs w:val="15"/>
                <w:color w:val="auto"/>
              </w:rPr>
            </w:pPr>
          </w:p>
        </w:tc>
        <w:tc>
          <w:tcPr>
            <w:tcW w:w="1680" w:type="dxa"/>
            <w:vAlign w:val="bottom"/>
            <w:gridSpan w:val="2"/>
          </w:tcPr>
          <w:p>
            <w:pPr>
              <w:ind w:left="20"/>
              <w:spacing w:after="0"/>
              <w:rPr>
                <w:sz w:val="20"/>
                <w:szCs w:val="20"/>
                <w:color w:val="auto"/>
              </w:rPr>
            </w:pPr>
            <w:r>
              <w:rPr>
                <w:rFonts w:ascii="Arial" w:cs="Arial" w:eastAsia="Arial" w:hAnsi="Arial"/>
                <w:sz w:val="15"/>
                <w:szCs w:val="15"/>
                <w:b w:val="1"/>
                <w:bCs w:val="1"/>
                <w:color w:val="auto"/>
              </w:rPr>
              <w:t>Meeting Date:</w:t>
            </w:r>
          </w:p>
        </w:tc>
        <w:tc>
          <w:tcPr>
            <w:tcW w:w="1560" w:type="dxa"/>
            <w:vAlign w:val="bottom"/>
          </w:tcPr>
          <w:p>
            <w:pPr>
              <w:ind w:left="200"/>
              <w:spacing w:after="0"/>
              <w:rPr>
                <w:sz w:val="20"/>
                <w:szCs w:val="20"/>
                <w:color w:val="auto"/>
              </w:rPr>
            </w:pPr>
            <w:r>
              <w:rPr>
                <w:rFonts w:ascii="Arial" w:cs="Arial" w:eastAsia="Arial" w:hAnsi="Arial"/>
                <w:sz w:val="15"/>
                <w:szCs w:val="15"/>
                <w:b w:val="1"/>
                <w:bCs w:val="1"/>
                <w:color w:val="auto"/>
              </w:rPr>
              <w:t>Time:</w:t>
            </w:r>
          </w:p>
        </w:tc>
        <w:tc>
          <w:tcPr>
            <w:tcW w:w="3680" w:type="dxa"/>
            <w:vAlign w:val="bottom"/>
          </w:tcPr>
          <w:p>
            <w:pPr>
              <w:ind w:left="580"/>
              <w:spacing w:after="0"/>
              <w:rPr>
                <w:sz w:val="20"/>
                <w:szCs w:val="20"/>
                <w:color w:val="auto"/>
              </w:rPr>
            </w:pPr>
            <w:r>
              <w:rPr>
                <w:rFonts w:ascii="Arial" w:cs="Arial" w:eastAsia="Arial" w:hAnsi="Arial"/>
                <w:sz w:val="15"/>
                <w:szCs w:val="15"/>
                <w:b w:val="1"/>
                <w:bCs w:val="1"/>
                <w:color w:val="auto"/>
              </w:rPr>
              <w:t>Location:</w:t>
            </w:r>
          </w:p>
        </w:tc>
        <w:tc>
          <w:tcPr>
            <w:tcW w:w="3020" w:type="dxa"/>
            <w:vAlign w:val="bottom"/>
            <w:gridSpan w:val="2"/>
          </w:tcPr>
          <w:p>
            <w:pPr>
              <w:ind w:left="460"/>
              <w:spacing w:after="0"/>
              <w:rPr>
                <w:sz w:val="20"/>
                <w:szCs w:val="20"/>
                <w:color w:val="auto"/>
              </w:rPr>
            </w:pPr>
            <w:r>
              <w:rPr>
                <w:rFonts w:ascii="Arial" w:cs="Arial" w:eastAsia="Arial" w:hAnsi="Arial"/>
                <w:sz w:val="15"/>
                <w:szCs w:val="15"/>
                <w:b w:val="1"/>
                <w:bCs w:val="1"/>
                <w:color w:val="auto"/>
              </w:rPr>
              <w:t>Record Date:</w:t>
            </w:r>
          </w:p>
        </w:tc>
        <w:tc>
          <w:tcPr>
            <w:tcW w:w="0" w:type="dxa"/>
            <w:vAlign w:val="bottom"/>
          </w:tcPr>
          <w:p>
            <w:pPr>
              <w:spacing w:after="0"/>
              <w:rPr>
                <w:sz w:val="1"/>
                <w:szCs w:val="1"/>
                <w:color w:val="auto"/>
              </w:rPr>
            </w:pPr>
          </w:p>
        </w:tc>
      </w:tr>
      <w:tr>
        <w:trPr>
          <w:trHeight w:val="351"/>
        </w:trPr>
        <w:tc>
          <w:tcPr>
            <w:tcW w:w="1300" w:type="dxa"/>
            <w:vAlign w:val="bottom"/>
          </w:tcPr>
          <w:p>
            <w:pPr>
              <w:spacing w:after="0"/>
              <w:rPr>
                <w:sz w:val="24"/>
                <w:szCs w:val="24"/>
                <w:color w:val="auto"/>
              </w:rPr>
            </w:pPr>
          </w:p>
        </w:tc>
        <w:tc>
          <w:tcPr>
            <w:tcW w:w="6920" w:type="dxa"/>
            <w:vAlign w:val="bottom"/>
            <w:gridSpan w:val="4"/>
          </w:tcPr>
          <w:p>
            <w:pPr>
              <w:ind w:left="20"/>
              <w:spacing w:after="0"/>
              <w:rPr>
                <w:sz w:val="20"/>
                <w:szCs w:val="20"/>
                <w:color w:val="auto"/>
              </w:rPr>
            </w:pPr>
            <w:r>
              <w:rPr>
                <w:rFonts w:ascii="Arial" w:cs="Arial" w:eastAsia="Arial" w:hAnsi="Arial"/>
                <w:sz w:val="27"/>
                <w:szCs w:val="27"/>
                <w:b w:val="1"/>
                <w:bCs w:val="1"/>
                <w:color w:val="205BA8"/>
              </w:rPr>
              <w:t>June 11, 2021 10:30 A.M., ET ONLINE AT</w:t>
            </w:r>
          </w:p>
        </w:tc>
        <w:tc>
          <w:tcPr>
            <w:tcW w:w="3020" w:type="dxa"/>
            <w:vAlign w:val="bottom"/>
            <w:gridSpan w:val="2"/>
          </w:tcPr>
          <w:p>
            <w:pPr>
              <w:ind w:left="460"/>
              <w:spacing w:after="0"/>
              <w:rPr>
                <w:sz w:val="20"/>
                <w:szCs w:val="20"/>
                <w:color w:val="auto"/>
              </w:rPr>
            </w:pPr>
            <w:r>
              <w:rPr>
                <w:rFonts w:ascii="Arial" w:cs="Arial" w:eastAsia="Arial" w:hAnsi="Arial"/>
                <w:sz w:val="27"/>
                <w:szCs w:val="27"/>
                <w:b w:val="1"/>
                <w:bCs w:val="1"/>
                <w:color w:val="205BA8"/>
              </w:rPr>
              <w:t>APRIL 13, 2021</w:t>
            </w: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700" w:type="dxa"/>
            <w:vAlign w:val="bottom"/>
            <w:gridSpan w:val="3"/>
          </w:tcPr>
          <w:p>
            <w:pPr>
              <w:ind w:left="580"/>
              <w:spacing w:after="0"/>
              <w:rPr>
                <w:sz w:val="20"/>
                <w:szCs w:val="20"/>
                <w:color w:val="auto"/>
              </w:rPr>
            </w:pPr>
            <w:r>
              <w:rPr>
                <w:rFonts w:ascii="Arial" w:cs="Arial" w:eastAsia="Arial" w:hAnsi="Arial"/>
                <w:sz w:val="15"/>
                <w:szCs w:val="15"/>
                <w:b w:val="1"/>
                <w:bCs w:val="1"/>
                <w:color w:val="205BA8"/>
              </w:rPr>
              <w:t>www.virtualshareholdermeeting.com/REGN2021</w:t>
            </w:r>
          </w:p>
        </w:tc>
        <w:tc>
          <w:tcPr>
            <w:tcW w:w="0" w:type="dxa"/>
            <w:vAlign w:val="bottom"/>
          </w:tcPr>
          <w:p>
            <w:pPr>
              <w:spacing w:after="0"/>
              <w:rPr>
                <w:sz w:val="1"/>
                <w:szCs w:val="1"/>
                <w:color w:val="auto"/>
              </w:rPr>
            </w:pPr>
          </w:p>
        </w:tc>
      </w:tr>
      <w:tr>
        <w:trPr>
          <w:trHeight w:val="494"/>
        </w:trPr>
        <w:tc>
          <w:tcPr>
            <w:tcW w:w="1300" w:type="dxa"/>
            <w:vAlign w:val="bottom"/>
          </w:tcPr>
          <w:p>
            <w:pPr>
              <w:spacing w:after="0"/>
              <w:rPr>
                <w:sz w:val="24"/>
                <w:szCs w:val="24"/>
                <w:color w:val="auto"/>
              </w:rPr>
            </w:pPr>
          </w:p>
        </w:tc>
        <w:tc>
          <w:tcPr>
            <w:tcW w:w="3240" w:type="dxa"/>
            <w:vAlign w:val="bottom"/>
            <w:tcBorders>
              <w:bottom w:val="single" w:sz="8" w:color="1F5AA8"/>
            </w:tcBorders>
            <w:gridSpan w:val="3"/>
          </w:tcPr>
          <w:p>
            <w:pPr>
              <w:spacing w:after="0"/>
              <w:rPr>
                <w:sz w:val="20"/>
                <w:szCs w:val="20"/>
                <w:color w:val="auto"/>
              </w:rPr>
            </w:pPr>
            <w:r>
              <w:rPr>
                <w:rFonts w:ascii="Arial" w:cs="Arial" w:eastAsia="Arial" w:hAnsi="Arial"/>
                <w:sz w:val="29"/>
                <w:szCs w:val="29"/>
                <w:b w:val="1"/>
                <w:bCs w:val="1"/>
                <w:color w:val="C44E5E"/>
              </w:rPr>
              <w:t>MEETING AGENDA</w:t>
            </w:r>
          </w:p>
        </w:tc>
        <w:tc>
          <w:tcPr>
            <w:tcW w:w="3680" w:type="dxa"/>
            <w:vAlign w:val="bottom"/>
            <w:tcBorders>
              <w:bottom w:val="single" w:sz="8" w:color="1F5AA8"/>
            </w:tcBorders>
          </w:tcPr>
          <w:p>
            <w:pPr>
              <w:spacing w:after="0"/>
              <w:rPr>
                <w:sz w:val="24"/>
                <w:szCs w:val="24"/>
                <w:color w:val="auto"/>
              </w:rPr>
            </w:pPr>
          </w:p>
        </w:tc>
        <w:tc>
          <w:tcPr>
            <w:tcW w:w="1720" w:type="dxa"/>
            <w:vAlign w:val="bottom"/>
            <w:tcBorders>
              <w:bottom w:val="single" w:sz="8" w:color="1F5AA8"/>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1300" w:type="dxa"/>
            <w:vAlign w:val="bottom"/>
          </w:tcPr>
          <w:p>
            <w:pPr>
              <w:spacing w:after="0"/>
              <w:rPr>
                <w:sz w:val="24"/>
                <w:szCs w:val="24"/>
                <w:color w:val="auto"/>
              </w:rPr>
            </w:pPr>
          </w:p>
        </w:tc>
        <w:tc>
          <w:tcPr>
            <w:tcW w:w="860" w:type="dxa"/>
            <w:vAlign w:val="bottom"/>
            <w:tcBorders>
              <w:bottom w:val="single" w:sz="8" w:color="205BA8"/>
            </w:tcBorders>
          </w:tcPr>
          <w:p>
            <w:pPr>
              <w:spacing w:after="0"/>
              <w:rPr>
                <w:sz w:val="24"/>
                <w:szCs w:val="24"/>
                <w:color w:val="auto"/>
              </w:rPr>
            </w:pPr>
          </w:p>
        </w:tc>
        <w:tc>
          <w:tcPr>
            <w:tcW w:w="820" w:type="dxa"/>
            <w:vAlign w:val="bottom"/>
            <w:tcBorders>
              <w:bottom w:val="single" w:sz="8" w:color="205BA8"/>
            </w:tcBorders>
          </w:tcPr>
          <w:p>
            <w:pPr>
              <w:spacing w:after="0"/>
              <w:rPr>
                <w:sz w:val="20"/>
                <w:szCs w:val="20"/>
                <w:color w:val="auto"/>
              </w:rPr>
            </w:pPr>
            <w:r>
              <w:rPr>
                <w:rFonts w:ascii="Arial" w:cs="Arial" w:eastAsia="Arial" w:hAnsi="Arial"/>
                <w:sz w:val="12"/>
                <w:szCs w:val="12"/>
                <w:b w:val="1"/>
                <w:bCs w:val="1"/>
                <w:color w:val="205BA8"/>
              </w:rPr>
              <w:t>Matter</w:t>
            </w:r>
          </w:p>
        </w:tc>
        <w:tc>
          <w:tcPr>
            <w:tcW w:w="1560" w:type="dxa"/>
            <w:vAlign w:val="bottom"/>
            <w:tcBorders>
              <w:bottom w:val="single" w:sz="8" w:color="205BA8"/>
            </w:tcBorders>
          </w:tcPr>
          <w:p>
            <w:pPr>
              <w:spacing w:after="0"/>
              <w:rPr>
                <w:sz w:val="24"/>
                <w:szCs w:val="24"/>
                <w:color w:val="auto"/>
              </w:rPr>
            </w:pPr>
          </w:p>
        </w:tc>
        <w:tc>
          <w:tcPr>
            <w:tcW w:w="3680" w:type="dxa"/>
            <w:vAlign w:val="bottom"/>
            <w:tcBorders>
              <w:bottom w:val="single" w:sz="8" w:color="205BA8"/>
            </w:tcBorders>
          </w:tcPr>
          <w:p>
            <w:pPr>
              <w:spacing w:after="0"/>
              <w:rPr>
                <w:sz w:val="24"/>
                <w:szCs w:val="24"/>
                <w:color w:val="auto"/>
              </w:rPr>
            </w:pPr>
          </w:p>
        </w:tc>
        <w:tc>
          <w:tcPr>
            <w:tcW w:w="1720" w:type="dxa"/>
            <w:vAlign w:val="bottom"/>
            <w:tcBorders>
              <w:bottom w:val="single" w:sz="8" w:color="205BA8"/>
            </w:tcBorders>
          </w:tcPr>
          <w:p>
            <w:pPr>
              <w:spacing w:after="0"/>
              <w:rPr>
                <w:sz w:val="20"/>
                <w:szCs w:val="20"/>
                <w:color w:val="auto"/>
              </w:rPr>
            </w:pPr>
            <w:r>
              <w:rPr>
                <w:rFonts w:ascii="Arial" w:cs="Arial" w:eastAsia="Arial" w:hAnsi="Arial"/>
                <w:sz w:val="12"/>
                <w:szCs w:val="12"/>
                <w:b w:val="1"/>
                <w:bCs w:val="1"/>
                <w:color w:val="205BA8"/>
              </w:rPr>
              <w:t>Board Vote Recommendation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160" w:type="dxa"/>
            <w:vAlign w:val="bottom"/>
            <w:gridSpan w:val="2"/>
            <w:vMerge w:val="restart"/>
          </w:tcPr>
          <w:p>
            <w:pPr>
              <w:jc w:val="right"/>
              <w:ind w:right="157"/>
              <w:spacing w:after="0" w:line="458" w:lineRule="exact"/>
              <w:rPr>
                <w:sz w:val="20"/>
                <w:szCs w:val="20"/>
                <w:color w:val="auto"/>
              </w:rPr>
            </w:pPr>
            <w:r>
              <w:rPr>
                <w:rFonts w:ascii="Arial" w:cs="Arial" w:eastAsia="Arial" w:hAnsi="Arial"/>
                <w:sz w:val="43"/>
                <w:szCs w:val="43"/>
                <w:b w:val="1"/>
                <w:bCs w:val="1"/>
                <w:color w:val="C44E5E"/>
              </w:rPr>
              <w:t>1</w:t>
            </w:r>
          </w:p>
        </w:tc>
        <w:tc>
          <w:tcPr>
            <w:tcW w:w="6060" w:type="dxa"/>
            <w:vAlign w:val="bottom"/>
            <w:gridSpan w:val="3"/>
          </w:tcPr>
          <w:p>
            <w:pPr>
              <w:spacing w:after="0"/>
              <w:rPr>
                <w:sz w:val="20"/>
                <w:szCs w:val="20"/>
                <w:color w:val="auto"/>
              </w:rPr>
            </w:pPr>
            <w:r>
              <w:rPr>
                <w:rFonts w:ascii="Arial" w:cs="Arial" w:eastAsia="Arial" w:hAnsi="Arial"/>
                <w:sz w:val="15"/>
                <w:szCs w:val="15"/>
                <w:color w:val="auto"/>
              </w:rPr>
              <w:t>Election of four Class III directors for a three-year term</w:t>
            </w:r>
          </w:p>
        </w:tc>
        <w:tc>
          <w:tcPr>
            <w:tcW w:w="3020" w:type="dxa"/>
            <w:vAlign w:val="bottom"/>
            <w:gridSpan w:val="2"/>
          </w:tcPr>
          <w:p>
            <w:pPr>
              <w:ind w:left="20"/>
              <w:spacing w:after="0"/>
              <w:rPr>
                <w:sz w:val="20"/>
                <w:szCs w:val="20"/>
                <w:color w:val="auto"/>
              </w:rPr>
            </w:pPr>
            <w:r>
              <w:rPr>
                <w:rFonts w:ascii="Arial" w:cs="Arial" w:eastAsia="Arial" w:hAnsi="Arial"/>
                <w:sz w:val="15"/>
                <w:szCs w:val="15"/>
                <w:b w:val="1"/>
                <w:bCs w:val="1"/>
                <w:color w:val="205BA8"/>
              </w:rPr>
              <w:t xml:space="preserve">FOR </w:t>
            </w:r>
            <w:r>
              <w:rPr>
                <w:rFonts w:ascii="Arial" w:cs="Arial" w:eastAsia="Arial" w:hAnsi="Arial"/>
                <w:sz w:val="15"/>
                <w:szCs w:val="15"/>
                <w:color w:val="000000"/>
              </w:rPr>
              <w:t>each director</w:t>
            </w:r>
          </w:p>
        </w:tc>
        <w:tc>
          <w:tcPr>
            <w:tcW w:w="0" w:type="dxa"/>
            <w:vAlign w:val="bottom"/>
          </w:tcPr>
          <w:p>
            <w:pPr>
              <w:spacing w:after="0"/>
              <w:rPr>
                <w:sz w:val="1"/>
                <w:szCs w:val="1"/>
                <w:color w:val="auto"/>
              </w:rPr>
            </w:pPr>
          </w:p>
        </w:tc>
      </w:tr>
      <w:tr>
        <w:trPr>
          <w:trHeight w:val="138"/>
        </w:trPr>
        <w:tc>
          <w:tcPr>
            <w:tcW w:w="21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020" w:type="dxa"/>
            <w:vAlign w:val="bottom"/>
            <w:gridSpan w:val="2"/>
            <w:vMerge w:val="restart"/>
          </w:tcPr>
          <w:p>
            <w:pPr>
              <w:spacing w:after="0"/>
              <w:rPr>
                <w:sz w:val="20"/>
                <w:szCs w:val="20"/>
                <w:color w:val="auto"/>
              </w:rPr>
            </w:pPr>
            <w:r>
              <w:rPr>
                <w:rFonts w:ascii="Arial" w:cs="Arial" w:eastAsia="Arial" w:hAnsi="Arial"/>
                <w:sz w:val="15"/>
                <w:szCs w:val="15"/>
                <w:color w:val="auto"/>
              </w:rPr>
              <w:t>nominee</w:t>
            </w:r>
          </w:p>
        </w:tc>
        <w:tc>
          <w:tcPr>
            <w:tcW w:w="0" w:type="dxa"/>
            <w:vAlign w:val="bottom"/>
          </w:tcPr>
          <w:p>
            <w:pPr>
              <w:spacing w:after="0"/>
              <w:rPr>
                <w:sz w:val="1"/>
                <w:szCs w:val="1"/>
                <w:color w:val="auto"/>
              </w:rPr>
            </w:pPr>
          </w:p>
        </w:tc>
      </w:tr>
      <w:tr>
        <w:trPr>
          <w:trHeight w:val="46"/>
        </w:trPr>
        <w:tc>
          <w:tcPr>
            <w:tcW w:w="1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2"/>
        </w:trPr>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60" w:type="dxa"/>
            <w:vAlign w:val="bottom"/>
            <w:gridSpan w:val="3"/>
          </w:tcPr>
          <w:p>
            <w:pPr>
              <w:spacing w:after="0"/>
              <w:rPr>
                <w:sz w:val="24"/>
                <w:szCs w:val="24"/>
                <w:color w:val="auto"/>
              </w:rPr>
            </w:pPr>
          </w:p>
        </w:tc>
        <w:tc>
          <w:tcPr>
            <w:tcW w:w="30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300" w:type="dxa"/>
            <w:vAlign w:val="bottom"/>
          </w:tcPr>
          <w:p>
            <w:pPr>
              <w:spacing w:after="0"/>
              <w:rPr>
                <w:sz w:val="24"/>
                <w:szCs w:val="24"/>
                <w:color w:val="auto"/>
              </w:rPr>
            </w:pPr>
          </w:p>
        </w:tc>
        <w:tc>
          <w:tcPr>
            <w:tcW w:w="860" w:type="dxa"/>
            <w:vAlign w:val="bottom"/>
            <w:tcBorders>
              <w:top w:val="single" w:sz="8" w:color="221E1F"/>
            </w:tcBorders>
            <w:vMerge w:val="restart"/>
            <w:shd w:val="clear" w:color="auto" w:fill="EBEBEB"/>
          </w:tcPr>
          <w:p>
            <w:pPr>
              <w:jc w:val="right"/>
              <w:ind w:right="157"/>
              <w:spacing w:after="0"/>
              <w:rPr>
                <w:sz w:val="20"/>
                <w:szCs w:val="20"/>
                <w:color w:val="auto"/>
              </w:rPr>
            </w:pPr>
            <w:r>
              <w:rPr>
                <w:rFonts w:ascii="Arial" w:cs="Arial" w:eastAsia="Arial" w:hAnsi="Arial"/>
                <w:sz w:val="43"/>
                <w:szCs w:val="43"/>
                <w:b w:val="1"/>
                <w:bCs w:val="1"/>
                <w:color w:val="C44E5E"/>
              </w:rPr>
              <w:t>2</w:t>
            </w:r>
          </w:p>
        </w:tc>
        <w:tc>
          <w:tcPr>
            <w:tcW w:w="6060" w:type="dxa"/>
            <w:vAlign w:val="bottom"/>
            <w:tcBorders>
              <w:top w:val="single" w:sz="8" w:color="221E1F"/>
            </w:tcBorders>
            <w:gridSpan w:val="3"/>
            <w:shd w:val="clear" w:color="auto" w:fill="EBEBEB"/>
          </w:tcPr>
          <w:p>
            <w:pPr>
              <w:spacing w:after="0"/>
              <w:rPr>
                <w:sz w:val="20"/>
                <w:szCs w:val="20"/>
                <w:color w:val="auto"/>
              </w:rPr>
            </w:pPr>
            <w:r>
              <w:rPr>
                <w:rFonts w:ascii="Arial" w:cs="Arial" w:eastAsia="Arial" w:hAnsi="Arial"/>
                <w:sz w:val="15"/>
                <w:szCs w:val="15"/>
                <w:color w:val="auto"/>
              </w:rPr>
              <w:t>Ratification of the appointment of PricewaterhouseCoopers LLP as the Company’s</w:t>
            </w:r>
          </w:p>
        </w:tc>
        <w:tc>
          <w:tcPr>
            <w:tcW w:w="1720" w:type="dxa"/>
            <w:vAlign w:val="bottom"/>
            <w:tcBorders>
              <w:top w:val="single" w:sz="8" w:color="221E1F"/>
            </w:tcBorders>
            <w:shd w:val="clear" w:color="auto" w:fill="EBEBEB"/>
          </w:tcPr>
          <w:p>
            <w:pPr>
              <w:ind w:left="20"/>
              <w:spacing w:after="0"/>
              <w:rPr>
                <w:sz w:val="20"/>
                <w:szCs w:val="20"/>
                <w:color w:val="auto"/>
              </w:rPr>
            </w:pPr>
            <w:r>
              <w:rPr>
                <w:rFonts w:ascii="Arial" w:cs="Arial" w:eastAsia="Arial" w:hAnsi="Arial"/>
                <w:sz w:val="15"/>
                <w:szCs w:val="15"/>
                <w:b w:val="1"/>
                <w:bCs w:val="1"/>
                <w:color w:val="205BA8"/>
              </w:rPr>
              <w:t>FOR</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860" w:type="dxa"/>
            <w:vAlign w:val="bottom"/>
            <w:vMerge w:val="continue"/>
            <w:shd w:val="clear" w:color="auto" w:fill="EBEBEB"/>
          </w:tcPr>
          <w:p>
            <w:pPr>
              <w:spacing w:after="0"/>
              <w:rPr>
                <w:sz w:val="14"/>
                <w:szCs w:val="14"/>
                <w:color w:val="auto"/>
              </w:rPr>
            </w:pPr>
          </w:p>
        </w:tc>
        <w:tc>
          <w:tcPr>
            <w:tcW w:w="6060" w:type="dxa"/>
            <w:vAlign w:val="bottom"/>
            <w:gridSpan w:val="3"/>
            <w:shd w:val="clear" w:color="auto" w:fill="EBEBEB"/>
          </w:tcPr>
          <w:p>
            <w:pPr>
              <w:spacing w:after="0" w:line="162" w:lineRule="exact"/>
              <w:rPr>
                <w:sz w:val="20"/>
                <w:szCs w:val="20"/>
                <w:color w:val="auto"/>
              </w:rPr>
            </w:pPr>
            <w:r>
              <w:rPr>
                <w:rFonts w:ascii="Arial" w:cs="Arial" w:eastAsia="Arial" w:hAnsi="Arial"/>
                <w:sz w:val="15"/>
                <w:szCs w:val="15"/>
                <w:color w:val="auto"/>
              </w:rPr>
              <w:t>independent registered public accounting firm for the fiscal year ending December</w:t>
            </w:r>
          </w:p>
        </w:tc>
        <w:tc>
          <w:tcPr>
            <w:tcW w:w="1720" w:type="dxa"/>
            <w:vAlign w:val="bottom"/>
            <w:shd w:val="clear" w:color="auto" w:fill="EBEBEB"/>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860" w:type="dxa"/>
            <w:vAlign w:val="bottom"/>
            <w:vMerge w:val="continue"/>
            <w:shd w:val="clear" w:color="auto" w:fill="EBEBEB"/>
          </w:tcPr>
          <w:p>
            <w:pPr>
              <w:spacing w:after="0"/>
              <w:rPr>
                <w:sz w:val="17"/>
                <w:szCs w:val="17"/>
                <w:color w:val="auto"/>
              </w:rPr>
            </w:pPr>
          </w:p>
        </w:tc>
        <w:tc>
          <w:tcPr>
            <w:tcW w:w="820" w:type="dxa"/>
            <w:vAlign w:val="bottom"/>
            <w:shd w:val="clear" w:color="auto" w:fill="EBEBEB"/>
          </w:tcPr>
          <w:p>
            <w:pPr>
              <w:spacing w:after="0"/>
              <w:rPr>
                <w:sz w:val="20"/>
                <w:szCs w:val="20"/>
                <w:color w:val="auto"/>
              </w:rPr>
            </w:pPr>
            <w:r>
              <w:rPr>
                <w:rFonts w:ascii="Arial" w:cs="Arial" w:eastAsia="Arial" w:hAnsi="Arial"/>
                <w:sz w:val="15"/>
                <w:szCs w:val="15"/>
                <w:color w:val="auto"/>
              </w:rPr>
              <w:t>31, 2021</w:t>
            </w:r>
          </w:p>
        </w:tc>
        <w:tc>
          <w:tcPr>
            <w:tcW w:w="1560" w:type="dxa"/>
            <w:vAlign w:val="bottom"/>
            <w:shd w:val="clear" w:color="auto" w:fill="EBEBEB"/>
          </w:tcPr>
          <w:p>
            <w:pPr>
              <w:spacing w:after="0"/>
              <w:rPr>
                <w:sz w:val="17"/>
                <w:szCs w:val="17"/>
                <w:color w:val="auto"/>
              </w:rPr>
            </w:pPr>
          </w:p>
        </w:tc>
        <w:tc>
          <w:tcPr>
            <w:tcW w:w="3680" w:type="dxa"/>
            <w:vAlign w:val="bottom"/>
            <w:shd w:val="clear" w:color="auto" w:fill="EBEBEB"/>
          </w:tcPr>
          <w:p>
            <w:pPr>
              <w:spacing w:after="0"/>
              <w:rPr>
                <w:sz w:val="17"/>
                <w:szCs w:val="17"/>
                <w:color w:val="auto"/>
              </w:rPr>
            </w:pPr>
          </w:p>
        </w:tc>
        <w:tc>
          <w:tcPr>
            <w:tcW w:w="1720" w:type="dxa"/>
            <w:vAlign w:val="bottom"/>
            <w:shd w:val="clear" w:color="auto" w:fill="EBEBEB"/>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p>
        </w:tc>
        <w:tc>
          <w:tcPr>
            <w:tcW w:w="860" w:type="dxa"/>
            <w:vAlign w:val="bottom"/>
            <w:tcBorders>
              <w:bottom w:val="single" w:sz="8" w:color="221E1F"/>
            </w:tcBorders>
            <w:shd w:val="clear" w:color="auto" w:fill="EBEBEB"/>
          </w:tcPr>
          <w:p>
            <w:pPr>
              <w:spacing w:after="0"/>
              <w:rPr>
                <w:sz w:val="20"/>
                <w:szCs w:val="20"/>
                <w:color w:val="auto"/>
              </w:rPr>
            </w:pPr>
          </w:p>
        </w:tc>
        <w:tc>
          <w:tcPr>
            <w:tcW w:w="6060" w:type="dxa"/>
            <w:vAlign w:val="bottom"/>
            <w:tcBorders>
              <w:bottom w:val="single" w:sz="8" w:color="221E1F"/>
            </w:tcBorders>
            <w:gridSpan w:val="3"/>
            <w:shd w:val="clear" w:color="auto" w:fill="EBEBEB"/>
          </w:tcPr>
          <w:p>
            <w:pPr>
              <w:spacing w:after="0"/>
              <w:rPr>
                <w:sz w:val="20"/>
                <w:szCs w:val="20"/>
                <w:color w:val="auto"/>
              </w:rPr>
            </w:pPr>
          </w:p>
        </w:tc>
        <w:tc>
          <w:tcPr>
            <w:tcW w:w="1720" w:type="dxa"/>
            <w:vAlign w:val="bottom"/>
            <w:tcBorders>
              <w:bottom w:val="single" w:sz="8" w:color="221E1F"/>
            </w:tcBorders>
            <w:shd w:val="clear" w:color="auto" w:fill="EBEBEB"/>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8220" w:type="dxa"/>
            <w:vAlign w:val="bottom"/>
            <w:gridSpan w:val="5"/>
          </w:tcPr>
          <w:p>
            <w:pPr>
              <w:ind w:left="22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3020" w:type="dxa"/>
            <w:vAlign w:val="bottom"/>
            <w:gridSpan w:val="2"/>
          </w:tcPr>
          <w:p>
            <w:pPr>
              <w:ind w:left="2560"/>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w:t>
            </w:r>
          </w:p>
        </w:tc>
        <w:tc>
          <w:tcPr>
            <w:tcW w:w="0" w:type="dxa"/>
            <w:vAlign w:val="bottom"/>
          </w:tcPr>
          <w:p>
            <w:pPr>
              <w:spacing w:after="0"/>
              <w:rPr>
                <w:sz w:val="1"/>
                <w:szCs w:val="1"/>
                <w:color w:val="auto"/>
              </w:rPr>
            </w:pPr>
          </w:p>
        </w:tc>
      </w:tr>
      <w:tr>
        <w:trPr>
          <w:trHeight w:val="258"/>
        </w:trPr>
        <w:tc>
          <w:tcPr>
            <w:tcW w:w="1300" w:type="dxa"/>
            <w:vAlign w:val="bottom"/>
            <w:tcBorders>
              <w:bottom w:val="single" w:sz="8" w:color="C0C0C0"/>
            </w:tcBorders>
          </w:tcPr>
          <w:p>
            <w:pPr>
              <w:spacing w:after="0"/>
              <w:rPr>
                <w:sz w:val="22"/>
                <w:szCs w:val="22"/>
                <w:color w:val="auto"/>
              </w:rPr>
            </w:pPr>
          </w:p>
        </w:tc>
        <w:tc>
          <w:tcPr>
            <w:tcW w:w="860" w:type="dxa"/>
            <w:vAlign w:val="bottom"/>
            <w:tcBorders>
              <w:bottom w:val="single" w:sz="8" w:color="C0C0C0"/>
            </w:tcBorders>
          </w:tcPr>
          <w:p>
            <w:pPr>
              <w:spacing w:after="0"/>
              <w:rPr>
                <w:sz w:val="22"/>
                <w:szCs w:val="22"/>
                <w:color w:val="auto"/>
              </w:rPr>
            </w:pPr>
          </w:p>
        </w:tc>
        <w:tc>
          <w:tcPr>
            <w:tcW w:w="820" w:type="dxa"/>
            <w:vAlign w:val="bottom"/>
            <w:tcBorders>
              <w:bottom w:val="single" w:sz="8" w:color="C0C0C0"/>
            </w:tcBorders>
          </w:tcPr>
          <w:p>
            <w:pPr>
              <w:spacing w:after="0"/>
              <w:rPr>
                <w:sz w:val="22"/>
                <w:szCs w:val="22"/>
                <w:color w:val="auto"/>
              </w:rPr>
            </w:pPr>
          </w:p>
        </w:tc>
        <w:tc>
          <w:tcPr>
            <w:tcW w:w="1560" w:type="dxa"/>
            <w:vAlign w:val="bottom"/>
            <w:tcBorders>
              <w:bottom w:val="single" w:sz="8" w:color="C0C0C0"/>
            </w:tcBorders>
          </w:tcPr>
          <w:p>
            <w:pPr>
              <w:spacing w:after="0"/>
              <w:rPr>
                <w:sz w:val="22"/>
                <w:szCs w:val="22"/>
                <w:color w:val="auto"/>
              </w:rPr>
            </w:pPr>
          </w:p>
        </w:tc>
        <w:tc>
          <w:tcPr>
            <w:tcW w:w="3680" w:type="dxa"/>
            <w:vAlign w:val="bottom"/>
            <w:tcBorders>
              <w:bottom w:val="single" w:sz="8" w:color="C0C0C0"/>
            </w:tcBorders>
          </w:tcPr>
          <w:p>
            <w:pPr>
              <w:spacing w:after="0"/>
              <w:rPr>
                <w:sz w:val="22"/>
                <w:szCs w:val="22"/>
                <w:color w:val="auto"/>
              </w:rPr>
            </w:pPr>
          </w:p>
        </w:tc>
        <w:tc>
          <w:tcPr>
            <w:tcW w:w="1720" w:type="dxa"/>
            <w:vAlign w:val="bottom"/>
            <w:tcBorders>
              <w:bottom w:val="single" w:sz="8" w:color="C0C0C0"/>
            </w:tcBorders>
          </w:tcPr>
          <w:p>
            <w:pPr>
              <w:spacing w:after="0"/>
              <w:rPr>
                <w:sz w:val="22"/>
                <w:szCs w:val="22"/>
                <w:color w:val="auto"/>
              </w:rPr>
            </w:pPr>
          </w:p>
        </w:tc>
        <w:tc>
          <w:tcPr>
            <w:tcW w:w="130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-1439545</wp:posOffset>
            </wp:positionV>
            <wp:extent cx="2743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-831215</wp:posOffset>
            </wp:positionV>
            <wp:extent cx="282575"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12" w:name="page13"/>
    <w:bookmarkEnd w:id="12"/>
    <w:p>
      <w:pPr>
        <w:ind w:left="440"/>
        <w:spacing w:after="0"/>
        <w:rPr>
          <w:sz w:val="20"/>
          <w:szCs w:val="20"/>
          <w:color w:val="auto"/>
        </w:rPr>
      </w:pPr>
      <w:r>
        <w:rPr>
          <w:rFonts w:ascii="Arial" w:cs="Arial" w:eastAsia="Arial" w:hAnsi="Arial"/>
          <w:sz w:val="16"/>
          <w:szCs w:val="16"/>
          <w:b w:val="1"/>
          <w:bCs w:val="1"/>
          <w:color w:val="205BA8"/>
        </w:rPr>
        <w:t xml:space="preserve">USERS' GUIDE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C44E5E"/>
        </w:rPr>
        <w:t>PROXY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14605</wp:posOffset>
            </wp:positionV>
            <wp:extent cx="6858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9620"/>
          </w:cols>
          <w:pgMar w:left="1180" w:top="405" w:right="1099" w:bottom="1440" w:gutter="0" w:footer="0" w:header="0"/>
        </w:sect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59"/>
          <w:szCs w:val="59"/>
          <w:b w:val="1"/>
          <w:bCs w:val="1"/>
          <w:color w:val="205BA8"/>
        </w:rPr>
        <w:t>PROXY HIGHLIGHTS</w:t>
      </w:r>
    </w:p>
    <w:p>
      <w:pPr>
        <w:sectPr>
          <w:pgSz w:w="11900" w:h="16838" w:orient="portrait"/>
          <w:cols w:equalWidth="0" w:num="1">
            <w:col w:w="9620"/>
          </w:cols>
          <w:pgMar w:left="1180" w:top="405" w:right="1099" w:bottom="1440" w:gutter="0" w:footer="0" w:header="0"/>
          <w:type w:val="continuous"/>
        </w:sectPr>
      </w:pPr>
    </w:p>
    <w:p>
      <w:pPr>
        <w:spacing w:after="0" w:line="192" w:lineRule="exact"/>
        <w:rPr>
          <w:sz w:val="20"/>
          <w:szCs w:val="20"/>
          <w:color w:val="auto"/>
        </w:rPr>
      </w:pPr>
    </w:p>
    <w:p>
      <w:pPr>
        <w:ind w:left="440" w:right="400"/>
        <w:spacing w:after="0" w:line="278" w:lineRule="auto"/>
        <w:rPr>
          <w:sz w:val="20"/>
          <w:szCs w:val="20"/>
          <w:color w:val="auto"/>
        </w:rPr>
      </w:pPr>
      <w:r>
        <w:rPr>
          <w:rFonts w:ascii="Arial" w:cs="Arial" w:eastAsia="Arial" w:hAnsi="Arial"/>
          <w:sz w:val="29"/>
          <w:szCs w:val="29"/>
          <w:b w:val="1"/>
          <w:bCs w:val="1"/>
          <w:color w:val="C44E5E"/>
        </w:rPr>
        <w:t>WE SEEK YOUR INPUT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-35560</wp:posOffset>
            </wp:positionV>
            <wp:extent cx="26060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5" w:lineRule="exact"/>
        <w:rPr>
          <w:sz w:val="20"/>
          <w:szCs w:val="20"/>
          <w:color w:val="auto"/>
        </w:rPr>
      </w:pPr>
    </w:p>
    <w:p>
      <w:pPr>
        <w:ind w:left="440"/>
        <w:spacing w:after="0" w:line="227" w:lineRule="auto"/>
        <w:rPr>
          <w:sz w:val="20"/>
          <w:szCs w:val="20"/>
          <w:color w:val="auto"/>
        </w:rPr>
      </w:pPr>
      <w:r>
        <w:rPr>
          <w:rFonts w:ascii="Arial" w:cs="Arial" w:eastAsia="Arial" w:hAnsi="Arial"/>
          <w:sz w:val="15"/>
          <w:szCs w:val="15"/>
          <w:color w:val="auto"/>
        </w:rPr>
        <w:t>The composition of our board of directors reflects our core principle of “science first”: over half of our directors are members of the National Academy of Sciences, and our board members include two Nobel laureates and holders of many scientific awards. By having our board of directors heavily populated with top scientific talent, we signal to our shareholders and employees our seriousness about the Company’s dedication to science and its core competencies and primary value driver. Our board also includes individuals with experience building shareholder value through all stages of corporate development, as well as governance, financial, and policy expertise. Three of our board’s current 12 members are women, and four directors are diverse by race or ethnicity. Each of the directors who joined the board since 2016 is diverse by gender or race/ethnicity.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93980</wp:posOffset>
            </wp:positionV>
            <wp:extent cx="1851660" cy="11144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51660" cy="1114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760"/>
        <w:spacing w:after="0" w:line="278" w:lineRule="auto"/>
        <w:rPr>
          <w:sz w:val="20"/>
          <w:szCs w:val="20"/>
          <w:color w:val="auto"/>
        </w:rPr>
      </w:pPr>
      <w:r>
        <w:rPr>
          <w:rFonts w:ascii="Arial" w:cs="Arial" w:eastAsia="Arial" w:hAnsi="Arial"/>
          <w:sz w:val="29"/>
          <w:szCs w:val="29"/>
          <w:b w:val="1"/>
          <w:bCs w:val="1"/>
          <w:color w:val="C44E5E"/>
        </w:rPr>
        <w:t>WE SEEK RATIFICATION OF OUR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26060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5" w:lineRule="exact"/>
        <w:rPr>
          <w:sz w:val="20"/>
          <w:szCs w:val="20"/>
          <w:color w:val="auto"/>
        </w:rPr>
      </w:pPr>
    </w:p>
    <w:p>
      <w:pPr>
        <w:ind w:right="600"/>
        <w:spacing w:after="0" w:line="228" w:lineRule="auto"/>
        <w:rPr>
          <w:sz w:val="20"/>
          <w:szCs w:val="20"/>
          <w:color w:val="auto"/>
        </w:rPr>
      </w:pPr>
      <w:r>
        <w:rPr>
          <w:rFonts w:ascii="Arial" w:cs="Arial" w:eastAsia="Arial" w:hAnsi="Arial"/>
          <w:sz w:val="15"/>
          <w:szCs w:val="15"/>
          <w:color w:val="auto"/>
        </w:rPr>
        <w:t>We pay close attention to the requirements applicable to us as a publicly traded company, including those relating to the audit of Regeneron’s financial statements by our independent registered public accounting firm, PricewaterhouseCoopers LLP. In this proxy statement, we are asking you to ratify the appointment of PricewaterhouseCoopers LLP as our independent registered public accounting firm for the fiscal year ending December 31, 2021.</w:t>
      </w:r>
    </w:p>
    <w:p>
      <w:pPr>
        <w:spacing w:after="0" w:line="145" w:lineRule="exact"/>
        <w:rPr>
          <w:sz w:val="20"/>
          <w:szCs w:val="20"/>
          <w:color w:val="auto"/>
        </w:rPr>
      </w:pPr>
    </w:p>
    <w:p>
      <w:pPr>
        <w:ind w:right="620"/>
        <w:spacing w:after="0" w:line="235" w:lineRule="auto"/>
        <w:rPr>
          <w:sz w:val="20"/>
          <w:szCs w:val="20"/>
          <w:color w:val="auto"/>
        </w:rPr>
      </w:pPr>
      <w:r>
        <w:rPr>
          <w:rFonts w:ascii="Arial" w:cs="Arial" w:eastAsia="Arial" w:hAnsi="Arial"/>
          <w:sz w:val="15"/>
          <w:szCs w:val="15"/>
          <w:color w:val="auto"/>
        </w:rPr>
        <w:t>Please refer to “Proposal No. 2: Ratification of Appointment of Independent Registered Public Accounting Firm” for additional information.</w:t>
      </w:r>
    </w:p>
    <w:p>
      <w:pPr>
        <w:spacing w:after="0" w:line="520" w:lineRule="exact"/>
        <w:rPr>
          <w:sz w:val="20"/>
          <w:szCs w:val="20"/>
          <w:color w:val="auto"/>
        </w:rPr>
      </w:pPr>
    </w:p>
    <w:p>
      <w:pPr>
        <w:sectPr>
          <w:pgSz w:w="11900" w:h="16838" w:orient="portrait"/>
          <w:cols w:equalWidth="0" w:num="2">
            <w:col w:w="4540" w:space="440"/>
            <w:col w:w="4640"/>
          </w:cols>
          <w:pgMar w:left="1180" w:top="40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Please refer to “Proposal No. 1: Election of Directors” for</w:t>
      </w:r>
    </w:p>
    <w:p>
      <w:pPr>
        <w:ind w:left="440"/>
        <w:spacing w:after="0"/>
        <w:rPr>
          <w:sz w:val="20"/>
          <w:szCs w:val="20"/>
          <w:color w:val="auto"/>
        </w:rPr>
      </w:pPr>
      <w:r>
        <w:rPr>
          <w:rFonts w:ascii="Arial" w:cs="Arial" w:eastAsia="Arial" w:hAnsi="Arial"/>
          <w:sz w:val="15"/>
          <w:szCs w:val="15"/>
          <w:color w:val="auto"/>
        </w:rPr>
        <w:t>additional information.</w:t>
      </w:r>
    </w:p>
    <w:p>
      <w:pPr>
        <w:spacing w:after="0" w:line="134" w:lineRule="exact"/>
        <w:rPr>
          <w:sz w:val="20"/>
          <w:szCs w:val="20"/>
          <w:color w:val="auto"/>
        </w:rPr>
      </w:pPr>
    </w:p>
    <w:p>
      <w:pPr>
        <w:spacing w:after="0"/>
        <w:tabs>
          <w:tab w:leader="none" w:pos="3820" w:val="left"/>
        </w:tabs>
        <w:rPr>
          <w:sz w:val="20"/>
          <w:szCs w:val="20"/>
          <w:color w:val="auto"/>
        </w:rPr>
      </w:pPr>
      <w:r>
        <w:rPr>
          <w:rFonts w:ascii="Arial" w:cs="Arial" w:eastAsia="Arial" w:hAnsi="Arial"/>
          <w:sz w:val="14"/>
          <w:szCs w:val="14"/>
          <w:b w:val="1"/>
          <w:bCs w:val="1"/>
          <w:color w:val="00A5EC"/>
        </w:rPr>
        <w:t xml:space="preserve">2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161290</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620"/>
          </w:cols>
          <w:pgMar w:left="1180" w:top="405" w:right="1099" w:bottom="1440" w:gutter="0" w:footer="0" w:header="0"/>
          <w:type w:val="continuous"/>
        </w:sectPr>
      </w:pPr>
    </w:p>
    <w:bookmarkStart w:id="13" w:name="page14"/>
    <w:bookmarkEnd w:id="13"/>
    <w:p>
      <w:pPr>
        <w:jc w:val="right"/>
        <w:ind w:right="1300"/>
        <w:spacing w:after="0"/>
        <w:rPr>
          <w:sz w:val="20"/>
          <w:szCs w:val="20"/>
          <w:color w:val="auto"/>
        </w:rPr>
      </w:pPr>
      <w:r>
        <w:rPr>
          <w:rFonts w:ascii="Arial" w:cs="Arial" w:eastAsia="Arial" w:hAnsi="Arial"/>
          <w:sz w:val="16"/>
          <w:szCs w:val="16"/>
          <w:b w:val="1"/>
          <w:bCs w:val="1"/>
          <w:color w:val="205BA8"/>
        </w:rPr>
        <w:t xml:space="preserve">USERS' GUIDE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C44E5E"/>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pacing w:after="0" w:line="362" w:lineRule="exact"/>
        <w:rPr>
          <w:sz w:val="20"/>
          <w:szCs w:val="20"/>
          <w:color w:val="auto"/>
        </w:rPr>
      </w:pPr>
    </w:p>
    <w:p>
      <w:pPr>
        <w:ind w:left="1300" w:right="2720"/>
        <w:spacing w:after="0" w:line="273" w:lineRule="auto"/>
        <w:rPr>
          <w:sz w:val="20"/>
          <w:szCs w:val="20"/>
          <w:color w:val="auto"/>
        </w:rPr>
      </w:pPr>
      <w:r>
        <w:rPr>
          <w:rFonts w:ascii="Arial" w:cs="Arial" w:eastAsia="Arial" w:hAnsi="Arial"/>
          <w:sz w:val="59"/>
          <w:szCs w:val="59"/>
          <w:b w:val="1"/>
          <w:bCs w:val="1"/>
          <w:color w:val="205BA8"/>
        </w:rPr>
        <w:t>GENERAL INFORMATION ABOUT THE MEETING</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9"/>
          <w:szCs w:val="29"/>
          <w:b w:val="1"/>
          <w:bCs w:val="1"/>
          <w:color w:val="C44E5E"/>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27940</wp:posOffset>
            </wp:positionV>
            <wp:extent cx="54864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205BA8"/>
        </w:rPr>
        <w:t>When is the Annual Meeting?</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June 11, 2021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1480"/>
        <w:spacing w:after="0" w:line="233" w:lineRule="auto"/>
        <w:rPr>
          <w:sz w:val="20"/>
          <w:szCs w:val="20"/>
          <w:color w:val="auto"/>
        </w:rPr>
      </w:pPr>
      <w:r>
        <w:rPr>
          <w:rFonts w:ascii="Arial" w:cs="Arial" w:eastAsia="Arial" w:hAnsi="Arial"/>
          <w:sz w:val="15"/>
          <w:szCs w:val="15"/>
          <w:color w:val="auto"/>
        </w:rPr>
        <w:t xml:space="preserve">issuing a press release and filing it as additional proxy material with the SEC. Please visit our website at </w:t>
      </w:r>
      <w:r>
        <w:rPr>
          <w:rFonts w:ascii="Arial" w:cs="Arial" w:eastAsia="Arial" w:hAnsi="Arial"/>
          <w:sz w:val="15"/>
          <w:szCs w:val="15"/>
          <w:b w:val="1"/>
          <w:bCs w:val="1"/>
          <w:color w:val="auto"/>
        </w:rPr>
        <w:t xml:space="preserve">http://newsroom.regeneron.com </w:t>
      </w:r>
      <w:r>
        <w:rPr>
          <w:rFonts w:ascii="Arial" w:cs="Arial" w:eastAsia="Arial" w:hAnsi="Arial"/>
          <w:sz w:val="15"/>
          <w:szCs w:val="15"/>
          <w:color w:val="auto"/>
        </w:rPr>
        <w:t>for the most up-to-date</w:t>
      </w:r>
      <w:r>
        <w:rPr>
          <w:rFonts w:ascii="Arial" w:cs="Arial" w:eastAsia="Arial" w:hAnsi="Arial"/>
          <w:sz w:val="15"/>
          <w:szCs w:val="15"/>
          <w:b w:val="1"/>
          <w:bCs w:val="1"/>
          <w:color w:val="auto"/>
        </w:rPr>
        <w:t xml:space="preserve"> </w:t>
      </w:r>
      <w:r>
        <w:rPr>
          <w:rFonts w:ascii="Arial" w:cs="Arial" w:eastAsia="Arial" w:hAnsi="Arial"/>
          <w:sz w:val="15"/>
          <w:szCs w:val="15"/>
          <w:color w:val="auto"/>
        </w:rPr>
        <w:t>admission requirements for the Annual Meeting.</w:t>
      </w:r>
    </w:p>
    <w:p>
      <w:pPr>
        <w:spacing w:after="0" w:line="1" w:lineRule="exact"/>
        <w:rPr>
          <w:sz w:val="20"/>
          <w:szCs w:val="20"/>
          <w:color w:val="auto"/>
        </w:rPr>
      </w:pPr>
    </w:p>
    <w:p>
      <w:pPr>
        <w:sectPr>
          <w:pgSz w:w="11900" w:h="16838" w:orient="portrait"/>
          <w:cols w:equalWidth="0" w:num="2">
            <w:col w:w="5120" w:space="720"/>
            <w:col w:w="5400"/>
          </w:cols>
          <w:pgMar w:left="320" w:top="405" w:right="339" w:bottom="1440" w:gutter="0" w:footer="0" w:header="0"/>
          <w:type w:val="continuous"/>
        </w:sectPr>
      </w:pPr>
    </w:p>
    <w:p>
      <w:pPr>
        <w:ind w:left="1300"/>
        <w:spacing w:after="0"/>
        <w:rPr>
          <w:sz w:val="20"/>
          <w:szCs w:val="20"/>
          <w:color w:val="auto"/>
        </w:rPr>
      </w:pPr>
      <w:r>
        <w:rPr>
          <w:rFonts w:ascii="Arial" w:cs="Arial" w:eastAsia="Arial" w:hAnsi="Arial"/>
          <w:sz w:val="17"/>
          <w:szCs w:val="17"/>
          <w:b w:val="1"/>
          <w:bCs w:val="1"/>
          <w:color w:val="205BA8"/>
        </w:rPr>
        <w:t>What time is the Annual Meeting?</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205BA8"/>
        </w:rPr>
        <w:t>Can I vote at the Annual Meeting?</w:t>
      </w:r>
    </w:p>
    <w:p>
      <w:pPr>
        <w:spacing w:after="0" w:line="67" w:lineRule="exact"/>
        <w:rPr>
          <w:sz w:val="20"/>
          <w:szCs w:val="20"/>
          <w:color w:val="auto"/>
        </w:rPr>
      </w:pPr>
    </w:p>
    <w:p>
      <w:pPr>
        <w:sectPr>
          <w:pgSz w:w="11900" w:h="16838" w:orient="portrait"/>
          <w:cols w:equalWidth="0" w:num="2">
            <w:col w:w="5120" w:space="720"/>
            <w:col w:w="5400"/>
          </w:cols>
          <w:pgMar w:left="320" w:top="405" w:right="339" w:bottom="1440" w:gutter="0" w:footer="0" w:header="0"/>
          <w:type w:val="continuous"/>
        </w:sectPr>
      </w:pPr>
    </w:p>
    <w:p>
      <w:pPr>
        <w:ind w:left="1300"/>
        <w:spacing w:after="0"/>
        <w:rPr>
          <w:sz w:val="20"/>
          <w:szCs w:val="20"/>
          <w:color w:val="auto"/>
        </w:rPr>
      </w:pPr>
      <w:r>
        <w:rPr>
          <w:rFonts w:ascii="Arial" w:cs="Arial" w:eastAsia="Arial" w:hAnsi="Arial"/>
          <w:sz w:val="15"/>
          <w:szCs w:val="15"/>
          <w:color w:val="auto"/>
        </w:rPr>
        <w:t>10:30 a.m., ET</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205BA8"/>
        </w:rPr>
        <w:t>Where is the Annual Meeting?</w:t>
      </w:r>
    </w:p>
    <w:p>
      <w:pPr>
        <w:spacing w:after="0" w:line="177" w:lineRule="exact"/>
        <w:rPr>
          <w:sz w:val="20"/>
          <w:szCs w:val="20"/>
          <w:color w:val="auto"/>
        </w:rPr>
      </w:pPr>
    </w:p>
    <w:p>
      <w:pPr>
        <w:ind w:left="1300"/>
        <w:spacing w:after="0" w:line="227" w:lineRule="auto"/>
        <w:rPr>
          <w:sz w:val="20"/>
          <w:szCs w:val="20"/>
          <w:color w:val="auto"/>
        </w:rPr>
      </w:pPr>
      <w:r>
        <w:rPr>
          <w:rFonts w:ascii="Arial" w:cs="Arial" w:eastAsia="Arial" w:hAnsi="Arial"/>
          <w:sz w:val="15"/>
          <w:szCs w:val="15"/>
          <w:color w:val="auto"/>
        </w:rPr>
        <w:t xml:space="preserve">Due to continuing concerns regarding the COVID-19 pandemic and to assist in protecting the health and well-being of our shareholders, directors, and employees, the Annual Meeting will be held virtually via the Internet at </w:t>
      </w:r>
      <w:r>
        <w:rPr>
          <w:rFonts w:ascii="Arial" w:cs="Arial" w:eastAsia="Arial" w:hAnsi="Arial"/>
          <w:sz w:val="15"/>
          <w:szCs w:val="15"/>
          <w:b w:val="1"/>
          <w:bCs w:val="1"/>
          <w:color w:val="auto"/>
        </w:rPr>
        <w:t>www.virtualshareholdermeeting.com/REGN2021</w:t>
      </w:r>
      <w:r>
        <w:rPr>
          <w:rFonts w:ascii="Arial" w:cs="Arial" w:eastAsia="Arial" w:hAnsi="Arial"/>
          <w:sz w:val="15"/>
          <w:szCs w:val="15"/>
          <w:color w:val="auto"/>
        </w:rPr>
        <w:t>. We</w:t>
      </w:r>
      <w:r>
        <w:rPr>
          <w:rFonts w:ascii="Arial" w:cs="Arial" w:eastAsia="Arial" w:hAnsi="Arial"/>
          <w:sz w:val="15"/>
          <w:szCs w:val="15"/>
          <w:b w:val="1"/>
          <w:bCs w:val="1"/>
          <w:color w:val="auto"/>
        </w:rPr>
        <w:t xml:space="preserve"> </w:t>
      </w:r>
      <w:r>
        <w:rPr>
          <w:rFonts w:ascii="Arial" w:cs="Arial" w:eastAsia="Arial" w:hAnsi="Arial"/>
          <w:sz w:val="15"/>
          <w:szCs w:val="15"/>
          <w:color w:val="auto"/>
        </w:rPr>
        <w:t>have designed the format of the Annual Meeting to ensure that shareholders are afforded similar rights and opportunities to participate as they would at an in-person meeting. Under New York law, the legal requirement to include an in-person option has been waived by relevant governmental action. If this waiver is no longer in effect for the Annual Meeting, shareholders will have the option to attend the Annual Meeting in person at the Westchester Marriott Hotel, 670 White Plains Road, Tarrytown, New York (or at another location if required by the circumstances). In any such case, we would notify our shareholders in advance on our website and by issuing a press release and filing it as additional proxy material with the United States Securities and Exchange Commission (the “SEC”).</w:t>
      </w:r>
    </w:p>
    <w:p>
      <w:pPr>
        <w:spacing w:after="0" w:line="121" w:lineRule="exact"/>
        <w:rPr>
          <w:sz w:val="20"/>
          <w:szCs w:val="20"/>
          <w:color w:val="auto"/>
        </w:rPr>
      </w:pPr>
    </w:p>
    <w:p>
      <w:pPr>
        <w:ind w:left="1300" w:right="480"/>
        <w:spacing w:after="0" w:line="271" w:lineRule="auto"/>
        <w:rPr>
          <w:sz w:val="20"/>
          <w:szCs w:val="20"/>
          <w:color w:val="auto"/>
        </w:rPr>
      </w:pPr>
      <w:r>
        <w:rPr>
          <w:rFonts w:ascii="Arial" w:cs="Arial" w:eastAsia="Arial" w:hAnsi="Arial"/>
          <w:sz w:val="18"/>
          <w:szCs w:val="18"/>
          <w:b w:val="1"/>
          <w:bCs w:val="1"/>
          <w:color w:val="205BA8"/>
        </w:rPr>
        <w:t>What form of identification do I need to be admitted to the meeting?</w:t>
      </w:r>
    </w:p>
    <w:p>
      <w:pPr>
        <w:spacing w:after="0" w:line="101" w:lineRule="exact"/>
        <w:rPr>
          <w:sz w:val="20"/>
          <w:szCs w:val="20"/>
          <w:color w:val="auto"/>
        </w:rPr>
      </w:pPr>
    </w:p>
    <w:p>
      <w:pPr>
        <w:ind w:left="1300"/>
        <w:spacing w:after="0" w:line="232" w:lineRule="auto"/>
        <w:rPr>
          <w:sz w:val="20"/>
          <w:szCs w:val="20"/>
          <w:color w:val="auto"/>
        </w:rPr>
      </w:pPr>
      <w:r>
        <w:rPr>
          <w:rFonts w:ascii="Arial" w:cs="Arial" w:eastAsia="Arial" w:hAnsi="Arial"/>
          <w:sz w:val="15"/>
          <w:szCs w:val="15"/>
          <w:b w:val="1"/>
          <w:bCs w:val="1"/>
          <w:color w:val="auto"/>
        </w:rPr>
        <w:t xml:space="preserve">Via the Internet. </w:t>
      </w:r>
      <w:r>
        <w:rPr>
          <w:rFonts w:ascii="Arial" w:cs="Arial" w:eastAsia="Arial" w:hAnsi="Arial"/>
          <w:sz w:val="15"/>
          <w:szCs w:val="15"/>
          <w:color w:val="auto"/>
        </w:rPr>
        <w:t>Instructions on how to attend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participate via the Internet are posted at </w:t>
      </w:r>
      <w:r>
        <w:rPr>
          <w:rFonts w:ascii="Arial" w:cs="Arial" w:eastAsia="Arial" w:hAnsi="Arial"/>
          <w:sz w:val="15"/>
          <w:szCs w:val="15"/>
          <w:b w:val="1"/>
          <w:bCs w:val="1"/>
          <w:color w:val="auto"/>
        </w:rPr>
        <w:t>www.virtualshareholdermeeting.com/REGN2021</w:t>
      </w:r>
      <w:r>
        <w:rPr>
          <w:rFonts w:ascii="Arial" w:cs="Arial" w:eastAsia="Arial" w:hAnsi="Arial"/>
          <w:sz w:val="15"/>
          <w:szCs w:val="15"/>
          <w:color w:val="auto"/>
        </w:rPr>
        <w:t>. To vote</w:t>
      </w:r>
      <w:r>
        <w:rPr>
          <w:rFonts w:ascii="Arial" w:cs="Arial" w:eastAsia="Arial" w:hAnsi="Arial"/>
          <w:sz w:val="15"/>
          <w:szCs w:val="15"/>
          <w:b w:val="1"/>
          <w:bCs w:val="1"/>
          <w:color w:val="auto"/>
        </w:rPr>
        <w:t xml:space="preserve"> </w:t>
      </w:r>
      <w:r>
        <w:rPr>
          <w:rFonts w:ascii="Arial" w:cs="Arial" w:eastAsia="Arial" w:hAnsi="Arial"/>
          <w:sz w:val="15"/>
          <w:szCs w:val="15"/>
          <w:color w:val="auto"/>
        </w:rPr>
        <w:t>or submit questions during the meeting, you will need the 16-digit control number included on the Notice of Internet Availability of Proxy Materials (the “Notice”) or, if you received a paper copy of the proxy materials, the proxy card or voting instruction form you received.</w:t>
      </w:r>
    </w:p>
    <w:p>
      <w:pPr>
        <w:spacing w:after="0" w:line="124" w:lineRule="exact"/>
        <w:rPr>
          <w:sz w:val="20"/>
          <w:szCs w:val="20"/>
          <w:color w:val="auto"/>
        </w:rPr>
      </w:pPr>
    </w:p>
    <w:p>
      <w:pPr>
        <w:ind w:left="1300"/>
        <w:spacing w:after="0" w:line="234" w:lineRule="auto"/>
        <w:rPr>
          <w:sz w:val="20"/>
          <w:szCs w:val="20"/>
          <w:color w:val="auto"/>
        </w:rPr>
      </w:pPr>
      <w:r>
        <w:rPr>
          <w:rFonts w:ascii="Arial" w:cs="Arial" w:eastAsia="Arial" w:hAnsi="Arial"/>
          <w:sz w:val="15"/>
          <w:szCs w:val="15"/>
          <w:b w:val="1"/>
          <w:bCs w:val="1"/>
          <w:color w:val="auto"/>
        </w:rPr>
        <w:t xml:space="preserve">In person </w:t>
      </w:r>
      <w:r>
        <w:rPr>
          <w:rFonts w:ascii="Arial" w:cs="Arial" w:eastAsia="Arial" w:hAnsi="Arial"/>
          <w:sz w:val="15"/>
          <w:szCs w:val="15"/>
          <w:color w:val="auto"/>
        </w:rPr>
        <w:t>(if there is in-person attendance option). If</w:t>
      </w:r>
      <w:r>
        <w:rPr>
          <w:rFonts w:ascii="Arial" w:cs="Arial" w:eastAsia="Arial" w:hAnsi="Arial"/>
          <w:sz w:val="15"/>
          <w:szCs w:val="15"/>
          <w:b w:val="1"/>
          <w:bCs w:val="1"/>
          <w:color w:val="auto"/>
        </w:rPr>
        <w:t xml:space="preserve"> </w:t>
      </w:r>
      <w:r>
        <w:rPr>
          <w:rFonts w:ascii="Arial" w:cs="Arial" w:eastAsia="Arial" w:hAnsi="Arial"/>
          <w:sz w:val="15"/>
          <w:szCs w:val="15"/>
          <w:color w:val="auto"/>
        </w:rPr>
        <w:t>shareholders have the option to attend the Annual Meeting in person, the information (including information regarding any procedures and limitations concerning in-person attendees applicable to the Annual Meeting) will be provided in advance on our website and by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320"/>
        <w:spacing w:after="0" w:line="228" w:lineRule="auto"/>
        <w:rPr>
          <w:sz w:val="20"/>
          <w:szCs w:val="20"/>
          <w:color w:val="auto"/>
        </w:rPr>
      </w:pPr>
      <w:r>
        <w:rPr>
          <w:rFonts w:ascii="Arial" w:cs="Arial" w:eastAsia="Arial" w:hAnsi="Arial"/>
          <w:sz w:val="15"/>
          <w:szCs w:val="15"/>
          <w:color w:val="auto"/>
        </w:rPr>
        <w:t>Only shareholders of record at the close of business on the record date, April 13, 2021, are entitled to vote at the Annual Meeting. As of April 13, 2021, 104,674,240 shares of the Company’s common stock, par value $0.001 per share (“common stock”), and 1,848,970 shares of Class A stock, par value $0.001 per share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205BA8"/>
        </w:rPr>
        <w:t>What is on the agenda for the meeting?</w:t>
      </w:r>
    </w:p>
    <w:p>
      <w:pPr>
        <w:spacing w:after="0" w:line="190" w:lineRule="exact"/>
        <w:rPr>
          <w:sz w:val="20"/>
          <w:szCs w:val="20"/>
          <w:color w:val="auto"/>
        </w:rPr>
      </w:pPr>
    </w:p>
    <w:p>
      <w:pPr>
        <w:ind w:left="360" w:hanging="347"/>
        <w:spacing w:after="0"/>
        <w:tabs>
          <w:tab w:leader="none" w:pos="360" w:val="left"/>
        </w:tabs>
        <w:numPr>
          <w:ilvl w:val="0"/>
          <w:numId w:val="10"/>
        </w:numPr>
        <w:rPr>
          <w:rFonts w:ascii="Arial" w:cs="Arial" w:eastAsia="Arial" w:hAnsi="Arial"/>
          <w:sz w:val="15"/>
          <w:szCs w:val="15"/>
          <w:color w:val="205BA8"/>
        </w:rPr>
      </w:pPr>
      <w:r>
        <w:rPr>
          <w:rFonts w:ascii="Arial" w:cs="Arial" w:eastAsia="Arial" w:hAnsi="Arial"/>
          <w:sz w:val="15"/>
          <w:szCs w:val="15"/>
          <w:color w:val="auto"/>
        </w:rPr>
        <w:t>Election of four Class III directors for a three-year term</w:t>
      </w:r>
    </w:p>
    <w:p>
      <w:pPr>
        <w:spacing w:after="0" w:line="206" w:lineRule="exact"/>
        <w:rPr>
          <w:sz w:val="20"/>
          <w:szCs w:val="20"/>
          <w:color w:val="auto"/>
        </w:rPr>
      </w:pPr>
    </w:p>
    <w:p>
      <w:pPr>
        <w:ind w:left="360" w:right="1480" w:hanging="347"/>
        <w:spacing w:after="0" w:line="233" w:lineRule="auto"/>
        <w:tabs>
          <w:tab w:leader="none" w:pos="360" w:val="left"/>
        </w:tabs>
        <w:numPr>
          <w:ilvl w:val="0"/>
          <w:numId w:val="11"/>
        </w:numPr>
        <w:rPr>
          <w:rFonts w:ascii="Arial" w:cs="Arial" w:eastAsia="Arial" w:hAnsi="Arial"/>
          <w:sz w:val="15"/>
          <w:szCs w:val="15"/>
          <w:color w:val="205BA8"/>
        </w:rPr>
      </w:pPr>
      <w:r>
        <w:rPr>
          <w:rFonts w:ascii="Arial" w:cs="Arial" w:eastAsia="Arial" w:hAnsi="Arial"/>
          <w:sz w:val="15"/>
          <w:szCs w:val="15"/>
          <w:color w:val="auto"/>
        </w:rPr>
        <w:t>Ratification of the appointment of PricewaterhouseCoopers LLP as the Company’s independent registered public accounting firm for the fiscal year ending December 31,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205BA8"/>
        </w:rPr>
        <w:t>Can I ask a question at the Annual Meeting?</w:t>
      </w:r>
    </w:p>
    <w:p>
      <w:pPr>
        <w:spacing w:after="0" w:line="159" w:lineRule="exact"/>
        <w:rPr>
          <w:sz w:val="20"/>
          <w:szCs w:val="20"/>
          <w:color w:val="auto"/>
        </w:rPr>
      </w:pPr>
    </w:p>
    <w:p>
      <w:pPr>
        <w:ind w:right="1380"/>
        <w:spacing w:after="0" w:line="230" w:lineRule="auto"/>
        <w:rPr>
          <w:sz w:val="20"/>
          <w:szCs w:val="20"/>
          <w:color w:val="auto"/>
        </w:rPr>
      </w:pPr>
      <w:r>
        <w:rPr>
          <w:rFonts w:ascii="Arial" w:cs="Arial" w:eastAsia="Arial" w:hAnsi="Arial"/>
          <w:sz w:val="15"/>
          <w:szCs w:val="15"/>
          <w:b w:val="1"/>
          <w:bCs w:val="1"/>
          <w:color w:val="auto"/>
        </w:rPr>
        <w:t xml:space="preserve">Via the Internet. </w:t>
      </w:r>
      <w:r>
        <w:rPr>
          <w:rFonts w:ascii="Arial" w:cs="Arial" w:eastAsia="Arial" w:hAnsi="Arial"/>
          <w:sz w:val="15"/>
          <w:szCs w:val="15"/>
          <w:color w:val="auto"/>
        </w:rPr>
        <w:t>Shareholders who use the 16-digit control</w:t>
      </w:r>
      <w:r>
        <w:rPr>
          <w:rFonts w:ascii="Arial" w:cs="Arial" w:eastAsia="Arial" w:hAnsi="Arial"/>
          <w:sz w:val="15"/>
          <w:szCs w:val="15"/>
          <w:b w:val="1"/>
          <w:bCs w:val="1"/>
          <w:color w:val="auto"/>
        </w:rPr>
        <w:t xml:space="preserve"> </w:t>
      </w:r>
      <w:r>
        <w:rPr>
          <w:rFonts w:ascii="Arial" w:cs="Arial" w:eastAsia="Arial" w:hAnsi="Arial"/>
          <w:sz w:val="15"/>
          <w:szCs w:val="15"/>
          <w:color w:val="auto"/>
        </w:rPr>
        <w:t>number that was furnished to them (either on the Notice or, if you received a paper copy of the proxy materials, the proxy card or voting instruction form you received) to log on to the meeting will be able to submit questions during the meeting, as time permits. If you wish to submit a question during the Annual Meeting, log on to the virtual meeting website using the 16-digit control number, type your question into the “Ask a Question” field, and click “Submit.” Questions and answers may be arranged by topic and substantially similar questions may be answered once.</w:t>
      </w:r>
    </w:p>
    <w:p>
      <w:pPr>
        <w:spacing w:after="0" w:line="126" w:lineRule="exact"/>
        <w:rPr>
          <w:sz w:val="20"/>
          <w:szCs w:val="20"/>
          <w:color w:val="auto"/>
        </w:rPr>
      </w:pPr>
    </w:p>
    <w:p>
      <w:pPr>
        <w:ind w:right="1420"/>
        <w:spacing w:after="0" w:line="236" w:lineRule="auto"/>
        <w:rPr>
          <w:sz w:val="20"/>
          <w:szCs w:val="20"/>
          <w:color w:val="auto"/>
        </w:rPr>
      </w:pPr>
      <w:r>
        <w:rPr>
          <w:rFonts w:ascii="Arial" w:cs="Arial" w:eastAsia="Arial" w:hAnsi="Arial"/>
          <w:sz w:val="15"/>
          <w:szCs w:val="15"/>
          <w:b w:val="1"/>
          <w:bCs w:val="1"/>
          <w:color w:val="auto"/>
        </w:rPr>
        <w:t xml:space="preserve">In person </w:t>
      </w:r>
      <w:r>
        <w:rPr>
          <w:rFonts w:ascii="Arial" w:cs="Arial" w:eastAsia="Arial" w:hAnsi="Arial"/>
          <w:sz w:val="15"/>
          <w:szCs w:val="15"/>
          <w:color w:val="auto"/>
        </w:rPr>
        <w:t>(if there is in-person attendance option). If</w:t>
      </w:r>
      <w:r>
        <w:rPr>
          <w:rFonts w:ascii="Arial" w:cs="Arial" w:eastAsia="Arial" w:hAnsi="Arial"/>
          <w:sz w:val="15"/>
          <w:szCs w:val="15"/>
          <w:b w:val="1"/>
          <w:bCs w:val="1"/>
          <w:color w:val="auto"/>
        </w:rPr>
        <w:t xml:space="preserve"> </w:t>
      </w:r>
      <w:r>
        <w:rPr>
          <w:rFonts w:ascii="Arial" w:cs="Arial" w:eastAsia="Arial" w:hAnsi="Arial"/>
          <w:sz w:val="15"/>
          <w:szCs w:val="15"/>
          <w:color w:val="auto"/>
        </w:rPr>
        <w:t>shareholders have the option to attend the Annual Meeting in person, attendees of the meeting will be given an opportunity to ask questions during a designated question-and-answer period, as time permits.</w:t>
      </w:r>
    </w:p>
    <w:p>
      <w:pPr>
        <w:spacing w:after="0" w:line="441" w:lineRule="exact"/>
        <w:rPr>
          <w:sz w:val="20"/>
          <w:szCs w:val="20"/>
          <w:color w:val="auto"/>
        </w:rPr>
      </w:pPr>
    </w:p>
    <w:p>
      <w:pPr>
        <w:sectPr>
          <w:pgSz w:w="11900" w:h="16838" w:orient="portrait"/>
          <w:cols w:equalWidth="0" w:num="2">
            <w:col w:w="5380" w:space="460"/>
            <w:col w:w="5400"/>
          </w:cols>
          <w:pgMar w:left="320" w:top="405" w:right="339" w:bottom="1440" w:gutter="0" w:footer="0" w:header="0"/>
          <w:type w:val="continuous"/>
        </w:sectPr>
      </w:pP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00" w:type="dxa"/>
            <w:vAlign w:val="bottom"/>
          </w:tcPr>
          <w:p>
            <w:pPr>
              <w:ind w:left="22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40" w:type="dxa"/>
            <w:vAlign w:val="bottom"/>
          </w:tcPr>
          <w:p>
            <w:pPr>
              <w:jc w:val="right"/>
              <w:ind w:right="14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3</w:t>
            </w:r>
          </w:p>
        </w:tc>
      </w:tr>
      <w:tr>
        <w:trPr>
          <w:trHeight w:val="258"/>
        </w:trPr>
        <w:tc>
          <w:tcPr>
            <w:tcW w:w="8400" w:type="dxa"/>
            <w:vAlign w:val="bottom"/>
            <w:tcBorders>
              <w:bottom w:val="single" w:sz="8" w:color="C0C0C0"/>
            </w:tcBorders>
          </w:tcPr>
          <w:p>
            <w:pPr>
              <w:spacing w:after="0"/>
              <w:rPr>
                <w:sz w:val="22"/>
                <w:szCs w:val="22"/>
                <w:color w:val="auto"/>
              </w:rPr>
            </w:pPr>
          </w:p>
        </w:tc>
        <w:tc>
          <w:tcPr>
            <w:tcW w:w="28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14" w:name="page15"/>
    <w:bookmarkEnd w:id="14"/>
    <w:p>
      <w:pPr>
        <w:ind w:left="440"/>
        <w:spacing w:after="0"/>
        <w:rPr>
          <w:sz w:val="20"/>
          <w:szCs w:val="20"/>
          <w:color w:val="auto"/>
        </w:rPr>
      </w:pPr>
      <w:r>
        <w:rPr>
          <w:rFonts w:ascii="Arial" w:cs="Arial" w:eastAsia="Arial" w:hAnsi="Arial"/>
          <w:sz w:val="16"/>
          <w:szCs w:val="16"/>
          <w:b w:val="1"/>
          <w:bCs w:val="1"/>
          <w:color w:val="205BA8"/>
        </w:rPr>
        <w:t xml:space="preserve">USERS' GUIDE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C44E5E"/>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14605</wp:posOffset>
            </wp:positionV>
            <wp:extent cx="68580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9620"/>
          </w:cols>
          <w:pgMar w:left="1180" w:top="405" w:right="109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28"/>
          <w:szCs w:val="28"/>
          <w:b w:val="1"/>
          <w:bCs w:val="1"/>
          <w:color w:val="C44E5E"/>
        </w:rPr>
        <w:t>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35560</wp:posOffset>
            </wp:positionV>
            <wp:extent cx="5486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ectPr>
          <w:pgSz w:w="11900" w:h="16838" w:orient="portrait"/>
          <w:cols w:equalWidth="0" w:num="1">
            <w:col w:w="9620"/>
          </w:cols>
          <w:pgMar w:left="1180" w:top="405" w:right="1099" w:bottom="1440" w:gutter="0" w:footer="0" w:header="0"/>
          <w:type w:val="continuous"/>
        </w:sectPr>
      </w:pPr>
    </w:p>
    <w:p>
      <w:pPr>
        <w:spacing w:after="0" w:line="208" w:lineRule="exact"/>
        <w:rPr>
          <w:sz w:val="20"/>
          <w:szCs w:val="20"/>
          <w:color w:val="auto"/>
        </w:rPr>
      </w:pPr>
    </w:p>
    <w:p>
      <w:pPr>
        <w:ind w:left="440" w:right="60"/>
        <w:spacing w:after="0" w:line="275" w:lineRule="auto"/>
        <w:rPr>
          <w:sz w:val="20"/>
          <w:szCs w:val="20"/>
          <w:color w:val="auto"/>
        </w:rPr>
      </w:pPr>
      <w:r>
        <w:rPr>
          <w:rFonts w:ascii="Arial" w:cs="Arial" w:eastAsia="Arial" w:hAnsi="Arial"/>
          <w:sz w:val="17"/>
          <w:szCs w:val="17"/>
          <w:b w:val="1"/>
          <w:bCs w:val="1"/>
          <w:color w:val="205BA8"/>
        </w:rPr>
        <w:t>Why did I receive a notice in the mail regarding the Internet availability of proxy materials instead of a paper copy of the proxy materials?</w:t>
      </w:r>
    </w:p>
    <w:p>
      <w:pPr>
        <w:spacing w:after="0" w:line="117" w:lineRule="exact"/>
        <w:rPr>
          <w:sz w:val="20"/>
          <w:szCs w:val="20"/>
          <w:color w:val="auto"/>
        </w:rPr>
      </w:pPr>
    </w:p>
    <w:p>
      <w:pPr>
        <w:ind w:left="440"/>
        <w:spacing w:after="0" w:line="227" w:lineRule="auto"/>
        <w:rPr>
          <w:sz w:val="20"/>
          <w:szCs w:val="20"/>
          <w:color w:val="auto"/>
        </w:rPr>
      </w:pPr>
      <w:r>
        <w:rPr>
          <w:rFonts w:ascii="Arial" w:cs="Arial" w:eastAsia="Arial" w:hAnsi="Arial"/>
          <w:sz w:val="15"/>
          <w:szCs w:val="15"/>
          <w:color w:val="auto"/>
        </w:rPr>
        <w:t>The “Notice and Access” rules of the SEC permit us to furnish proxy materials, including this proxy statement and our Annual Report on Form 10-K for the fiscal year ended December 31, 2020 filed with the SEC on February 8, 2021 (the “2020 Annual Report”), to our shareholders by providing access to such documents on the Internet instead of mailing printed copies. Most shareholders received the Notice and will not receive printed copies of the proxy materials unless they request them. This method reduces the environmental impact of the Annual Meeting. The Notice will be mailed beginning on or about April 23, 2021. The Notice includes instructions on how you may access and review all of our proxy materials and the 2020 Annual Report via the Internet. The Notice also includes instructions on how you may vote your shares. If you would like to receive a paper or electronic copy of our proxy materials, you should follow the instructions in the Notice for requesting such materials. Any request to receive proxy materials by mail or e-mail will remain in effect until you revoke it.</w:t>
      </w:r>
    </w:p>
    <w:p>
      <w:pPr>
        <w:spacing w:after="0" w:line="121" w:lineRule="exact"/>
        <w:rPr>
          <w:sz w:val="20"/>
          <w:szCs w:val="20"/>
          <w:color w:val="auto"/>
        </w:rPr>
      </w:pPr>
    </w:p>
    <w:p>
      <w:pPr>
        <w:ind w:left="440" w:right="800"/>
        <w:spacing w:after="0" w:line="271" w:lineRule="auto"/>
        <w:rPr>
          <w:sz w:val="20"/>
          <w:szCs w:val="20"/>
          <w:color w:val="auto"/>
        </w:rPr>
      </w:pPr>
      <w:r>
        <w:rPr>
          <w:rFonts w:ascii="Arial" w:cs="Arial" w:eastAsia="Arial" w:hAnsi="Arial"/>
          <w:sz w:val="18"/>
          <w:szCs w:val="18"/>
          <w:b w:val="1"/>
          <w:bCs w:val="1"/>
          <w:color w:val="205BA8"/>
        </w:rPr>
        <w:t>Can I vote my shares by filling out and returning the Notice?</w:t>
      </w:r>
    </w:p>
    <w:p>
      <w:pPr>
        <w:spacing w:after="0" w:line="119" w:lineRule="exact"/>
        <w:rPr>
          <w:sz w:val="20"/>
          <w:szCs w:val="20"/>
          <w:color w:val="auto"/>
        </w:rPr>
      </w:pPr>
    </w:p>
    <w:p>
      <w:pPr>
        <w:ind w:left="440" w:right="100"/>
        <w:spacing w:after="0" w:line="231" w:lineRule="auto"/>
        <w:rPr>
          <w:sz w:val="20"/>
          <w:szCs w:val="20"/>
          <w:color w:val="auto"/>
        </w:rPr>
      </w:pPr>
      <w:r>
        <w:rPr>
          <w:rFonts w:ascii="Arial" w:cs="Arial" w:eastAsia="Arial" w:hAnsi="Arial"/>
          <w:sz w:val="15"/>
          <w:szCs w:val="15"/>
          <w:color w:val="auto"/>
        </w:rPr>
        <w:t>No. The Notice identifies the items to be voted on at the Annual Meeting, but you cannot vote by marking the Notice and returning it. The Notice provides instructions on how to vote by Internet, by requesting and returning a paper proxy card, or by voting at the meeting.</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205BA8"/>
        </w:rPr>
        <w:t>Why did I receive the Notice?</w:t>
      </w:r>
    </w:p>
    <w:p>
      <w:pPr>
        <w:spacing w:after="0" w:line="177" w:lineRule="exact"/>
        <w:rPr>
          <w:sz w:val="20"/>
          <w:szCs w:val="20"/>
          <w:color w:val="auto"/>
        </w:rPr>
      </w:pPr>
    </w:p>
    <w:p>
      <w:pPr>
        <w:ind w:left="440" w:right="20"/>
        <w:spacing w:after="0" w:line="230" w:lineRule="auto"/>
        <w:rPr>
          <w:sz w:val="20"/>
          <w:szCs w:val="20"/>
          <w:color w:val="auto"/>
        </w:rPr>
      </w:pPr>
      <w:r>
        <w:rPr>
          <w:rFonts w:ascii="Arial" w:cs="Arial" w:eastAsia="Arial" w:hAnsi="Arial"/>
          <w:sz w:val="15"/>
          <w:szCs w:val="15"/>
          <w:color w:val="auto"/>
        </w:rPr>
        <w:t>We sent you the Notice regarding this proxy statement because Regeneron’s board of directors is asking (technically called soliciting) holders of common stock and Class A stock to provide proxies to be voted at our 2021 Annual Meeting of Shareholders or at any adjournment(s) or postponement(s) of the meeting.</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05BA8"/>
        </w:rPr>
        <w:t>How are proxies voted?</w:t>
      </w:r>
    </w:p>
    <w:p>
      <w:pPr>
        <w:spacing w:after="0" w:line="177" w:lineRule="exact"/>
        <w:rPr>
          <w:sz w:val="20"/>
          <w:szCs w:val="20"/>
          <w:color w:val="auto"/>
        </w:rPr>
      </w:pPr>
    </w:p>
    <w:p>
      <w:pPr>
        <w:ind w:right="540"/>
        <w:spacing w:after="0"/>
        <w:rPr>
          <w:sz w:val="20"/>
          <w:szCs w:val="20"/>
          <w:color w:val="auto"/>
        </w:rPr>
      </w:pPr>
      <w:r>
        <w:rPr>
          <w:rFonts w:ascii="Arial" w:cs="Arial" w:eastAsia="Arial" w:hAnsi="Arial"/>
          <w:sz w:val="15"/>
          <w:szCs w:val="15"/>
          <w:color w:val="auto"/>
        </w:rPr>
        <w:t>If you vote by proxy in time for it to be voted at the Annual Meeting, one of the individuals named as your proxy will vote your shares as you have directed. If you submit a proxy, but no indication is given as to how to vote your shares as to a proposal, your shares will be voted in the manner recommended by the board of directors. The board of directors knows of no matter, other than those indicated above under “What is on the agenda for the meeting?”, to be presented at the Annual Meeting. If any other matter properly comes before the Annual Meeting, the persons named and designated as proxies will vote your shares in their discretion.</w:t>
      </w:r>
    </w:p>
    <w:p>
      <w:pPr>
        <w:spacing w:after="0" w:line="189" w:lineRule="exact"/>
        <w:rPr>
          <w:sz w:val="20"/>
          <w:szCs w:val="20"/>
          <w:color w:val="auto"/>
        </w:rPr>
      </w:pPr>
    </w:p>
    <w:p>
      <w:pPr>
        <w:ind w:right="660"/>
        <w:spacing w:after="0" w:line="301" w:lineRule="auto"/>
        <w:rPr>
          <w:sz w:val="20"/>
          <w:szCs w:val="20"/>
          <w:color w:val="auto"/>
        </w:rPr>
      </w:pPr>
      <w:r>
        <w:rPr>
          <w:rFonts w:ascii="Arial" w:cs="Arial" w:eastAsia="Arial" w:hAnsi="Arial"/>
          <w:sz w:val="17"/>
          <w:szCs w:val="17"/>
          <w:b w:val="1"/>
          <w:bCs w:val="1"/>
          <w:color w:val="205BA8"/>
        </w:rPr>
        <w:t>Why didn’t I receive a notice in the mail about the Internet availability of the proxy materials?</w:t>
      </w:r>
    </w:p>
    <w:p>
      <w:pPr>
        <w:spacing w:after="0" w:line="96" w:lineRule="exact"/>
        <w:rPr>
          <w:sz w:val="20"/>
          <w:szCs w:val="20"/>
          <w:color w:val="auto"/>
        </w:rPr>
      </w:pPr>
    </w:p>
    <w:p>
      <w:pPr>
        <w:ind w:right="560"/>
        <w:spacing w:after="0" w:line="228" w:lineRule="auto"/>
        <w:rPr>
          <w:sz w:val="20"/>
          <w:szCs w:val="20"/>
          <w:color w:val="auto"/>
        </w:rPr>
      </w:pPr>
      <w:r>
        <w:rPr>
          <w:rFonts w:ascii="Arial" w:cs="Arial" w:eastAsia="Arial" w:hAnsi="Arial"/>
          <w:sz w:val="15"/>
          <w:szCs w:val="15"/>
          <w:color w:val="auto"/>
        </w:rPr>
        <w:t>Shareholders who previously elected to receive proxy materials by e-mail will not receive a notice in the mail about the Internet availability of the proxy materials. Instead, these shareholders should have received an e-mail with links to the proxy materials and the proxy voting website. Shareholders who have previously asked to receive paper copies of the proxy materials and shareholders who participate and hold shares of common stock in the Regeneron Pharmaceuticals, Inc. 401(k) Savings Plan or the Regeneron Ireland Share Participation Plan will receive paper copies of the proxy materials.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05BA8"/>
        </w:rPr>
        <w:t>What constitutes a quorum?</w:t>
      </w:r>
    </w:p>
    <w:p>
      <w:pPr>
        <w:spacing w:after="0" w:line="177" w:lineRule="exact"/>
        <w:rPr>
          <w:sz w:val="20"/>
          <w:szCs w:val="20"/>
          <w:color w:val="auto"/>
        </w:rPr>
      </w:pPr>
    </w:p>
    <w:p>
      <w:pPr>
        <w:ind w:right="540"/>
        <w:spacing w:after="0" w:line="228" w:lineRule="auto"/>
        <w:rPr>
          <w:sz w:val="20"/>
          <w:szCs w:val="20"/>
          <w:color w:val="auto"/>
        </w:rPr>
      </w:pPr>
      <w:r>
        <w:rPr>
          <w:rFonts w:ascii="Arial" w:cs="Arial" w:eastAsia="Arial" w:hAnsi="Arial"/>
          <w:sz w:val="15"/>
          <w:szCs w:val="15"/>
          <w:color w:val="auto"/>
        </w:rPr>
        <w:t>The presence at the Annual Meeting, in person or by proxy, of the holders as of the record date of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w:t>
      </w:r>
    </w:p>
    <w:p>
      <w:pPr>
        <w:spacing w:after="0" w:line="122" w:lineRule="exact"/>
        <w:rPr>
          <w:sz w:val="20"/>
          <w:szCs w:val="20"/>
          <w:color w:val="auto"/>
        </w:rPr>
      </w:pPr>
    </w:p>
    <w:p>
      <w:pPr>
        <w:sectPr>
          <w:pgSz w:w="11900" w:h="16838" w:orient="portrait"/>
          <w:cols w:equalWidth="0" w:num="2">
            <w:col w:w="4540" w:space="440"/>
            <w:col w:w="4640"/>
          </w:cols>
          <w:pgMar w:left="1180" w:top="405" w:right="1099" w:bottom="1440" w:gutter="0" w:footer="0" w:header="0"/>
          <w:type w:val="continuous"/>
        </w:sectPr>
      </w:pPr>
    </w:p>
    <w:p>
      <w:pPr>
        <w:spacing w:after="0"/>
        <w:tabs>
          <w:tab w:leader="none" w:pos="3820" w:val="left"/>
        </w:tabs>
        <w:rPr>
          <w:sz w:val="20"/>
          <w:szCs w:val="20"/>
          <w:color w:val="auto"/>
        </w:rPr>
      </w:pPr>
      <w:r>
        <w:rPr>
          <w:rFonts w:ascii="Arial" w:cs="Arial" w:eastAsia="Arial" w:hAnsi="Arial"/>
          <w:sz w:val="14"/>
          <w:szCs w:val="14"/>
          <w:b w:val="1"/>
          <w:bCs w:val="1"/>
          <w:color w:val="00A5EC"/>
        </w:rPr>
        <w:t xml:space="preserve">4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161290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620"/>
          </w:cols>
          <w:pgMar w:left="1180" w:top="405" w:right="1099" w:bottom="1440" w:gutter="0" w:footer="0" w:header="0"/>
          <w:type w:val="continuous"/>
        </w:sectPr>
      </w:pPr>
    </w:p>
    <w:bookmarkStart w:id="15" w:name="page16"/>
    <w:bookmarkEnd w:id="15"/>
    <w:p>
      <w:pPr>
        <w:ind w:left="4920"/>
        <w:spacing w:after="0"/>
        <w:rPr>
          <w:sz w:val="20"/>
          <w:szCs w:val="20"/>
          <w:color w:val="auto"/>
        </w:rPr>
      </w:pPr>
      <w:r>
        <w:rPr>
          <w:rFonts w:ascii="Arial" w:cs="Arial" w:eastAsia="Arial" w:hAnsi="Arial"/>
          <w:sz w:val="16"/>
          <w:szCs w:val="16"/>
          <w:b w:val="1"/>
          <w:bCs w:val="1"/>
          <w:color w:val="205BA8"/>
        </w:rPr>
        <w:t xml:space="preserve">USERS' GUIDE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C44E5E"/>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00" cy="88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1300" w:right="20"/>
        <w:spacing w:after="0" w:line="271" w:lineRule="auto"/>
        <w:rPr>
          <w:sz w:val="20"/>
          <w:szCs w:val="20"/>
          <w:color w:val="auto"/>
        </w:rPr>
      </w:pPr>
      <w:r>
        <w:rPr>
          <w:rFonts w:ascii="Arial" w:cs="Arial" w:eastAsia="Arial" w:hAnsi="Arial"/>
          <w:sz w:val="18"/>
          <w:szCs w:val="18"/>
          <w:b w:val="1"/>
          <w:bCs w:val="1"/>
          <w:color w:val="205BA8"/>
        </w:rPr>
        <w:t>How can I vote my shares without attending the Annual Meeting?</w:t>
      </w:r>
    </w:p>
    <w:p>
      <w:pPr>
        <w:spacing w:after="0" w:line="119" w:lineRule="exact"/>
        <w:rPr>
          <w:sz w:val="20"/>
          <w:szCs w:val="20"/>
          <w:color w:val="auto"/>
        </w:rPr>
      </w:pPr>
    </w:p>
    <w:p>
      <w:pPr>
        <w:ind w:left="1300" w:right="20"/>
        <w:spacing w:after="0" w:line="233" w:lineRule="auto"/>
        <w:rPr>
          <w:sz w:val="20"/>
          <w:szCs w:val="20"/>
          <w:color w:val="auto"/>
        </w:rPr>
      </w:pPr>
      <w:r>
        <w:rPr>
          <w:rFonts w:ascii="Arial" w:cs="Arial" w:eastAsia="Arial" w:hAnsi="Arial"/>
          <w:sz w:val="15"/>
          <w:szCs w:val="15"/>
          <w:color w:val="auto"/>
        </w:rPr>
        <w:t>We recommend that shareholders vote by proxy even if they plan to attend the Annual Meeting via the Internet or, if applicable, in person. If you are a shareholder of record, there are three ways to vote by proxy:</w:t>
      </w:r>
    </w:p>
    <w:p>
      <w:pPr>
        <w:spacing w:after="0" w:line="122" w:lineRule="exact"/>
        <w:rPr>
          <w:sz w:val="20"/>
          <w:szCs w:val="20"/>
          <w:color w:val="auto"/>
        </w:rPr>
      </w:pPr>
    </w:p>
    <w:p>
      <w:pPr>
        <w:ind w:left="1300" w:right="80"/>
        <w:spacing w:after="0" w:line="234" w:lineRule="auto"/>
        <w:rPr>
          <w:sz w:val="20"/>
          <w:szCs w:val="20"/>
          <w:color w:val="auto"/>
        </w:rPr>
      </w:pPr>
      <w:r>
        <w:rPr>
          <w:rFonts w:ascii="Arial" w:cs="Arial" w:eastAsia="Arial" w:hAnsi="Arial"/>
          <w:sz w:val="15"/>
          <w:szCs w:val="15"/>
          <w:b w:val="1"/>
          <w:bCs w:val="1"/>
          <w:color w:val="auto"/>
        </w:rPr>
        <w:t xml:space="preserve">Via the Internet. </w:t>
      </w:r>
      <w:r>
        <w:rPr>
          <w:rFonts w:ascii="Arial" w:cs="Arial" w:eastAsia="Arial" w:hAnsi="Arial"/>
          <w:sz w:val="15"/>
          <w:szCs w:val="15"/>
          <w:color w:val="auto"/>
        </w:rPr>
        <w:t>You may vote by proxy via the Internet by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visiting </w:t>
      </w:r>
      <w:r>
        <w:rPr>
          <w:rFonts w:ascii="Arial" w:cs="Arial" w:eastAsia="Arial" w:hAnsi="Arial"/>
          <w:sz w:val="15"/>
          <w:szCs w:val="15"/>
          <w:b w:val="1"/>
          <w:bCs w:val="1"/>
          <w:color w:val="auto"/>
        </w:rPr>
        <w:t>www.proxyvote.com</w:t>
      </w:r>
      <w:r>
        <w:rPr>
          <w:rFonts w:ascii="Arial" w:cs="Arial" w:eastAsia="Arial" w:hAnsi="Arial"/>
          <w:sz w:val="15"/>
          <w:szCs w:val="15"/>
          <w:color w:val="auto"/>
        </w:rPr>
        <w:t>. You will need the 16-digit control number included on the Notice or, if you received a paper copy of the proxy materials, the proxy card or voting instruction form you received. You may vote via the Internet through 11:59 p.m., Eastern Time, on June 10, 2021.</w:t>
      </w:r>
    </w:p>
    <w:p>
      <w:pPr>
        <w:spacing w:after="0" w:line="125" w:lineRule="exact"/>
        <w:rPr>
          <w:sz w:val="20"/>
          <w:szCs w:val="20"/>
          <w:color w:val="auto"/>
        </w:rPr>
      </w:pPr>
    </w:p>
    <w:p>
      <w:pPr>
        <w:ind w:left="1300" w:right="220"/>
        <w:spacing w:after="0" w:line="234" w:lineRule="auto"/>
        <w:rPr>
          <w:sz w:val="20"/>
          <w:szCs w:val="20"/>
          <w:color w:val="auto"/>
        </w:rPr>
      </w:pPr>
      <w:r>
        <w:rPr>
          <w:rFonts w:ascii="Arial" w:cs="Arial" w:eastAsia="Arial" w:hAnsi="Arial"/>
          <w:sz w:val="15"/>
          <w:szCs w:val="15"/>
          <w:b w:val="1"/>
          <w:bCs w:val="1"/>
          <w:color w:val="auto"/>
        </w:rPr>
        <w:t xml:space="preserve">Via telephone. </w:t>
      </w:r>
      <w:r>
        <w:rPr>
          <w:rFonts w:ascii="Arial" w:cs="Arial" w:eastAsia="Arial" w:hAnsi="Arial"/>
          <w:sz w:val="15"/>
          <w:szCs w:val="15"/>
          <w:color w:val="auto"/>
        </w:rPr>
        <w:t>You may vote by proxy via telephone by</w:t>
      </w:r>
      <w:r>
        <w:rPr>
          <w:rFonts w:ascii="Arial" w:cs="Arial" w:eastAsia="Arial" w:hAnsi="Arial"/>
          <w:sz w:val="15"/>
          <w:szCs w:val="15"/>
          <w:b w:val="1"/>
          <w:bCs w:val="1"/>
          <w:color w:val="auto"/>
        </w:rPr>
        <w:t xml:space="preserve"> </w:t>
      </w:r>
      <w:r>
        <w:rPr>
          <w:rFonts w:ascii="Arial" w:cs="Arial" w:eastAsia="Arial" w:hAnsi="Arial"/>
          <w:sz w:val="15"/>
          <w:szCs w:val="15"/>
          <w:color w:val="auto"/>
        </w:rPr>
        <w:t>calling the toll-free number found on the proxy card or the voting instruction form. You will need the 16-digit control number included on the proxy card or voting instruction form. You may vote via telephone through 11:59 p.m., Eastern Time, on June 10, 2021.</w:t>
      </w:r>
    </w:p>
    <w:p>
      <w:pPr>
        <w:spacing w:after="0" w:line="125" w:lineRule="exact"/>
        <w:rPr>
          <w:sz w:val="20"/>
          <w:szCs w:val="20"/>
          <w:color w:val="auto"/>
        </w:rPr>
      </w:pPr>
    </w:p>
    <w:p>
      <w:pPr>
        <w:ind w:left="1300" w:right="200"/>
        <w:spacing w:after="0" w:line="239" w:lineRule="auto"/>
        <w:rPr>
          <w:sz w:val="20"/>
          <w:szCs w:val="20"/>
          <w:color w:val="auto"/>
        </w:rPr>
      </w:pPr>
      <w:r>
        <w:rPr>
          <w:rFonts w:ascii="Arial" w:cs="Arial" w:eastAsia="Arial" w:hAnsi="Arial"/>
          <w:sz w:val="15"/>
          <w:szCs w:val="15"/>
          <w:b w:val="1"/>
          <w:bCs w:val="1"/>
          <w:color w:val="auto"/>
        </w:rPr>
        <w:t xml:space="preserve">By mail. </w:t>
      </w:r>
      <w:r>
        <w:rPr>
          <w:rFonts w:ascii="Arial" w:cs="Arial" w:eastAsia="Arial" w:hAnsi="Arial"/>
          <w:sz w:val="15"/>
          <w:szCs w:val="15"/>
          <w:color w:val="auto"/>
        </w:rPr>
        <w:t>If you received printed copies of the proxy</w:t>
      </w:r>
      <w:r>
        <w:rPr>
          <w:rFonts w:ascii="Arial" w:cs="Arial" w:eastAsia="Arial" w:hAnsi="Arial"/>
          <w:sz w:val="15"/>
          <w:szCs w:val="15"/>
          <w:b w:val="1"/>
          <w:bCs w:val="1"/>
          <w:color w:val="auto"/>
        </w:rPr>
        <w:t xml:space="preserve"> </w:t>
      </w:r>
      <w:r>
        <w:rPr>
          <w:rFonts w:ascii="Arial" w:cs="Arial" w:eastAsia="Arial" w:hAnsi="Arial"/>
          <w:sz w:val="15"/>
          <w:szCs w:val="15"/>
          <w:color w:val="auto"/>
        </w:rPr>
        <w:t>materials, you may vote by proxy by completing the proxy card or voting instruction form and returning it in the envelope provided.</w:t>
      </w:r>
    </w:p>
    <w:p>
      <w:pPr>
        <w:spacing w:after="0" w:line="122" w:lineRule="exact"/>
        <w:rPr>
          <w:sz w:val="20"/>
          <w:szCs w:val="20"/>
          <w:color w:val="auto"/>
        </w:rPr>
      </w:pPr>
    </w:p>
    <w:p>
      <w:pPr>
        <w:ind w:left="1300" w:right="680"/>
        <w:spacing w:after="0" w:line="271" w:lineRule="auto"/>
        <w:rPr>
          <w:sz w:val="20"/>
          <w:szCs w:val="20"/>
          <w:color w:val="auto"/>
        </w:rPr>
      </w:pPr>
      <w:r>
        <w:rPr>
          <w:rFonts w:ascii="Arial" w:cs="Arial" w:eastAsia="Arial" w:hAnsi="Arial"/>
          <w:sz w:val="18"/>
          <w:szCs w:val="18"/>
          <w:b w:val="1"/>
          <w:bCs w:val="1"/>
          <w:color w:val="205BA8"/>
        </w:rPr>
        <w:t>How can I attend and vote at the Annual Meeting?</w:t>
      </w:r>
    </w:p>
    <w:p>
      <w:pPr>
        <w:spacing w:after="0" w:line="101" w:lineRule="exact"/>
        <w:rPr>
          <w:sz w:val="20"/>
          <w:szCs w:val="20"/>
          <w:color w:val="auto"/>
        </w:rPr>
      </w:pPr>
    </w:p>
    <w:p>
      <w:pPr>
        <w:ind w:left="1300"/>
        <w:spacing w:after="0"/>
        <w:rPr>
          <w:sz w:val="20"/>
          <w:szCs w:val="20"/>
          <w:color w:val="auto"/>
        </w:rPr>
      </w:pPr>
      <w:r>
        <w:rPr>
          <w:rFonts w:ascii="Arial" w:cs="Arial" w:eastAsia="Arial" w:hAnsi="Arial"/>
          <w:sz w:val="15"/>
          <w:szCs w:val="15"/>
          <w:b w:val="1"/>
          <w:bCs w:val="1"/>
          <w:color w:val="auto"/>
        </w:rPr>
        <w:t xml:space="preserve">Via the Internet. </w:t>
      </w:r>
      <w:r>
        <w:rPr>
          <w:rFonts w:ascii="Arial" w:cs="Arial" w:eastAsia="Arial" w:hAnsi="Arial"/>
          <w:sz w:val="15"/>
          <w:szCs w:val="15"/>
          <w:color w:val="auto"/>
        </w:rPr>
        <w:t>You may attend the Annual Meeting via the</w:t>
      </w:r>
    </w:p>
    <w:p>
      <w:pPr>
        <w:ind w:left="1300"/>
        <w:spacing w:after="0" w:line="235" w:lineRule="auto"/>
        <w:rPr>
          <w:sz w:val="20"/>
          <w:szCs w:val="20"/>
          <w:color w:val="auto"/>
        </w:rPr>
      </w:pPr>
      <w:r>
        <w:rPr>
          <w:rFonts w:ascii="Arial" w:cs="Arial" w:eastAsia="Arial" w:hAnsi="Arial"/>
          <w:sz w:val="15"/>
          <w:szCs w:val="15"/>
          <w:color w:val="auto"/>
        </w:rPr>
        <w:t>Internet at</w:t>
      </w:r>
    </w:p>
    <w:p>
      <w:pPr>
        <w:ind w:left="1300"/>
        <w:spacing w:after="0" w:line="226" w:lineRule="auto"/>
        <w:rPr>
          <w:sz w:val="20"/>
          <w:szCs w:val="20"/>
          <w:color w:val="auto"/>
        </w:rPr>
      </w:pPr>
      <w:r>
        <w:rPr>
          <w:rFonts w:ascii="Arial" w:cs="Arial" w:eastAsia="Arial" w:hAnsi="Arial"/>
          <w:sz w:val="15"/>
          <w:szCs w:val="15"/>
          <w:b w:val="1"/>
          <w:bCs w:val="1"/>
          <w:color w:val="auto"/>
        </w:rPr>
        <w:t>www.virtualshareholdermeeting.com/REGN2021</w:t>
      </w:r>
      <w:r>
        <w:rPr>
          <w:rFonts w:ascii="Arial" w:cs="Arial" w:eastAsia="Arial" w:hAnsi="Arial"/>
          <w:sz w:val="15"/>
          <w:szCs w:val="15"/>
          <w:color w:val="auto"/>
        </w:rPr>
        <w:t>.</w:t>
      </w:r>
    </w:p>
    <w:p>
      <w:pPr>
        <w:ind w:left="1300"/>
        <w:spacing w:after="0" w:line="225" w:lineRule="auto"/>
        <w:rPr>
          <w:sz w:val="20"/>
          <w:szCs w:val="20"/>
          <w:color w:val="auto"/>
        </w:rPr>
      </w:pPr>
      <w:r>
        <w:rPr>
          <w:rFonts w:ascii="Arial" w:cs="Arial" w:eastAsia="Arial" w:hAnsi="Arial"/>
          <w:sz w:val="15"/>
          <w:szCs w:val="15"/>
          <w:color w:val="auto"/>
        </w:rPr>
        <w:t>Shareholders who use the 16-digit control number that was</w:t>
      </w:r>
    </w:p>
    <w:p>
      <w:pPr>
        <w:ind w:left="1300"/>
        <w:spacing w:after="0" w:line="226" w:lineRule="auto"/>
        <w:rPr>
          <w:sz w:val="20"/>
          <w:szCs w:val="20"/>
          <w:color w:val="auto"/>
        </w:rPr>
      </w:pPr>
      <w:r>
        <w:rPr>
          <w:rFonts w:ascii="Arial" w:cs="Arial" w:eastAsia="Arial" w:hAnsi="Arial"/>
          <w:sz w:val="15"/>
          <w:szCs w:val="15"/>
          <w:color w:val="auto"/>
        </w:rPr>
        <w:t>furnished to them (either on the Notice or, if you received a</w:t>
      </w:r>
    </w:p>
    <w:p>
      <w:pPr>
        <w:ind w:left="1300"/>
        <w:spacing w:after="0" w:line="225" w:lineRule="auto"/>
        <w:rPr>
          <w:sz w:val="20"/>
          <w:szCs w:val="20"/>
          <w:color w:val="auto"/>
        </w:rPr>
      </w:pPr>
      <w:r>
        <w:rPr>
          <w:rFonts w:ascii="Arial" w:cs="Arial" w:eastAsia="Arial" w:hAnsi="Arial"/>
          <w:sz w:val="15"/>
          <w:szCs w:val="15"/>
          <w:color w:val="auto"/>
        </w:rPr>
        <w:t>paper copy of the proxy materials, the proxy card or voting</w:t>
      </w:r>
    </w:p>
    <w:p>
      <w:pPr>
        <w:ind w:left="1300"/>
        <w:spacing w:after="0" w:line="225" w:lineRule="auto"/>
        <w:rPr>
          <w:sz w:val="20"/>
          <w:szCs w:val="20"/>
          <w:color w:val="auto"/>
        </w:rPr>
      </w:pPr>
      <w:r>
        <w:rPr>
          <w:rFonts w:ascii="Arial" w:cs="Arial" w:eastAsia="Arial" w:hAnsi="Arial"/>
          <w:sz w:val="15"/>
          <w:szCs w:val="15"/>
          <w:color w:val="auto"/>
        </w:rPr>
        <w:t>instruction form you received) to log on to the meeting will</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be able to vote during the meeting.</w:t>
      </w:r>
    </w:p>
    <w:p>
      <w:pPr>
        <w:spacing w:after="0" w:line="134" w:lineRule="exact"/>
        <w:rPr>
          <w:sz w:val="20"/>
          <w:szCs w:val="20"/>
          <w:color w:val="auto"/>
        </w:rPr>
      </w:pPr>
    </w:p>
    <w:p>
      <w:pPr>
        <w:ind w:left="1300"/>
        <w:spacing w:after="0" w:line="229" w:lineRule="auto"/>
        <w:rPr>
          <w:sz w:val="20"/>
          <w:szCs w:val="20"/>
          <w:color w:val="auto"/>
        </w:rPr>
      </w:pPr>
      <w:r>
        <w:rPr>
          <w:rFonts w:ascii="Arial" w:cs="Arial" w:eastAsia="Arial" w:hAnsi="Arial"/>
          <w:sz w:val="15"/>
          <w:szCs w:val="15"/>
          <w:b w:val="1"/>
          <w:bCs w:val="1"/>
          <w:color w:val="auto"/>
        </w:rPr>
        <w:t xml:space="preserve">In person </w:t>
      </w:r>
      <w:r>
        <w:rPr>
          <w:rFonts w:ascii="Arial" w:cs="Arial" w:eastAsia="Arial" w:hAnsi="Arial"/>
          <w:sz w:val="15"/>
          <w:szCs w:val="15"/>
          <w:color w:val="auto"/>
        </w:rPr>
        <w:t>(if there is in-person attendance option). If you</w:t>
      </w:r>
      <w:r>
        <w:rPr>
          <w:rFonts w:ascii="Arial" w:cs="Arial" w:eastAsia="Arial" w:hAnsi="Arial"/>
          <w:sz w:val="15"/>
          <w:szCs w:val="15"/>
          <w:b w:val="1"/>
          <w:bCs w:val="1"/>
          <w:color w:val="auto"/>
        </w:rPr>
        <w:t xml:space="preserve"> </w:t>
      </w:r>
      <w:r>
        <w:rPr>
          <w:rFonts w:ascii="Arial" w:cs="Arial" w:eastAsia="Arial" w:hAnsi="Arial"/>
          <w:sz w:val="15"/>
          <w:szCs w:val="15"/>
          <w:color w:val="auto"/>
        </w:rPr>
        <w:t>are a shareholder of record and shareholders have the option to attend the Annual Meeting in person, you may vote in person at the Annual Meeting. The Company will give you a ballot when you arrive. If you are a beneficial owner of shares held in the name of your bank, broker, or other nominee, or in “street name,” to vote in person at the Annual Meeting you must obtain from your nominee and bring to the meeting a “legal proxy” authorizing you to vote such shares held as of the record date. We recommend you vote by proxy even if you plan to attend the meeting. So long as you meet the applicable requirements, you can always change your vote at the meeting. Instructions on voting by proxy are included above. As also noted above, the Annual Meeting will be a virtual-only meeting unless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right="1320"/>
        <w:spacing w:after="0" w:line="233" w:lineRule="auto"/>
        <w:rPr>
          <w:sz w:val="20"/>
          <w:szCs w:val="20"/>
          <w:color w:val="auto"/>
        </w:rPr>
      </w:pPr>
      <w:r>
        <w:rPr>
          <w:rFonts w:ascii="Arial" w:cs="Arial" w:eastAsia="Arial" w:hAnsi="Arial"/>
          <w:sz w:val="15"/>
          <w:szCs w:val="15"/>
          <w:color w:val="auto"/>
        </w:rPr>
        <w:t xml:space="preserve">the government waiver permitting virtual-only meetings is no longer in effect. Please refer to our website at </w:t>
      </w:r>
      <w:r>
        <w:rPr>
          <w:rFonts w:ascii="Arial" w:cs="Arial" w:eastAsia="Arial" w:hAnsi="Arial"/>
          <w:sz w:val="15"/>
          <w:szCs w:val="15"/>
          <w:b w:val="1"/>
          <w:bCs w:val="1"/>
          <w:color w:val="auto"/>
        </w:rPr>
        <w:t xml:space="preserve">http://newsroom.regeneron.com </w:t>
      </w:r>
      <w:r>
        <w:rPr>
          <w:rFonts w:ascii="Arial" w:cs="Arial" w:eastAsia="Arial" w:hAnsi="Arial"/>
          <w:sz w:val="15"/>
          <w:szCs w:val="15"/>
          <w:color w:val="auto"/>
        </w:rPr>
        <w:t>for the most up-to-date</w:t>
      </w:r>
      <w:r>
        <w:rPr>
          <w:rFonts w:ascii="Arial" w:cs="Arial" w:eastAsia="Arial" w:hAnsi="Arial"/>
          <w:sz w:val="15"/>
          <w:szCs w:val="15"/>
          <w:b w:val="1"/>
          <w:bCs w:val="1"/>
          <w:color w:val="auto"/>
        </w:rPr>
        <w:t xml:space="preserve"> </w:t>
      </w:r>
      <w:r>
        <w:rPr>
          <w:rFonts w:ascii="Arial" w:cs="Arial" w:eastAsia="Arial" w:hAnsi="Arial"/>
          <w:sz w:val="15"/>
          <w:szCs w:val="15"/>
          <w:color w:val="auto"/>
        </w:rPr>
        <w:t>information.</w:t>
      </w:r>
    </w:p>
    <w:p>
      <w:pPr>
        <w:spacing w:after="0" w:line="121" w:lineRule="exact"/>
        <w:rPr>
          <w:sz w:val="20"/>
          <w:szCs w:val="20"/>
          <w:color w:val="auto"/>
        </w:rPr>
      </w:pPr>
    </w:p>
    <w:p>
      <w:pPr>
        <w:ind w:right="1540"/>
        <w:spacing w:after="0" w:line="253" w:lineRule="auto"/>
        <w:rPr>
          <w:sz w:val="20"/>
          <w:szCs w:val="20"/>
          <w:color w:val="auto"/>
        </w:rPr>
      </w:pPr>
      <w:r>
        <w:rPr>
          <w:rFonts w:ascii="Arial" w:cs="Arial" w:eastAsia="Arial" w:hAnsi="Arial"/>
          <w:sz w:val="18"/>
          <w:szCs w:val="18"/>
          <w:b w:val="1"/>
          <w:bCs w:val="1"/>
          <w:color w:val="205BA8"/>
        </w:rPr>
        <w:t>What if during the Annual Meeting I have technical difficulties or trouble accessing the virtual meeting website?</w:t>
      </w:r>
    </w:p>
    <w:p>
      <w:pPr>
        <w:spacing w:after="0" w:line="134" w:lineRule="exact"/>
        <w:rPr>
          <w:sz w:val="20"/>
          <w:szCs w:val="20"/>
          <w:color w:val="auto"/>
        </w:rPr>
      </w:pPr>
    </w:p>
    <w:p>
      <w:pPr>
        <w:ind w:right="1400"/>
        <w:spacing w:after="0" w:line="230" w:lineRule="auto"/>
        <w:rPr>
          <w:sz w:val="20"/>
          <w:szCs w:val="20"/>
          <w:color w:val="auto"/>
        </w:rPr>
      </w:pPr>
      <w:r>
        <w:rPr>
          <w:rFonts w:ascii="Arial" w:cs="Arial" w:eastAsia="Arial" w:hAnsi="Arial"/>
          <w:sz w:val="15"/>
          <w:szCs w:val="15"/>
          <w:color w:val="auto"/>
        </w:rPr>
        <w:t xml:space="preserve">We will have technicians ready to assist you with any technical difficulties you may have accessing the virtual meeting website. If you encounter any difficulties accessing the virtual meeting website during the meeting time, please call the technical support number that will be posted at </w:t>
      </w:r>
      <w:r>
        <w:rPr>
          <w:rFonts w:ascii="Arial" w:cs="Arial" w:eastAsia="Arial" w:hAnsi="Arial"/>
          <w:sz w:val="15"/>
          <w:szCs w:val="15"/>
          <w:b w:val="1"/>
          <w:bCs w:val="1"/>
          <w:color w:val="auto"/>
        </w:rPr>
        <w:t>www.virtualshareholdermeeting.com/REGN2021</w:t>
      </w:r>
      <w:r>
        <w:rPr>
          <w:rFonts w:ascii="Arial" w:cs="Arial" w:eastAsia="Arial" w:hAnsi="Arial"/>
          <w:sz w:val="15"/>
          <w:szCs w:val="15"/>
          <w:color w:val="auto"/>
        </w:rPr>
        <w:t>.</w:t>
      </w:r>
    </w:p>
    <w:p>
      <w:pPr>
        <w:spacing w:after="0" w:line="123" w:lineRule="exact"/>
        <w:rPr>
          <w:sz w:val="20"/>
          <w:szCs w:val="20"/>
          <w:color w:val="auto"/>
        </w:rPr>
      </w:pPr>
    </w:p>
    <w:p>
      <w:pPr>
        <w:ind w:right="1500"/>
        <w:spacing w:after="0" w:line="244" w:lineRule="auto"/>
        <w:rPr>
          <w:sz w:val="20"/>
          <w:szCs w:val="20"/>
          <w:color w:val="auto"/>
        </w:rPr>
      </w:pPr>
      <w:r>
        <w:rPr>
          <w:rFonts w:ascii="Arial" w:cs="Arial" w:eastAsia="Arial" w:hAnsi="Arial"/>
          <w:sz w:val="18"/>
          <w:szCs w:val="18"/>
          <w:b w:val="1"/>
          <w:bCs w:val="1"/>
          <w:color w:val="205BA8"/>
        </w:rPr>
        <w:t>If I am a Regeneron employee or former employee, how do I vote shares in the Company Stock Fund in my 401(k) account or in the Regeneron Ireland Share Participation Plan?</w:t>
      </w:r>
    </w:p>
    <w:p>
      <w:pPr>
        <w:spacing w:after="0" w:line="142" w:lineRule="exact"/>
        <w:rPr>
          <w:sz w:val="20"/>
          <w:szCs w:val="20"/>
          <w:color w:val="auto"/>
        </w:rPr>
      </w:pPr>
    </w:p>
    <w:p>
      <w:pPr>
        <w:ind w:right="1300"/>
        <w:spacing w:after="0" w:line="227" w:lineRule="auto"/>
        <w:rPr>
          <w:sz w:val="20"/>
          <w:szCs w:val="20"/>
          <w:color w:val="auto"/>
        </w:rPr>
      </w:pPr>
      <w:r>
        <w:rPr>
          <w:rFonts w:ascii="Arial" w:cs="Arial" w:eastAsia="Arial" w:hAnsi="Arial"/>
          <w:sz w:val="15"/>
          <w:szCs w:val="15"/>
          <w:color w:val="auto"/>
        </w:rPr>
        <w:t xml:space="preserve">If you participate and hold shares of common stock in the Regeneron Pharmaceuticals, Inc. 401(k) Savings Plan, you may provide voting instructions to Fidelity Management Trust Company, the plan’s trustee, (1) through the Internet at </w:t>
      </w:r>
      <w:r>
        <w:rPr>
          <w:rFonts w:ascii="Arial" w:cs="Arial" w:eastAsia="Arial" w:hAnsi="Arial"/>
          <w:sz w:val="15"/>
          <w:szCs w:val="15"/>
          <w:b w:val="1"/>
          <w:bCs w:val="1"/>
          <w:color w:val="auto"/>
        </w:rPr>
        <w:t xml:space="preserve">www.proxyvote.com </w:t>
      </w:r>
      <w:r>
        <w:rPr>
          <w:rFonts w:ascii="Arial" w:cs="Arial" w:eastAsia="Arial" w:hAnsi="Arial"/>
          <w:sz w:val="15"/>
          <w:szCs w:val="15"/>
          <w:color w:val="auto"/>
        </w:rPr>
        <w:t>by 11:59 p.m., Eastern Time, on June</w:t>
      </w:r>
      <w:r>
        <w:rPr>
          <w:rFonts w:ascii="Arial" w:cs="Arial" w:eastAsia="Arial" w:hAnsi="Arial"/>
          <w:sz w:val="15"/>
          <w:szCs w:val="15"/>
          <w:b w:val="1"/>
          <w:bCs w:val="1"/>
          <w:color w:val="auto"/>
        </w:rPr>
        <w:t xml:space="preserve"> </w:t>
      </w:r>
      <w:r>
        <w:rPr>
          <w:rFonts w:ascii="Arial" w:cs="Arial" w:eastAsia="Arial" w:hAnsi="Arial"/>
          <w:sz w:val="15"/>
          <w:szCs w:val="15"/>
          <w:color w:val="auto"/>
        </w:rPr>
        <w:t>8, 2021, (2) by calling 1-800-690-6903 by 11:59 p.m., Eastern Time, on June 8, 2021, or (3) by returning your completed proxy card by mail. The trustee will vote your shares in accordance with your instructions. If you do not provide timely voting instructions to the trustee, the trustee will vote your shares in the same proportion as the shares for which the trustee receives voting instructions from other participants in the plan.</w:t>
      </w:r>
    </w:p>
    <w:p>
      <w:pPr>
        <w:spacing w:after="0" w:line="147" w:lineRule="exact"/>
        <w:rPr>
          <w:sz w:val="20"/>
          <w:szCs w:val="20"/>
          <w:color w:val="auto"/>
        </w:rPr>
      </w:pPr>
    </w:p>
    <w:p>
      <w:pPr>
        <w:ind w:right="1400"/>
        <w:spacing w:after="0" w:line="228" w:lineRule="auto"/>
        <w:rPr>
          <w:sz w:val="20"/>
          <w:szCs w:val="20"/>
          <w:color w:val="auto"/>
        </w:rPr>
      </w:pPr>
      <w:r>
        <w:rPr>
          <w:rFonts w:ascii="Arial" w:cs="Arial" w:eastAsia="Arial" w:hAnsi="Arial"/>
          <w:sz w:val="15"/>
          <w:szCs w:val="15"/>
          <w:color w:val="auto"/>
        </w:rPr>
        <w:t>If you participate and hold shares of common stock in the Regeneron Ireland Share Participation Plan, you may provide voting instructions to Mercer Ireland Limited, who administers the Plan on behalf of Irish Pensions Trust Limited, the trustees of the Plan. You will receive a voting instruction form by mail sent directly to your home address, which you should complete, sign, and return to Mercer by mail using the enclosed pre-paid envelope or as an e-mail attachment in accordance with the instructions provided by Mercer.</w:t>
      </w:r>
    </w:p>
    <w:p>
      <w:pPr>
        <w:spacing w:after="0" w:line="1336" w:lineRule="exact"/>
        <w:rPr>
          <w:sz w:val="20"/>
          <w:szCs w:val="20"/>
          <w:color w:val="auto"/>
        </w:rPr>
      </w:pPr>
    </w:p>
    <w:p>
      <w:pPr>
        <w:sectPr>
          <w:pgSz w:w="11900" w:h="16838" w:orient="portrait"/>
          <w:cols w:equalWidth="0" w:num="2">
            <w:col w:w="5400" w:space="440"/>
            <w:col w:w="5400"/>
          </w:cols>
          <w:pgMar w:left="320" w:top="405" w:right="33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00" w:type="dxa"/>
            <w:vAlign w:val="bottom"/>
          </w:tcPr>
          <w:p>
            <w:pPr>
              <w:ind w:left="22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40" w:type="dxa"/>
            <w:vAlign w:val="bottom"/>
          </w:tcPr>
          <w:p>
            <w:pPr>
              <w:jc w:val="right"/>
              <w:ind w:right="14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5</w:t>
            </w:r>
          </w:p>
        </w:tc>
      </w:tr>
      <w:tr>
        <w:trPr>
          <w:trHeight w:val="258"/>
        </w:trPr>
        <w:tc>
          <w:tcPr>
            <w:tcW w:w="8400" w:type="dxa"/>
            <w:vAlign w:val="bottom"/>
            <w:tcBorders>
              <w:bottom w:val="single" w:sz="8" w:color="C0C0C0"/>
            </w:tcBorders>
          </w:tcPr>
          <w:p>
            <w:pPr>
              <w:spacing w:after="0"/>
              <w:rPr>
                <w:sz w:val="22"/>
                <w:szCs w:val="22"/>
                <w:color w:val="auto"/>
              </w:rPr>
            </w:pPr>
          </w:p>
        </w:tc>
        <w:tc>
          <w:tcPr>
            <w:tcW w:w="28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16" w:name="page17"/>
    <w:bookmarkEnd w:id="16"/>
    <w:p>
      <w:pPr>
        <w:ind w:left="440"/>
        <w:spacing w:after="0"/>
        <w:rPr>
          <w:sz w:val="20"/>
          <w:szCs w:val="20"/>
          <w:color w:val="auto"/>
        </w:rPr>
      </w:pPr>
      <w:r>
        <w:rPr>
          <w:rFonts w:ascii="Arial" w:cs="Arial" w:eastAsia="Arial" w:hAnsi="Arial"/>
          <w:sz w:val="16"/>
          <w:szCs w:val="16"/>
          <w:b w:val="1"/>
          <w:bCs w:val="1"/>
          <w:color w:val="205BA8"/>
        </w:rPr>
        <w:t xml:space="preserve">USERS' GUIDE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C44E5E"/>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14605</wp:posOffset>
            </wp:positionV>
            <wp:extent cx="68580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620"/>
          </w:cols>
          <w:pgMar w:left="1180" w:top="405" w:right="109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205BA8"/>
        </w:rPr>
        <w:t>Can I change my vote or revoke my proxy?</w:t>
      </w:r>
    </w:p>
    <w:p>
      <w:pPr>
        <w:spacing w:after="0" w:line="177" w:lineRule="exact"/>
        <w:rPr>
          <w:sz w:val="20"/>
          <w:szCs w:val="20"/>
          <w:color w:val="auto"/>
        </w:rPr>
      </w:pPr>
    </w:p>
    <w:p>
      <w:pPr>
        <w:ind w:left="440"/>
        <w:spacing w:after="0" w:line="226" w:lineRule="auto"/>
        <w:rPr>
          <w:sz w:val="20"/>
          <w:szCs w:val="20"/>
          <w:color w:val="auto"/>
        </w:rPr>
      </w:pPr>
      <w:r>
        <w:rPr>
          <w:rFonts w:ascii="Arial" w:cs="Arial" w:eastAsia="Arial" w:hAnsi="Arial"/>
          <w:sz w:val="15"/>
          <w:szCs w:val="15"/>
          <w:color w:val="auto"/>
        </w:rPr>
        <w:t>Yes. You may change your vote or revoke your proxy at any time before the proxy is exercised by voting again electronically through the Internet or by telephone, by mailing a new proxy card or voting instruction form, or by attending the Annual Meeting (via the Internet or, if shareholders have this option, in person) and voting. If you are a record holder, you may also revoke your proxy by filing with the Secretary of the Company, at or before the taking of the vote at the Annual Meeting, a written notice of revocation bearing a later date than the proxy you previously submitted. Attendance at the Annual Meeting will not have the effect of revoking a proxy unless you are a record holder and give written notice of revocation to the Secretary of the Company before the proxy is exercised or you vote at the Annual Meeting. If you hold your shares through a broker, bank, or other nominee in “street name,” you will need to contact them or follow the instructions in the voting instruction form used by the firm that holds your shares to revoke your proxy. Only your latest dated proxy we receive at or prior to the Annual Meeting will be counted.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05BA8"/>
        </w:rPr>
        <w:t>What are the board’s recommendations?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recommends that you vote:</w:t>
      </w:r>
    </w:p>
    <w:p>
      <w:pPr>
        <w:spacing w:after="0" w:line="132" w:lineRule="exact"/>
        <w:rPr>
          <w:sz w:val="20"/>
          <w:szCs w:val="20"/>
          <w:color w:val="auto"/>
        </w:rPr>
      </w:pPr>
    </w:p>
    <w:p>
      <w:pPr>
        <w:ind w:left="1040" w:right="620"/>
        <w:spacing w:after="0" w:line="235" w:lineRule="auto"/>
        <w:rPr>
          <w:sz w:val="20"/>
          <w:szCs w:val="20"/>
          <w:color w:val="auto"/>
        </w:rPr>
      </w:pPr>
      <w:r>
        <w:rPr>
          <w:rFonts w:ascii="Arial" w:cs="Arial" w:eastAsia="Arial" w:hAnsi="Arial"/>
          <w:sz w:val="18"/>
          <w:szCs w:val="18"/>
          <w:b w:val="1"/>
          <w:bCs w:val="1"/>
          <w:color w:val="205BA8"/>
        </w:rPr>
        <w:t xml:space="preserve">FOR </w:t>
      </w:r>
      <w:r>
        <w:rPr>
          <w:rFonts w:ascii="Arial" w:cs="Arial" w:eastAsia="Arial" w:hAnsi="Arial"/>
          <w:sz w:val="15"/>
          <w:szCs w:val="15"/>
          <w:color w:val="000000"/>
        </w:rPr>
        <w:t>election of each of the four nominated</w:t>
      </w:r>
      <w:r>
        <w:rPr>
          <w:rFonts w:ascii="Arial" w:cs="Arial" w:eastAsia="Arial" w:hAnsi="Arial"/>
          <w:sz w:val="18"/>
          <w:szCs w:val="18"/>
          <w:b w:val="1"/>
          <w:bCs w:val="1"/>
          <w:color w:val="205BA8"/>
        </w:rPr>
        <w:t xml:space="preserve"> </w:t>
      </w:r>
      <w:r>
        <w:rPr>
          <w:rFonts w:ascii="Arial" w:cs="Arial" w:eastAsia="Arial" w:hAnsi="Arial"/>
          <w:sz w:val="15"/>
          <w:szCs w:val="15"/>
          <w:color w:val="000000"/>
        </w:rPr>
        <w:t>Class III directors (Proposal No. 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514350" cy="514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205BA8"/>
        </w:rPr>
        <w:t xml:space="preserve">FOR </w:t>
      </w:r>
      <w:r>
        <w:rPr>
          <w:rFonts w:ascii="Arial" w:cs="Arial" w:eastAsia="Arial" w:hAnsi="Arial"/>
          <w:sz w:val="15"/>
          <w:szCs w:val="15"/>
          <w:color w:val="000000"/>
        </w:rPr>
        <w:t>ratification of the appointment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514350" cy="514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ind w:left="1040" w:right="780"/>
        <w:spacing w:after="0" w:line="235" w:lineRule="auto"/>
        <w:rPr>
          <w:sz w:val="20"/>
          <w:szCs w:val="20"/>
          <w:color w:val="auto"/>
        </w:rPr>
      </w:pPr>
      <w:r>
        <w:rPr>
          <w:rFonts w:ascii="Arial" w:cs="Arial" w:eastAsia="Arial" w:hAnsi="Arial"/>
          <w:sz w:val="15"/>
          <w:szCs w:val="15"/>
          <w:color w:val="auto"/>
        </w:rPr>
        <w:t>PricewaterhouseCoopers LLP as the Company’s independent registered public accounting firm for 2021 (Proposal No. 2).</w:t>
      </w:r>
    </w:p>
    <w:p>
      <w:pPr>
        <w:spacing w:after="0" w:line="1377" w:lineRule="exact"/>
        <w:rPr>
          <w:sz w:val="20"/>
          <w:szCs w:val="20"/>
          <w:color w:val="auto"/>
        </w:rPr>
      </w:pPr>
    </w:p>
    <w:p>
      <w:pPr>
        <w:sectPr>
          <w:pgSz w:w="11900" w:h="16838" w:orient="portrait"/>
          <w:cols w:equalWidth="0" w:num="2">
            <w:col w:w="4540" w:space="440"/>
            <w:col w:w="4640"/>
          </w:cols>
          <w:pgMar w:left="1180" w:top="405" w:right="1099" w:bottom="1440" w:gutter="0" w:footer="0" w:header="0"/>
          <w:type w:val="continuous"/>
        </w:sectPr>
      </w:pPr>
    </w:p>
    <w:p>
      <w:pPr>
        <w:ind w:left="440"/>
        <w:spacing w:after="0"/>
        <w:rPr>
          <w:sz w:val="20"/>
          <w:szCs w:val="20"/>
          <w:color w:val="auto"/>
        </w:rPr>
      </w:pPr>
      <w:r>
        <w:rPr>
          <w:rFonts w:ascii="Arial" w:cs="Arial" w:eastAsia="Arial" w:hAnsi="Arial"/>
          <w:sz w:val="18"/>
          <w:szCs w:val="18"/>
          <w:b w:val="1"/>
          <w:bCs w:val="1"/>
          <w:color w:val="205BA8"/>
        </w:rPr>
        <w:t>Who solicits proxies and bears the cost of</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205BA8"/>
        </w:rPr>
        <w:t>solicitation?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Solicitation of proxies may be made by mail, in person, or by</w:t>
      </w:r>
    </w:p>
    <w:p>
      <w:pPr>
        <w:ind w:left="440"/>
        <w:spacing w:after="0" w:line="225" w:lineRule="auto"/>
        <w:rPr>
          <w:sz w:val="20"/>
          <w:szCs w:val="20"/>
          <w:color w:val="auto"/>
        </w:rPr>
      </w:pPr>
      <w:r>
        <w:rPr>
          <w:rFonts w:ascii="Arial" w:cs="Arial" w:eastAsia="Arial" w:hAnsi="Arial"/>
          <w:sz w:val="15"/>
          <w:szCs w:val="15"/>
          <w:color w:val="auto"/>
        </w:rPr>
        <w:t>telephone by officers, directors, and other employees of the</w:t>
      </w:r>
    </w:p>
    <w:p>
      <w:pPr>
        <w:ind w:left="440"/>
        <w:spacing w:after="0" w:line="225" w:lineRule="auto"/>
        <w:rPr>
          <w:sz w:val="20"/>
          <w:szCs w:val="20"/>
          <w:color w:val="auto"/>
        </w:rPr>
      </w:pPr>
      <w:r>
        <w:rPr>
          <w:rFonts w:ascii="Arial" w:cs="Arial" w:eastAsia="Arial" w:hAnsi="Arial"/>
          <w:sz w:val="15"/>
          <w:szCs w:val="15"/>
          <w:color w:val="auto"/>
        </w:rPr>
        <w:t>Company and by employees of the Company’s transfer</w:t>
      </w:r>
    </w:p>
    <w:p>
      <w:pPr>
        <w:ind w:left="440"/>
        <w:spacing w:after="0" w:line="226" w:lineRule="auto"/>
        <w:rPr>
          <w:sz w:val="20"/>
          <w:szCs w:val="20"/>
          <w:color w:val="auto"/>
        </w:rPr>
      </w:pPr>
      <w:r>
        <w:rPr>
          <w:rFonts w:ascii="Arial" w:cs="Arial" w:eastAsia="Arial" w:hAnsi="Arial"/>
          <w:sz w:val="15"/>
          <w:szCs w:val="15"/>
          <w:color w:val="auto"/>
        </w:rPr>
        <w:t>agent, American Stock Transfer &amp; Trust Company, LLC</w:t>
      </w:r>
    </w:p>
    <w:p>
      <w:pPr>
        <w:ind w:left="440"/>
        <w:spacing w:after="0" w:line="225" w:lineRule="auto"/>
        <w:rPr>
          <w:sz w:val="20"/>
          <w:szCs w:val="20"/>
          <w:color w:val="auto"/>
        </w:rPr>
      </w:pPr>
      <w:r>
        <w:rPr>
          <w:rFonts w:ascii="Arial" w:cs="Arial" w:eastAsia="Arial" w:hAnsi="Arial"/>
          <w:sz w:val="15"/>
          <w:szCs w:val="15"/>
          <w:color w:val="auto"/>
        </w:rPr>
        <w:t>(“AST”), and employees of Broadridge Financial Solutions,</w:t>
      </w:r>
    </w:p>
    <w:p>
      <w:pPr>
        <w:ind w:left="440"/>
        <w:spacing w:after="0" w:line="226" w:lineRule="auto"/>
        <w:rPr>
          <w:sz w:val="20"/>
          <w:szCs w:val="20"/>
          <w:color w:val="auto"/>
        </w:rPr>
      </w:pPr>
      <w:r>
        <w:rPr>
          <w:rFonts w:ascii="Arial" w:cs="Arial" w:eastAsia="Arial" w:hAnsi="Arial"/>
          <w:sz w:val="15"/>
          <w:szCs w:val="15"/>
          <w:color w:val="auto"/>
        </w:rPr>
        <w:t>Inc. (“Broadridge”). We will reimburse AST, Broadridge, and</w:t>
      </w:r>
    </w:p>
    <w:p>
      <w:pPr>
        <w:ind w:left="440"/>
        <w:spacing w:after="0" w:line="225" w:lineRule="auto"/>
        <w:rPr>
          <w:sz w:val="20"/>
          <w:szCs w:val="20"/>
          <w:color w:val="auto"/>
        </w:rPr>
      </w:pPr>
      <w:r>
        <w:rPr>
          <w:rFonts w:ascii="Arial" w:cs="Arial" w:eastAsia="Arial" w:hAnsi="Arial"/>
          <w:sz w:val="15"/>
          <w:szCs w:val="15"/>
          <w:color w:val="auto"/>
        </w:rPr>
        <w:t>our banks, brokers, and other custodians, nominees, and</w:t>
      </w:r>
    </w:p>
    <w:p>
      <w:pPr>
        <w:ind w:left="440"/>
        <w:spacing w:after="0" w:line="225" w:lineRule="auto"/>
        <w:rPr>
          <w:sz w:val="20"/>
          <w:szCs w:val="20"/>
          <w:color w:val="auto"/>
        </w:rPr>
      </w:pPr>
      <w:r>
        <w:rPr>
          <w:rFonts w:ascii="Arial" w:cs="Arial" w:eastAsia="Arial" w:hAnsi="Arial"/>
          <w:sz w:val="15"/>
          <w:szCs w:val="15"/>
          <w:color w:val="auto"/>
        </w:rPr>
        <w:t>fiduciaries for their respective reasonable costs in the</w:t>
      </w:r>
    </w:p>
    <w:p>
      <w:pPr>
        <w:ind w:left="440"/>
        <w:spacing w:after="0" w:line="226" w:lineRule="auto"/>
        <w:rPr>
          <w:sz w:val="20"/>
          <w:szCs w:val="20"/>
          <w:color w:val="auto"/>
        </w:rPr>
      </w:pPr>
      <w:r>
        <w:rPr>
          <w:rFonts w:ascii="Arial" w:cs="Arial" w:eastAsia="Arial" w:hAnsi="Arial"/>
          <w:sz w:val="15"/>
          <w:szCs w:val="15"/>
          <w:color w:val="auto"/>
        </w:rPr>
        <w:t>preparation and mailing of proxy materials to shareholders.</w:t>
      </w:r>
    </w:p>
    <w:p>
      <w:pPr>
        <w:ind w:left="440"/>
        <w:spacing w:after="0" w:line="225" w:lineRule="auto"/>
        <w:rPr>
          <w:sz w:val="20"/>
          <w:szCs w:val="20"/>
          <w:color w:val="auto"/>
        </w:rPr>
      </w:pPr>
      <w:r>
        <w:rPr>
          <w:rFonts w:ascii="Arial" w:cs="Arial" w:eastAsia="Arial" w:hAnsi="Arial"/>
          <w:sz w:val="15"/>
          <w:szCs w:val="15"/>
          <w:color w:val="auto"/>
        </w:rPr>
        <w:t>In addition, we have engaged Innisfree M&amp;A Incorporated to</w:t>
      </w:r>
    </w:p>
    <w:p>
      <w:pPr>
        <w:ind w:left="440"/>
        <w:spacing w:after="0" w:line="226" w:lineRule="auto"/>
        <w:rPr>
          <w:sz w:val="20"/>
          <w:szCs w:val="20"/>
          <w:color w:val="auto"/>
        </w:rPr>
      </w:pPr>
      <w:r>
        <w:rPr>
          <w:rFonts w:ascii="Arial" w:cs="Arial" w:eastAsia="Arial" w:hAnsi="Arial"/>
          <w:sz w:val="15"/>
          <w:szCs w:val="15"/>
          <w:color w:val="auto"/>
        </w:rPr>
        <w:t>assist in the solicitation of proxies and provide related</w:t>
      </w:r>
    </w:p>
    <w:p>
      <w:pPr>
        <w:ind w:left="440"/>
        <w:spacing w:after="0" w:line="225" w:lineRule="auto"/>
        <w:rPr>
          <w:sz w:val="20"/>
          <w:szCs w:val="20"/>
          <w:color w:val="auto"/>
        </w:rPr>
      </w:pPr>
      <w:r>
        <w:rPr>
          <w:rFonts w:ascii="Arial" w:cs="Arial" w:eastAsia="Arial" w:hAnsi="Arial"/>
          <w:sz w:val="15"/>
          <w:szCs w:val="15"/>
          <w:color w:val="auto"/>
        </w:rPr>
        <w:t>advice and informational support for a service fee of</w:t>
      </w:r>
    </w:p>
    <w:p>
      <w:pPr>
        <w:ind w:left="440"/>
        <w:spacing w:after="0" w:line="225" w:lineRule="auto"/>
        <w:rPr>
          <w:sz w:val="20"/>
          <w:szCs w:val="20"/>
          <w:color w:val="auto"/>
        </w:rPr>
      </w:pPr>
      <w:r>
        <w:rPr>
          <w:rFonts w:ascii="Arial" w:cs="Arial" w:eastAsia="Arial" w:hAnsi="Arial"/>
          <w:sz w:val="15"/>
          <w:szCs w:val="15"/>
          <w:color w:val="auto"/>
        </w:rPr>
        <w:t>$25,000 and the reimbursement of customary</w:t>
      </w:r>
    </w:p>
    <w:p>
      <w:pPr>
        <w:ind w:left="440"/>
        <w:spacing w:after="0" w:line="226" w:lineRule="auto"/>
        <w:rPr>
          <w:sz w:val="20"/>
          <w:szCs w:val="20"/>
          <w:color w:val="auto"/>
        </w:rPr>
      </w:pPr>
      <w:r>
        <w:rPr>
          <w:rFonts w:ascii="Arial" w:cs="Arial" w:eastAsia="Arial" w:hAnsi="Arial"/>
          <w:sz w:val="15"/>
          <w:szCs w:val="15"/>
          <w:color w:val="auto"/>
        </w:rPr>
        <w:t>disbursements and expenses. We will bear all costs of the</w:t>
      </w:r>
    </w:p>
    <w:p>
      <w:pPr>
        <w:ind w:left="440"/>
        <w:spacing w:after="0"/>
        <w:rPr>
          <w:sz w:val="20"/>
          <w:szCs w:val="20"/>
          <w:color w:val="auto"/>
        </w:rPr>
      </w:pPr>
      <w:r>
        <w:rPr>
          <w:rFonts w:ascii="Arial" w:cs="Arial" w:eastAsia="Arial" w:hAnsi="Arial"/>
          <w:sz w:val="15"/>
          <w:szCs w:val="15"/>
          <w:color w:val="auto"/>
        </w:rPr>
        <w:t>solicitation of proxies.</w:t>
      </w:r>
    </w:p>
    <w:p>
      <w:pPr>
        <w:spacing w:after="0" w:line="134" w:lineRule="exact"/>
        <w:rPr>
          <w:sz w:val="20"/>
          <w:szCs w:val="20"/>
          <w:color w:val="auto"/>
        </w:rPr>
      </w:pPr>
    </w:p>
    <w:p>
      <w:pPr>
        <w:spacing w:after="0"/>
        <w:tabs>
          <w:tab w:leader="none" w:pos="3820" w:val="left"/>
        </w:tabs>
        <w:rPr>
          <w:sz w:val="20"/>
          <w:szCs w:val="20"/>
          <w:color w:val="auto"/>
        </w:rPr>
      </w:pPr>
      <w:r>
        <w:rPr>
          <w:rFonts w:ascii="Arial" w:cs="Arial" w:eastAsia="Arial" w:hAnsi="Arial"/>
          <w:sz w:val="14"/>
          <w:szCs w:val="14"/>
          <w:b w:val="1"/>
          <w:bCs w:val="1"/>
          <w:color w:val="00A5EC"/>
        </w:rPr>
        <w:t xml:space="preserve">6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161290</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620"/>
          </w:cols>
          <w:pgMar w:left="1180" w:top="405" w:right="1099" w:bottom="1440" w:gutter="0" w:footer="0" w:header="0"/>
          <w:type w:val="continuous"/>
        </w:sectPr>
      </w:pPr>
    </w:p>
    <w:bookmarkStart w:id="17" w:name="page18"/>
    <w:bookmarkEnd w:id="17"/>
    <w:p>
      <w:pPr>
        <w:jc w:val="right"/>
        <w:ind w:right="1300"/>
        <w:spacing w:after="0"/>
        <w:rPr>
          <w:sz w:val="20"/>
          <w:szCs w:val="20"/>
          <w:color w:val="auto"/>
        </w:rPr>
      </w:pPr>
      <w:r>
        <w:rPr>
          <w:rFonts w:ascii="Arial" w:cs="Arial" w:eastAsia="Arial" w:hAnsi="Arial"/>
          <w:sz w:val="16"/>
          <w:szCs w:val="16"/>
          <w:b w:val="1"/>
          <w:bCs w:val="1"/>
          <w:color w:val="205BA8"/>
        </w:rPr>
        <w:t xml:space="preserve">USERS' GUIDE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C44E5E"/>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205BA8"/>
        </w:rPr>
        <w:t>What vote is required to approve each proposal?</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The following table summarizes the voting requirements applicable to the proposals to be voted on at the Annual Meeting:</w:t>
      </w:r>
    </w:p>
    <w:p>
      <w:pPr>
        <w:spacing w:after="0" w:line="163" w:lineRule="exact"/>
        <w:rPr>
          <w:sz w:val="20"/>
          <w:szCs w:val="20"/>
          <w:color w:val="auto"/>
        </w:rPr>
      </w:pPr>
    </w:p>
    <w:p>
      <w:pPr>
        <w:ind w:left="1340"/>
        <w:spacing w:after="0"/>
        <w:tabs>
          <w:tab w:leader="none" w:pos="3740" w:val="left"/>
          <w:tab w:leader="none" w:pos="6100" w:val="left"/>
          <w:tab w:leader="none" w:pos="7760" w:val="left"/>
        </w:tabs>
        <w:rPr>
          <w:sz w:val="20"/>
          <w:szCs w:val="20"/>
          <w:color w:val="auto"/>
        </w:rPr>
      </w:pPr>
      <w:r>
        <w:rPr>
          <w:rFonts w:ascii="Arial" w:cs="Arial" w:eastAsia="Arial" w:hAnsi="Arial"/>
          <w:sz w:val="12"/>
          <w:szCs w:val="12"/>
          <w:b w:val="1"/>
          <w:bCs w:val="1"/>
          <w:color w:val="205BA8"/>
        </w:rPr>
        <w:t>Proposal</w:t>
      </w:r>
      <w:r>
        <w:rPr>
          <w:sz w:val="20"/>
          <w:szCs w:val="20"/>
          <w:color w:val="auto"/>
        </w:rPr>
        <w:tab/>
      </w:r>
      <w:r>
        <w:rPr>
          <w:rFonts w:ascii="Arial" w:cs="Arial" w:eastAsia="Arial" w:hAnsi="Arial"/>
          <w:sz w:val="12"/>
          <w:szCs w:val="12"/>
          <w:b w:val="1"/>
          <w:bCs w:val="1"/>
          <w:color w:val="205BA8"/>
        </w:rPr>
        <w:t>Vote Required</w:t>
      </w:r>
      <w:r>
        <w:rPr>
          <w:sz w:val="20"/>
          <w:szCs w:val="20"/>
          <w:color w:val="auto"/>
        </w:rPr>
        <w:tab/>
      </w:r>
      <w:r>
        <w:rPr>
          <w:rFonts w:ascii="Arial" w:cs="Arial" w:eastAsia="Arial" w:hAnsi="Arial"/>
          <w:sz w:val="12"/>
          <w:szCs w:val="12"/>
          <w:b w:val="1"/>
          <w:bCs w:val="1"/>
          <w:color w:val="205BA8"/>
        </w:rPr>
        <w:t>Effect of Abstentions*</w:t>
      </w:r>
      <w:r>
        <w:rPr>
          <w:sz w:val="20"/>
          <w:szCs w:val="20"/>
          <w:color w:val="auto"/>
        </w:rPr>
        <w:tab/>
      </w:r>
      <w:r>
        <w:rPr>
          <w:rFonts w:ascii="Arial" w:cs="Arial" w:eastAsia="Arial" w:hAnsi="Arial"/>
          <w:sz w:val="11"/>
          <w:szCs w:val="11"/>
          <w:b w:val="1"/>
          <w:bCs w:val="1"/>
          <w:color w:val="205BA8"/>
        </w:rPr>
        <w:t>Broker Discretionary Voting Allowed?</w:t>
      </w:r>
      <w:r>
        <w:rPr>
          <w:rFonts w:ascii="Arial" w:cs="Arial" w:eastAsia="Arial" w:hAnsi="Arial"/>
          <w:sz w:val="18"/>
          <w:szCs w:val="18"/>
          <w:b w:val="1"/>
          <w:bCs w:val="1"/>
          <w:color w:val="205BA8"/>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-6985</wp:posOffset>
            </wp:positionV>
            <wp:extent cx="548640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54" w:lineRule="exact"/>
        <w:rPr>
          <w:sz w:val="20"/>
          <w:szCs w:val="20"/>
          <w:color w:val="auto"/>
        </w:rPr>
      </w:pPr>
    </w:p>
    <w:tbl>
      <w:tblPr>
        <w:tblLayout w:type="fixed"/>
        <w:tblInd w:w="1340" w:type="dxa"/>
        <w:tblCellMar>
          <w:top w:w="0" w:type="dxa"/>
          <w:left w:w="0" w:type="dxa"/>
          <w:bottom w:w="0" w:type="dxa"/>
          <w:right w:w="0" w:type="dxa"/>
        </w:tblCellMar>
      </w:tblPr>
      <w:tr>
        <w:trPr>
          <w:trHeight w:val="190"/>
        </w:trPr>
        <w:tc>
          <w:tcPr>
            <w:tcW w:w="420" w:type="dxa"/>
            <w:vAlign w:val="bottom"/>
            <w:vMerge w:val="restart"/>
          </w:tcPr>
          <w:p>
            <w:pPr>
              <w:jc w:val="right"/>
              <w:spacing w:after="0"/>
              <w:rPr>
                <w:sz w:val="20"/>
                <w:szCs w:val="20"/>
                <w:color w:val="auto"/>
              </w:rPr>
            </w:pPr>
            <w:r>
              <w:rPr>
                <w:rFonts w:ascii="Arial" w:cs="Arial" w:eastAsia="Arial" w:hAnsi="Arial"/>
                <w:sz w:val="61"/>
                <w:szCs w:val="61"/>
                <w:b w:val="1"/>
                <w:bCs w:val="1"/>
                <w:color w:val="C44E5E"/>
                <w:w w:val="94"/>
              </w:rPr>
              <w:t>1</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205BA8"/>
              </w:rPr>
              <w:t>Election of Directors</w:t>
            </w:r>
          </w:p>
        </w:tc>
        <w:tc>
          <w:tcPr>
            <w:tcW w:w="2140" w:type="dxa"/>
            <w:vAlign w:val="bottom"/>
          </w:tcPr>
          <w:p>
            <w:pPr>
              <w:ind w:left="220"/>
              <w:spacing w:after="0"/>
              <w:rPr>
                <w:sz w:val="20"/>
                <w:szCs w:val="20"/>
                <w:color w:val="auto"/>
              </w:rPr>
            </w:pPr>
            <w:r>
              <w:rPr>
                <w:rFonts w:ascii="Arial" w:cs="Arial" w:eastAsia="Arial" w:hAnsi="Arial"/>
                <w:sz w:val="13"/>
                <w:szCs w:val="13"/>
                <w:color w:val="auto"/>
              </w:rPr>
              <w:t>Majority of the votes cast. In</w:t>
            </w:r>
          </w:p>
        </w:tc>
        <w:tc>
          <w:tcPr>
            <w:tcW w:w="0" w:type="dxa"/>
            <w:vAlign w:val="bottom"/>
          </w:tcPr>
          <w:p>
            <w:pPr>
              <w:spacing w:after="0"/>
              <w:rPr>
                <w:sz w:val="1"/>
                <w:szCs w:val="1"/>
                <w:color w:val="auto"/>
              </w:rPr>
            </w:pPr>
          </w:p>
        </w:tc>
      </w:tr>
      <w:tr>
        <w:trPr>
          <w:trHeight w:val="148"/>
        </w:trPr>
        <w:tc>
          <w:tcPr>
            <w:tcW w:w="42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2140" w:type="dxa"/>
            <w:vAlign w:val="bottom"/>
          </w:tcPr>
          <w:p>
            <w:pPr>
              <w:ind w:left="220"/>
              <w:spacing w:after="0"/>
              <w:rPr>
                <w:sz w:val="20"/>
                <w:szCs w:val="20"/>
                <w:color w:val="auto"/>
              </w:rPr>
            </w:pPr>
            <w:r>
              <w:rPr>
                <w:rFonts w:ascii="Arial" w:cs="Arial" w:eastAsia="Arial" w:hAnsi="Arial"/>
                <w:sz w:val="13"/>
                <w:szCs w:val="13"/>
                <w:color w:val="auto"/>
              </w:rPr>
              <w:t>accordance with our director</w:t>
            </w:r>
          </w:p>
        </w:tc>
        <w:tc>
          <w:tcPr>
            <w:tcW w:w="0" w:type="dxa"/>
            <w:vAlign w:val="bottom"/>
          </w:tcPr>
          <w:p>
            <w:pPr>
              <w:spacing w:after="0"/>
              <w:rPr>
                <w:sz w:val="1"/>
                <w:szCs w:val="1"/>
                <w:color w:val="auto"/>
              </w:rPr>
            </w:pPr>
          </w:p>
        </w:tc>
      </w:tr>
      <w:tr>
        <w:trPr>
          <w:trHeight w:val="148"/>
        </w:trPr>
        <w:tc>
          <w:tcPr>
            <w:tcW w:w="42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2140" w:type="dxa"/>
            <w:vAlign w:val="bottom"/>
          </w:tcPr>
          <w:p>
            <w:pPr>
              <w:ind w:left="220"/>
              <w:spacing w:after="0"/>
              <w:rPr>
                <w:sz w:val="20"/>
                <w:szCs w:val="20"/>
                <w:color w:val="auto"/>
              </w:rPr>
            </w:pPr>
            <w:r>
              <w:rPr>
                <w:rFonts w:ascii="Arial" w:cs="Arial" w:eastAsia="Arial" w:hAnsi="Arial"/>
                <w:sz w:val="13"/>
                <w:szCs w:val="13"/>
                <w:color w:val="auto"/>
              </w:rPr>
              <w:t>resignation policy, an incumbent</w:t>
            </w:r>
          </w:p>
        </w:tc>
        <w:tc>
          <w:tcPr>
            <w:tcW w:w="0" w:type="dxa"/>
            <w:vAlign w:val="bottom"/>
          </w:tcPr>
          <w:p>
            <w:pPr>
              <w:spacing w:after="0"/>
              <w:rPr>
                <w:sz w:val="1"/>
                <w:szCs w:val="1"/>
                <w:color w:val="auto"/>
              </w:rPr>
            </w:pPr>
          </w:p>
        </w:tc>
      </w:tr>
      <w:tr>
        <w:trPr>
          <w:trHeight w:val="148"/>
        </w:trPr>
        <w:tc>
          <w:tcPr>
            <w:tcW w:w="42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2140" w:type="dxa"/>
            <w:vAlign w:val="bottom"/>
          </w:tcPr>
          <w:p>
            <w:pPr>
              <w:ind w:left="220"/>
              <w:spacing w:after="0"/>
              <w:rPr>
                <w:sz w:val="20"/>
                <w:szCs w:val="20"/>
                <w:color w:val="auto"/>
              </w:rPr>
            </w:pPr>
            <w:r>
              <w:rPr>
                <w:rFonts w:ascii="Arial" w:cs="Arial" w:eastAsia="Arial" w:hAnsi="Arial"/>
                <w:sz w:val="13"/>
                <w:szCs w:val="13"/>
                <w:color w:val="auto"/>
              </w:rPr>
              <w:t>director who fails to receive the</w:t>
            </w:r>
          </w:p>
        </w:tc>
        <w:tc>
          <w:tcPr>
            <w:tcW w:w="0" w:type="dxa"/>
            <w:vAlign w:val="bottom"/>
          </w:tcPr>
          <w:p>
            <w:pPr>
              <w:spacing w:after="0"/>
              <w:rPr>
                <w:sz w:val="1"/>
                <w:szCs w:val="1"/>
                <w:color w:val="auto"/>
              </w:rPr>
            </w:pPr>
          </w:p>
        </w:tc>
      </w:tr>
      <w:tr>
        <w:trPr>
          <w:trHeight w:val="149"/>
        </w:trPr>
        <w:tc>
          <w:tcPr>
            <w:tcW w:w="42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2140" w:type="dxa"/>
            <w:vAlign w:val="bottom"/>
          </w:tcPr>
          <w:p>
            <w:pPr>
              <w:ind w:left="220"/>
              <w:spacing w:after="0"/>
              <w:rPr>
                <w:sz w:val="20"/>
                <w:szCs w:val="20"/>
                <w:color w:val="auto"/>
              </w:rPr>
            </w:pPr>
            <w:r>
              <w:rPr>
                <w:rFonts w:ascii="Arial" w:cs="Arial" w:eastAsia="Arial" w:hAnsi="Arial"/>
                <w:sz w:val="13"/>
                <w:szCs w:val="13"/>
                <w:color w:val="auto"/>
              </w:rPr>
              <w:t>required number of votes in an</w:t>
            </w:r>
          </w:p>
        </w:tc>
        <w:tc>
          <w:tcPr>
            <w:tcW w:w="0" w:type="dxa"/>
            <w:vAlign w:val="bottom"/>
          </w:tcPr>
          <w:p>
            <w:pPr>
              <w:spacing w:after="0"/>
              <w:rPr>
                <w:sz w:val="1"/>
                <w:szCs w:val="1"/>
                <w:color w:val="auto"/>
              </w:rPr>
            </w:pPr>
          </w:p>
        </w:tc>
      </w:tr>
    </w:tbl>
    <w:p>
      <w:pPr>
        <w:ind w:left="3760"/>
        <w:spacing w:after="0"/>
        <w:rPr>
          <w:sz w:val="20"/>
          <w:szCs w:val="20"/>
          <w:color w:val="auto"/>
        </w:rPr>
      </w:pPr>
      <w:r>
        <w:rPr>
          <w:rFonts w:ascii="Arial" w:cs="Arial" w:eastAsia="Arial" w:hAnsi="Arial"/>
          <w:sz w:val="13"/>
          <w:szCs w:val="13"/>
          <w:color w:val="auto"/>
        </w:rPr>
        <w:t>uncontested election will be required</w:t>
      </w:r>
    </w:p>
    <w:p>
      <w:pPr>
        <w:ind w:left="3760"/>
        <w:spacing w:after="0"/>
        <w:rPr>
          <w:sz w:val="20"/>
          <w:szCs w:val="20"/>
          <w:color w:val="auto"/>
        </w:rPr>
      </w:pPr>
      <w:r>
        <w:rPr>
          <w:rFonts w:ascii="Arial" w:cs="Arial" w:eastAsia="Arial" w:hAnsi="Arial"/>
          <w:sz w:val="13"/>
          <w:szCs w:val="13"/>
          <w:color w:val="auto"/>
        </w:rPr>
        <w:t>to tender his or her resignation to the</w:t>
      </w:r>
    </w:p>
    <w:p>
      <w:pPr>
        <w:ind w:left="3760"/>
        <w:spacing w:after="0"/>
        <w:rPr>
          <w:sz w:val="20"/>
          <w:szCs w:val="20"/>
          <w:color w:val="auto"/>
        </w:rPr>
      </w:pPr>
      <w:r>
        <w:rPr>
          <w:rFonts w:ascii="Arial" w:cs="Arial" w:eastAsia="Arial" w:hAnsi="Arial"/>
          <w:sz w:val="13"/>
          <w:szCs w:val="13"/>
          <w:color w:val="auto"/>
        </w:rPr>
        <w:t>Chairman of the board of directors for</w:t>
      </w:r>
    </w:p>
    <w:p>
      <w:pPr>
        <w:ind w:left="3760"/>
        <w:spacing w:after="0"/>
        <w:rPr>
          <w:sz w:val="20"/>
          <w:szCs w:val="20"/>
          <w:color w:val="auto"/>
        </w:rPr>
      </w:pPr>
      <w:r>
        <w:rPr>
          <w:rFonts w:ascii="Arial" w:cs="Arial" w:eastAsia="Arial" w:hAnsi="Arial"/>
          <w:sz w:val="13"/>
          <w:szCs w:val="13"/>
          <w:color w:val="auto"/>
        </w:rPr>
        <w:t>consideration by the Corporate</w:t>
      </w:r>
    </w:p>
    <w:p>
      <w:pPr>
        <w:ind w:left="3760"/>
        <w:spacing w:after="0"/>
        <w:rPr>
          <w:sz w:val="20"/>
          <w:szCs w:val="20"/>
          <w:color w:val="auto"/>
        </w:rPr>
      </w:pPr>
      <w:r>
        <w:rPr>
          <w:rFonts w:ascii="Arial" w:cs="Arial" w:eastAsia="Arial" w:hAnsi="Arial"/>
          <w:sz w:val="13"/>
          <w:szCs w:val="13"/>
          <w:color w:val="auto"/>
        </w:rPr>
        <w:t>Governance and Compliance</w:t>
      </w:r>
    </w:p>
    <w:p>
      <w:pPr>
        <w:ind w:left="3760"/>
        <w:spacing w:after="0"/>
        <w:rPr>
          <w:sz w:val="20"/>
          <w:szCs w:val="20"/>
          <w:color w:val="auto"/>
        </w:rPr>
      </w:pPr>
      <w:r>
        <w:rPr>
          <w:rFonts w:ascii="Arial" w:cs="Arial" w:eastAsia="Arial" w:hAnsi="Arial"/>
          <w:sz w:val="13"/>
          <w:szCs w:val="13"/>
          <w:color w:val="auto"/>
        </w:rPr>
        <w:t>Committee.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No effect — not considered votes cast on this proposal</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No —</w:t>
      </w:r>
    </w:p>
    <w:p>
      <w:pPr>
        <w:ind w:right="1440"/>
        <w:spacing w:after="0" w:line="248" w:lineRule="auto"/>
        <w:rPr>
          <w:sz w:val="20"/>
          <w:szCs w:val="20"/>
          <w:color w:val="auto"/>
        </w:rPr>
      </w:pPr>
      <w:r>
        <w:rPr>
          <w:rFonts w:ascii="Arial" w:cs="Arial" w:eastAsia="Arial" w:hAnsi="Arial"/>
          <w:sz w:val="13"/>
          <w:szCs w:val="13"/>
          <w:color w:val="auto"/>
        </w:rPr>
        <w:t>brokers without voting instructions will not be able to vote on this proposal</w:t>
      </w:r>
    </w:p>
    <w:p>
      <w:pPr>
        <w:spacing w:after="0" w:line="1083" w:lineRule="exact"/>
        <w:rPr>
          <w:sz w:val="20"/>
          <w:szCs w:val="20"/>
          <w:color w:val="auto"/>
        </w:rPr>
      </w:pPr>
    </w:p>
    <w:p>
      <w:pPr>
        <w:sectPr>
          <w:pgSz w:w="11900" w:h="16838" w:orient="portrait"/>
          <w:cols w:equalWidth="0" w:num="3">
            <w:col w:w="6000" w:space="120"/>
            <w:col w:w="1480" w:space="180"/>
            <w:col w:w="3460"/>
          </w:cols>
          <w:pgMar w:left="320" w:top="405" w:right="339" w:bottom="1440" w:gutter="0" w:footer="0" w:header="0"/>
          <w:type w:val="continuous"/>
        </w:sectPr>
      </w:pPr>
    </w:p>
    <w:tbl>
      <w:tblPr>
        <w:tblLayout w:type="fixed"/>
        <w:tblInd w:w="1300" w:type="dxa"/>
        <w:tblCellMar>
          <w:top w:w="0" w:type="dxa"/>
          <w:left w:w="0" w:type="dxa"/>
          <w:bottom w:w="0" w:type="dxa"/>
          <w:right w:w="0" w:type="dxa"/>
        </w:tblCellMar>
      </w:tblPr>
      <w:tr>
        <w:trPr>
          <w:trHeight w:val="235"/>
        </w:trPr>
        <w:tc>
          <w:tcPr>
            <w:tcW w:w="2400" w:type="dxa"/>
            <w:vAlign w:val="bottom"/>
            <w:tcBorders>
              <w:top w:val="single" w:sz="8" w:color="221E1F"/>
            </w:tcBorders>
            <w:shd w:val="clear" w:color="auto" w:fill="EBEBEB"/>
          </w:tcPr>
          <w:p>
            <w:pPr>
              <w:ind w:left="520"/>
              <w:spacing w:after="0"/>
              <w:rPr>
                <w:sz w:val="20"/>
                <w:szCs w:val="20"/>
                <w:color w:val="auto"/>
              </w:rPr>
            </w:pPr>
            <w:r>
              <w:rPr>
                <w:rFonts w:ascii="Arial" w:cs="Arial" w:eastAsia="Arial" w:hAnsi="Arial"/>
                <w:sz w:val="15"/>
                <w:szCs w:val="15"/>
                <w:b w:val="1"/>
                <w:bCs w:val="1"/>
                <w:color w:val="205BA8"/>
              </w:rPr>
              <w:t>Ratification of the</w:t>
            </w:r>
          </w:p>
        </w:tc>
        <w:tc>
          <w:tcPr>
            <w:tcW w:w="1980" w:type="dxa"/>
            <w:vAlign w:val="bottom"/>
            <w:tcBorders>
              <w:top w:val="single" w:sz="8" w:color="221E1F"/>
            </w:tcBorders>
            <w:shd w:val="clear" w:color="auto" w:fill="EBEBEB"/>
          </w:tcPr>
          <w:p>
            <w:pPr>
              <w:ind w:left="60"/>
              <w:spacing w:after="0"/>
              <w:rPr>
                <w:sz w:val="20"/>
                <w:szCs w:val="20"/>
                <w:color w:val="auto"/>
              </w:rPr>
            </w:pPr>
            <w:r>
              <w:rPr>
                <w:rFonts w:ascii="Arial" w:cs="Arial" w:eastAsia="Arial" w:hAnsi="Arial"/>
                <w:sz w:val="13"/>
                <w:szCs w:val="13"/>
                <w:color w:val="auto"/>
              </w:rPr>
              <w:t>Majority of the votes cast</w:t>
            </w:r>
          </w:p>
        </w:tc>
        <w:tc>
          <w:tcPr>
            <w:tcW w:w="2000" w:type="dxa"/>
            <w:vAlign w:val="bottom"/>
            <w:tcBorders>
              <w:top w:val="single" w:sz="8" w:color="221E1F"/>
            </w:tcBorders>
            <w:shd w:val="clear" w:color="auto" w:fill="EBEBEB"/>
          </w:tcPr>
          <w:p>
            <w:pPr>
              <w:ind w:left="440"/>
              <w:spacing w:after="0"/>
              <w:rPr>
                <w:sz w:val="20"/>
                <w:szCs w:val="20"/>
                <w:color w:val="auto"/>
              </w:rPr>
            </w:pPr>
            <w:r>
              <w:rPr>
                <w:rFonts w:ascii="Arial" w:cs="Arial" w:eastAsia="Arial" w:hAnsi="Arial"/>
                <w:sz w:val="13"/>
                <w:szCs w:val="13"/>
                <w:color w:val="auto"/>
              </w:rPr>
              <w:t>No effect — not</w:t>
            </w:r>
          </w:p>
        </w:tc>
        <w:tc>
          <w:tcPr>
            <w:tcW w:w="2260" w:type="dxa"/>
            <w:vAlign w:val="bottom"/>
            <w:tcBorders>
              <w:top w:val="single" w:sz="8" w:color="221E1F"/>
            </w:tcBorders>
            <w:shd w:val="clear" w:color="auto" w:fill="EBEBEB"/>
          </w:tcPr>
          <w:p>
            <w:pPr>
              <w:ind w:left="100"/>
              <w:spacing w:after="0"/>
              <w:rPr>
                <w:sz w:val="20"/>
                <w:szCs w:val="20"/>
                <w:color w:val="auto"/>
              </w:rPr>
            </w:pPr>
            <w:r>
              <w:rPr>
                <w:rFonts w:ascii="Arial" w:cs="Arial" w:eastAsia="Arial" w:hAnsi="Arial"/>
                <w:sz w:val="13"/>
                <w:szCs w:val="13"/>
                <w:color w:val="auto"/>
              </w:rPr>
              <w:t>Yes —</w:t>
            </w:r>
          </w:p>
        </w:tc>
        <w:tc>
          <w:tcPr>
            <w:tcW w:w="0" w:type="dxa"/>
            <w:vAlign w:val="bottom"/>
          </w:tcPr>
          <w:p>
            <w:pPr>
              <w:spacing w:after="0"/>
              <w:rPr>
                <w:sz w:val="1"/>
                <w:szCs w:val="1"/>
                <w:color w:val="auto"/>
              </w:rPr>
            </w:pPr>
          </w:p>
        </w:tc>
      </w:tr>
      <w:tr>
        <w:trPr>
          <w:trHeight w:val="156"/>
        </w:trPr>
        <w:tc>
          <w:tcPr>
            <w:tcW w:w="2400" w:type="dxa"/>
            <w:vAlign w:val="bottom"/>
            <w:shd w:val="clear" w:color="auto" w:fill="EBEBEB"/>
          </w:tcPr>
          <w:p>
            <w:pPr>
              <w:ind w:left="520"/>
              <w:spacing w:after="0" w:line="156" w:lineRule="exact"/>
              <w:rPr>
                <w:sz w:val="20"/>
                <w:szCs w:val="20"/>
                <w:color w:val="auto"/>
              </w:rPr>
            </w:pPr>
            <w:r>
              <w:rPr>
                <w:rFonts w:ascii="Arial" w:cs="Arial" w:eastAsia="Arial" w:hAnsi="Arial"/>
                <w:sz w:val="15"/>
                <w:szCs w:val="15"/>
                <w:b w:val="1"/>
                <w:bCs w:val="1"/>
                <w:color w:val="205BA8"/>
              </w:rPr>
              <w:t>Appointment of</w:t>
            </w:r>
          </w:p>
        </w:tc>
        <w:tc>
          <w:tcPr>
            <w:tcW w:w="1980" w:type="dxa"/>
            <w:vAlign w:val="bottom"/>
            <w:shd w:val="clear" w:color="auto" w:fill="EBEBEB"/>
          </w:tcPr>
          <w:p>
            <w:pPr>
              <w:spacing w:after="0"/>
              <w:rPr>
                <w:sz w:val="13"/>
                <w:szCs w:val="13"/>
                <w:color w:val="auto"/>
              </w:rPr>
            </w:pPr>
          </w:p>
        </w:tc>
        <w:tc>
          <w:tcPr>
            <w:tcW w:w="2000" w:type="dxa"/>
            <w:vAlign w:val="bottom"/>
            <w:shd w:val="clear" w:color="auto" w:fill="EBEBEB"/>
          </w:tcPr>
          <w:p>
            <w:pPr>
              <w:ind w:left="440"/>
              <w:spacing w:after="0"/>
              <w:rPr>
                <w:sz w:val="20"/>
                <w:szCs w:val="20"/>
                <w:color w:val="auto"/>
              </w:rPr>
            </w:pPr>
            <w:r>
              <w:rPr>
                <w:rFonts w:ascii="Arial" w:cs="Arial" w:eastAsia="Arial" w:hAnsi="Arial"/>
                <w:sz w:val="13"/>
                <w:szCs w:val="13"/>
                <w:color w:val="auto"/>
              </w:rPr>
              <w:t>considered votes cast on</w:t>
            </w:r>
          </w:p>
        </w:tc>
        <w:tc>
          <w:tcPr>
            <w:tcW w:w="2260" w:type="dxa"/>
            <w:vAlign w:val="bottom"/>
            <w:shd w:val="clear" w:color="auto" w:fill="EBEBEB"/>
          </w:tcPr>
          <w:p>
            <w:pPr>
              <w:ind w:left="100"/>
              <w:spacing w:after="0"/>
              <w:rPr>
                <w:sz w:val="20"/>
                <w:szCs w:val="20"/>
                <w:color w:val="auto"/>
              </w:rPr>
            </w:pPr>
            <w:r>
              <w:rPr>
                <w:rFonts w:ascii="Arial" w:cs="Arial" w:eastAsia="Arial" w:hAnsi="Arial"/>
                <w:sz w:val="13"/>
                <w:szCs w:val="13"/>
                <w:color w:val="auto"/>
              </w:rPr>
              <w:t>brokers without voting instructions</w:t>
            </w:r>
          </w:p>
        </w:tc>
        <w:tc>
          <w:tcPr>
            <w:tcW w:w="0" w:type="dxa"/>
            <w:vAlign w:val="bottom"/>
          </w:tcPr>
          <w:p>
            <w:pPr>
              <w:spacing w:after="0"/>
              <w:rPr>
                <w:sz w:val="1"/>
                <w:szCs w:val="1"/>
                <w:color w:val="auto"/>
              </w:rPr>
            </w:pPr>
          </w:p>
        </w:tc>
      </w:tr>
      <w:tr>
        <w:trPr>
          <w:trHeight w:val="148"/>
        </w:trPr>
        <w:tc>
          <w:tcPr>
            <w:tcW w:w="2400" w:type="dxa"/>
            <w:vAlign w:val="bottom"/>
            <w:vMerge w:val="restart"/>
            <w:shd w:val="clear" w:color="auto" w:fill="EBEBEB"/>
          </w:tcPr>
          <w:p>
            <w:pPr>
              <w:ind w:left="40"/>
              <w:spacing w:after="0" w:line="486" w:lineRule="exact"/>
              <w:rPr>
                <w:sz w:val="20"/>
                <w:szCs w:val="20"/>
                <w:color w:val="auto"/>
              </w:rPr>
            </w:pPr>
            <w:r>
              <w:rPr>
                <w:rFonts w:ascii="Arial" w:cs="Arial" w:eastAsia="Arial" w:hAnsi="Arial"/>
                <w:sz w:val="56"/>
                <w:szCs w:val="56"/>
                <w:b w:val="1"/>
                <w:bCs w:val="1"/>
                <w:color w:val="C44E5E"/>
                <w:w w:val="89"/>
              </w:rPr>
              <w:t xml:space="preserve">2 </w:t>
            </w:r>
            <w:r>
              <w:rPr>
                <w:rFonts w:ascii="Arial" w:cs="Arial" w:eastAsia="Arial" w:hAnsi="Arial"/>
                <w:sz w:val="28"/>
                <w:szCs w:val="28"/>
                <w:b w:val="1"/>
                <w:bCs w:val="1"/>
                <w:color w:val="205BA8"/>
                <w:w w:val="89"/>
                <w:vertAlign w:val="subscript"/>
              </w:rPr>
              <w:t>LLP</w:t>
            </w:r>
            <w:r>
              <w:rPr>
                <w:rFonts w:ascii="Arial" w:cs="Arial" w:eastAsia="Arial" w:hAnsi="Arial"/>
                <w:sz w:val="15"/>
                <w:szCs w:val="15"/>
                <w:b w:val="1"/>
                <w:bCs w:val="1"/>
                <w:color w:val="205BA8"/>
                <w:w w:val="89"/>
              </w:rPr>
              <w:t>PricewaterhouseCoopers</w:t>
            </w:r>
          </w:p>
        </w:tc>
        <w:tc>
          <w:tcPr>
            <w:tcW w:w="1980" w:type="dxa"/>
            <w:vAlign w:val="bottom"/>
            <w:shd w:val="clear" w:color="auto" w:fill="EBEBEB"/>
          </w:tcPr>
          <w:p>
            <w:pPr>
              <w:spacing w:after="0"/>
              <w:rPr>
                <w:sz w:val="12"/>
                <w:szCs w:val="12"/>
                <w:color w:val="auto"/>
              </w:rPr>
            </w:pPr>
          </w:p>
        </w:tc>
        <w:tc>
          <w:tcPr>
            <w:tcW w:w="2000" w:type="dxa"/>
            <w:vAlign w:val="bottom"/>
            <w:shd w:val="clear" w:color="auto" w:fill="EBEBEB"/>
          </w:tcPr>
          <w:p>
            <w:pPr>
              <w:ind w:left="440"/>
              <w:spacing w:after="0" w:line="148" w:lineRule="exact"/>
              <w:rPr>
                <w:sz w:val="20"/>
                <w:szCs w:val="20"/>
                <w:color w:val="auto"/>
              </w:rPr>
            </w:pPr>
            <w:r>
              <w:rPr>
                <w:rFonts w:ascii="Arial" w:cs="Arial" w:eastAsia="Arial" w:hAnsi="Arial"/>
                <w:sz w:val="13"/>
                <w:szCs w:val="13"/>
                <w:color w:val="auto"/>
              </w:rPr>
              <w:t>this proposal</w:t>
            </w:r>
          </w:p>
        </w:tc>
        <w:tc>
          <w:tcPr>
            <w:tcW w:w="2260" w:type="dxa"/>
            <w:vAlign w:val="bottom"/>
            <w:shd w:val="clear" w:color="auto" w:fill="EBEBEB"/>
          </w:tcPr>
          <w:p>
            <w:pPr>
              <w:ind w:left="100"/>
              <w:spacing w:after="0" w:line="148" w:lineRule="exact"/>
              <w:rPr>
                <w:sz w:val="20"/>
                <w:szCs w:val="20"/>
                <w:color w:val="auto"/>
              </w:rPr>
            </w:pPr>
            <w:r>
              <w:rPr>
                <w:rFonts w:ascii="Arial" w:cs="Arial" w:eastAsia="Arial" w:hAnsi="Arial"/>
                <w:sz w:val="13"/>
                <w:szCs w:val="13"/>
                <w:color w:val="auto"/>
              </w:rPr>
              <w:t>will have discretionary authority to</w:t>
            </w:r>
          </w:p>
        </w:tc>
        <w:tc>
          <w:tcPr>
            <w:tcW w:w="0" w:type="dxa"/>
            <w:vAlign w:val="bottom"/>
          </w:tcPr>
          <w:p>
            <w:pPr>
              <w:spacing w:after="0"/>
              <w:rPr>
                <w:sz w:val="1"/>
                <w:szCs w:val="1"/>
                <w:color w:val="auto"/>
              </w:rPr>
            </w:pPr>
          </w:p>
        </w:tc>
      </w:tr>
      <w:tr>
        <w:trPr>
          <w:trHeight w:val="338"/>
        </w:trPr>
        <w:tc>
          <w:tcPr>
            <w:tcW w:w="2400" w:type="dxa"/>
            <w:vAlign w:val="bottom"/>
            <w:tcBorders>
              <w:bottom w:val="single" w:sz="8" w:color="221E1F"/>
            </w:tcBorders>
            <w:vMerge w:val="continue"/>
            <w:shd w:val="clear" w:color="auto" w:fill="EBEBEB"/>
          </w:tcPr>
          <w:p>
            <w:pPr>
              <w:spacing w:after="0"/>
              <w:rPr>
                <w:sz w:val="24"/>
                <w:szCs w:val="24"/>
                <w:color w:val="auto"/>
              </w:rPr>
            </w:pPr>
          </w:p>
        </w:tc>
        <w:tc>
          <w:tcPr>
            <w:tcW w:w="1980" w:type="dxa"/>
            <w:vAlign w:val="bottom"/>
            <w:tcBorders>
              <w:bottom w:val="single" w:sz="8" w:color="221E1F"/>
            </w:tcBorders>
            <w:shd w:val="clear" w:color="auto" w:fill="EBEBEB"/>
          </w:tcPr>
          <w:p>
            <w:pPr>
              <w:spacing w:after="0"/>
              <w:rPr>
                <w:sz w:val="24"/>
                <w:szCs w:val="24"/>
                <w:color w:val="auto"/>
              </w:rPr>
            </w:pPr>
          </w:p>
        </w:tc>
        <w:tc>
          <w:tcPr>
            <w:tcW w:w="2000" w:type="dxa"/>
            <w:vAlign w:val="bottom"/>
            <w:tcBorders>
              <w:bottom w:val="single" w:sz="8" w:color="221E1F"/>
            </w:tcBorders>
            <w:shd w:val="clear" w:color="auto" w:fill="EBEBEB"/>
          </w:tcPr>
          <w:p>
            <w:pPr>
              <w:spacing w:after="0"/>
              <w:rPr>
                <w:sz w:val="24"/>
                <w:szCs w:val="24"/>
                <w:color w:val="auto"/>
              </w:rPr>
            </w:pPr>
          </w:p>
        </w:tc>
        <w:tc>
          <w:tcPr>
            <w:tcW w:w="2260" w:type="dxa"/>
            <w:vAlign w:val="bottom"/>
            <w:tcBorders>
              <w:bottom w:val="single" w:sz="8" w:color="221E1F"/>
            </w:tcBorders>
            <w:shd w:val="clear" w:color="auto" w:fill="EBEBEB"/>
          </w:tcPr>
          <w:p>
            <w:pPr>
              <w:ind w:left="100"/>
              <w:spacing w:after="0"/>
              <w:rPr>
                <w:sz w:val="20"/>
                <w:szCs w:val="20"/>
                <w:color w:val="auto"/>
              </w:rPr>
            </w:pPr>
            <w:r>
              <w:rPr>
                <w:rFonts w:ascii="Arial" w:cs="Arial" w:eastAsia="Arial" w:hAnsi="Arial"/>
                <w:sz w:val="13"/>
                <w:szCs w:val="13"/>
                <w:color w:val="auto"/>
              </w:rPr>
              <w:t>vote</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4"/>
          <w:szCs w:val="14"/>
          <w:color w:val="auto"/>
        </w:rPr>
        <w:t>*</w:t>
        <w:tab/>
        <w:t>As noted above, abstentions will be counted as present for purposes of establishing a quorum at the Annual Meeting.</w:t>
      </w:r>
    </w:p>
    <w:p>
      <w:pPr>
        <w:spacing w:after="0" w:line="69" w:lineRule="exact"/>
        <w:rPr>
          <w:sz w:val="20"/>
          <w:szCs w:val="20"/>
          <w:color w:val="auto"/>
        </w:rPr>
      </w:pPr>
    </w:p>
    <w:p>
      <w:pPr>
        <w:ind w:left="1660" w:right="1600" w:hanging="181"/>
        <w:spacing w:after="0" w:line="258" w:lineRule="auto"/>
        <w:tabs>
          <w:tab w:leader="none" w:pos="1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Only relevant if you are the beneficial owner of shares held in “street name.” If you are a shareholder of record and you do not cast your vote, no votes will be cast on your behalf on any of the items of business at the Annual Meeting.</w:t>
      </w:r>
    </w:p>
    <w:p>
      <w:pPr>
        <w:spacing w:after="0" w:line="132" w:lineRule="exact"/>
        <w:rPr>
          <w:sz w:val="20"/>
          <w:szCs w:val="20"/>
          <w:color w:val="auto"/>
        </w:rPr>
      </w:pPr>
    </w:p>
    <w:p>
      <w:pPr>
        <w:ind w:left="1300" w:right="1360"/>
        <w:spacing w:after="0" w:line="242" w:lineRule="auto"/>
        <w:rPr>
          <w:sz w:val="20"/>
          <w:szCs w:val="20"/>
          <w:color w:val="auto"/>
        </w:rPr>
      </w:pPr>
      <w:r>
        <w:rPr>
          <w:rFonts w:ascii="Arial" w:cs="Arial" w:eastAsia="Arial" w:hAnsi="Arial"/>
          <w:sz w:val="15"/>
          <w:szCs w:val="15"/>
          <w:color w:val="auto"/>
        </w:rPr>
        <w:t>If any other matter is properly brought before the Annual Meeting, such matter also will be determined by the affirmative vote of a majority of the votes cast at the Annual Meeting.</w:t>
      </w:r>
    </w:p>
    <w:p>
      <w:pPr>
        <w:spacing w:after="0" w:line="120" w:lineRule="exact"/>
        <w:rPr>
          <w:sz w:val="20"/>
          <w:szCs w:val="20"/>
          <w:color w:val="auto"/>
        </w:rPr>
      </w:pPr>
    </w:p>
    <w:p>
      <w:pPr>
        <w:ind w:left="1300" w:right="1400"/>
        <w:spacing w:after="0" w:line="267" w:lineRule="auto"/>
        <w:rPr>
          <w:sz w:val="20"/>
          <w:szCs w:val="20"/>
          <w:color w:val="auto"/>
        </w:rPr>
      </w:pPr>
      <w:r>
        <w:rPr>
          <w:rFonts w:ascii="Arial" w:cs="Arial" w:eastAsia="Arial" w:hAnsi="Arial"/>
          <w:sz w:val="15"/>
          <w:szCs w:val="15"/>
          <w:b w:val="1"/>
          <w:bCs w:val="1"/>
          <w:color w:val="auto"/>
        </w:rPr>
        <w:t>If shareholders have the option to attend the Annual Meeting in person, please note that cameras, other photographic equipment, or audio or video recording devices will not be permitted to be used by any in-person attendees.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78740</wp:posOffset>
            </wp:positionV>
            <wp:extent cx="5486400" cy="1783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86400" cy="1783080"/>
                    </a:xfrm>
                    <a:prstGeom prst="rect">
                      <a:avLst/>
                    </a:prstGeom>
                    <a:noFill/>
                  </pic:spPr>
                </pic:pic>
              </a:graphicData>
            </a:graphic>
          </wp:anchor>
        </w:drawing>
      </w:r>
    </w:p>
    <w:p>
      <w:pPr>
        <w:spacing w:after="0" w:line="158" w:lineRule="exact"/>
        <w:rPr>
          <w:sz w:val="20"/>
          <w:szCs w:val="20"/>
          <w:color w:val="auto"/>
        </w:rPr>
      </w:pPr>
    </w:p>
    <w:p>
      <w:pPr>
        <w:ind w:left="1400"/>
        <w:spacing w:after="0"/>
        <w:rPr>
          <w:sz w:val="20"/>
          <w:szCs w:val="20"/>
          <w:color w:val="auto"/>
        </w:rPr>
      </w:pPr>
      <w:r>
        <w:rPr>
          <w:rFonts w:ascii="Arial" w:cs="Arial" w:eastAsia="Arial" w:hAnsi="Arial"/>
          <w:sz w:val="29"/>
          <w:szCs w:val="29"/>
          <w:b w:val="1"/>
          <w:bCs w:val="1"/>
          <w:color w:val="C44E5E"/>
        </w:rPr>
        <w:t>INFORMATION ABOUT REGENERON</w:t>
      </w:r>
    </w:p>
    <w:p>
      <w:pPr>
        <w:spacing w:after="0" w:line="198"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If you would like to learn more about Regeneron, please visit our website at www.regeneron.com.</w:t>
      </w:r>
    </w:p>
    <w:p>
      <w:pPr>
        <w:spacing w:after="0" w:line="8"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The topics discussed on our website include: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ind w:left="1400"/>
              <w:spacing w:after="0"/>
              <w:rPr>
                <w:sz w:val="20"/>
                <w:szCs w:val="20"/>
                <w:color w:val="auto"/>
              </w:rPr>
            </w:pPr>
            <w:r>
              <w:rPr>
                <w:rFonts w:ascii="Arial" w:cs="Arial" w:eastAsia="Arial" w:hAnsi="Arial"/>
                <w:sz w:val="15"/>
                <w:szCs w:val="15"/>
                <w:color w:val="205BA8"/>
              </w:rPr>
              <w:t>•</w:t>
            </w:r>
          </w:p>
        </w:tc>
        <w:tc>
          <w:tcPr>
            <w:tcW w:w="4020" w:type="dxa"/>
            <w:vAlign w:val="bottom"/>
          </w:tcPr>
          <w:p>
            <w:pPr>
              <w:ind w:left="60"/>
              <w:spacing w:after="0"/>
              <w:rPr>
                <w:sz w:val="20"/>
                <w:szCs w:val="20"/>
                <w:color w:val="auto"/>
              </w:rPr>
            </w:pPr>
            <w:r>
              <w:rPr>
                <w:rFonts w:ascii="Arial" w:cs="Arial" w:eastAsia="Arial" w:hAnsi="Arial"/>
                <w:sz w:val="15"/>
                <w:szCs w:val="15"/>
                <w:color w:val="auto"/>
              </w:rPr>
              <w:t>Working at Regeneron</w:t>
            </w:r>
          </w:p>
        </w:tc>
        <w:tc>
          <w:tcPr>
            <w:tcW w:w="4260" w:type="dxa"/>
            <w:vAlign w:val="bottom"/>
          </w:tcPr>
          <w:p>
            <w:pPr>
              <w:ind w:left="26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Our Graduate Internship Program</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20" w:type="dxa"/>
            <w:vAlign w:val="bottom"/>
          </w:tcPr>
          <w:p>
            <w:pPr>
              <w:ind w:left="1400"/>
              <w:spacing w:after="0"/>
              <w:rPr>
                <w:sz w:val="20"/>
                <w:szCs w:val="20"/>
                <w:color w:val="auto"/>
              </w:rPr>
            </w:pPr>
            <w:r>
              <w:rPr>
                <w:rFonts w:ascii="Arial" w:cs="Arial" w:eastAsia="Arial" w:hAnsi="Arial"/>
                <w:sz w:val="15"/>
                <w:szCs w:val="15"/>
                <w:color w:val="205BA8"/>
              </w:rPr>
              <w:t>•</w:t>
            </w:r>
          </w:p>
        </w:tc>
        <w:tc>
          <w:tcPr>
            <w:tcW w:w="4020" w:type="dxa"/>
            <w:vAlign w:val="bottom"/>
          </w:tcPr>
          <w:p>
            <w:pPr>
              <w:ind w:left="60"/>
              <w:spacing w:after="0"/>
              <w:rPr>
                <w:sz w:val="20"/>
                <w:szCs w:val="20"/>
                <w:color w:val="auto"/>
              </w:rPr>
            </w:pPr>
            <w:r>
              <w:rPr>
                <w:rFonts w:ascii="Arial" w:cs="Arial" w:eastAsia="Arial" w:hAnsi="Arial"/>
                <w:sz w:val="15"/>
                <w:szCs w:val="15"/>
                <w:color w:val="auto"/>
              </w:rPr>
              <w:t>Our Science Research Mentorship Program</w:t>
            </w:r>
          </w:p>
        </w:tc>
        <w:tc>
          <w:tcPr>
            <w:tcW w:w="4260" w:type="dxa"/>
            <w:vAlign w:val="bottom"/>
          </w:tcPr>
          <w:p>
            <w:pPr>
              <w:ind w:left="26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Our Post-doctoral Training Program</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20" w:type="dxa"/>
            <w:vAlign w:val="bottom"/>
          </w:tcPr>
          <w:p>
            <w:pPr>
              <w:ind w:left="1400"/>
              <w:spacing w:after="0"/>
              <w:rPr>
                <w:sz w:val="20"/>
                <w:szCs w:val="20"/>
                <w:color w:val="auto"/>
              </w:rPr>
            </w:pPr>
            <w:r>
              <w:rPr>
                <w:rFonts w:ascii="Arial" w:cs="Arial" w:eastAsia="Arial" w:hAnsi="Arial"/>
                <w:sz w:val="15"/>
                <w:szCs w:val="15"/>
                <w:color w:val="205BA8"/>
              </w:rPr>
              <w:t>•</w:t>
            </w:r>
          </w:p>
        </w:tc>
        <w:tc>
          <w:tcPr>
            <w:tcW w:w="4020" w:type="dxa"/>
            <w:vAlign w:val="bottom"/>
          </w:tcPr>
          <w:p>
            <w:pPr>
              <w:ind w:left="60"/>
              <w:spacing w:after="0"/>
              <w:rPr>
                <w:sz w:val="20"/>
                <w:szCs w:val="20"/>
                <w:color w:val="auto"/>
              </w:rPr>
            </w:pPr>
            <w:r>
              <w:rPr>
                <w:rFonts w:ascii="Arial" w:cs="Arial" w:eastAsia="Arial" w:hAnsi="Arial"/>
                <w:sz w:val="15"/>
                <w:szCs w:val="15"/>
                <w:color w:val="auto"/>
              </w:rPr>
              <w:t>The Regeneron Science Talent Search</w:t>
            </w:r>
          </w:p>
        </w:tc>
        <w:tc>
          <w:tcPr>
            <w:tcW w:w="4260" w:type="dxa"/>
            <w:vAlign w:val="bottom"/>
          </w:tcPr>
          <w:p>
            <w:pPr>
              <w:ind w:left="26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Regeneron employee volunteer programs</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520" w:type="dxa"/>
            <w:vAlign w:val="bottom"/>
          </w:tcPr>
          <w:p>
            <w:pPr>
              <w:ind w:left="1400"/>
              <w:spacing w:after="0"/>
              <w:rPr>
                <w:sz w:val="20"/>
                <w:szCs w:val="20"/>
                <w:color w:val="auto"/>
              </w:rPr>
            </w:pPr>
            <w:r>
              <w:rPr>
                <w:rFonts w:ascii="Arial" w:cs="Arial" w:eastAsia="Arial" w:hAnsi="Arial"/>
                <w:sz w:val="15"/>
                <w:szCs w:val="15"/>
                <w:color w:val="205BA8"/>
              </w:rPr>
              <w:t>•</w:t>
            </w:r>
          </w:p>
        </w:tc>
        <w:tc>
          <w:tcPr>
            <w:tcW w:w="4020" w:type="dxa"/>
            <w:vAlign w:val="bottom"/>
          </w:tcPr>
          <w:p>
            <w:pPr>
              <w:ind w:left="60"/>
              <w:spacing w:after="0"/>
              <w:rPr>
                <w:sz w:val="20"/>
                <w:szCs w:val="20"/>
                <w:color w:val="auto"/>
              </w:rPr>
            </w:pPr>
            <w:r>
              <w:rPr>
                <w:rFonts w:ascii="Arial" w:cs="Arial" w:eastAsia="Arial" w:hAnsi="Arial"/>
                <w:sz w:val="15"/>
                <w:szCs w:val="15"/>
                <w:color w:val="auto"/>
              </w:rPr>
              <w:t>The Regeneron International Science and Engineering</w:t>
            </w:r>
          </w:p>
        </w:tc>
        <w:tc>
          <w:tcPr>
            <w:tcW w:w="4260" w:type="dxa"/>
            <w:vAlign w:val="bottom"/>
          </w:tcPr>
          <w:p>
            <w:pPr>
              <w:ind w:left="26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Our patient support programs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520" w:type="dxa"/>
            <w:vAlign w:val="bottom"/>
          </w:tcPr>
          <w:p>
            <w:pPr>
              <w:spacing w:after="0"/>
              <w:rPr>
                <w:sz w:val="16"/>
                <w:szCs w:val="16"/>
                <w:color w:val="auto"/>
              </w:rPr>
            </w:pPr>
          </w:p>
        </w:tc>
        <w:tc>
          <w:tcPr>
            <w:tcW w:w="4020" w:type="dxa"/>
            <w:vAlign w:val="bottom"/>
          </w:tcPr>
          <w:p>
            <w:pPr>
              <w:ind w:left="60"/>
              <w:spacing w:after="0"/>
              <w:rPr>
                <w:sz w:val="20"/>
                <w:szCs w:val="20"/>
                <w:color w:val="auto"/>
              </w:rPr>
            </w:pPr>
            <w:r>
              <w:rPr>
                <w:rFonts w:ascii="Arial" w:cs="Arial" w:eastAsia="Arial" w:hAnsi="Arial"/>
                <w:sz w:val="15"/>
                <w:szCs w:val="15"/>
                <w:color w:val="auto"/>
              </w:rPr>
              <w:t>Fair</w:t>
            </w:r>
          </w:p>
        </w:tc>
        <w:tc>
          <w:tcPr>
            <w:tcW w:w="4260" w:type="dxa"/>
            <w:vAlign w:val="bottom"/>
            <w:vMerge w:val="restart"/>
          </w:tcPr>
          <w:p>
            <w:pPr>
              <w:ind w:left="26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Our approach to corporate responsibility</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5540" w:type="dxa"/>
            <w:vAlign w:val="bottom"/>
            <w:gridSpan w:val="2"/>
            <w:vMerge w:val="restart"/>
          </w:tcPr>
          <w:p>
            <w:pPr>
              <w:ind w:left="14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The Regeneron DNA Learning Center</w:t>
            </w:r>
          </w:p>
        </w:tc>
        <w:tc>
          <w:tcPr>
            <w:tcW w:w="426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540" w:type="dxa"/>
            <w:vAlign w:val="bottom"/>
            <w:gridSpan w:val="2"/>
            <w:vMerge w:val="continue"/>
          </w:tcPr>
          <w:p>
            <w:pPr>
              <w:spacing w:after="0"/>
              <w:rPr>
                <w:sz w:val="14"/>
                <w:szCs w:val="14"/>
                <w:color w:val="auto"/>
              </w:rPr>
            </w:pPr>
          </w:p>
        </w:tc>
        <w:tc>
          <w:tcPr>
            <w:tcW w:w="4260" w:type="dxa"/>
            <w:vAlign w:val="bottom"/>
            <w:vMerge w:val="restart"/>
          </w:tcPr>
          <w:p>
            <w:pPr>
              <w:ind w:left="26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Our environmental sustainability efforts</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520" w:type="dxa"/>
            <w:vAlign w:val="bottom"/>
            <w:vMerge w:val="restart"/>
          </w:tcPr>
          <w:p>
            <w:pPr>
              <w:ind w:left="1400"/>
              <w:spacing w:after="0"/>
              <w:rPr>
                <w:sz w:val="20"/>
                <w:szCs w:val="20"/>
                <w:color w:val="auto"/>
              </w:rPr>
            </w:pPr>
            <w:r>
              <w:rPr>
                <w:rFonts w:ascii="Arial" w:cs="Arial" w:eastAsia="Arial" w:hAnsi="Arial"/>
                <w:sz w:val="15"/>
                <w:szCs w:val="15"/>
                <w:color w:val="205BA8"/>
              </w:rPr>
              <w:t>•</w:t>
            </w:r>
          </w:p>
        </w:tc>
        <w:tc>
          <w:tcPr>
            <w:tcW w:w="4020" w:type="dxa"/>
            <w:vAlign w:val="bottom"/>
            <w:vMerge w:val="restart"/>
          </w:tcPr>
          <w:p>
            <w:pPr>
              <w:ind w:left="60"/>
              <w:spacing w:after="0"/>
              <w:rPr>
                <w:sz w:val="20"/>
                <w:szCs w:val="20"/>
                <w:color w:val="auto"/>
              </w:rPr>
            </w:pPr>
            <w:r>
              <w:rPr>
                <w:rFonts w:ascii="Arial" w:cs="Arial" w:eastAsia="Arial" w:hAnsi="Arial"/>
                <w:sz w:val="15"/>
                <w:szCs w:val="15"/>
                <w:color w:val="auto"/>
              </w:rPr>
              <w:t>STEM Teaching Fellowship</w:t>
            </w:r>
          </w:p>
        </w:tc>
        <w:tc>
          <w:tcPr>
            <w:tcW w:w="426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520" w:type="dxa"/>
            <w:vAlign w:val="bottom"/>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4260" w:type="dxa"/>
            <w:vAlign w:val="bottom"/>
            <w:vMerge w:val="restart"/>
          </w:tcPr>
          <w:p>
            <w:pPr>
              <w:ind w:left="26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Our commitment to global transparency</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5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426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9"/>
        </w:trPr>
        <w:tc>
          <w:tcPr>
            <w:tcW w:w="9800" w:type="dxa"/>
            <w:vAlign w:val="bottom"/>
            <w:gridSpan w:val="3"/>
          </w:tcPr>
          <w:p>
            <w:pPr>
              <w:ind w:left="22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1440" w:type="dxa"/>
            <w:vAlign w:val="bottom"/>
          </w:tcPr>
          <w:p>
            <w:pPr>
              <w:jc w:val="right"/>
              <w:ind w:right="14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7</w:t>
            </w:r>
          </w:p>
        </w:tc>
        <w:tc>
          <w:tcPr>
            <w:tcW w:w="0" w:type="dxa"/>
            <w:vAlign w:val="bottom"/>
          </w:tcPr>
          <w:p>
            <w:pPr>
              <w:spacing w:after="0"/>
              <w:rPr>
                <w:sz w:val="1"/>
                <w:szCs w:val="1"/>
                <w:color w:val="auto"/>
              </w:rPr>
            </w:pPr>
          </w:p>
        </w:tc>
      </w:tr>
      <w:tr>
        <w:trPr>
          <w:trHeight w:val="258"/>
        </w:trPr>
        <w:tc>
          <w:tcPr>
            <w:tcW w:w="1520" w:type="dxa"/>
            <w:vAlign w:val="bottom"/>
            <w:tcBorders>
              <w:bottom w:val="single" w:sz="8" w:color="C0C0C0"/>
            </w:tcBorders>
          </w:tcPr>
          <w:p>
            <w:pPr>
              <w:spacing w:after="0"/>
              <w:rPr>
                <w:sz w:val="22"/>
                <w:szCs w:val="22"/>
                <w:color w:val="auto"/>
              </w:rPr>
            </w:pPr>
          </w:p>
        </w:tc>
        <w:tc>
          <w:tcPr>
            <w:tcW w:w="4020" w:type="dxa"/>
            <w:vAlign w:val="bottom"/>
            <w:tcBorders>
              <w:bottom w:val="single" w:sz="8" w:color="C0C0C0"/>
            </w:tcBorders>
          </w:tcPr>
          <w:p>
            <w:pPr>
              <w:spacing w:after="0"/>
              <w:rPr>
                <w:sz w:val="22"/>
                <w:szCs w:val="22"/>
                <w:color w:val="auto"/>
              </w:rPr>
            </w:pPr>
          </w:p>
        </w:tc>
        <w:tc>
          <w:tcPr>
            <w:tcW w:w="4260" w:type="dxa"/>
            <w:vAlign w:val="bottom"/>
            <w:tcBorders>
              <w:bottom w:val="single" w:sz="8" w:color="C0C0C0"/>
            </w:tcBorders>
          </w:tcPr>
          <w:p>
            <w:pPr>
              <w:spacing w:after="0"/>
              <w:rPr>
                <w:sz w:val="22"/>
                <w:szCs w:val="22"/>
                <w:color w:val="auto"/>
              </w:rPr>
            </w:pPr>
          </w:p>
        </w:tc>
        <w:tc>
          <w:tcPr>
            <w:tcW w:w="144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14820" cy="88379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814820" cy="883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340" w:right="3580"/>
        <w:spacing w:after="0" w:line="239" w:lineRule="auto"/>
        <w:rPr>
          <w:sz w:val="20"/>
          <w:szCs w:val="20"/>
          <w:color w:val="auto"/>
        </w:rPr>
      </w:pPr>
      <w:r>
        <w:rPr>
          <w:rFonts w:ascii="Arial" w:cs="Arial" w:eastAsia="Arial" w:hAnsi="Arial"/>
          <w:sz w:val="15"/>
          <w:szCs w:val="15"/>
          <w:b w:val="1"/>
          <w:bCs w:val="1"/>
          <w:color w:val="auto"/>
        </w:rPr>
        <w:t xml:space="preserve">From Left: </w:t>
      </w:r>
      <w:r>
        <w:rPr>
          <w:rFonts w:ascii="Arial" w:cs="Arial" w:eastAsia="Arial" w:hAnsi="Arial"/>
          <w:sz w:val="15"/>
          <w:szCs w:val="15"/>
          <w:color w:val="auto"/>
        </w:rPr>
        <w:t>N. Anthony Coles, M.D. / Arthur F. Ryan / Michael S. Brown, M.D. /</w:t>
      </w:r>
      <w:r>
        <w:rPr>
          <w:rFonts w:ascii="Arial" w:cs="Arial" w:eastAsia="Arial" w:hAnsi="Arial"/>
          <w:sz w:val="15"/>
          <w:szCs w:val="15"/>
          <w:b w:val="1"/>
          <w:bCs w:val="1"/>
          <w:color w:val="auto"/>
        </w:rPr>
        <w:t xml:space="preserve"> </w:t>
      </w:r>
      <w:r>
        <w:rPr>
          <w:rFonts w:ascii="Arial" w:cs="Arial" w:eastAsia="Arial" w:hAnsi="Arial"/>
          <w:sz w:val="15"/>
          <w:szCs w:val="15"/>
          <w:color w:val="auto"/>
        </w:rPr>
        <w:t>George L. Sing / Bonnie L. Bassler, Ph.D. / Leonard S. Schleifer, M.D., Ph.D. / P. Roy Vagelos, M.D. / George D. Yancopoulos, M.D., Ph.D. / Christine A. Poon / Joseph L. Goldstein, M.D. / Huda Y. Zoghbi, M.D. / Marc Tessier-Lavigne,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5020" w:val="left"/>
        </w:tabs>
        <w:rPr>
          <w:sz w:val="20"/>
          <w:szCs w:val="20"/>
          <w:color w:val="auto"/>
        </w:rPr>
      </w:pPr>
      <w:r>
        <w:rPr>
          <w:rFonts w:ascii="Arial" w:cs="Arial" w:eastAsia="Arial" w:hAnsi="Arial"/>
          <w:sz w:val="14"/>
          <w:szCs w:val="14"/>
          <w:b w:val="1"/>
          <w:bCs w:val="1"/>
          <w:color w:val="00A5EC"/>
        </w:rPr>
        <w:t xml:space="preserve">8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161290</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540" w:top="1440" w:right="559" w:bottom="1440" w:gutter="0" w:footer="0" w:header="0"/>
        </w:sectPr>
      </w:pPr>
    </w:p>
    <w:bookmarkStart w:id="19" w:name="page20"/>
    <w:bookmarkEnd w:id="19"/>
    <w:p>
      <w:pPr>
        <w:ind w:left="1380"/>
        <w:spacing w:after="0"/>
        <w:rPr>
          <w:sz w:val="20"/>
          <w:szCs w:val="20"/>
          <w:color w:val="auto"/>
        </w:rPr>
      </w:pPr>
      <w:r>
        <w:rPr>
          <w:rFonts w:ascii="Arial" w:cs="Arial" w:eastAsia="Arial" w:hAnsi="Arial"/>
          <w:sz w:val="69"/>
          <w:szCs w:val="69"/>
          <w:b w:val="1"/>
          <w:bCs w:val="1"/>
          <w:color w:val="FFFFFF"/>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234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34440"/>
                    </a:xfrm>
                    <a:prstGeom prst="rect">
                      <a:avLst/>
                    </a:prstGeom>
                    <a:noFill/>
                  </pic:spPr>
                </pic:pic>
              </a:graphicData>
            </a:graphic>
          </wp:anchor>
        </w:drawing>
        <w:t>BOARD OF DIRECTORS</w:t>
      </w:r>
    </w:p>
    <w:p>
      <w:pPr>
        <w:spacing w:after="0" w:line="200" w:lineRule="exact"/>
        <w:rPr>
          <w:sz w:val="20"/>
          <w:szCs w:val="20"/>
          <w:color w:val="auto"/>
        </w:rPr>
      </w:pPr>
    </w:p>
    <w:p>
      <w:pPr>
        <w:spacing w:after="0" w:line="391" w:lineRule="exact"/>
        <w:rPr>
          <w:sz w:val="20"/>
          <w:szCs w:val="20"/>
          <w:color w:val="auto"/>
        </w:rPr>
      </w:pPr>
    </w:p>
    <w:p>
      <w:pPr>
        <w:ind w:left="1380"/>
        <w:spacing w:after="0"/>
        <w:rPr>
          <w:sz w:val="20"/>
          <w:szCs w:val="20"/>
          <w:color w:val="auto"/>
        </w:rPr>
      </w:pPr>
      <w:r>
        <w:rPr>
          <w:rFonts w:ascii="Arial" w:cs="Arial" w:eastAsia="Arial" w:hAnsi="Arial"/>
          <w:sz w:val="59"/>
          <w:szCs w:val="59"/>
          <w:b w:val="1"/>
          <w:bCs w:val="1"/>
          <w:color w:val="205BA8"/>
        </w:rPr>
        <w:t>MEET THE BOARD</w:t>
      </w:r>
    </w:p>
    <w:p>
      <w:pPr>
        <w:spacing w:after="0" w:line="229" w:lineRule="exact"/>
        <w:rPr>
          <w:sz w:val="20"/>
          <w:szCs w:val="20"/>
          <w:color w:val="auto"/>
        </w:rPr>
      </w:pPr>
    </w:p>
    <w:p>
      <w:pPr>
        <w:jc w:val="both"/>
        <w:ind w:left="1380" w:right="1340"/>
        <w:spacing w:after="0" w:line="235" w:lineRule="auto"/>
        <w:rPr>
          <w:sz w:val="20"/>
          <w:szCs w:val="20"/>
          <w:color w:val="auto"/>
        </w:rPr>
      </w:pPr>
      <w:r>
        <w:rPr>
          <w:rFonts w:ascii="Arial" w:cs="Arial" w:eastAsia="Arial" w:hAnsi="Arial"/>
          <w:sz w:val="15"/>
          <w:szCs w:val="15"/>
          <w:color w:val="auto"/>
        </w:rPr>
        <w:t>As the first substantive order of business at the 2021 Annual Meeting, you have an opportunity to vote on four members of our board of directors. This is the right starting point not only because the board oversees Regeneron, but because understanding the Regeneron board leads to a better understanding of the Company and its business model.</w:t>
      </w:r>
    </w:p>
    <w:p>
      <w:pPr>
        <w:spacing w:after="0" w:line="141" w:lineRule="exact"/>
        <w:rPr>
          <w:sz w:val="20"/>
          <w:szCs w:val="20"/>
          <w:color w:val="auto"/>
        </w:rPr>
      </w:pPr>
    </w:p>
    <w:p>
      <w:pPr>
        <w:ind w:left="1380" w:right="1260"/>
        <w:spacing w:after="0" w:line="229" w:lineRule="auto"/>
        <w:rPr>
          <w:sz w:val="20"/>
          <w:szCs w:val="20"/>
          <w:color w:val="auto"/>
        </w:rPr>
      </w:pPr>
      <w:r>
        <w:rPr>
          <w:rFonts w:ascii="Arial" w:cs="Arial" w:eastAsia="Arial" w:hAnsi="Arial"/>
          <w:sz w:val="15"/>
          <w:szCs w:val="15"/>
          <w:color w:val="auto"/>
        </w:rPr>
        <w:t>As our President and CEO has observed, “Our dream when we started Regeneron was to build a company where the scientists would be the heroes.” The composition of Regeneron’s board reflects this founding principle: over half of our directors are members of the National Academy of Sciences, and our board members include two Nobel laureates and holders of many scientific awards. In addition, the board includes individuals with experience building shareholder value through all stages of corporate development. Various members bring substantial governance experience gained from service on other boards and others bring financial, policy, and management expertise. Three of our board’s current 12 members are women, and four directors are diverse by race or ethnicity. Each of the directors who joined the board since 2016 is diverse by gender or race/ethnicity.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92075</wp:posOffset>
            </wp:positionV>
            <wp:extent cx="1800225" cy="10801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022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80" w:right="1240"/>
        <w:spacing w:after="0" w:line="231" w:lineRule="auto"/>
        <w:rPr>
          <w:sz w:val="20"/>
          <w:szCs w:val="20"/>
          <w:color w:val="auto"/>
        </w:rPr>
      </w:pPr>
      <w:r>
        <w:rPr>
          <w:rFonts w:ascii="Arial" w:cs="Arial" w:eastAsia="Arial" w:hAnsi="Arial"/>
          <w:sz w:val="15"/>
          <w:szCs w:val="15"/>
          <w:color w:val="auto"/>
        </w:rPr>
        <w:t>The table below summarizes key qualifications, skills, or attributes most relevant to the decision to nominate the director to serve on the board of directors. A mark indicates a specific area of focus or expertise on which the board of directors relies most. The lack of a mark does not mean the director does not possess that qualification or skill. Each director biography below describes these qualifications and relevant experience in more detail. We believe the table below demonstrates the breadth and diversity of the collective experience, expertise, and skills of our board of directors.</w:t>
      </w:r>
    </w:p>
    <w:p>
      <w:pPr>
        <w:spacing w:after="0" w:line="131" w:lineRule="exact"/>
        <w:rPr>
          <w:sz w:val="20"/>
          <w:szCs w:val="20"/>
          <w:color w:val="auto"/>
        </w:rPr>
      </w:pPr>
    </w:p>
    <w:tbl>
      <w:tblPr>
        <w:tblLayout w:type="fixed"/>
        <w:tblInd w:w="1400" w:type="dxa"/>
        <w:tblCellMar>
          <w:top w:w="0" w:type="dxa"/>
          <w:left w:w="0" w:type="dxa"/>
          <w:bottom w:w="0" w:type="dxa"/>
          <w:right w:w="0" w:type="dxa"/>
        </w:tblCellMar>
      </w:tblPr>
      <w:tr>
        <w:trPr>
          <w:trHeight w:val="138"/>
        </w:trPr>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205BA8"/>
                <w:w w:val="95"/>
              </w:rPr>
              <w:t>Michael</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205BA8"/>
                <w:w w:val="99"/>
              </w:rPr>
              <w:t>N.</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40"/>
              <w:spacing w:after="0" w:line="135" w:lineRule="exact"/>
              <w:rPr>
                <w:sz w:val="20"/>
                <w:szCs w:val="20"/>
                <w:color w:val="auto"/>
              </w:rPr>
            </w:pPr>
            <w:r>
              <w:rPr>
                <w:rFonts w:ascii="Arial" w:cs="Arial" w:eastAsia="Arial" w:hAnsi="Arial"/>
                <w:sz w:val="12"/>
                <w:szCs w:val="12"/>
                <w:b w:val="1"/>
                <w:bCs w:val="1"/>
                <w:color w:val="205BA8"/>
              </w:rPr>
              <w:t>Experience,</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8"/>
              </w:rPr>
              <w:t>Bonnie</w:t>
            </w:r>
          </w:p>
        </w:tc>
        <w:tc>
          <w:tcPr>
            <w:tcW w:w="50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87"/>
              </w:rPr>
              <w:t>S.</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8"/>
              </w:rPr>
              <w:t>Anthony</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6"/>
              </w:rPr>
              <w:t>Joseph L.</w:t>
            </w: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9"/>
              </w:rPr>
              <w:t>Leonard S.</w:t>
            </w:r>
          </w:p>
        </w:tc>
        <w:tc>
          <w:tcPr>
            <w:tcW w:w="4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5"/>
              </w:rPr>
              <w:t>Marc Tessier-</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6"/>
              </w:rPr>
              <w:t>P. Roy</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7"/>
              </w:rPr>
              <w:t>George D.</w:t>
            </w:r>
          </w:p>
        </w:tc>
        <w:tc>
          <w:tcPr>
            <w:tcW w:w="56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205BA8"/>
                <w:w w:val="93"/>
              </w:rPr>
              <w:t>Huda Y.</w:t>
            </w:r>
          </w:p>
        </w:tc>
        <w:tc>
          <w:tcPr>
            <w:tcW w:w="0" w:type="dxa"/>
            <w:vAlign w:val="bottom"/>
          </w:tcPr>
          <w:p>
            <w:pPr>
              <w:spacing w:after="0"/>
              <w:rPr>
                <w:sz w:val="1"/>
                <w:szCs w:val="1"/>
                <w:color w:val="auto"/>
              </w:rPr>
            </w:pPr>
          </w:p>
        </w:tc>
      </w:tr>
      <w:tr>
        <w:trPr>
          <w:trHeight w:val="135"/>
        </w:trPr>
        <w:tc>
          <w:tcPr>
            <w:tcW w:w="1280" w:type="dxa"/>
            <w:vAlign w:val="bottom"/>
          </w:tcPr>
          <w:p>
            <w:pPr>
              <w:ind w:left="40"/>
              <w:spacing w:after="0" w:line="135" w:lineRule="exact"/>
              <w:rPr>
                <w:sz w:val="20"/>
                <w:szCs w:val="20"/>
                <w:color w:val="auto"/>
              </w:rPr>
            </w:pPr>
            <w:r>
              <w:rPr>
                <w:rFonts w:ascii="Arial" w:cs="Arial" w:eastAsia="Arial" w:hAnsi="Arial"/>
                <w:sz w:val="12"/>
                <w:szCs w:val="12"/>
                <w:b w:val="1"/>
                <w:bCs w:val="1"/>
                <w:color w:val="205BA8"/>
              </w:rPr>
              <w:t>Expertise, or</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8"/>
              </w:rPr>
              <w:t>L. Bassler,</w:t>
            </w:r>
          </w:p>
        </w:tc>
        <w:tc>
          <w:tcPr>
            <w:tcW w:w="50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8"/>
              </w:rPr>
              <w:t>Brown,</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9"/>
              </w:rPr>
              <w:t>Coles,</w:t>
            </w: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205BA8"/>
              </w:rPr>
              <w:t>Goldstein, Christine</w:t>
            </w:r>
          </w:p>
        </w:tc>
        <w:tc>
          <w:tcPr>
            <w:tcW w:w="46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8"/>
              </w:rPr>
              <w:t>Arthur</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6"/>
              </w:rPr>
              <w:t>Schleifer,</w:t>
            </w:r>
          </w:p>
        </w:tc>
        <w:tc>
          <w:tcPr>
            <w:tcW w:w="48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5"/>
              </w:rPr>
              <w:t>George</w:t>
            </w:r>
          </w:p>
        </w:tc>
        <w:tc>
          <w:tcPr>
            <w:tcW w:w="84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8"/>
              </w:rPr>
              <w:t>Lavigne,</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7"/>
              </w:rPr>
              <w:t>Vagelos,</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6"/>
              </w:rPr>
              <w:t>Yancopoulos,</w:t>
            </w:r>
          </w:p>
        </w:tc>
        <w:tc>
          <w:tcPr>
            <w:tcW w:w="560" w:type="dxa"/>
            <w:vAlign w:val="bottom"/>
          </w:tcPr>
          <w:p>
            <w:pPr>
              <w:jc w:val="center"/>
              <w:ind w:right="2"/>
              <w:spacing w:after="0" w:line="135" w:lineRule="exact"/>
              <w:rPr>
                <w:sz w:val="20"/>
                <w:szCs w:val="20"/>
                <w:color w:val="auto"/>
              </w:rPr>
            </w:pPr>
            <w:r>
              <w:rPr>
                <w:rFonts w:ascii="Arial" w:cs="Arial" w:eastAsia="Arial" w:hAnsi="Arial"/>
                <w:sz w:val="12"/>
                <w:szCs w:val="12"/>
                <w:b w:val="1"/>
                <w:bCs w:val="1"/>
                <w:color w:val="205BA8"/>
                <w:w w:val="96"/>
              </w:rPr>
              <w:t>Zoghbi,</w:t>
            </w:r>
          </w:p>
        </w:tc>
        <w:tc>
          <w:tcPr>
            <w:tcW w:w="0" w:type="dxa"/>
            <w:vAlign w:val="bottom"/>
          </w:tcPr>
          <w:p>
            <w:pPr>
              <w:spacing w:after="0"/>
              <w:rPr>
                <w:sz w:val="1"/>
                <w:szCs w:val="1"/>
                <w:color w:val="auto"/>
              </w:rPr>
            </w:pPr>
          </w:p>
        </w:tc>
      </w:tr>
      <w:tr>
        <w:trPr>
          <w:trHeight w:val="167"/>
        </w:trPr>
        <w:tc>
          <w:tcPr>
            <w:tcW w:w="1280" w:type="dxa"/>
            <w:vAlign w:val="bottom"/>
            <w:tcBorders>
              <w:bottom w:val="single" w:sz="8" w:color="205BA8"/>
            </w:tcBorders>
          </w:tcPr>
          <w:p>
            <w:pPr>
              <w:ind w:left="40"/>
              <w:spacing w:after="0"/>
              <w:rPr>
                <w:sz w:val="20"/>
                <w:szCs w:val="20"/>
                <w:color w:val="auto"/>
              </w:rPr>
            </w:pPr>
            <w:r>
              <w:rPr>
                <w:rFonts w:ascii="Arial" w:cs="Arial" w:eastAsia="Arial" w:hAnsi="Arial"/>
                <w:sz w:val="12"/>
                <w:szCs w:val="12"/>
                <w:b w:val="1"/>
                <w:bCs w:val="1"/>
                <w:color w:val="205BA8"/>
              </w:rPr>
              <w:t>Attribute</w:t>
            </w:r>
          </w:p>
        </w:tc>
        <w:tc>
          <w:tcPr>
            <w:tcW w:w="640" w:type="dxa"/>
            <w:vAlign w:val="bottom"/>
            <w:tcBorders>
              <w:bottom w:val="single" w:sz="8" w:color="205BA8"/>
            </w:tcBorders>
          </w:tcPr>
          <w:p>
            <w:pPr>
              <w:jc w:val="center"/>
              <w:spacing w:after="0"/>
              <w:rPr>
                <w:sz w:val="20"/>
                <w:szCs w:val="20"/>
                <w:color w:val="auto"/>
              </w:rPr>
            </w:pPr>
            <w:r>
              <w:rPr>
                <w:rFonts w:ascii="Arial" w:cs="Arial" w:eastAsia="Arial" w:hAnsi="Arial"/>
                <w:sz w:val="12"/>
                <w:szCs w:val="12"/>
                <w:b w:val="1"/>
                <w:bCs w:val="1"/>
                <w:color w:val="205BA8"/>
                <w:w w:val="91"/>
              </w:rPr>
              <w:t>Ph.D.</w:t>
            </w:r>
          </w:p>
        </w:tc>
        <w:tc>
          <w:tcPr>
            <w:tcW w:w="500" w:type="dxa"/>
            <w:vAlign w:val="bottom"/>
            <w:tcBorders>
              <w:bottom w:val="single" w:sz="8" w:color="205BA8"/>
            </w:tcBorders>
          </w:tcPr>
          <w:p>
            <w:pPr>
              <w:jc w:val="center"/>
              <w:spacing w:after="0"/>
              <w:rPr>
                <w:sz w:val="20"/>
                <w:szCs w:val="20"/>
                <w:color w:val="auto"/>
              </w:rPr>
            </w:pPr>
            <w:r>
              <w:rPr>
                <w:rFonts w:ascii="Arial" w:cs="Arial" w:eastAsia="Arial" w:hAnsi="Arial"/>
                <w:sz w:val="12"/>
                <w:szCs w:val="12"/>
                <w:b w:val="1"/>
                <w:bCs w:val="1"/>
                <w:color w:val="205BA8"/>
                <w:w w:val="94"/>
              </w:rPr>
              <w:t>M.D.</w:t>
            </w:r>
          </w:p>
        </w:tc>
        <w:tc>
          <w:tcPr>
            <w:tcW w:w="560" w:type="dxa"/>
            <w:vAlign w:val="bottom"/>
            <w:tcBorders>
              <w:bottom w:val="single" w:sz="8" w:color="205BA8"/>
            </w:tcBorders>
          </w:tcPr>
          <w:p>
            <w:pPr>
              <w:jc w:val="center"/>
              <w:spacing w:after="0"/>
              <w:rPr>
                <w:sz w:val="20"/>
                <w:szCs w:val="20"/>
                <w:color w:val="auto"/>
              </w:rPr>
            </w:pPr>
            <w:r>
              <w:rPr>
                <w:rFonts w:ascii="Arial" w:cs="Arial" w:eastAsia="Arial" w:hAnsi="Arial"/>
                <w:sz w:val="12"/>
                <w:szCs w:val="12"/>
                <w:b w:val="1"/>
                <w:bCs w:val="1"/>
                <w:color w:val="205BA8"/>
                <w:w w:val="94"/>
              </w:rPr>
              <w:t>M.D.</w:t>
            </w:r>
          </w:p>
        </w:tc>
        <w:tc>
          <w:tcPr>
            <w:tcW w:w="640" w:type="dxa"/>
            <w:vAlign w:val="bottom"/>
            <w:tcBorders>
              <w:bottom w:val="single" w:sz="8" w:color="205BA8"/>
            </w:tcBorders>
          </w:tcPr>
          <w:p>
            <w:pPr>
              <w:jc w:val="center"/>
              <w:spacing w:after="0"/>
              <w:rPr>
                <w:sz w:val="20"/>
                <w:szCs w:val="20"/>
                <w:color w:val="auto"/>
              </w:rPr>
            </w:pPr>
            <w:r>
              <w:rPr>
                <w:rFonts w:ascii="Arial" w:cs="Arial" w:eastAsia="Arial" w:hAnsi="Arial"/>
                <w:sz w:val="12"/>
                <w:szCs w:val="12"/>
                <w:b w:val="1"/>
                <w:bCs w:val="1"/>
                <w:color w:val="205BA8"/>
                <w:w w:val="94"/>
              </w:rPr>
              <w:t>M.D.</w:t>
            </w:r>
          </w:p>
        </w:tc>
        <w:tc>
          <w:tcPr>
            <w:tcW w:w="560" w:type="dxa"/>
            <w:vAlign w:val="bottom"/>
            <w:tcBorders>
              <w:bottom w:val="single" w:sz="8" w:color="205BA8"/>
            </w:tcBorders>
          </w:tcPr>
          <w:p>
            <w:pPr>
              <w:jc w:val="center"/>
              <w:spacing w:after="0"/>
              <w:rPr>
                <w:sz w:val="20"/>
                <w:szCs w:val="20"/>
                <w:color w:val="auto"/>
              </w:rPr>
            </w:pPr>
            <w:r>
              <w:rPr>
                <w:rFonts w:ascii="Arial" w:cs="Arial" w:eastAsia="Arial" w:hAnsi="Arial"/>
                <w:sz w:val="12"/>
                <w:szCs w:val="12"/>
                <w:b w:val="1"/>
                <w:bCs w:val="1"/>
                <w:color w:val="205BA8"/>
                <w:w w:val="96"/>
              </w:rPr>
              <w:t>A. Poon</w:t>
            </w:r>
          </w:p>
        </w:tc>
        <w:tc>
          <w:tcPr>
            <w:tcW w:w="1160" w:type="dxa"/>
            <w:vAlign w:val="bottom"/>
            <w:tcBorders>
              <w:bottom w:val="single" w:sz="8" w:color="205BA8"/>
            </w:tcBorders>
            <w:gridSpan w:val="2"/>
          </w:tcPr>
          <w:p>
            <w:pPr>
              <w:ind w:left="40"/>
              <w:spacing w:after="0"/>
              <w:rPr>
                <w:sz w:val="20"/>
                <w:szCs w:val="20"/>
                <w:color w:val="auto"/>
              </w:rPr>
            </w:pPr>
            <w:r>
              <w:rPr>
                <w:rFonts w:ascii="Arial" w:cs="Arial" w:eastAsia="Arial" w:hAnsi="Arial"/>
                <w:sz w:val="12"/>
                <w:szCs w:val="12"/>
                <w:b w:val="1"/>
                <w:bCs w:val="1"/>
                <w:color w:val="205BA8"/>
              </w:rPr>
              <w:t>F. Ryan M.D., Ph.D.</w:t>
            </w:r>
          </w:p>
        </w:tc>
        <w:tc>
          <w:tcPr>
            <w:tcW w:w="480" w:type="dxa"/>
            <w:vAlign w:val="bottom"/>
            <w:tcBorders>
              <w:bottom w:val="single" w:sz="8" w:color="205BA8"/>
            </w:tcBorders>
          </w:tcPr>
          <w:p>
            <w:pPr>
              <w:jc w:val="center"/>
              <w:spacing w:after="0"/>
              <w:rPr>
                <w:sz w:val="20"/>
                <w:szCs w:val="20"/>
                <w:color w:val="auto"/>
              </w:rPr>
            </w:pPr>
            <w:r>
              <w:rPr>
                <w:rFonts w:ascii="Arial" w:cs="Arial" w:eastAsia="Arial" w:hAnsi="Arial"/>
                <w:sz w:val="12"/>
                <w:szCs w:val="12"/>
                <w:b w:val="1"/>
                <w:bCs w:val="1"/>
                <w:color w:val="205BA8"/>
                <w:w w:val="99"/>
              </w:rPr>
              <w:t>L. Sing</w:t>
            </w:r>
          </w:p>
        </w:tc>
        <w:tc>
          <w:tcPr>
            <w:tcW w:w="840" w:type="dxa"/>
            <w:vAlign w:val="bottom"/>
            <w:tcBorders>
              <w:bottom w:val="single" w:sz="8" w:color="205BA8"/>
            </w:tcBorders>
          </w:tcPr>
          <w:p>
            <w:pPr>
              <w:jc w:val="center"/>
              <w:spacing w:after="0"/>
              <w:rPr>
                <w:sz w:val="20"/>
                <w:szCs w:val="20"/>
                <w:color w:val="auto"/>
              </w:rPr>
            </w:pPr>
            <w:r>
              <w:rPr>
                <w:rFonts w:ascii="Arial" w:cs="Arial" w:eastAsia="Arial" w:hAnsi="Arial"/>
                <w:sz w:val="12"/>
                <w:szCs w:val="12"/>
                <w:b w:val="1"/>
                <w:bCs w:val="1"/>
                <w:color w:val="205BA8"/>
                <w:w w:val="97"/>
              </w:rPr>
              <w:t>Ph.D.</w:t>
            </w:r>
          </w:p>
        </w:tc>
        <w:tc>
          <w:tcPr>
            <w:tcW w:w="560" w:type="dxa"/>
            <w:vAlign w:val="bottom"/>
            <w:tcBorders>
              <w:bottom w:val="single" w:sz="8" w:color="205BA8"/>
            </w:tcBorders>
          </w:tcPr>
          <w:p>
            <w:pPr>
              <w:jc w:val="center"/>
              <w:spacing w:after="0"/>
              <w:rPr>
                <w:sz w:val="20"/>
                <w:szCs w:val="20"/>
                <w:color w:val="auto"/>
              </w:rPr>
            </w:pPr>
            <w:r>
              <w:rPr>
                <w:rFonts w:ascii="Arial" w:cs="Arial" w:eastAsia="Arial" w:hAnsi="Arial"/>
                <w:sz w:val="12"/>
                <w:szCs w:val="12"/>
                <w:b w:val="1"/>
                <w:bCs w:val="1"/>
                <w:color w:val="205BA8"/>
                <w:w w:val="94"/>
              </w:rPr>
              <w:t>M.D.</w:t>
            </w:r>
          </w:p>
        </w:tc>
        <w:tc>
          <w:tcPr>
            <w:tcW w:w="860" w:type="dxa"/>
            <w:vAlign w:val="bottom"/>
            <w:tcBorders>
              <w:bottom w:val="single" w:sz="8" w:color="205BA8"/>
            </w:tcBorders>
          </w:tcPr>
          <w:p>
            <w:pPr>
              <w:jc w:val="center"/>
              <w:spacing w:after="0"/>
              <w:rPr>
                <w:sz w:val="20"/>
                <w:szCs w:val="20"/>
                <w:color w:val="auto"/>
              </w:rPr>
            </w:pPr>
            <w:r>
              <w:rPr>
                <w:rFonts w:ascii="Arial" w:cs="Arial" w:eastAsia="Arial" w:hAnsi="Arial"/>
                <w:sz w:val="12"/>
                <w:szCs w:val="12"/>
                <w:b w:val="1"/>
                <w:bCs w:val="1"/>
                <w:color w:val="205BA8"/>
                <w:w w:val="95"/>
              </w:rPr>
              <w:t>M.D., Ph.D.</w:t>
            </w:r>
          </w:p>
        </w:tc>
        <w:tc>
          <w:tcPr>
            <w:tcW w:w="560" w:type="dxa"/>
            <w:vAlign w:val="bottom"/>
            <w:tcBorders>
              <w:bottom w:val="single" w:sz="8" w:color="205BA8"/>
            </w:tcBorders>
          </w:tcPr>
          <w:p>
            <w:pPr>
              <w:jc w:val="center"/>
              <w:ind w:right="2"/>
              <w:spacing w:after="0"/>
              <w:rPr>
                <w:sz w:val="20"/>
                <w:szCs w:val="20"/>
                <w:color w:val="auto"/>
              </w:rPr>
            </w:pPr>
            <w:r>
              <w:rPr>
                <w:rFonts w:ascii="Arial" w:cs="Arial" w:eastAsia="Arial" w:hAnsi="Arial"/>
                <w:sz w:val="12"/>
                <w:szCs w:val="12"/>
                <w:b w:val="1"/>
                <w:bCs w:val="1"/>
                <w:color w:val="205BA8"/>
              </w:rPr>
              <w:t>M.D.</w:t>
            </w:r>
          </w:p>
        </w:tc>
        <w:tc>
          <w:tcPr>
            <w:tcW w:w="0" w:type="dxa"/>
            <w:vAlign w:val="bottom"/>
          </w:tcPr>
          <w:p>
            <w:pPr>
              <w:spacing w:after="0"/>
              <w:rPr>
                <w:sz w:val="1"/>
                <w:szCs w:val="1"/>
                <w:color w:val="auto"/>
              </w:rPr>
            </w:pPr>
          </w:p>
        </w:tc>
      </w:tr>
      <w:tr>
        <w:trPr>
          <w:trHeight w:val="223"/>
        </w:trPr>
        <w:tc>
          <w:tcPr>
            <w:tcW w:w="1280" w:type="dxa"/>
            <w:vAlign w:val="bottom"/>
          </w:tcPr>
          <w:p>
            <w:pPr>
              <w:ind w:left="40"/>
              <w:spacing w:after="0"/>
              <w:rPr>
                <w:sz w:val="20"/>
                <w:szCs w:val="20"/>
                <w:color w:val="auto"/>
              </w:rPr>
            </w:pPr>
            <w:r>
              <w:rPr>
                <w:rFonts w:ascii="Arial" w:cs="Arial" w:eastAsia="Arial" w:hAnsi="Arial"/>
                <w:sz w:val="12"/>
                <w:szCs w:val="12"/>
                <w:b w:val="1"/>
                <w:bCs w:val="1"/>
                <w:color w:val="auto"/>
              </w:rPr>
              <w:t>Industry Experience</w:t>
            </w:r>
          </w:p>
        </w:tc>
        <w:tc>
          <w:tcPr>
            <w:tcW w:w="640" w:type="dxa"/>
            <w:vAlign w:val="bottom"/>
          </w:tcPr>
          <w:p>
            <w:pPr>
              <w:jc w:val="center"/>
              <w:spacing w:after="0"/>
              <w:rPr>
                <w:sz w:val="20"/>
                <w:szCs w:val="20"/>
                <w:color w:val="auto"/>
              </w:rPr>
            </w:pPr>
            <w:r>
              <w:rPr>
                <w:rFonts w:ascii="Arial" w:cs="Arial" w:eastAsia="Arial" w:hAnsi="Arial"/>
                <w:sz w:val="12"/>
                <w:szCs w:val="12"/>
                <w:color w:val="C44E5D"/>
              </w:rPr>
              <w:t>●</w:t>
            </w:r>
          </w:p>
        </w:tc>
        <w:tc>
          <w:tcPr>
            <w:tcW w:w="500" w:type="dxa"/>
            <w:vAlign w:val="bottom"/>
          </w:tcPr>
          <w:p>
            <w:pPr>
              <w:jc w:val="center"/>
              <w:spacing w:after="0"/>
              <w:rPr>
                <w:sz w:val="20"/>
                <w:szCs w:val="20"/>
                <w:color w:val="auto"/>
              </w:rPr>
            </w:pPr>
            <w:r>
              <w:rPr>
                <w:rFonts w:ascii="Arial" w:cs="Arial" w:eastAsia="Arial" w:hAnsi="Arial"/>
                <w:sz w:val="12"/>
                <w:szCs w:val="12"/>
                <w:color w:val="C44E5D"/>
                <w:w w:val="82"/>
              </w:rPr>
              <w:t>●</w:t>
            </w:r>
          </w:p>
        </w:tc>
        <w:tc>
          <w:tcPr>
            <w:tcW w:w="560" w:type="dxa"/>
            <w:vAlign w:val="bottom"/>
          </w:tcPr>
          <w:p>
            <w:pPr>
              <w:jc w:val="center"/>
              <w:spacing w:after="0"/>
              <w:rPr>
                <w:sz w:val="20"/>
                <w:szCs w:val="20"/>
                <w:color w:val="auto"/>
              </w:rPr>
            </w:pPr>
            <w:r>
              <w:rPr>
                <w:rFonts w:ascii="Arial" w:cs="Arial" w:eastAsia="Arial" w:hAnsi="Arial"/>
                <w:sz w:val="12"/>
                <w:szCs w:val="12"/>
                <w:color w:val="C44E5D"/>
              </w:rPr>
              <w:t>●</w:t>
            </w:r>
          </w:p>
        </w:tc>
        <w:tc>
          <w:tcPr>
            <w:tcW w:w="640" w:type="dxa"/>
            <w:vAlign w:val="bottom"/>
          </w:tcPr>
          <w:p>
            <w:pPr>
              <w:jc w:val="center"/>
              <w:spacing w:after="0"/>
              <w:rPr>
                <w:sz w:val="20"/>
                <w:szCs w:val="20"/>
                <w:color w:val="auto"/>
              </w:rPr>
            </w:pPr>
            <w:r>
              <w:rPr>
                <w:rFonts w:ascii="Arial" w:cs="Arial" w:eastAsia="Arial" w:hAnsi="Arial"/>
                <w:sz w:val="12"/>
                <w:szCs w:val="12"/>
                <w:color w:val="C44E5D"/>
              </w:rPr>
              <w:t>●</w:t>
            </w:r>
          </w:p>
        </w:tc>
        <w:tc>
          <w:tcPr>
            <w:tcW w:w="560" w:type="dxa"/>
            <w:vAlign w:val="bottom"/>
          </w:tcPr>
          <w:p>
            <w:pPr>
              <w:jc w:val="center"/>
              <w:spacing w:after="0"/>
              <w:rPr>
                <w:sz w:val="20"/>
                <w:szCs w:val="20"/>
                <w:color w:val="auto"/>
              </w:rPr>
            </w:pPr>
            <w:r>
              <w:rPr>
                <w:rFonts w:ascii="Arial" w:cs="Arial" w:eastAsia="Arial" w:hAnsi="Arial"/>
                <w:sz w:val="12"/>
                <w:szCs w:val="12"/>
                <w:color w:val="C44E5D"/>
              </w:rPr>
              <w:t>●</w:t>
            </w:r>
          </w:p>
        </w:tc>
        <w:tc>
          <w:tcPr>
            <w:tcW w:w="460" w:type="dxa"/>
            <w:vAlign w:val="bottom"/>
          </w:tcPr>
          <w:p>
            <w:pPr>
              <w:jc w:val="center"/>
              <w:spacing w:after="0"/>
              <w:rPr>
                <w:sz w:val="20"/>
                <w:szCs w:val="20"/>
                <w:color w:val="auto"/>
              </w:rPr>
            </w:pPr>
            <w:r>
              <w:rPr>
                <w:rFonts w:ascii="Arial" w:cs="Arial" w:eastAsia="Arial" w:hAnsi="Arial"/>
                <w:sz w:val="12"/>
                <w:szCs w:val="12"/>
                <w:color w:val="C44E5D"/>
              </w:rPr>
              <w:t>●</w:t>
            </w:r>
          </w:p>
        </w:tc>
        <w:tc>
          <w:tcPr>
            <w:tcW w:w="700" w:type="dxa"/>
            <w:vAlign w:val="bottom"/>
          </w:tcPr>
          <w:p>
            <w:pPr>
              <w:jc w:val="center"/>
              <w:spacing w:after="0"/>
              <w:rPr>
                <w:sz w:val="20"/>
                <w:szCs w:val="20"/>
                <w:color w:val="auto"/>
              </w:rPr>
            </w:pPr>
            <w:r>
              <w:rPr>
                <w:rFonts w:ascii="Arial" w:cs="Arial" w:eastAsia="Arial" w:hAnsi="Arial"/>
                <w:sz w:val="12"/>
                <w:szCs w:val="12"/>
                <w:color w:val="C44E5D"/>
                <w:w w:val="82"/>
              </w:rPr>
              <w:t>●</w:t>
            </w:r>
          </w:p>
        </w:tc>
        <w:tc>
          <w:tcPr>
            <w:tcW w:w="480" w:type="dxa"/>
            <w:vAlign w:val="bottom"/>
          </w:tcPr>
          <w:p>
            <w:pPr>
              <w:jc w:val="center"/>
              <w:spacing w:after="0"/>
              <w:rPr>
                <w:sz w:val="20"/>
                <w:szCs w:val="20"/>
                <w:color w:val="auto"/>
              </w:rPr>
            </w:pPr>
            <w:r>
              <w:rPr>
                <w:rFonts w:ascii="Arial" w:cs="Arial" w:eastAsia="Arial" w:hAnsi="Arial"/>
                <w:sz w:val="12"/>
                <w:szCs w:val="12"/>
                <w:color w:val="C44E5D"/>
              </w:rPr>
              <w:t>●</w:t>
            </w:r>
          </w:p>
        </w:tc>
        <w:tc>
          <w:tcPr>
            <w:tcW w:w="840" w:type="dxa"/>
            <w:vAlign w:val="bottom"/>
          </w:tcPr>
          <w:p>
            <w:pPr>
              <w:jc w:val="center"/>
              <w:spacing w:after="0"/>
              <w:rPr>
                <w:sz w:val="20"/>
                <w:szCs w:val="20"/>
                <w:color w:val="auto"/>
              </w:rPr>
            </w:pPr>
            <w:r>
              <w:rPr>
                <w:rFonts w:ascii="Arial" w:cs="Arial" w:eastAsia="Arial" w:hAnsi="Arial"/>
                <w:sz w:val="12"/>
                <w:szCs w:val="12"/>
                <w:color w:val="C44E5D"/>
              </w:rPr>
              <w:t>●</w:t>
            </w:r>
          </w:p>
        </w:tc>
        <w:tc>
          <w:tcPr>
            <w:tcW w:w="560" w:type="dxa"/>
            <w:vAlign w:val="bottom"/>
          </w:tcPr>
          <w:p>
            <w:pPr>
              <w:jc w:val="center"/>
              <w:spacing w:after="0"/>
              <w:rPr>
                <w:sz w:val="20"/>
                <w:szCs w:val="20"/>
                <w:color w:val="auto"/>
              </w:rPr>
            </w:pPr>
            <w:r>
              <w:rPr>
                <w:rFonts w:ascii="Arial" w:cs="Arial" w:eastAsia="Arial" w:hAnsi="Arial"/>
                <w:sz w:val="12"/>
                <w:szCs w:val="12"/>
                <w:color w:val="C44E5D"/>
              </w:rPr>
              <w:t>●</w:t>
            </w:r>
          </w:p>
        </w:tc>
        <w:tc>
          <w:tcPr>
            <w:tcW w:w="860" w:type="dxa"/>
            <w:vAlign w:val="bottom"/>
          </w:tcPr>
          <w:p>
            <w:pPr>
              <w:jc w:val="center"/>
              <w:spacing w:after="0"/>
              <w:rPr>
                <w:sz w:val="20"/>
                <w:szCs w:val="20"/>
                <w:color w:val="auto"/>
              </w:rPr>
            </w:pPr>
            <w:r>
              <w:rPr>
                <w:rFonts w:ascii="Arial" w:cs="Arial" w:eastAsia="Arial" w:hAnsi="Arial"/>
                <w:sz w:val="12"/>
                <w:szCs w:val="12"/>
                <w:color w:val="C44E5D"/>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280" w:type="dxa"/>
            <w:vAlign w:val="bottom"/>
            <w:tcBorders>
              <w:bottom w:val="single" w:sz="8" w:color="58585A"/>
            </w:tcBorders>
          </w:tcPr>
          <w:p>
            <w:pPr>
              <w:spacing w:after="0"/>
              <w:rPr>
                <w:sz w:val="6"/>
                <w:szCs w:val="6"/>
                <w:color w:val="auto"/>
              </w:rPr>
            </w:pPr>
          </w:p>
        </w:tc>
        <w:tc>
          <w:tcPr>
            <w:tcW w:w="640" w:type="dxa"/>
            <w:vAlign w:val="bottom"/>
            <w:tcBorders>
              <w:bottom w:val="single" w:sz="8" w:color="58585A"/>
            </w:tcBorders>
          </w:tcPr>
          <w:p>
            <w:pPr>
              <w:spacing w:after="0"/>
              <w:rPr>
                <w:sz w:val="6"/>
                <w:szCs w:val="6"/>
                <w:color w:val="auto"/>
              </w:rPr>
            </w:pPr>
          </w:p>
        </w:tc>
        <w:tc>
          <w:tcPr>
            <w:tcW w:w="500" w:type="dxa"/>
            <w:vAlign w:val="bottom"/>
            <w:tcBorders>
              <w:bottom w:val="single" w:sz="8" w:color="58585A"/>
            </w:tcBorders>
          </w:tcPr>
          <w:p>
            <w:pPr>
              <w:spacing w:after="0"/>
              <w:rPr>
                <w:sz w:val="6"/>
                <w:szCs w:val="6"/>
                <w:color w:val="auto"/>
              </w:rPr>
            </w:pPr>
          </w:p>
        </w:tc>
        <w:tc>
          <w:tcPr>
            <w:tcW w:w="560" w:type="dxa"/>
            <w:vAlign w:val="bottom"/>
            <w:tcBorders>
              <w:bottom w:val="single" w:sz="8" w:color="58585A"/>
            </w:tcBorders>
          </w:tcPr>
          <w:p>
            <w:pPr>
              <w:spacing w:after="0"/>
              <w:rPr>
                <w:sz w:val="6"/>
                <w:szCs w:val="6"/>
                <w:color w:val="auto"/>
              </w:rPr>
            </w:pPr>
          </w:p>
        </w:tc>
        <w:tc>
          <w:tcPr>
            <w:tcW w:w="640" w:type="dxa"/>
            <w:vAlign w:val="bottom"/>
            <w:tcBorders>
              <w:bottom w:val="single" w:sz="8" w:color="58585A"/>
            </w:tcBorders>
          </w:tcPr>
          <w:p>
            <w:pPr>
              <w:spacing w:after="0"/>
              <w:rPr>
                <w:sz w:val="6"/>
                <w:szCs w:val="6"/>
                <w:color w:val="auto"/>
              </w:rPr>
            </w:pPr>
          </w:p>
        </w:tc>
        <w:tc>
          <w:tcPr>
            <w:tcW w:w="560" w:type="dxa"/>
            <w:vAlign w:val="bottom"/>
            <w:tcBorders>
              <w:bottom w:val="single" w:sz="8" w:color="58585A"/>
            </w:tcBorders>
          </w:tcPr>
          <w:p>
            <w:pPr>
              <w:spacing w:after="0"/>
              <w:rPr>
                <w:sz w:val="6"/>
                <w:szCs w:val="6"/>
                <w:color w:val="auto"/>
              </w:rPr>
            </w:pPr>
          </w:p>
        </w:tc>
        <w:tc>
          <w:tcPr>
            <w:tcW w:w="460" w:type="dxa"/>
            <w:vAlign w:val="bottom"/>
            <w:tcBorders>
              <w:bottom w:val="single" w:sz="8" w:color="58585A"/>
            </w:tcBorders>
          </w:tcPr>
          <w:p>
            <w:pPr>
              <w:spacing w:after="0"/>
              <w:rPr>
                <w:sz w:val="6"/>
                <w:szCs w:val="6"/>
                <w:color w:val="auto"/>
              </w:rPr>
            </w:pPr>
          </w:p>
        </w:tc>
        <w:tc>
          <w:tcPr>
            <w:tcW w:w="700" w:type="dxa"/>
            <w:vAlign w:val="bottom"/>
            <w:tcBorders>
              <w:bottom w:val="single" w:sz="8" w:color="58585A"/>
            </w:tcBorders>
          </w:tcPr>
          <w:p>
            <w:pPr>
              <w:spacing w:after="0"/>
              <w:rPr>
                <w:sz w:val="6"/>
                <w:szCs w:val="6"/>
                <w:color w:val="auto"/>
              </w:rPr>
            </w:pPr>
          </w:p>
        </w:tc>
        <w:tc>
          <w:tcPr>
            <w:tcW w:w="480" w:type="dxa"/>
            <w:vAlign w:val="bottom"/>
            <w:tcBorders>
              <w:bottom w:val="single" w:sz="8" w:color="58585A"/>
            </w:tcBorders>
          </w:tcPr>
          <w:p>
            <w:pPr>
              <w:spacing w:after="0"/>
              <w:rPr>
                <w:sz w:val="6"/>
                <w:szCs w:val="6"/>
                <w:color w:val="auto"/>
              </w:rPr>
            </w:pPr>
          </w:p>
        </w:tc>
        <w:tc>
          <w:tcPr>
            <w:tcW w:w="840" w:type="dxa"/>
            <w:vAlign w:val="bottom"/>
            <w:tcBorders>
              <w:bottom w:val="single" w:sz="8" w:color="58585A"/>
            </w:tcBorders>
          </w:tcPr>
          <w:p>
            <w:pPr>
              <w:spacing w:after="0"/>
              <w:rPr>
                <w:sz w:val="6"/>
                <w:szCs w:val="6"/>
                <w:color w:val="auto"/>
              </w:rPr>
            </w:pPr>
          </w:p>
        </w:tc>
        <w:tc>
          <w:tcPr>
            <w:tcW w:w="560" w:type="dxa"/>
            <w:vAlign w:val="bottom"/>
            <w:tcBorders>
              <w:bottom w:val="single" w:sz="8" w:color="58585A"/>
            </w:tcBorders>
          </w:tcPr>
          <w:p>
            <w:pPr>
              <w:spacing w:after="0"/>
              <w:rPr>
                <w:sz w:val="6"/>
                <w:szCs w:val="6"/>
                <w:color w:val="auto"/>
              </w:rPr>
            </w:pPr>
          </w:p>
        </w:tc>
        <w:tc>
          <w:tcPr>
            <w:tcW w:w="860" w:type="dxa"/>
            <w:vAlign w:val="bottom"/>
            <w:tcBorders>
              <w:bottom w:val="single" w:sz="8" w:color="58585A"/>
            </w:tcBorders>
          </w:tcPr>
          <w:p>
            <w:pPr>
              <w:spacing w:after="0"/>
              <w:rPr>
                <w:sz w:val="6"/>
                <w:szCs w:val="6"/>
                <w:color w:val="auto"/>
              </w:rPr>
            </w:pPr>
          </w:p>
        </w:tc>
        <w:tc>
          <w:tcPr>
            <w:tcW w:w="560" w:type="dxa"/>
            <w:vAlign w:val="bottom"/>
            <w:tcBorders>
              <w:bottom w:val="single" w:sz="8" w:color="58585A"/>
            </w:tcBorders>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280" w:type="dxa"/>
            <w:vAlign w:val="bottom"/>
            <w:shd w:val="clear" w:color="auto" w:fill="ECEDED"/>
          </w:tcPr>
          <w:p>
            <w:pPr>
              <w:ind w:left="40"/>
              <w:spacing w:after="0"/>
              <w:rPr>
                <w:sz w:val="20"/>
                <w:szCs w:val="20"/>
                <w:color w:val="auto"/>
              </w:rPr>
            </w:pPr>
            <w:r>
              <w:rPr>
                <w:rFonts w:ascii="Arial" w:cs="Arial" w:eastAsia="Arial" w:hAnsi="Arial"/>
                <w:sz w:val="12"/>
                <w:szCs w:val="12"/>
                <w:b w:val="1"/>
                <w:bCs w:val="1"/>
                <w:color w:val="auto"/>
                <w:w w:val="98"/>
              </w:rPr>
              <w:t>Executive/Leadership</w:t>
            </w:r>
          </w:p>
        </w:tc>
        <w:tc>
          <w:tcPr>
            <w:tcW w:w="64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50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w w:val="82"/>
              </w:rPr>
              <w:t>●</w:t>
            </w:r>
          </w:p>
        </w:tc>
        <w:tc>
          <w:tcPr>
            <w:tcW w:w="56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64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56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46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70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w w:val="82"/>
              </w:rPr>
              <w:t>●</w:t>
            </w:r>
          </w:p>
        </w:tc>
        <w:tc>
          <w:tcPr>
            <w:tcW w:w="48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84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56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86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560" w:type="dxa"/>
            <w:vAlign w:val="bottom"/>
            <w:vMerge w:val="restart"/>
            <w:shd w:val="clear" w:color="auto" w:fill="ECEDED"/>
          </w:tcPr>
          <w:p>
            <w:pPr>
              <w:jc w:val="center"/>
              <w:ind w:right="2"/>
              <w:spacing w:after="0"/>
              <w:rPr>
                <w:sz w:val="20"/>
                <w:szCs w:val="20"/>
                <w:color w:val="auto"/>
              </w:rPr>
            </w:pPr>
            <w:r>
              <w:rPr>
                <w:rFonts w:ascii="Arial" w:cs="Arial" w:eastAsia="Arial" w:hAnsi="Arial"/>
                <w:sz w:val="12"/>
                <w:szCs w:val="12"/>
                <w:color w:val="C44E5D"/>
                <w:w w:val="82"/>
              </w:rPr>
              <w:t>●</w:t>
            </w:r>
          </w:p>
        </w:tc>
        <w:tc>
          <w:tcPr>
            <w:tcW w:w="0" w:type="dxa"/>
            <w:vAlign w:val="bottom"/>
          </w:tcPr>
          <w:p>
            <w:pPr>
              <w:spacing w:after="0"/>
              <w:rPr>
                <w:sz w:val="1"/>
                <w:szCs w:val="1"/>
                <w:color w:val="auto"/>
              </w:rPr>
            </w:pPr>
          </w:p>
        </w:tc>
      </w:tr>
      <w:tr>
        <w:trPr>
          <w:trHeight w:val="86"/>
        </w:trPr>
        <w:tc>
          <w:tcPr>
            <w:tcW w:w="1280" w:type="dxa"/>
            <w:vAlign w:val="bottom"/>
            <w:vMerge w:val="restart"/>
            <w:shd w:val="clear" w:color="auto" w:fill="ECEDED"/>
          </w:tcPr>
          <w:p>
            <w:pPr>
              <w:ind w:left="40"/>
              <w:spacing w:after="0"/>
              <w:rPr>
                <w:sz w:val="20"/>
                <w:szCs w:val="20"/>
                <w:color w:val="auto"/>
              </w:rPr>
            </w:pPr>
            <w:r>
              <w:rPr>
                <w:rFonts w:ascii="Arial" w:cs="Arial" w:eastAsia="Arial" w:hAnsi="Arial"/>
                <w:sz w:val="12"/>
                <w:szCs w:val="12"/>
                <w:b w:val="1"/>
                <w:bCs w:val="1"/>
                <w:color w:val="auto"/>
              </w:rPr>
              <w:t>Experience</w:t>
            </w:r>
          </w:p>
        </w:tc>
        <w:tc>
          <w:tcPr>
            <w:tcW w:w="640" w:type="dxa"/>
            <w:vAlign w:val="bottom"/>
            <w:vMerge w:val="continue"/>
            <w:shd w:val="clear" w:color="auto" w:fill="ECEDED"/>
          </w:tcPr>
          <w:p>
            <w:pPr>
              <w:spacing w:after="0"/>
              <w:rPr>
                <w:sz w:val="7"/>
                <w:szCs w:val="7"/>
                <w:color w:val="auto"/>
              </w:rPr>
            </w:pPr>
          </w:p>
        </w:tc>
        <w:tc>
          <w:tcPr>
            <w:tcW w:w="500" w:type="dxa"/>
            <w:vAlign w:val="bottom"/>
            <w:vMerge w:val="continue"/>
            <w:shd w:val="clear" w:color="auto" w:fill="ECEDED"/>
          </w:tcPr>
          <w:p>
            <w:pPr>
              <w:spacing w:after="0"/>
              <w:rPr>
                <w:sz w:val="7"/>
                <w:szCs w:val="7"/>
                <w:color w:val="auto"/>
              </w:rPr>
            </w:pPr>
          </w:p>
        </w:tc>
        <w:tc>
          <w:tcPr>
            <w:tcW w:w="560" w:type="dxa"/>
            <w:vAlign w:val="bottom"/>
            <w:vMerge w:val="continue"/>
            <w:shd w:val="clear" w:color="auto" w:fill="ECEDED"/>
          </w:tcPr>
          <w:p>
            <w:pPr>
              <w:spacing w:after="0"/>
              <w:rPr>
                <w:sz w:val="7"/>
                <w:szCs w:val="7"/>
                <w:color w:val="auto"/>
              </w:rPr>
            </w:pPr>
          </w:p>
        </w:tc>
        <w:tc>
          <w:tcPr>
            <w:tcW w:w="640" w:type="dxa"/>
            <w:vAlign w:val="bottom"/>
            <w:vMerge w:val="continue"/>
            <w:shd w:val="clear" w:color="auto" w:fill="ECEDED"/>
          </w:tcPr>
          <w:p>
            <w:pPr>
              <w:spacing w:after="0"/>
              <w:rPr>
                <w:sz w:val="7"/>
                <w:szCs w:val="7"/>
                <w:color w:val="auto"/>
              </w:rPr>
            </w:pPr>
          </w:p>
        </w:tc>
        <w:tc>
          <w:tcPr>
            <w:tcW w:w="560" w:type="dxa"/>
            <w:vAlign w:val="bottom"/>
            <w:vMerge w:val="continue"/>
            <w:shd w:val="clear" w:color="auto" w:fill="ECEDED"/>
          </w:tcPr>
          <w:p>
            <w:pPr>
              <w:spacing w:after="0"/>
              <w:rPr>
                <w:sz w:val="7"/>
                <w:szCs w:val="7"/>
                <w:color w:val="auto"/>
              </w:rPr>
            </w:pPr>
          </w:p>
        </w:tc>
        <w:tc>
          <w:tcPr>
            <w:tcW w:w="460" w:type="dxa"/>
            <w:vAlign w:val="bottom"/>
            <w:vMerge w:val="continue"/>
            <w:shd w:val="clear" w:color="auto" w:fill="ECEDED"/>
          </w:tcPr>
          <w:p>
            <w:pPr>
              <w:spacing w:after="0"/>
              <w:rPr>
                <w:sz w:val="7"/>
                <w:szCs w:val="7"/>
                <w:color w:val="auto"/>
              </w:rPr>
            </w:pPr>
          </w:p>
        </w:tc>
        <w:tc>
          <w:tcPr>
            <w:tcW w:w="700" w:type="dxa"/>
            <w:vAlign w:val="bottom"/>
            <w:vMerge w:val="continue"/>
            <w:shd w:val="clear" w:color="auto" w:fill="ECEDED"/>
          </w:tcPr>
          <w:p>
            <w:pPr>
              <w:spacing w:after="0"/>
              <w:rPr>
                <w:sz w:val="7"/>
                <w:szCs w:val="7"/>
                <w:color w:val="auto"/>
              </w:rPr>
            </w:pPr>
          </w:p>
        </w:tc>
        <w:tc>
          <w:tcPr>
            <w:tcW w:w="480" w:type="dxa"/>
            <w:vAlign w:val="bottom"/>
            <w:vMerge w:val="continue"/>
            <w:shd w:val="clear" w:color="auto" w:fill="ECEDED"/>
          </w:tcPr>
          <w:p>
            <w:pPr>
              <w:spacing w:after="0"/>
              <w:rPr>
                <w:sz w:val="7"/>
                <w:szCs w:val="7"/>
                <w:color w:val="auto"/>
              </w:rPr>
            </w:pPr>
          </w:p>
        </w:tc>
        <w:tc>
          <w:tcPr>
            <w:tcW w:w="840" w:type="dxa"/>
            <w:vAlign w:val="bottom"/>
            <w:vMerge w:val="continue"/>
            <w:shd w:val="clear" w:color="auto" w:fill="ECEDED"/>
          </w:tcPr>
          <w:p>
            <w:pPr>
              <w:spacing w:after="0"/>
              <w:rPr>
                <w:sz w:val="7"/>
                <w:szCs w:val="7"/>
                <w:color w:val="auto"/>
              </w:rPr>
            </w:pPr>
          </w:p>
        </w:tc>
        <w:tc>
          <w:tcPr>
            <w:tcW w:w="560" w:type="dxa"/>
            <w:vAlign w:val="bottom"/>
            <w:vMerge w:val="continue"/>
            <w:shd w:val="clear" w:color="auto" w:fill="ECEDED"/>
          </w:tcPr>
          <w:p>
            <w:pPr>
              <w:spacing w:after="0"/>
              <w:rPr>
                <w:sz w:val="7"/>
                <w:szCs w:val="7"/>
                <w:color w:val="auto"/>
              </w:rPr>
            </w:pPr>
          </w:p>
        </w:tc>
        <w:tc>
          <w:tcPr>
            <w:tcW w:w="860" w:type="dxa"/>
            <w:vAlign w:val="bottom"/>
            <w:vMerge w:val="continue"/>
            <w:shd w:val="clear" w:color="auto" w:fill="ECEDED"/>
          </w:tcPr>
          <w:p>
            <w:pPr>
              <w:spacing w:after="0"/>
              <w:rPr>
                <w:sz w:val="7"/>
                <w:szCs w:val="7"/>
                <w:color w:val="auto"/>
              </w:rPr>
            </w:pPr>
          </w:p>
        </w:tc>
        <w:tc>
          <w:tcPr>
            <w:tcW w:w="560" w:type="dxa"/>
            <w:vAlign w:val="bottom"/>
            <w:vMerge w:val="continue"/>
            <w:shd w:val="clear" w:color="auto" w:fill="ECEDED"/>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shd w:val="clear" w:color="auto" w:fill="ECEDED"/>
          </w:tcPr>
          <w:p>
            <w:pPr>
              <w:spacing w:after="0"/>
              <w:rPr>
                <w:sz w:val="5"/>
                <w:szCs w:val="5"/>
                <w:color w:val="auto"/>
              </w:rPr>
            </w:pPr>
          </w:p>
        </w:tc>
        <w:tc>
          <w:tcPr>
            <w:tcW w:w="640" w:type="dxa"/>
            <w:vAlign w:val="bottom"/>
            <w:shd w:val="clear" w:color="auto" w:fill="ECEDED"/>
          </w:tcPr>
          <w:p>
            <w:pPr>
              <w:spacing w:after="0"/>
              <w:rPr>
                <w:sz w:val="5"/>
                <w:szCs w:val="5"/>
                <w:color w:val="auto"/>
              </w:rPr>
            </w:pPr>
          </w:p>
        </w:tc>
        <w:tc>
          <w:tcPr>
            <w:tcW w:w="500" w:type="dxa"/>
            <w:vAlign w:val="bottom"/>
            <w:shd w:val="clear" w:color="auto" w:fill="ECEDED"/>
          </w:tcPr>
          <w:p>
            <w:pPr>
              <w:spacing w:after="0"/>
              <w:rPr>
                <w:sz w:val="5"/>
                <w:szCs w:val="5"/>
                <w:color w:val="auto"/>
              </w:rPr>
            </w:pPr>
          </w:p>
        </w:tc>
        <w:tc>
          <w:tcPr>
            <w:tcW w:w="560" w:type="dxa"/>
            <w:vAlign w:val="bottom"/>
            <w:shd w:val="clear" w:color="auto" w:fill="ECEDED"/>
          </w:tcPr>
          <w:p>
            <w:pPr>
              <w:spacing w:after="0"/>
              <w:rPr>
                <w:sz w:val="5"/>
                <w:szCs w:val="5"/>
                <w:color w:val="auto"/>
              </w:rPr>
            </w:pPr>
          </w:p>
        </w:tc>
        <w:tc>
          <w:tcPr>
            <w:tcW w:w="640" w:type="dxa"/>
            <w:vAlign w:val="bottom"/>
            <w:shd w:val="clear" w:color="auto" w:fill="ECEDED"/>
          </w:tcPr>
          <w:p>
            <w:pPr>
              <w:spacing w:after="0"/>
              <w:rPr>
                <w:sz w:val="5"/>
                <w:szCs w:val="5"/>
                <w:color w:val="auto"/>
              </w:rPr>
            </w:pPr>
          </w:p>
        </w:tc>
        <w:tc>
          <w:tcPr>
            <w:tcW w:w="560" w:type="dxa"/>
            <w:vAlign w:val="bottom"/>
            <w:shd w:val="clear" w:color="auto" w:fill="ECEDED"/>
          </w:tcPr>
          <w:p>
            <w:pPr>
              <w:spacing w:after="0"/>
              <w:rPr>
                <w:sz w:val="5"/>
                <w:szCs w:val="5"/>
                <w:color w:val="auto"/>
              </w:rPr>
            </w:pPr>
          </w:p>
        </w:tc>
        <w:tc>
          <w:tcPr>
            <w:tcW w:w="460" w:type="dxa"/>
            <w:vAlign w:val="bottom"/>
            <w:shd w:val="clear" w:color="auto" w:fill="ECEDED"/>
          </w:tcPr>
          <w:p>
            <w:pPr>
              <w:spacing w:after="0"/>
              <w:rPr>
                <w:sz w:val="5"/>
                <w:szCs w:val="5"/>
                <w:color w:val="auto"/>
              </w:rPr>
            </w:pPr>
          </w:p>
        </w:tc>
        <w:tc>
          <w:tcPr>
            <w:tcW w:w="700" w:type="dxa"/>
            <w:vAlign w:val="bottom"/>
            <w:shd w:val="clear" w:color="auto" w:fill="ECEDED"/>
          </w:tcPr>
          <w:p>
            <w:pPr>
              <w:spacing w:after="0"/>
              <w:rPr>
                <w:sz w:val="5"/>
                <w:szCs w:val="5"/>
                <w:color w:val="auto"/>
              </w:rPr>
            </w:pPr>
          </w:p>
        </w:tc>
        <w:tc>
          <w:tcPr>
            <w:tcW w:w="480" w:type="dxa"/>
            <w:vAlign w:val="bottom"/>
            <w:shd w:val="clear" w:color="auto" w:fill="ECEDED"/>
          </w:tcPr>
          <w:p>
            <w:pPr>
              <w:spacing w:after="0"/>
              <w:rPr>
                <w:sz w:val="5"/>
                <w:szCs w:val="5"/>
                <w:color w:val="auto"/>
              </w:rPr>
            </w:pPr>
          </w:p>
        </w:tc>
        <w:tc>
          <w:tcPr>
            <w:tcW w:w="840" w:type="dxa"/>
            <w:vAlign w:val="bottom"/>
            <w:shd w:val="clear" w:color="auto" w:fill="ECEDED"/>
          </w:tcPr>
          <w:p>
            <w:pPr>
              <w:spacing w:after="0"/>
              <w:rPr>
                <w:sz w:val="5"/>
                <w:szCs w:val="5"/>
                <w:color w:val="auto"/>
              </w:rPr>
            </w:pPr>
          </w:p>
        </w:tc>
        <w:tc>
          <w:tcPr>
            <w:tcW w:w="560" w:type="dxa"/>
            <w:vAlign w:val="bottom"/>
            <w:shd w:val="clear" w:color="auto" w:fill="ECEDED"/>
          </w:tcPr>
          <w:p>
            <w:pPr>
              <w:spacing w:after="0"/>
              <w:rPr>
                <w:sz w:val="5"/>
                <w:szCs w:val="5"/>
                <w:color w:val="auto"/>
              </w:rPr>
            </w:pPr>
          </w:p>
        </w:tc>
        <w:tc>
          <w:tcPr>
            <w:tcW w:w="860" w:type="dxa"/>
            <w:vAlign w:val="bottom"/>
            <w:shd w:val="clear" w:color="auto" w:fill="ECEDED"/>
          </w:tcPr>
          <w:p>
            <w:pPr>
              <w:spacing w:after="0"/>
              <w:rPr>
                <w:sz w:val="5"/>
                <w:szCs w:val="5"/>
                <w:color w:val="auto"/>
              </w:rPr>
            </w:pPr>
          </w:p>
        </w:tc>
        <w:tc>
          <w:tcPr>
            <w:tcW w:w="560" w:type="dxa"/>
            <w:vAlign w:val="bottom"/>
            <w:shd w:val="clear" w:color="auto" w:fill="ECEDED"/>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280" w:type="dxa"/>
            <w:vAlign w:val="bottom"/>
            <w:tcBorders>
              <w:bottom w:val="single" w:sz="8" w:color="58585A"/>
            </w:tcBorders>
            <w:shd w:val="clear" w:color="auto" w:fill="ECEDED"/>
          </w:tcPr>
          <w:p>
            <w:pPr>
              <w:spacing w:after="0"/>
              <w:rPr>
                <w:sz w:val="6"/>
                <w:szCs w:val="6"/>
                <w:color w:val="auto"/>
              </w:rPr>
            </w:pPr>
          </w:p>
        </w:tc>
        <w:tc>
          <w:tcPr>
            <w:tcW w:w="640" w:type="dxa"/>
            <w:vAlign w:val="bottom"/>
            <w:tcBorders>
              <w:bottom w:val="single" w:sz="8" w:color="58585A"/>
            </w:tcBorders>
            <w:shd w:val="clear" w:color="auto" w:fill="ECEDED"/>
          </w:tcPr>
          <w:p>
            <w:pPr>
              <w:spacing w:after="0"/>
              <w:rPr>
                <w:sz w:val="6"/>
                <w:szCs w:val="6"/>
                <w:color w:val="auto"/>
              </w:rPr>
            </w:pPr>
          </w:p>
        </w:tc>
        <w:tc>
          <w:tcPr>
            <w:tcW w:w="500" w:type="dxa"/>
            <w:vAlign w:val="bottom"/>
            <w:tcBorders>
              <w:bottom w:val="single" w:sz="8" w:color="58585A"/>
            </w:tcBorders>
            <w:shd w:val="clear" w:color="auto" w:fill="ECEDED"/>
          </w:tcPr>
          <w:p>
            <w:pPr>
              <w:spacing w:after="0"/>
              <w:rPr>
                <w:sz w:val="6"/>
                <w:szCs w:val="6"/>
                <w:color w:val="auto"/>
              </w:rPr>
            </w:pPr>
          </w:p>
        </w:tc>
        <w:tc>
          <w:tcPr>
            <w:tcW w:w="560" w:type="dxa"/>
            <w:vAlign w:val="bottom"/>
            <w:tcBorders>
              <w:bottom w:val="single" w:sz="8" w:color="58585A"/>
            </w:tcBorders>
            <w:shd w:val="clear" w:color="auto" w:fill="ECEDED"/>
          </w:tcPr>
          <w:p>
            <w:pPr>
              <w:spacing w:after="0"/>
              <w:rPr>
                <w:sz w:val="6"/>
                <w:szCs w:val="6"/>
                <w:color w:val="auto"/>
              </w:rPr>
            </w:pPr>
          </w:p>
        </w:tc>
        <w:tc>
          <w:tcPr>
            <w:tcW w:w="640" w:type="dxa"/>
            <w:vAlign w:val="bottom"/>
            <w:tcBorders>
              <w:bottom w:val="single" w:sz="8" w:color="58585A"/>
            </w:tcBorders>
            <w:shd w:val="clear" w:color="auto" w:fill="ECEDED"/>
          </w:tcPr>
          <w:p>
            <w:pPr>
              <w:spacing w:after="0"/>
              <w:rPr>
                <w:sz w:val="6"/>
                <w:szCs w:val="6"/>
                <w:color w:val="auto"/>
              </w:rPr>
            </w:pPr>
          </w:p>
        </w:tc>
        <w:tc>
          <w:tcPr>
            <w:tcW w:w="560" w:type="dxa"/>
            <w:vAlign w:val="bottom"/>
            <w:tcBorders>
              <w:bottom w:val="single" w:sz="8" w:color="58585A"/>
            </w:tcBorders>
            <w:shd w:val="clear" w:color="auto" w:fill="ECEDED"/>
          </w:tcPr>
          <w:p>
            <w:pPr>
              <w:spacing w:after="0"/>
              <w:rPr>
                <w:sz w:val="6"/>
                <w:szCs w:val="6"/>
                <w:color w:val="auto"/>
              </w:rPr>
            </w:pPr>
          </w:p>
        </w:tc>
        <w:tc>
          <w:tcPr>
            <w:tcW w:w="460" w:type="dxa"/>
            <w:vAlign w:val="bottom"/>
            <w:tcBorders>
              <w:bottom w:val="single" w:sz="8" w:color="58585A"/>
            </w:tcBorders>
            <w:shd w:val="clear" w:color="auto" w:fill="ECEDED"/>
          </w:tcPr>
          <w:p>
            <w:pPr>
              <w:spacing w:after="0"/>
              <w:rPr>
                <w:sz w:val="6"/>
                <w:szCs w:val="6"/>
                <w:color w:val="auto"/>
              </w:rPr>
            </w:pPr>
          </w:p>
        </w:tc>
        <w:tc>
          <w:tcPr>
            <w:tcW w:w="700" w:type="dxa"/>
            <w:vAlign w:val="bottom"/>
            <w:tcBorders>
              <w:bottom w:val="single" w:sz="8" w:color="58585A"/>
            </w:tcBorders>
            <w:shd w:val="clear" w:color="auto" w:fill="ECEDED"/>
          </w:tcPr>
          <w:p>
            <w:pPr>
              <w:spacing w:after="0"/>
              <w:rPr>
                <w:sz w:val="6"/>
                <w:szCs w:val="6"/>
                <w:color w:val="auto"/>
              </w:rPr>
            </w:pPr>
          </w:p>
        </w:tc>
        <w:tc>
          <w:tcPr>
            <w:tcW w:w="480" w:type="dxa"/>
            <w:vAlign w:val="bottom"/>
            <w:tcBorders>
              <w:bottom w:val="single" w:sz="8" w:color="58585A"/>
            </w:tcBorders>
            <w:shd w:val="clear" w:color="auto" w:fill="ECEDED"/>
          </w:tcPr>
          <w:p>
            <w:pPr>
              <w:spacing w:after="0"/>
              <w:rPr>
                <w:sz w:val="6"/>
                <w:szCs w:val="6"/>
                <w:color w:val="auto"/>
              </w:rPr>
            </w:pPr>
          </w:p>
        </w:tc>
        <w:tc>
          <w:tcPr>
            <w:tcW w:w="840" w:type="dxa"/>
            <w:vAlign w:val="bottom"/>
            <w:tcBorders>
              <w:bottom w:val="single" w:sz="8" w:color="58585A"/>
            </w:tcBorders>
            <w:shd w:val="clear" w:color="auto" w:fill="ECEDED"/>
          </w:tcPr>
          <w:p>
            <w:pPr>
              <w:spacing w:after="0"/>
              <w:rPr>
                <w:sz w:val="6"/>
                <w:szCs w:val="6"/>
                <w:color w:val="auto"/>
              </w:rPr>
            </w:pPr>
          </w:p>
        </w:tc>
        <w:tc>
          <w:tcPr>
            <w:tcW w:w="560" w:type="dxa"/>
            <w:vAlign w:val="bottom"/>
            <w:tcBorders>
              <w:bottom w:val="single" w:sz="8" w:color="58585A"/>
            </w:tcBorders>
            <w:shd w:val="clear" w:color="auto" w:fill="ECEDED"/>
          </w:tcPr>
          <w:p>
            <w:pPr>
              <w:spacing w:after="0"/>
              <w:rPr>
                <w:sz w:val="6"/>
                <w:szCs w:val="6"/>
                <w:color w:val="auto"/>
              </w:rPr>
            </w:pPr>
          </w:p>
        </w:tc>
        <w:tc>
          <w:tcPr>
            <w:tcW w:w="860" w:type="dxa"/>
            <w:vAlign w:val="bottom"/>
            <w:tcBorders>
              <w:bottom w:val="single" w:sz="8" w:color="58585A"/>
            </w:tcBorders>
            <w:shd w:val="clear" w:color="auto" w:fill="ECEDED"/>
          </w:tcPr>
          <w:p>
            <w:pPr>
              <w:spacing w:after="0"/>
              <w:rPr>
                <w:sz w:val="6"/>
                <w:szCs w:val="6"/>
                <w:color w:val="auto"/>
              </w:rPr>
            </w:pPr>
          </w:p>
        </w:tc>
        <w:tc>
          <w:tcPr>
            <w:tcW w:w="560" w:type="dxa"/>
            <w:vAlign w:val="bottom"/>
            <w:tcBorders>
              <w:bottom w:val="single" w:sz="8" w:color="58585A"/>
            </w:tcBorders>
            <w:shd w:val="clear" w:color="auto" w:fill="ECEDED"/>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280" w:type="dxa"/>
            <w:vAlign w:val="bottom"/>
          </w:tcPr>
          <w:p>
            <w:pPr>
              <w:ind w:left="40"/>
              <w:spacing w:after="0"/>
              <w:rPr>
                <w:sz w:val="20"/>
                <w:szCs w:val="20"/>
                <w:color w:val="auto"/>
              </w:rPr>
            </w:pPr>
            <w:r>
              <w:rPr>
                <w:rFonts w:ascii="Arial" w:cs="Arial" w:eastAsia="Arial" w:hAnsi="Arial"/>
                <w:sz w:val="12"/>
                <w:szCs w:val="12"/>
                <w:b w:val="1"/>
                <w:bCs w:val="1"/>
                <w:color w:val="auto"/>
              </w:rPr>
              <w:t>Science/Biotech</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C44E5D"/>
              </w:rPr>
              <w:t>●</w:t>
            </w:r>
          </w:p>
        </w:tc>
        <w:tc>
          <w:tcPr>
            <w:tcW w:w="500" w:type="dxa"/>
            <w:vAlign w:val="bottom"/>
            <w:vMerge w:val="restart"/>
          </w:tcPr>
          <w:p>
            <w:pPr>
              <w:jc w:val="center"/>
              <w:spacing w:after="0"/>
              <w:rPr>
                <w:sz w:val="20"/>
                <w:szCs w:val="20"/>
                <w:color w:val="auto"/>
              </w:rPr>
            </w:pPr>
            <w:r>
              <w:rPr>
                <w:rFonts w:ascii="Arial" w:cs="Arial" w:eastAsia="Arial" w:hAnsi="Arial"/>
                <w:sz w:val="12"/>
                <w:szCs w:val="12"/>
                <w:color w:val="C44E5D"/>
                <w:w w:val="82"/>
              </w:rPr>
              <w:t>●</w:t>
            </w:r>
          </w:p>
        </w:tc>
        <w:tc>
          <w:tcPr>
            <w:tcW w:w="560" w:type="dxa"/>
            <w:vAlign w:val="bottom"/>
            <w:vMerge w:val="restart"/>
          </w:tcPr>
          <w:p>
            <w:pPr>
              <w:jc w:val="center"/>
              <w:spacing w:after="0"/>
              <w:rPr>
                <w:sz w:val="20"/>
                <w:szCs w:val="20"/>
                <w:color w:val="auto"/>
              </w:rPr>
            </w:pPr>
            <w:r>
              <w:rPr>
                <w:rFonts w:ascii="Arial" w:cs="Arial" w:eastAsia="Arial" w:hAnsi="Arial"/>
                <w:sz w:val="12"/>
                <w:szCs w:val="12"/>
                <w:color w:val="C44E5D"/>
              </w:rPr>
              <w:t>●</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C44E5D"/>
              </w:rPr>
              <w:t>●</w:t>
            </w:r>
          </w:p>
        </w:tc>
        <w:tc>
          <w:tcPr>
            <w:tcW w:w="560" w:type="dxa"/>
            <w:vAlign w:val="bottom"/>
            <w:vMerge w:val="restart"/>
          </w:tcPr>
          <w:p>
            <w:pPr>
              <w:jc w:val="center"/>
              <w:spacing w:after="0"/>
              <w:rPr>
                <w:sz w:val="20"/>
                <w:szCs w:val="20"/>
                <w:color w:val="auto"/>
              </w:rPr>
            </w:pPr>
            <w:r>
              <w:rPr>
                <w:rFonts w:ascii="Arial" w:cs="Arial" w:eastAsia="Arial" w:hAnsi="Arial"/>
                <w:sz w:val="12"/>
                <w:szCs w:val="12"/>
                <w:color w:val="C44E5D"/>
              </w:rPr>
              <w:t>●</w:t>
            </w:r>
          </w:p>
        </w:tc>
        <w:tc>
          <w:tcPr>
            <w:tcW w:w="460" w:type="dxa"/>
            <w:vAlign w:val="bottom"/>
          </w:tcPr>
          <w:p>
            <w:pPr>
              <w:spacing w:after="0"/>
              <w:rPr>
                <w:sz w:val="17"/>
                <w:szCs w:val="17"/>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color w:val="C44E5D"/>
                <w:w w:val="82"/>
              </w:rPr>
              <w:t>●</w:t>
            </w:r>
          </w:p>
        </w:tc>
        <w:tc>
          <w:tcPr>
            <w:tcW w:w="480" w:type="dxa"/>
            <w:vAlign w:val="bottom"/>
            <w:vMerge w:val="restart"/>
          </w:tcPr>
          <w:p>
            <w:pPr>
              <w:jc w:val="center"/>
              <w:spacing w:after="0"/>
              <w:rPr>
                <w:sz w:val="20"/>
                <w:szCs w:val="20"/>
                <w:color w:val="auto"/>
              </w:rPr>
            </w:pPr>
            <w:r>
              <w:rPr>
                <w:rFonts w:ascii="Arial" w:cs="Arial" w:eastAsia="Arial" w:hAnsi="Arial"/>
                <w:sz w:val="12"/>
                <w:szCs w:val="12"/>
                <w:color w:val="C44E5D"/>
              </w:rPr>
              <w:t>●</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C44E5D"/>
              </w:rPr>
              <w:t>●</w:t>
            </w:r>
          </w:p>
        </w:tc>
        <w:tc>
          <w:tcPr>
            <w:tcW w:w="560" w:type="dxa"/>
            <w:vAlign w:val="bottom"/>
            <w:vMerge w:val="restart"/>
          </w:tcPr>
          <w:p>
            <w:pPr>
              <w:jc w:val="center"/>
              <w:spacing w:after="0"/>
              <w:rPr>
                <w:sz w:val="20"/>
                <w:szCs w:val="20"/>
                <w:color w:val="auto"/>
              </w:rPr>
            </w:pPr>
            <w:r>
              <w:rPr>
                <w:rFonts w:ascii="Arial" w:cs="Arial" w:eastAsia="Arial" w:hAnsi="Arial"/>
                <w:sz w:val="12"/>
                <w:szCs w:val="12"/>
                <w:color w:val="C44E5D"/>
              </w:rPr>
              <w:t>●</w:t>
            </w:r>
          </w:p>
        </w:tc>
        <w:tc>
          <w:tcPr>
            <w:tcW w:w="860" w:type="dxa"/>
            <w:vAlign w:val="bottom"/>
            <w:vMerge w:val="restart"/>
          </w:tcPr>
          <w:p>
            <w:pPr>
              <w:jc w:val="center"/>
              <w:spacing w:after="0"/>
              <w:rPr>
                <w:sz w:val="20"/>
                <w:szCs w:val="20"/>
                <w:color w:val="auto"/>
              </w:rPr>
            </w:pPr>
            <w:r>
              <w:rPr>
                <w:rFonts w:ascii="Arial" w:cs="Arial" w:eastAsia="Arial" w:hAnsi="Arial"/>
                <w:sz w:val="12"/>
                <w:szCs w:val="12"/>
                <w:color w:val="C44E5D"/>
              </w:rPr>
              <w:t>●</w:t>
            </w:r>
          </w:p>
        </w:tc>
        <w:tc>
          <w:tcPr>
            <w:tcW w:w="560" w:type="dxa"/>
            <w:vAlign w:val="bottom"/>
            <w:vMerge w:val="restart"/>
          </w:tcPr>
          <w:p>
            <w:pPr>
              <w:jc w:val="center"/>
              <w:ind w:right="2"/>
              <w:spacing w:after="0"/>
              <w:rPr>
                <w:sz w:val="20"/>
                <w:szCs w:val="20"/>
                <w:color w:val="auto"/>
              </w:rPr>
            </w:pPr>
            <w:r>
              <w:rPr>
                <w:rFonts w:ascii="Arial" w:cs="Arial" w:eastAsia="Arial" w:hAnsi="Arial"/>
                <w:sz w:val="12"/>
                <w:szCs w:val="12"/>
                <w:color w:val="C44E5D"/>
                <w:w w:val="82"/>
              </w:rPr>
              <w:t>●</w:t>
            </w:r>
          </w:p>
        </w:tc>
        <w:tc>
          <w:tcPr>
            <w:tcW w:w="0" w:type="dxa"/>
            <w:vAlign w:val="bottom"/>
          </w:tcPr>
          <w:p>
            <w:pPr>
              <w:spacing w:after="0"/>
              <w:rPr>
                <w:sz w:val="1"/>
                <w:szCs w:val="1"/>
                <w:color w:val="auto"/>
              </w:rPr>
            </w:pPr>
          </w:p>
        </w:tc>
      </w:tr>
      <w:tr>
        <w:trPr>
          <w:trHeight w:val="86"/>
        </w:trPr>
        <w:tc>
          <w:tcPr>
            <w:tcW w:w="12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Background</w:t>
            </w:r>
          </w:p>
        </w:tc>
        <w:tc>
          <w:tcPr>
            <w:tcW w:w="6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280" w:type="dxa"/>
            <w:vAlign w:val="bottom"/>
            <w:tcBorders>
              <w:bottom w:val="single" w:sz="8" w:color="58585A"/>
            </w:tcBorders>
          </w:tcPr>
          <w:p>
            <w:pPr>
              <w:spacing w:after="0"/>
              <w:rPr>
                <w:sz w:val="6"/>
                <w:szCs w:val="6"/>
                <w:color w:val="auto"/>
              </w:rPr>
            </w:pPr>
          </w:p>
        </w:tc>
        <w:tc>
          <w:tcPr>
            <w:tcW w:w="640" w:type="dxa"/>
            <w:vAlign w:val="bottom"/>
            <w:tcBorders>
              <w:bottom w:val="single" w:sz="8" w:color="58585A"/>
            </w:tcBorders>
          </w:tcPr>
          <w:p>
            <w:pPr>
              <w:spacing w:after="0"/>
              <w:rPr>
                <w:sz w:val="6"/>
                <w:szCs w:val="6"/>
                <w:color w:val="auto"/>
              </w:rPr>
            </w:pPr>
          </w:p>
        </w:tc>
        <w:tc>
          <w:tcPr>
            <w:tcW w:w="500" w:type="dxa"/>
            <w:vAlign w:val="bottom"/>
            <w:tcBorders>
              <w:bottom w:val="single" w:sz="8" w:color="58585A"/>
            </w:tcBorders>
          </w:tcPr>
          <w:p>
            <w:pPr>
              <w:spacing w:after="0"/>
              <w:rPr>
                <w:sz w:val="6"/>
                <w:szCs w:val="6"/>
                <w:color w:val="auto"/>
              </w:rPr>
            </w:pPr>
          </w:p>
        </w:tc>
        <w:tc>
          <w:tcPr>
            <w:tcW w:w="560" w:type="dxa"/>
            <w:vAlign w:val="bottom"/>
            <w:tcBorders>
              <w:bottom w:val="single" w:sz="8" w:color="58585A"/>
            </w:tcBorders>
          </w:tcPr>
          <w:p>
            <w:pPr>
              <w:spacing w:after="0"/>
              <w:rPr>
                <w:sz w:val="6"/>
                <w:szCs w:val="6"/>
                <w:color w:val="auto"/>
              </w:rPr>
            </w:pPr>
          </w:p>
        </w:tc>
        <w:tc>
          <w:tcPr>
            <w:tcW w:w="640" w:type="dxa"/>
            <w:vAlign w:val="bottom"/>
            <w:tcBorders>
              <w:bottom w:val="single" w:sz="8" w:color="58585A"/>
            </w:tcBorders>
          </w:tcPr>
          <w:p>
            <w:pPr>
              <w:spacing w:after="0"/>
              <w:rPr>
                <w:sz w:val="6"/>
                <w:szCs w:val="6"/>
                <w:color w:val="auto"/>
              </w:rPr>
            </w:pPr>
          </w:p>
        </w:tc>
        <w:tc>
          <w:tcPr>
            <w:tcW w:w="560" w:type="dxa"/>
            <w:vAlign w:val="bottom"/>
            <w:tcBorders>
              <w:bottom w:val="single" w:sz="8" w:color="58585A"/>
            </w:tcBorders>
          </w:tcPr>
          <w:p>
            <w:pPr>
              <w:spacing w:after="0"/>
              <w:rPr>
                <w:sz w:val="6"/>
                <w:szCs w:val="6"/>
                <w:color w:val="auto"/>
              </w:rPr>
            </w:pPr>
          </w:p>
        </w:tc>
        <w:tc>
          <w:tcPr>
            <w:tcW w:w="460" w:type="dxa"/>
            <w:vAlign w:val="bottom"/>
            <w:tcBorders>
              <w:bottom w:val="single" w:sz="8" w:color="58585A"/>
            </w:tcBorders>
          </w:tcPr>
          <w:p>
            <w:pPr>
              <w:spacing w:after="0"/>
              <w:rPr>
                <w:sz w:val="6"/>
                <w:szCs w:val="6"/>
                <w:color w:val="auto"/>
              </w:rPr>
            </w:pPr>
          </w:p>
        </w:tc>
        <w:tc>
          <w:tcPr>
            <w:tcW w:w="700" w:type="dxa"/>
            <w:vAlign w:val="bottom"/>
            <w:tcBorders>
              <w:bottom w:val="single" w:sz="8" w:color="58585A"/>
            </w:tcBorders>
          </w:tcPr>
          <w:p>
            <w:pPr>
              <w:spacing w:after="0"/>
              <w:rPr>
                <w:sz w:val="6"/>
                <w:szCs w:val="6"/>
                <w:color w:val="auto"/>
              </w:rPr>
            </w:pPr>
          </w:p>
        </w:tc>
        <w:tc>
          <w:tcPr>
            <w:tcW w:w="480" w:type="dxa"/>
            <w:vAlign w:val="bottom"/>
            <w:tcBorders>
              <w:bottom w:val="single" w:sz="8" w:color="58585A"/>
            </w:tcBorders>
          </w:tcPr>
          <w:p>
            <w:pPr>
              <w:spacing w:after="0"/>
              <w:rPr>
                <w:sz w:val="6"/>
                <w:szCs w:val="6"/>
                <w:color w:val="auto"/>
              </w:rPr>
            </w:pPr>
          </w:p>
        </w:tc>
        <w:tc>
          <w:tcPr>
            <w:tcW w:w="840" w:type="dxa"/>
            <w:vAlign w:val="bottom"/>
            <w:tcBorders>
              <w:bottom w:val="single" w:sz="8" w:color="58585A"/>
            </w:tcBorders>
          </w:tcPr>
          <w:p>
            <w:pPr>
              <w:spacing w:after="0"/>
              <w:rPr>
                <w:sz w:val="6"/>
                <w:szCs w:val="6"/>
                <w:color w:val="auto"/>
              </w:rPr>
            </w:pPr>
          </w:p>
        </w:tc>
        <w:tc>
          <w:tcPr>
            <w:tcW w:w="560" w:type="dxa"/>
            <w:vAlign w:val="bottom"/>
            <w:tcBorders>
              <w:bottom w:val="single" w:sz="8" w:color="58585A"/>
            </w:tcBorders>
          </w:tcPr>
          <w:p>
            <w:pPr>
              <w:spacing w:after="0"/>
              <w:rPr>
                <w:sz w:val="6"/>
                <w:szCs w:val="6"/>
                <w:color w:val="auto"/>
              </w:rPr>
            </w:pPr>
          </w:p>
        </w:tc>
        <w:tc>
          <w:tcPr>
            <w:tcW w:w="860" w:type="dxa"/>
            <w:vAlign w:val="bottom"/>
            <w:tcBorders>
              <w:bottom w:val="single" w:sz="8" w:color="58585A"/>
            </w:tcBorders>
          </w:tcPr>
          <w:p>
            <w:pPr>
              <w:spacing w:after="0"/>
              <w:rPr>
                <w:sz w:val="6"/>
                <w:szCs w:val="6"/>
                <w:color w:val="auto"/>
              </w:rPr>
            </w:pPr>
          </w:p>
        </w:tc>
        <w:tc>
          <w:tcPr>
            <w:tcW w:w="560" w:type="dxa"/>
            <w:vAlign w:val="bottom"/>
            <w:tcBorders>
              <w:bottom w:val="single" w:sz="8" w:color="58585A"/>
            </w:tcBorders>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280" w:type="dxa"/>
            <w:vAlign w:val="bottom"/>
            <w:shd w:val="clear" w:color="auto" w:fill="ECEDED"/>
          </w:tcPr>
          <w:p>
            <w:pPr>
              <w:ind w:left="40"/>
              <w:spacing w:after="0"/>
              <w:rPr>
                <w:sz w:val="20"/>
                <w:szCs w:val="20"/>
                <w:color w:val="auto"/>
              </w:rPr>
            </w:pPr>
            <w:r>
              <w:rPr>
                <w:rFonts w:ascii="Arial" w:cs="Arial" w:eastAsia="Arial" w:hAnsi="Arial"/>
                <w:sz w:val="12"/>
                <w:szCs w:val="12"/>
                <w:b w:val="1"/>
                <w:bCs w:val="1"/>
                <w:color w:val="auto"/>
              </w:rPr>
              <w:t>Research/Academic</w:t>
            </w:r>
          </w:p>
        </w:tc>
        <w:tc>
          <w:tcPr>
            <w:tcW w:w="64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50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w w:val="82"/>
              </w:rPr>
              <w:t>●</w:t>
            </w:r>
          </w:p>
        </w:tc>
        <w:tc>
          <w:tcPr>
            <w:tcW w:w="56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64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56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460" w:type="dxa"/>
            <w:vAlign w:val="bottom"/>
            <w:shd w:val="clear" w:color="auto" w:fill="ECEDED"/>
          </w:tcPr>
          <w:p>
            <w:pPr>
              <w:spacing w:after="0"/>
              <w:rPr>
                <w:sz w:val="17"/>
                <w:szCs w:val="17"/>
                <w:color w:val="auto"/>
              </w:rPr>
            </w:pPr>
          </w:p>
        </w:tc>
        <w:tc>
          <w:tcPr>
            <w:tcW w:w="70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w w:val="82"/>
              </w:rPr>
              <w:t>●</w:t>
            </w:r>
          </w:p>
        </w:tc>
        <w:tc>
          <w:tcPr>
            <w:tcW w:w="480" w:type="dxa"/>
            <w:vAlign w:val="bottom"/>
            <w:shd w:val="clear" w:color="auto" w:fill="ECEDED"/>
          </w:tcPr>
          <w:p>
            <w:pPr>
              <w:spacing w:after="0"/>
              <w:rPr>
                <w:sz w:val="17"/>
                <w:szCs w:val="17"/>
                <w:color w:val="auto"/>
              </w:rPr>
            </w:pPr>
          </w:p>
        </w:tc>
        <w:tc>
          <w:tcPr>
            <w:tcW w:w="84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56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860" w:type="dxa"/>
            <w:vAlign w:val="bottom"/>
            <w:vMerge w:val="restart"/>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560" w:type="dxa"/>
            <w:vAlign w:val="bottom"/>
            <w:vMerge w:val="restart"/>
            <w:shd w:val="clear" w:color="auto" w:fill="ECEDED"/>
          </w:tcPr>
          <w:p>
            <w:pPr>
              <w:jc w:val="center"/>
              <w:ind w:right="2"/>
              <w:spacing w:after="0"/>
              <w:rPr>
                <w:sz w:val="20"/>
                <w:szCs w:val="20"/>
                <w:color w:val="auto"/>
              </w:rPr>
            </w:pPr>
            <w:r>
              <w:rPr>
                <w:rFonts w:ascii="Arial" w:cs="Arial" w:eastAsia="Arial" w:hAnsi="Arial"/>
                <w:sz w:val="12"/>
                <w:szCs w:val="12"/>
                <w:color w:val="C44E5D"/>
                <w:w w:val="82"/>
              </w:rPr>
              <w:t>●</w:t>
            </w:r>
          </w:p>
        </w:tc>
        <w:tc>
          <w:tcPr>
            <w:tcW w:w="0" w:type="dxa"/>
            <w:vAlign w:val="bottom"/>
          </w:tcPr>
          <w:p>
            <w:pPr>
              <w:spacing w:after="0"/>
              <w:rPr>
                <w:sz w:val="1"/>
                <w:szCs w:val="1"/>
                <w:color w:val="auto"/>
              </w:rPr>
            </w:pPr>
          </w:p>
        </w:tc>
      </w:tr>
      <w:tr>
        <w:trPr>
          <w:trHeight w:val="86"/>
        </w:trPr>
        <w:tc>
          <w:tcPr>
            <w:tcW w:w="1280" w:type="dxa"/>
            <w:vAlign w:val="bottom"/>
            <w:vMerge w:val="restart"/>
            <w:shd w:val="clear" w:color="auto" w:fill="ECEDED"/>
          </w:tcPr>
          <w:p>
            <w:pPr>
              <w:ind w:left="40"/>
              <w:spacing w:after="0"/>
              <w:rPr>
                <w:sz w:val="20"/>
                <w:szCs w:val="20"/>
                <w:color w:val="auto"/>
              </w:rPr>
            </w:pPr>
            <w:r>
              <w:rPr>
                <w:rFonts w:ascii="Arial" w:cs="Arial" w:eastAsia="Arial" w:hAnsi="Arial"/>
                <w:sz w:val="12"/>
                <w:szCs w:val="12"/>
                <w:b w:val="1"/>
                <w:bCs w:val="1"/>
                <w:color w:val="auto"/>
              </w:rPr>
              <w:t>Experience</w:t>
            </w:r>
          </w:p>
        </w:tc>
        <w:tc>
          <w:tcPr>
            <w:tcW w:w="640" w:type="dxa"/>
            <w:vAlign w:val="bottom"/>
            <w:vMerge w:val="continue"/>
            <w:shd w:val="clear" w:color="auto" w:fill="ECEDED"/>
          </w:tcPr>
          <w:p>
            <w:pPr>
              <w:spacing w:after="0"/>
              <w:rPr>
                <w:sz w:val="7"/>
                <w:szCs w:val="7"/>
                <w:color w:val="auto"/>
              </w:rPr>
            </w:pPr>
          </w:p>
        </w:tc>
        <w:tc>
          <w:tcPr>
            <w:tcW w:w="500" w:type="dxa"/>
            <w:vAlign w:val="bottom"/>
            <w:vMerge w:val="continue"/>
            <w:shd w:val="clear" w:color="auto" w:fill="ECEDED"/>
          </w:tcPr>
          <w:p>
            <w:pPr>
              <w:spacing w:after="0"/>
              <w:rPr>
                <w:sz w:val="7"/>
                <w:szCs w:val="7"/>
                <w:color w:val="auto"/>
              </w:rPr>
            </w:pPr>
          </w:p>
        </w:tc>
        <w:tc>
          <w:tcPr>
            <w:tcW w:w="560" w:type="dxa"/>
            <w:vAlign w:val="bottom"/>
            <w:vMerge w:val="continue"/>
            <w:shd w:val="clear" w:color="auto" w:fill="ECEDED"/>
          </w:tcPr>
          <w:p>
            <w:pPr>
              <w:spacing w:after="0"/>
              <w:rPr>
                <w:sz w:val="7"/>
                <w:szCs w:val="7"/>
                <w:color w:val="auto"/>
              </w:rPr>
            </w:pPr>
          </w:p>
        </w:tc>
        <w:tc>
          <w:tcPr>
            <w:tcW w:w="640" w:type="dxa"/>
            <w:vAlign w:val="bottom"/>
            <w:vMerge w:val="continue"/>
            <w:shd w:val="clear" w:color="auto" w:fill="ECEDED"/>
          </w:tcPr>
          <w:p>
            <w:pPr>
              <w:spacing w:after="0"/>
              <w:rPr>
                <w:sz w:val="7"/>
                <w:szCs w:val="7"/>
                <w:color w:val="auto"/>
              </w:rPr>
            </w:pPr>
          </w:p>
        </w:tc>
        <w:tc>
          <w:tcPr>
            <w:tcW w:w="560" w:type="dxa"/>
            <w:vAlign w:val="bottom"/>
            <w:vMerge w:val="continue"/>
            <w:shd w:val="clear" w:color="auto" w:fill="ECEDED"/>
          </w:tcPr>
          <w:p>
            <w:pPr>
              <w:spacing w:after="0"/>
              <w:rPr>
                <w:sz w:val="7"/>
                <w:szCs w:val="7"/>
                <w:color w:val="auto"/>
              </w:rPr>
            </w:pPr>
          </w:p>
        </w:tc>
        <w:tc>
          <w:tcPr>
            <w:tcW w:w="460" w:type="dxa"/>
            <w:vAlign w:val="bottom"/>
            <w:shd w:val="clear" w:color="auto" w:fill="ECEDED"/>
          </w:tcPr>
          <w:p>
            <w:pPr>
              <w:spacing w:after="0"/>
              <w:rPr>
                <w:sz w:val="7"/>
                <w:szCs w:val="7"/>
                <w:color w:val="auto"/>
              </w:rPr>
            </w:pPr>
          </w:p>
        </w:tc>
        <w:tc>
          <w:tcPr>
            <w:tcW w:w="700" w:type="dxa"/>
            <w:vAlign w:val="bottom"/>
            <w:vMerge w:val="continue"/>
            <w:shd w:val="clear" w:color="auto" w:fill="ECEDED"/>
          </w:tcPr>
          <w:p>
            <w:pPr>
              <w:spacing w:after="0"/>
              <w:rPr>
                <w:sz w:val="7"/>
                <w:szCs w:val="7"/>
                <w:color w:val="auto"/>
              </w:rPr>
            </w:pPr>
          </w:p>
        </w:tc>
        <w:tc>
          <w:tcPr>
            <w:tcW w:w="480" w:type="dxa"/>
            <w:vAlign w:val="bottom"/>
            <w:shd w:val="clear" w:color="auto" w:fill="ECEDED"/>
          </w:tcPr>
          <w:p>
            <w:pPr>
              <w:spacing w:after="0"/>
              <w:rPr>
                <w:sz w:val="7"/>
                <w:szCs w:val="7"/>
                <w:color w:val="auto"/>
              </w:rPr>
            </w:pPr>
          </w:p>
        </w:tc>
        <w:tc>
          <w:tcPr>
            <w:tcW w:w="840" w:type="dxa"/>
            <w:vAlign w:val="bottom"/>
            <w:vMerge w:val="continue"/>
            <w:shd w:val="clear" w:color="auto" w:fill="ECEDED"/>
          </w:tcPr>
          <w:p>
            <w:pPr>
              <w:spacing w:after="0"/>
              <w:rPr>
                <w:sz w:val="7"/>
                <w:szCs w:val="7"/>
                <w:color w:val="auto"/>
              </w:rPr>
            </w:pPr>
          </w:p>
        </w:tc>
        <w:tc>
          <w:tcPr>
            <w:tcW w:w="560" w:type="dxa"/>
            <w:vAlign w:val="bottom"/>
            <w:vMerge w:val="continue"/>
            <w:shd w:val="clear" w:color="auto" w:fill="ECEDED"/>
          </w:tcPr>
          <w:p>
            <w:pPr>
              <w:spacing w:after="0"/>
              <w:rPr>
                <w:sz w:val="7"/>
                <w:szCs w:val="7"/>
                <w:color w:val="auto"/>
              </w:rPr>
            </w:pPr>
          </w:p>
        </w:tc>
        <w:tc>
          <w:tcPr>
            <w:tcW w:w="860" w:type="dxa"/>
            <w:vAlign w:val="bottom"/>
            <w:vMerge w:val="continue"/>
            <w:shd w:val="clear" w:color="auto" w:fill="ECEDED"/>
          </w:tcPr>
          <w:p>
            <w:pPr>
              <w:spacing w:after="0"/>
              <w:rPr>
                <w:sz w:val="7"/>
                <w:szCs w:val="7"/>
                <w:color w:val="auto"/>
              </w:rPr>
            </w:pPr>
          </w:p>
        </w:tc>
        <w:tc>
          <w:tcPr>
            <w:tcW w:w="560" w:type="dxa"/>
            <w:vAlign w:val="bottom"/>
            <w:vMerge w:val="continue"/>
            <w:shd w:val="clear" w:color="auto" w:fill="ECEDED"/>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shd w:val="clear" w:color="auto" w:fill="ECEDED"/>
          </w:tcPr>
          <w:p>
            <w:pPr>
              <w:spacing w:after="0"/>
              <w:rPr>
                <w:sz w:val="5"/>
                <w:szCs w:val="5"/>
                <w:color w:val="auto"/>
              </w:rPr>
            </w:pPr>
          </w:p>
        </w:tc>
        <w:tc>
          <w:tcPr>
            <w:tcW w:w="640" w:type="dxa"/>
            <w:vAlign w:val="bottom"/>
            <w:shd w:val="clear" w:color="auto" w:fill="ECEDED"/>
          </w:tcPr>
          <w:p>
            <w:pPr>
              <w:spacing w:after="0"/>
              <w:rPr>
                <w:sz w:val="5"/>
                <w:szCs w:val="5"/>
                <w:color w:val="auto"/>
              </w:rPr>
            </w:pPr>
          </w:p>
        </w:tc>
        <w:tc>
          <w:tcPr>
            <w:tcW w:w="500" w:type="dxa"/>
            <w:vAlign w:val="bottom"/>
            <w:shd w:val="clear" w:color="auto" w:fill="ECEDED"/>
          </w:tcPr>
          <w:p>
            <w:pPr>
              <w:spacing w:after="0"/>
              <w:rPr>
                <w:sz w:val="5"/>
                <w:szCs w:val="5"/>
                <w:color w:val="auto"/>
              </w:rPr>
            </w:pPr>
          </w:p>
        </w:tc>
        <w:tc>
          <w:tcPr>
            <w:tcW w:w="560" w:type="dxa"/>
            <w:vAlign w:val="bottom"/>
            <w:shd w:val="clear" w:color="auto" w:fill="ECEDED"/>
          </w:tcPr>
          <w:p>
            <w:pPr>
              <w:spacing w:after="0"/>
              <w:rPr>
                <w:sz w:val="5"/>
                <w:szCs w:val="5"/>
                <w:color w:val="auto"/>
              </w:rPr>
            </w:pPr>
          </w:p>
        </w:tc>
        <w:tc>
          <w:tcPr>
            <w:tcW w:w="640" w:type="dxa"/>
            <w:vAlign w:val="bottom"/>
            <w:shd w:val="clear" w:color="auto" w:fill="ECEDED"/>
          </w:tcPr>
          <w:p>
            <w:pPr>
              <w:spacing w:after="0"/>
              <w:rPr>
                <w:sz w:val="5"/>
                <w:szCs w:val="5"/>
                <w:color w:val="auto"/>
              </w:rPr>
            </w:pPr>
          </w:p>
        </w:tc>
        <w:tc>
          <w:tcPr>
            <w:tcW w:w="560" w:type="dxa"/>
            <w:vAlign w:val="bottom"/>
            <w:shd w:val="clear" w:color="auto" w:fill="ECEDED"/>
          </w:tcPr>
          <w:p>
            <w:pPr>
              <w:spacing w:after="0"/>
              <w:rPr>
                <w:sz w:val="5"/>
                <w:szCs w:val="5"/>
                <w:color w:val="auto"/>
              </w:rPr>
            </w:pPr>
          </w:p>
        </w:tc>
        <w:tc>
          <w:tcPr>
            <w:tcW w:w="460" w:type="dxa"/>
            <w:vAlign w:val="bottom"/>
            <w:shd w:val="clear" w:color="auto" w:fill="ECEDED"/>
          </w:tcPr>
          <w:p>
            <w:pPr>
              <w:spacing w:after="0"/>
              <w:rPr>
                <w:sz w:val="5"/>
                <w:szCs w:val="5"/>
                <w:color w:val="auto"/>
              </w:rPr>
            </w:pPr>
          </w:p>
        </w:tc>
        <w:tc>
          <w:tcPr>
            <w:tcW w:w="700" w:type="dxa"/>
            <w:vAlign w:val="bottom"/>
            <w:shd w:val="clear" w:color="auto" w:fill="ECEDED"/>
          </w:tcPr>
          <w:p>
            <w:pPr>
              <w:spacing w:after="0"/>
              <w:rPr>
                <w:sz w:val="5"/>
                <w:szCs w:val="5"/>
                <w:color w:val="auto"/>
              </w:rPr>
            </w:pPr>
          </w:p>
        </w:tc>
        <w:tc>
          <w:tcPr>
            <w:tcW w:w="480" w:type="dxa"/>
            <w:vAlign w:val="bottom"/>
            <w:shd w:val="clear" w:color="auto" w:fill="ECEDED"/>
          </w:tcPr>
          <w:p>
            <w:pPr>
              <w:spacing w:after="0"/>
              <w:rPr>
                <w:sz w:val="5"/>
                <w:szCs w:val="5"/>
                <w:color w:val="auto"/>
              </w:rPr>
            </w:pPr>
          </w:p>
        </w:tc>
        <w:tc>
          <w:tcPr>
            <w:tcW w:w="840" w:type="dxa"/>
            <w:vAlign w:val="bottom"/>
            <w:shd w:val="clear" w:color="auto" w:fill="ECEDED"/>
          </w:tcPr>
          <w:p>
            <w:pPr>
              <w:spacing w:after="0"/>
              <w:rPr>
                <w:sz w:val="5"/>
                <w:szCs w:val="5"/>
                <w:color w:val="auto"/>
              </w:rPr>
            </w:pPr>
          </w:p>
        </w:tc>
        <w:tc>
          <w:tcPr>
            <w:tcW w:w="560" w:type="dxa"/>
            <w:vAlign w:val="bottom"/>
            <w:shd w:val="clear" w:color="auto" w:fill="ECEDED"/>
          </w:tcPr>
          <w:p>
            <w:pPr>
              <w:spacing w:after="0"/>
              <w:rPr>
                <w:sz w:val="5"/>
                <w:szCs w:val="5"/>
                <w:color w:val="auto"/>
              </w:rPr>
            </w:pPr>
          </w:p>
        </w:tc>
        <w:tc>
          <w:tcPr>
            <w:tcW w:w="860" w:type="dxa"/>
            <w:vAlign w:val="bottom"/>
            <w:shd w:val="clear" w:color="auto" w:fill="ECEDED"/>
          </w:tcPr>
          <w:p>
            <w:pPr>
              <w:spacing w:after="0"/>
              <w:rPr>
                <w:sz w:val="5"/>
                <w:szCs w:val="5"/>
                <w:color w:val="auto"/>
              </w:rPr>
            </w:pPr>
          </w:p>
        </w:tc>
        <w:tc>
          <w:tcPr>
            <w:tcW w:w="560" w:type="dxa"/>
            <w:vAlign w:val="bottom"/>
            <w:shd w:val="clear" w:color="auto" w:fill="ECEDED"/>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280" w:type="dxa"/>
            <w:vAlign w:val="bottom"/>
            <w:tcBorders>
              <w:bottom w:val="single" w:sz="8" w:color="58585A"/>
            </w:tcBorders>
            <w:shd w:val="clear" w:color="auto" w:fill="ECEDED"/>
          </w:tcPr>
          <w:p>
            <w:pPr>
              <w:spacing w:after="0"/>
              <w:rPr>
                <w:sz w:val="6"/>
                <w:szCs w:val="6"/>
                <w:color w:val="auto"/>
              </w:rPr>
            </w:pPr>
          </w:p>
        </w:tc>
        <w:tc>
          <w:tcPr>
            <w:tcW w:w="640" w:type="dxa"/>
            <w:vAlign w:val="bottom"/>
            <w:tcBorders>
              <w:bottom w:val="single" w:sz="8" w:color="58585A"/>
            </w:tcBorders>
            <w:shd w:val="clear" w:color="auto" w:fill="ECEDED"/>
          </w:tcPr>
          <w:p>
            <w:pPr>
              <w:spacing w:after="0"/>
              <w:rPr>
                <w:sz w:val="6"/>
                <w:szCs w:val="6"/>
                <w:color w:val="auto"/>
              </w:rPr>
            </w:pPr>
          </w:p>
        </w:tc>
        <w:tc>
          <w:tcPr>
            <w:tcW w:w="500" w:type="dxa"/>
            <w:vAlign w:val="bottom"/>
            <w:tcBorders>
              <w:bottom w:val="single" w:sz="8" w:color="58585A"/>
            </w:tcBorders>
            <w:shd w:val="clear" w:color="auto" w:fill="ECEDED"/>
          </w:tcPr>
          <w:p>
            <w:pPr>
              <w:spacing w:after="0"/>
              <w:rPr>
                <w:sz w:val="6"/>
                <w:szCs w:val="6"/>
                <w:color w:val="auto"/>
              </w:rPr>
            </w:pPr>
          </w:p>
        </w:tc>
        <w:tc>
          <w:tcPr>
            <w:tcW w:w="560" w:type="dxa"/>
            <w:vAlign w:val="bottom"/>
            <w:tcBorders>
              <w:bottom w:val="single" w:sz="8" w:color="58585A"/>
            </w:tcBorders>
            <w:shd w:val="clear" w:color="auto" w:fill="ECEDED"/>
          </w:tcPr>
          <w:p>
            <w:pPr>
              <w:spacing w:after="0"/>
              <w:rPr>
                <w:sz w:val="6"/>
                <w:szCs w:val="6"/>
                <w:color w:val="auto"/>
              </w:rPr>
            </w:pPr>
          </w:p>
        </w:tc>
        <w:tc>
          <w:tcPr>
            <w:tcW w:w="640" w:type="dxa"/>
            <w:vAlign w:val="bottom"/>
            <w:tcBorders>
              <w:bottom w:val="single" w:sz="8" w:color="58585A"/>
            </w:tcBorders>
            <w:shd w:val="clear" w:color="auto" w:fill="ECEDED"/>
          </w:tcPr>
          <w:p>
            <w:pPr>
              <w:spacing w:after="0"/>
              <w:rPr>
                <w:sz w:val="6"/>
                <w:szCs w:val="6"/>
                <w:color w:val="auto"/>
              </w:rPr>
            </w:pPr>
          </w:p>
        </w:tc>
        <w:tc>
          <w:tcPr>
            <w:tcW w:w="560" w:type="dxa"/>
            <w:vAlign w:val="bottom"/>
            <w:tcBorders>
              <w:bottom w:val="single" w:sz="8" w:color="58585A"/>
            </w:tcBorders>
            <w:shd w:val="clear" w:color="auto" w:fill="ECEDED"/>
          </w:tcPr>
          <w:p>
            <w:pPr>
              <w:spacing w:after="0"/>
              <w:rPr>
                <w:sz w:val="6"/>
                <w:szCs w:val="6"/>
                <w:color w:val="auto"/>
              </w:rPr>
            </w:pPr>
          </w:p>
        </w:tc>
        <w:tc>
          <w:tcPr>
            <w:tcW w:w="460" w:type="dxa"/>
            <w:vAlign w:val="bottom"/>
            <w:tcBorders>
              <w:bottom w:val="single" w:sz="8" w:color="58585A"/>
            </w:tcBorders>
            <w:shd w:val="clear" w:color="auto" w:fill="ECEDED"/>
          </w:tcPr>
          <w:p>
            <w:pPr>
              <w:spacing w:after="0"/>
              <w:rPr>
                <w:sz w:val="6"/>
                <w:szCs w:val="6"/>
                <w:color w:val="auto"/>
              </w:rPr>
            </w:pPr>
          </w:p>
        </w:tc>
        <w:tc>
          <w:tcPr>
            <w:tcW w:w="700" w:type="dxa"/>
            <w:vAlign w:val="bottom"/>
            <w:tcBorders>
              <w:bottom w:val="single" w:sz="8" w:color="58585A"/>
            </w:tcBorders>
            <w:shd w:val="clear" w:color="auto" w:fill="ECEDED"/>
          </w:tcPr>
          <w:p>
            <w:pPr>
              <w:spacing w:after="0"/>
              <w:rPr>
                <w:sz w:val="6"/>
                <w:szCs w:val="6"/>
                <w:color w:val="auto"/>
              </w:rPr>
            </w:pPr>
          </w:p>
        </w:tc>
        <w:tc>
          <w:tcPr>
            <w:tcW w:w="480" w:type="dxa"/>
            <w:vAlign w:val="bottom"/>
            <w:tcBorders>
              <w:bottom w:val="single" w:sz="8" w:color="58585A"/>
            </w:tcBorders>
            <w:shd w:val="clear" w:color="auto" w:fill="ECEDED"/>
          </w:tcPr>
          <w:p>
            <w:pPr>
              <w:spacing w:after="0"/>
              <w:rPr>
                <w:sz w:val="6"/>
                <w:szCs w:val="6"/>
                <w:color w:val="auto"/>
              </w:rPr>
            </w:pPr>
          </w:p>
        </w:tc>
        <w:tc>
          <w:tcPr>
            <w:tcW w:w="840" w:type="dxa"/>
            <w:vAlign w:val="bottom"/>
            <w:tcBorders>
              <w:bottom w:val="single" w:sz="8" w:color="58585A"/>
            </w:tcBorders>
            <w:shd w:val="clear" w:color="auto" w:fill="ECEDED"/>
          </w:tcPr>
          <w:p>
            <w:pPr>
              <w:spacing w:after="0"/>
              <w:rPr>
                <w:sz w:val="6"/>
                <w:szCs w:val="6"/>
                <w:color w:val="auto"/>
              </w:rPr>
            </w:pPr>
          </w:p>
        </w:tc>
        <w:tc>
          <w:tcPr>
            <w:tcW w:w="560" w:type="dxa"/>
            <w:vAlign w:val="bottom"/>
            <w:tcBorders>
              <w:bottom w:val="single" w:sz="8" w:color="58585A"/>
            </w:tcBorders>
            <w:shd w:val="clear" w:color="auto" w:fill="ECEDED"/>
          </w:tcPr>
          <w:p>
            <w:pPr>
              <w:spacing w:after="0"/>
              <w:rPr>
                <w:sz w:val="6"/>
                <w:szCs w:val="6"/>
                <w:color w:val="auto"/>
              </w:rPr>
            </w:pPr>
          </w:p>
        </w:tc>
        <w:tc>
          <w:tcPr>
            <w:tcW w:w="860" w:type="dxa"/>
            <w:vAlign w:val="bottom"/>
            <w:tcBorders>
              <w:bottom w:val="single" w:sz="8" w:color="58585A"/>
            </w:tcBorders>
            <w:shd w:val="clear" w:color="auto" w:fill="ECEDED"/>
          </w:tcPr>
          <w:p>
            <w:pPr>
              <w:spacing w:after="0"/>
              <w:rPr>
                <w:sz w:val="6"/>
                <w:szCs w:val="6"/>
                <w:color w:val="auto"/>
              </w:rPr>
            </w:pPr>
          </w:p>
        </w:tc>
        <w:tc>
          <w:tcPr>
            <w:tcW w:w="560" w:type="dxa"/>
            <w:vAlign w:val="bottom"/>
            <w:tcBorders>
              <w:bottom w:val="single" w:sz="8" w:color="58585A"/>
            </w:tcBorders>
            <w:shd w:val="clear" w:color="auto" w:fill="ECEDED"/>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280" w:type="dxa"/>
            <w:vAlign w:val="bottom"/>
          </w:tcPr>
          <w:p>
            <w:pPr>
              <w:ind w:left="40"/>
              <w:spacing w:after="0"/>
              <w:rPr>
                <w:sz w:val="20"/>
                <w:szCs w:val="20"/>
                <w:color w:val="auto"/>
              </w:rPr>
            </w:pPr>
            <w:r>
              <w:rPr>
                <w:rFonts w:ascii="Arial" w:cs="Arial" w:eastAsia="Arial" w:hAnsi="Arial"/>
                <w:sz w:val="12"/>
                <w:szCs w:val="12"/>
                <w:b w:val="1"/>
                <w:bCs w:val="1"/>
                <w:color w:val="auto"/>
              </w:rPr>
              <w:t>Business Strategy/</w:t>
            </w: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Operations</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color w:val="C44E5D"/>
              </w:rPr>
              <w:t>●</w:t>
            </w:r>
          </w:p>
        </w:tc>
        <w:tc>
          <w:tcPr>
            <w:tcW w:w="64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color w:val="C44E5D"/>
              </w:rPr>
              <w:t>●</w:t>
            </w:r>
          </w:p>
        </w:tc>
        <w:tc>
          <w:tcPr>
            <w:tcW w:w="460" w:type="dxa"/>
            <w:vAlign w:val="bottom"/>
          </w:tcPr>
          <w:p>
            <w:pPr>
              <w:jc w:val="center"/>
              <w:spacing w:after="0" w:line="135" w:lineRule="exact"/>
              <w:rPr>
                <w:sz w:val="20"/>
                <w:szCs w:val="20"/>
                <w:color w:val="auto"/>
              </w:rPr>
            </w:pPr>
            <w:r>
              <w:rPr>
                <w:rFonts w:ascii="Arial" w:cs="Arial" w:eastAsia="Arial" w:hAnsi="Arial"/>
                <w:sz w:val="12"/>
                <w:szCs w:val="12"/>
                <w:color w:val="C44E5D"/>
              </w:rPr>
              <w:t>●</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C44E5D"/>
                <w:w w:val="82"/>
              </w:rPr>
              <w:t>●</w:t>
            </w:r>
          </w:p>
        </w:tc>
        <w:tc>
          <w:tcPr>
            <w:tcW w:w="480" w:type="dxa"/>
            <w:vAlign w:val="bottom"/>
          </w:tcPr>
          <w:p>
            <w:pPr>
              <w:jc w:val="center"/>
              <w:spacing w:after="0" w:line="135" w:lineRule="exact"/>
              <w:rPr>
                <w:sz w:val="20"/>
                <w:szCs w:val="20"/>
                <w:color w:val="auto"/>
              </w:rPr>
            </w:pPr>
            <w:r>
              <w:rPr>
                <w:rFonts w:ascii="Arial" w:cs="Arial" w:eastAsia="Arial" w:hAnsi="Arial"/>
                <w:sz w:val="12"/>
                <w:szCs w:val="12"/>
                <w:color w:val="C44E5D"/>
              </w:rPr>
              <w:t>●</w:t>
            </w:r>
          </w:p>
        </w:tc>
        <w:tc>
          <w:tcPr>
            <w:tcW w:w="840" w:type="dxa"/>
            <w:vAlign w:val="bottom"/>
          </w:tcPr>
          <w:p>
            <w:pPr>
              <w:jc w:val="center"/>
              <w:spacing w:after="0" w:line="135" w:lineRule="exact"/>
              <w:rPr>
                <w:sz w:val="20"/>
                <w:szCs w:val="20"/>
                <w:color w:val="auto"/>
              </w:rPr>
            </w:pPr>
            <w:r>
              <w:rPr>
                <w:rFonts w:ascii="Arial" w:cs="Arial" w:eastAsia="Arial" w:hAnsi="Arial"/>
                <w:sz w:val="12"/>
                <w:szCs w:val="12"/>
                <w:color w:val="C44E5D"/>
              </w:rPr>
              <w:t>●</w:t>
            </w:r>
          </w:p>
        </w:tc>
        <w:tc>
          <w:tcPr>
            <w:tcW w:w="560" w:type="dxa"/>
            <w:vAlign w:val="bottom"/>
          </w:tcPr>
          <w:p>
            <w:pPr>
              <w:jc w:val="center"/>
              <w:spacing w:after="0" w:line="135" w:lineRule="exact"/>
              <w:rPr>
                <w:sz w:val="20"/>
                <w:szCs w:val="20"/>
                <w:color w:val="auto"/>
              </w:rPr>
            </w:pPr>
            <w:r>
              <w:rPr>
                <w:rFonts w:ascii="Arial" w:cs="Arial" w:eastAsia="Arial" w:hAnsi="Arial"/>
                <w:sz w:val="12"/>
                <w:szCs w:val="12"/>
                <w:color w:val="C44E5D"/>
              </w:rPr>
              <w:t>●</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C44E5D"/>
              </w:rPr>
              <w:t>●</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280" w:type="dxa"/>
            <w:vAlign w:val="bottom"/>
          </w:tcPr>
          <w:p>
            <w:pPr>
              <w:ind w:left="40"/>
              <w:spacing w:after="0"/>
              <w:rPr>
                <w:sz w:val="20"/>
                <w:szCs w:val="20"/>
                <w:color w:val="auto"/>
              </w:rPr>
            </w:pPr>
            <w:r>
              <w:rPr>
                <w:rFonts w:ascii="Arial" w:cs="Arial" w:eastAsia="Arial" w:hAnsi="Arial"/>
                <w:sz w:val="12"/>
                <w:szCs w:val="12"/>
                <w:b w:val="1"/>
                <w:bCs w:val="1"/>
                <w:color w:val="auto"/>
              </w:rPr>
              <w:t>Experience</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1280" w:type="dxa"/>
            <w:vAlign w:val="bottom"/>
            <w:tcBorders>
              <w:bottom w:val="single" w:sz="8" w:color="58585A"/>
            </w:tcBorders>
          </w:tcPr>
          <w:p>
            <w:pPr>
              <w:spacing w:after="0"/>
              <w:rPr>
                <w:sz w:val="6"/>
                <w:szCs w:val="6"/>
                <w:color w:val="auto"/>
              </w:rPr>
            </w:pPr>
          </w:p>
        </w:tc>
        <w:tc>
          <w:tcPr>
            <w:tcW w:w="640" w:type="dxa"/>
            <w:vAlign w:val="bottom"/>
            <w:tcBorders>
              <w:bottom w:val="single" w:sz="8" w:color="58585A"/>
            </w:tcBorders>
          </w:tcPr>
          <w:p>
            <w:pPr>
              <w:spacing w:after="0"/>
              <w:rPr>
                <w:sz w:val="6"/>
                <w:szCs w:val="6"/>
                <w:color w:val="auto"/>
              </w:rPr>
            </w:pPr>
          </w:p>
        </w:tc>
        <w:tc>
          <w:tcPr>
            <w:tcW w:w="500" w:type="dxa"/>
            <w:vAlign w:val="bottom"/>
            <w:tcBorders>
              <w:bottom w:val="single" w:sz="8" w:color="58585A"/>
            </w:tcBorders>
          </w:tcPr>
          <w:p>
            <w:pPr>
              <w:spacing w:after="0"/>
              <w:rPr>
                <w:sz w:val="6"/>
                <w:szCs w:val="6"/>
                <w:color w:val="auto"/>
              </w:rPr>
            </w:pPr>
          </w:p>
        </w:tc>
        <w:tc>
          <w:tcPr>
            <w:tcW w:w="560" w:type="dxa"/>
            <w:vAlign w:val="bottom"/>
            <w:tcBorders>
              <w:bottom w:val="single" w:sz="8" w:color="58585A"/>
            </w:tcBorders>
          </w:tcPr>
          <w:p>
            <w:pPr>
              <w:spacing w:after="0"/>
              <w:rPr>
                <w:sz w:val="6"/>
                <w:szCs w:val="6"/>
                <w:color w:val="auto"/>
              </w:rPr>
            </w:pPr>
          </w:p>
        </w:tc>
        <w:tc>
          <w:tcPr>
            <w:tcW w:w="640" w:type="dxa"/>
            <w:vAlign w:val="bottom"/>
            <w:tcBorders>
              <w:bottom w:val="single" w:sz="8" w:color="58585A"/>
            </w:tcBorders>
          </w:tcPr>
          <w:p>
            <w:pPr>
              <w:spacing w:after="0"/>
              <w:rPr>
                <w:sz w:val="6"/>
                <w:szCs w:val="6"/>
                <w:color w:val="auto"/>
              </w:rPr>
            </w:pPr>
          </w:p>
        </w:tc>
        <w:tc>
          <w:tcPr>
            <w:tcW w:w="560" w:type="dxa"/>
            <w:vAlign w:val="bottom"/>
            <w:tcBorders>
              <w:bottom w:val="single" w:sz="8" w:color="58585A"/>
            </w:tcBorders>
          </w:tcPr>
          <w:p>
            <w:pPr>
              <w:spacing w:after="0"/>
              <w:rPr>
                <w:sz w:val="6"/>
                <w:szCs w:val="6"/>
                <w:color w:val="auto"/>
              </w:rPr>
            </w:pPr>
          </w:p>
        </w:tc>
        <w:tc>
          <w:tcPr>
            <w:tcW w:w="460" w:type="dxa"/>
            <w:vAlign w:val="bottom"/>
            <w:tcBorders>
              <w:bottom w:val="single" w:sz="8" w:color="58585A"/>
            </w:tcBorders>
          </w:tcPr>
          <w:p>
            <w:pPr>
              <w:spacing w:after="0"/>
              <w:rPr>
                <w:sz w:val="6"/>
                <w:szCs w:val="6"/>
                <w:color w:val="auto"/>
              </w:rPr>
            </w:pPr>
          </w:p>
        </w:tc>
        <w:tc>
          <w:tcPr>
            <w:tcW w:w="700" w:type="dxa"/>
            <w:vAlign w:val="bottom"/>
            <w:tcBorders>
              <w:bottom w:val="single" w:sz="8" w:color="58585A"/>
            </w:tcBorders>
          </w:tcPr>
          <w:p>
            <w:pPr>
              <w:spacing w:after="0"/>
              <w:rPr>
                <w:sz w:val="6"/>
                <w:szCs w:val="6"/>
                <w:color w:val="auto"/>
              </w:rPr>
            </w:pPr>
          </w:p>
        </w:tc>
        <w:tc>
          <w:tcPr>
            <w:tcW w:w="480" w:type="dxa"/>
            <w:vAlign w:val="bottom"/>
            <w:tcBorders>
              <w:bottom w:val="single" w:sz="8" w:color="58585A"/>
            </w:tcBorders>
          </w:tcPr>
          <w:p>
            <w:pPr>
              <w:spacing w:after="0"/>
              <w:rPr>
                <w:sz w:val="6"/>
                <w:szCs w:val="6"/>
                <w:color w:val="auto"/>
              </w:rPr>
            </w:pPr>
          </w:p>
        </w:tc>
        <w:tc>
          <w:tcPr>
            <w:tcW w:w="840" w:type="dxa"/>
            <w:vAlign w:val="bottom"/>
            <w:tcBorders>
              <w:bottom w:val="single" w:sz="8" w:color="58585A"/>
            </w:tcBorders>
          </w:tcPr>
          <w:p>
            <w:pPr>
              <w:spacing w:after="0"/>
              <w:rPr>
                <w:sz w:val="6"/>
                <w:szCs w:val="6"/>
                <w:color w:val="auto"/>
              </w:rPr>
            </w:pPr>
          </w:p>
        </w:tc>
        <w:tc>
          <w:tcPr>
            <w:tcW w:w="560" w:type="dxa"/>
            <w:vAlign w:val="bottom"/>
            <w:tcBorders>
              <w:bottom w:val="single" w:sz="8" w:color="58585A"/>
            </w:tcBorders>
          </w:tcPr>
          <w:p>
            <w:pPr>
              <w:spacing w:after="0"/>
              <w:rPr>
                <w:sz w:val="6"/>
                <w:szCs w:val="6"/>
                <w:color w:val="auto"/>
              </w:rPr>
            </w:pPr>
          </w:p>
        </w:tc>
        <w:tc>
          <w:tcPr>
            <w:tcW w:w="860" w:type="dxa"/>
            <w:vAlign w:val="bottom"/>
            <w:tcBorders>
              <w:bottom w:val="single" w:sz="8" w:color="58585A"/>
            </w:tcBorders>
          </w:tcPr>
          <w:p>
            <w:pPr>
              <w:spacing w:after="0"/>
              <w:rPr>
                <w:sz w:val="6"/>
                <w:szCs w:val="6"/>
                <w:color w:val="auto"/>
              </w:rPr>
            </w:pPr>
          </w:p>
        </w:tc>
        <w:tc>
          <w:tcPr>
            <w:tcW w:w="560" w:type="dxa"/>
            <w:vAlign w:val="bottom"/>
            <w:tcBorders>
              <w:bottom w:val="single" w:sz="8" w:color="58585A"/>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1280" w:type="dxa"/>
            <w:vAlign w:val="bottom"/>
            <w:shd w:val="clear" w:color="auto" w:fill="ECEDED"/>
          </w:tcPr>
          <w:p>
            <w:pPr>
              <w:ind w:left="40"/>
              <w:spacing w:after="0"/>
              <w:rPr>
                <w:sz w:val="20"/>
                <w:szCs w:val="20"/>
                <w:color w:val="auto"/>
              </w:rPr>
            </w:pPr>
            <w:r>
              <w:rPr>
                <w:rFonts w:ascii="Arial" w:cs="Arial" w:eastAsia="Arial" w:hAnsi="Arial"/>
                <w:sz w:val="12"/>
                <w:szCs w:val="12"/>
                <w:b w:val="1"/>
                <w:bCs w:val="1"/>
                <w:color w:val="auto"/>
              </w:rPr>
              <w:t>Financial Expertise</w:t>
            </w:r>
          </w:p>
        </w:tc>
        <w:tc>
          <w:tcPr>
            <w:tcW w:w="640" w:type="dxa"/>
            <w:vAlign w:val="bottom"/>
            <w:shd w:val="clear" w:color="auto" w:fill="ECEDED"/>
          </w:tcPr>
          <w:p>
            <w:pPr>
              <w:spacing w:after="0"/>
              <w:rPr>
                <w:sz w:val="18"/>
                <w:szCs w:val="18"/>
                <w:color w:val="auto"/>
              </w:rPr>
            </w:pPr>
          </w:p>
        </w:tc>
        <w:tc>
          <w:tcPr>
            <w:tcW w:w="500" w:type="dxa"/>
            <w:vAlign w:val="bottom"/>
            <w:shd w:val="clear" w:color="auto" w:fill="ECEDED"/>
          </w:tcPr>
          <w:p>
            <w:pPr>
              <w:spacing w:after="0"/>
              <w:rPr>
                <w:sz w:val="18"/>
                <w:szCs w:val="18"/>
                <w:color w:val="auto"/>
              </w:rPr>
            </w:pPr>
          </w:p>
        </w:tc>
        <w:tc>
          <w:tcPr>
            <w:tcW w:w="560" w:type="dxa"/>
            <w:vAlign w:val="bottom"/>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640" w:type="dxa"/>
            <w:vAlign w:val="bottom"/>
            <w:shd w:val="clear" w:color="auto" w:fill="ECEDED"/>
          </w:tcPr>
          <w:p>
            <w:pPr>
              <w:spacing w:after="0"/>
              <w:rPr>
                <w:sz w:val="18"/>
                <w:szCs w:val="18"/>
                <w:color w:val="auto"/>
              </w:rPr>
            </w:pPr>
          </w:p>
        </w:tc>
        <w:tc>
          <w:tcPr>
            <w:tcW w:w="560" w:type="dxa"/>
            <w:vAlign w:val="bottom"/>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460" w:type="dxa"/>
            <w:vAlign w:val="bottom"/>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700" w:type="dxa"/>
            <w:vAlign w:val="bottom"/>
            <w:shd w:val="clear" w:color="auto" w:fill="ECEDED"/>
          </w:tcPr>
          <w:p>
            <w:pPr>
              <w:jc w:val="center"/>
              <w:spacing w:after="0"/>
              <w:rPr>
                <w:sz w:val="20"/>
                <w:szCs w:val="20"/>
                <w:color w:val="auto"/>
              </w:rPr>
            </w:pPr>
            <w:r>
              <w:rPr>
                <w:rFonts w:ascii="Arial" w:cs="Arial" w:eastAsia="Arial" w:hAnsi="Arial"/>
                <w:sz w:val="12"/>
                <w:szCs w:val="12"/>
                <w:color w:val="C44E5D"/>
                <w:w w:val="82"/>
              </w:rPr>
              <w:t>●</w:t>
            </w:r>
          </w:p>
        </w:tc>
        <w:tc>
          <w:tcPr>
            <w:tcW w:w="480" w:type="dxa"/>
            <w:vAlign w:val="bottom"/>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840" w:type="dxa"/>
            <w:vAlign w:val="bottom"/>
            <w:shd w:val="clear" w:color="auto" w:fill="ECEDED"/>
          </w:tcPr>
          <w:p>
            <w:pPr>
              <w:spacing w:after="0"/>
              <w:rPr>
                <w:sz w:val="18"/>
                <w:szCs w:val="18"/>
                <w:color w:val="auto"/>
              </w:rPr>
            </w:pPr>
          </w:p>
        </w:tc>
        <w:tc>
          <w:tcPr>
            <w:tcW w:w="560" w:type="dxa"/>
            <w:vAlign w:val="bottom"/>
            <w:shd w:val="clear" w:color="auto" w:fill="ECEDED"/>
          </w:tcPr>
          <w:p>
            <w:pPr>
              <w:jc w:val="center"/>
              <w:spacing w:after="0"/>
              <w:rPr>
                <w:sz w:val="20"/>
                <w:szCs w:val="20"/>
                <w:color w:val="auto"/>
              </w:rPr>
            </w:pPr>
            <w:r>
              <w:rPr>
                <w:rFonts w:ascii="Arial" w:cs="Arial" w:eastAsia="Arial" w:hAnsi="Arial"/>
                <w:sz w:val="12"/>
                <w:szCs w:val="12"/>
                <w:color w:val="C44E5D"/>
              </w:rPr>
              <w:t>●</w:t>
            </w:r>
          </w:p>
        </w:tc>
        <w:tc>
          <w:tcPr>
            <w:tcW w:w="860" w:type="dxa"/>
            <w:vAlign w:val="bottom"/>
            <w:shd w:val="clear" w:color="auto" w:fill="ECEDED"/>
          </w:tcPr>
          <w:p>
            <w:pPr>
              <w:spacing w:after="0"/>
              <w:rPr>
                <w:sz w:val="18"/>
                <w:szCs w:val="18"/>
                <w:color w:val="auto"/>
              </w:rPr>
            </w:pPr>
          </w:p>
        </w:tc>
        <w:tc>
          <w:tcPr>
            <w:tcW w:w="560" w:type="dxa"/>
            <w:vAlign w:val="bottom"/>
            <w:shd w:val="clear" w:color="auto" w:fill="ECEDED"/>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1280" w:type="dxa"/>
            <w:vAlign w:val="bottom"/>
            <w:tcBorders>
              <w:bottom w:val="single" w:sz="8" w:color="58585A"/>
            </w:tcBorders>
            <w:shd w:val="clear" w:color="auto" w:fill="ECEDED"/>
          </w:tcPr>
          <w:p>
            <w:pPr>
              <w:spacing w:after="0"/>
              <w:rPr>
                <w:sz w:val="6"/>
                <w:szCs w:val="6"/>
                <w:color w:val="auto"/>
              </w:rPr>
            </w:pPr>
          </w:p>
        </w:tc>
        <w:tc>
          <w:tcPr>
            <w:tcW w:w="640" w:type="dxa"/>
            <w:vAlign w:val="bottom"/>
            <w:tcBorders>
              <w:bottom w:val="single" w:sz="8" w:color="58585A"/>
            </w:tcBorders>
            <w:shd w:val="clear" w:color="auto" w:fill="ECEDED"/>
          </w:tcPr>
          <w:p>
            <w:pPr>
              <w:spacing w:after="0"/>
              <w:rPr>
                <w:sz w:val="6"/>
                <w:szCs w:val="6"/>
                <w:color w:val="auto"/>
              </w:rPr>
            </w:pPr>
          </w:p>
        </w:tc>
        <w:tc>
          <w:tcPr>
            <w:tcW w:w="500" w:type="dxa"/>
            <w:vAlign w:val="bottom"/>
            <w:tcBorders>
              <w:bottom w:val="single" w:sz="8" w:color="58585A"/>
            </w:tcBorders>
            <w:shd w:val="clear" w:color="auto" w:fill="ECEDED"/>
          </w:tcPr>
          <w:p>
            <w:pPr>
              <w:spacing w:after="0"/>
              <w:rPr>
                <w:sz w:val="6"/>
                <w:szCs w:val="6"/>
                <w:color w:val="auto"/>
              </w:rPr>
            </w:pPr>
          </w:p>
        </w:tc>
        <w:tc>
          <w:tcPr>
            <w:tcW w:w="560" w:type="dxa"/>
            <w:vAlign w:val="bottom"/>
            <w:tcBorders>
              <w:bottom w:val="single" w:sz="8" w:color="58585A"/>
            </w:tcBorders>
            <w:shd w:val="clear" w:color="auto" w:fill="ECEDED"/>
          </w:tcPr>
          <w:p>
            <w:pPr>
              <w:spacing w:after="0"/>
              <w:rPr>
                <w:sz w:val="6"/>
                <w:szCs w:val="6"/>
                <w:color w:val="auto"/>
              </w:rPr>
            </w:pPr>
          </w:p>
        </w:tc>
        <w:tc>
          <w:tcPr>
            <w:tcW w:w="640" w:type="dxa"/>
            <w:vAlign w:val="bottom"/>
            <w:tcBorders>
              <w:bottom w:val="single" w:sz="8" w:color="58585A"/>
            </w:tcBorders>
            <w:shd w:val="clear" w:color="auto" w:fill="ECEDED"/>
          </w:tcPr>
          <w:p>
            <w:pPr>
              <w:spacing w:after="0"/>
              <w:rPr>
                <w:sz w:val="6"/>
                <w:szCs w:val="6"/>
                <w:color w:val="auto"/>
              </w:rPr>
            </w:pPr>
          </w:p>
        </w:tc>
        <w:tc>
          <w:tcPr>
            <w:tcW w:w="560" w:type="dxa"/>
            <w:vAlign w:val="bottom"/>
            <w:tcBorders>
              <w:bottom w:val="single" w:sz="8" w:color="58585A"/>
            </w:tcBorders>
            <w:shd w:val="clear" w:color="auto" w:fill="ECEDED"/>
          </w:tcPr>
          <w:p>
            <w:pPr>
              <w:spacing w:after="0"/>
              <w:rPr>
                <w:sz w:val="6"/>
                <w:szCs w:val="6"/>
                <w:color w:val="auto"/>
              </w:rPr>
            </w:pPr>
          </w:p>
        </w:tc>
        <w:tc>
          <w:tcPr>
            <w:tcW w:w="460" w:type="dxa"/>
            <w:vAlign w:val="bottom"/>
            <w:tcBorders>
              <w:bottom w:val="single" w:sz="8" w:color="58585A"/>
            </w:tcBorders>
            <w:shd w:val="clear" w:color="auto" w:fill="ECEDED"/>
          </w:tcPr>
          <w:p>
            <w:pPr>
              <w:spacing w:after="0"/>
              <w:rPr>
                <w:sz w:val="6"/>
                <w:szCs w:val="6"/>
                <w:color w:val="auto"/>
              </w:rPr>
            </w:pPr>
          </w:p>
        </w:tc>
        <w:tc>
          <w:tcPr>
            <w:tcW w:w="700" w:type="dxa"/>
            <w:vAlign w:val="bottom"/>
            <w:tcBorders>
              <w:bottom w:val="single" w:sz="8" w:color="58585A"/>
            </w:tcBorders>
            <w:shd w:val="clear" w:color="auto" w:fill="ECEDED"/>
          </w:tcPr>
          <w:p>
            <w:pPr>
              <w:spacing w:after="0"/>
              <w:rPr>
                <w:sz w:val="6"/>
                <w:szCs w:val="6"/>
                <w:color w:val="auto"/>
              </w:rPr>
            </w:pPr>
          </w:p>
        </w:tc>
        <w:tc>
          <w:tcPr>
            <w:tcW w:w="480" w:type="dxa"/>
            <w:vAlign w:val="bottom"/>
            <w:tcBorders>
              <w:bottom w:val="single" w:sz="8" w:color="58585A"/>
            </w:tcBorders>
            <w:shd w:val="clear" w:color="auto" w:fill="ECEDED"/>
          </w:tcPr>
          <w:p>
            <w:pPr>
              <w:spacing w:after="0"/>
              <w:rPr>
                <w:sz w:val="6"/>
                <w:szCs w:val="6"/>
                <w:color w:val="auto"/>
              </w:rPr>
            </w:pPr>
          </w:p>
        </w:tc>
        <w:tc>
          <w:tcPr>
            <w:tcW w:w="840" w:type="dxa"/>
            <w:vAlign w:val="bottom"/>
            <w:tcBorders>
              <w:bottom w:val="single" w:sz="8" w:color="58585A"/>
            </w:tcBorders>
            <w:shd w:val="clear" w:color="auto" w:fill="ECEDED"/>
          </w:tcPr>
          <w:p>
            <w:pPr>
              <w:spacing w:after="0"/>
              <w:rPr>
                <w:sz w:val="6"/>
                <w:szCs w:val="6"/>
                <w:color w:val="auto"/>
              </w:rPr>
            </w:pPr>
          </w:p>
        </w:tc>
        <w:tc>
          <w:tcPr>
            <w:tcW w:w="560" w:type="dxa"/>
            <w:vAlign w:val="bottom"/>
            <w:tcBorders>
              <w:bottom w:val="single" w:sz="8" w:color="58585A"/>
            </w:tcBorders>
            <w:shd w:val="clear" w:color="auto" w:fill="ECEDED"/>
          </w:tcPr>
          <w:p>
            <w:pPr>
              <w:spacing w:after="0"/>
              <w:rPr>
                <w:sz w:val="6"/>
                <w:szCs w:val="6"/>
                <w:color w:val="auto"/>
              </w:rPr>
            </w:pPr>
          </w:p>
        </w:tc>
        <w:tc>
          <w:tcPr>
            <w:tcW w:w="860" w:type="dxa"/>
            <w:vAlign w:val="bottom"/>
            <w:tcBorders>
              <w:bottom w:val="single" w:sz="8" w:color="58585A"/>
            </w:tcBorders>
            <w:shd w:val="clear" w:color="auto" w:fill="ECEDED"/>
          </w:tcPr>
          <w:p>
            <w:pPr>
              <w:spacing w:after="0"/>
              <w:rPr>
                <w:sz w:val="6"/>
                <w:szCs w:val="6"/>
                <w:color w:val="auto"/>
              </w:rPr>
            </w:pPr>
          </w:p>
        </w:tc>
        <w:tc>
          <w:tcPr>
            <w:tcW w:w="560" w:type="dxa"/>
            <w:vAlign w:val="bottom"/>
            <w:tcBorders>
              <w:bottom w:val="single" w:sz="8" w:color="58585A"/>
            </w:tcBorders>
            <w:shd w:val="clear" w:color="auto" w:fill="ECEDED"/>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280" w:type="dxa"/>
            <w:vAlign w:val="bottom"/>
          </w:tcPr>
          <w:p>
            <w:pPr>
              <w:ind w:left="40"/>
              <w:spacing w:after="0"/>
              <w:rPr>
                <w:sz w:val="20"/>
                <w:szCs w:val="20"/>
                <w:color w:val="auto"/>
              </w:rPr>
            </w:pPr>
            <w:r>
              <w:rPr>
                <w:rFonts w:ascii="Arial" w:cs="Arial" w:eastAsia="Arial" w:hAnsi="Arial"/>
                <w:sz w:val="12"/>
                <w:szCs w:val="12"/>
                <w:b w:val="1"/>
                <w:bCs w:val="1"/>
                <w:color w:val="auto"/>
                <w:w w:val="98"/>
              </w:rPr>
              <w:t>Public Company CEO</w:t>
            </w: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C44E5D"/>
              </w:rPr>
              <w:t>●</w:t>
            </w: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vMerge w:val="restart"/>
          </w:tcPr>
          <w:p>
            <w:pPr>
              <w:jc w:val="center"/>
              <w:spacing w:after="0"/>
              <w:rPr>
                <w:sz w:val="20"/>
                <w:szCs w:val="20"/>
                <w:color w:val="auto"/>
              </w:rPr>
            </w:pPr>
            <w:r>
              <w:rPr>
                <w:rFonts w:ascii="Arial" w:cs="Arial" w:eastAsia="Arial" w:hAnsi="Arial"/>
                <w:sz w:val="12"/>
                <w:szCs w:val="12"/>
                <w:color w:val="C44E5D"/>
              </w:rPr>
              <w:t>●</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C44E5D"/>
                <w:w w:val="82"/>
              </w:rPr>
              <w:t>●</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color w:val="C44E5D"/>
              </w:rPr>
              <w:t>●</w:t>
            </w: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12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Experience</w:t>
            </w: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280" w:type="dxa"/>
            <w:vAlign w:val="bottom"/>
            <w:tcBorders>
              <w:bottom w:val="single" w:sz="8" w:color="58585A"/>
            </w:tcBorders>
          </w:tcPr>
          <w:p>
            <w:pPr>
              <w:spacing w:after="0"/>
              <w:rPr>
                <w:sz w:val="6"/>
                <w:szCs w:val="6"/>
                <w:color w:val="auto"/>
              </w:rPr>
            </w:pPr>
          </w:p>
        </w:tc>
        <w:tc>
          <w:tcPr>
            <w:tcW w:w="640" w:type="dxa"/>
            <w:vAlign w:val="bottom"/>
            <w:tcBorders>
              <w:bottom w:val="single" w:sz="8" w:color="58585A"/>
            </w:tcBorders>
          </w:tcPr>
          <w:p>
            <w:pPr>
              <w:spacing w:after="0"/>
              <w:rPr>
                <w:sz w:val="6"/>
                <w:szCs w:val="6"/>
                <w:color w:val="auto"/>
              </w:rPr>
            </w:pPr>
          </w:p>
        </w:tc>
        <w:tc>
          <w:tcPr>
            <w:tcW w:w="500" w:type="dxa"/>
            <w:vAlign w:val="bottom"/>
            <w:tcBorders>
              <w:bottom w:val="single" w:sz="8" w:color="58585A"/>
            </w:tcBorders>
          </w:tcPr>
          <w:p>
            <w:pPr>
              <w:spacing w:after="0"/>
              <w:rPr>
                <w:sz w:val="6"/>
                <w:szCs w:val="6"/>
                <w:color w:val="auto"/>
              </w:rPr>
            </w:pPr>
          </w:p>
        </w:tc>
        <w:tc>
          <w:tcPr>
            <w:tcW w:w="560" w:type="dxa"/>
            <w:vAlign w:val="bottom"/>
            <w:tcBorders>
              <w:bottom w:val="single" w:sz="8" w:color="58585A"/>
            </w:tcBorders>
          </w:tcPr>
          <w:p>
            <w:pPr>
              <w:spacing w:after="0"/>
              <w:rPr>
                <w:sz w:val="6"/>
                <w:szCs w:val="6"/>
                <w:color w:val="auto"/>
              </w:rPr>
            </w:pPr>
          </w:p>
        </w:tc>
        <w:tc>
          <w:tcPr>
            <w:tcW w:w="640" w:type="dxa"/>
            <w:vAlign w:val="bottom"/>
            <w:tcBorders>
              <w:bottom w:val="single" w:sz="8" w:color="58585A"/>
            </w:tcBorders>
          </w:tcPr>
          <w:p>
            <w:pPr>
              <w:spacing w:after="0"/>
              <w:rPr>
                <w:sz w:val="6"/>
                <w:szCs w:val="6"/>
                <w:color w:val="auto"/>
              </w:rPr>
            </w:pPr>
          </w:p>
        </w:tc>
        <w:tc>
          <w:tcPr>
            <w:tcW w:w="560" w:type="dxa"/>
            <w:vAlign w:val="bottom"/>
            <w:tcBorders>
              <w:bottom w:val="single" w:sz="8" w:color="58585A"/>
            </w:tcBorders>
          </w:tcPr>
          <w:p>
            <w:pPr>
              <w:spacing w:after="0"/>
              <w:rPr>
                <w:sz w:val="6"/>
                <w:szCs w:val="6"/>
                <w:color w:val="auto"/>
              </w:rPr>
            </w:pPr>
          </w:p>
        </w:tc>
        <w:tc>
          <w:tcPr>
            <w:tcW w:w="460" w:type="dxa"/>
            <w:vAlign w:val="bottom"/>
            <w:tcBorders>
              <w:bottom w:val="single" w:sz="8" w:color="58585A"/>
            </w:tcBorders>
          </w:tcPr>
          <w:p>
            <w:pPr>
              <w:spacing w:after="0"/>
              <w:rPr>
                <w:sz w:val="6"/>
                <w:szCs w:val="6"/>
                <w:color w:val="auto"/>
              </w:rPr>
            </w:pPr>
          </w:p>
        </w:tc>
        <w:tc>
          <w:tcPr>
            <w:tcW w:w="700" w:type="dxa"/>
            <w:vAlign w:val="bottom"/>
            <w:tcBorders>
              <w:bottom w:val="single" w:sz="8" w:color="58585A"/>
            </w:tcBorders>
          </w:tcPr>
          <w:p>
            <w:pPr>
              <w:spacing w:after="0"/>
              <w:rPr>
                <w:sz w:val="6"/>
                <w:szCs w:val="6"/>
                <w:color w:val="auto"/>
              </w:rPr>
            </w:pPr>
          </w:p>
        </w:tc>
        <w:tc>
          <w:tcPr>
            <w:tcW w:w="480" w:type="dxa"/>
            <w:vAlign w:val="bottom"/>
            <w:tcBorders>
              <w:bottom w:val="single" w:sz="8" w:color="58585A"/>
            </w:tcBorders>
          </w:tcPr>
          <w:p>
            <w:pPr>
              <w:spacing w:after="0"/>
              <w:rPr>
                <w:sz w:val="6"/>
                <w:szCs w:val="6"/>
                <w:color w:val="auto"/>
              </w:rPr>
            </w:pPr>
          </w:p>
        </w:tc>
        <w:tc>
          <w:tcPr>
            <w:tcW w:w="840" w:type="dxa"/>
            <w:vAlign w:val="bottom"/>
            <w:tcBorders>
              <w:bottom w:val="single" w:sz="8" w:color="58585A"/>
            </w:tcBorders>
          </w:tcPr>
          <w:p>
            <w:pPr>
              <w:spacing w:after="0"/>
              <w:rPr>
                <w:sz w:val="6"/>
                <w:szCs w:val="6"/>
                <w:color w:val="auto"/>
              </w:rPr>
            </w:pPr>
          </w:p>
        </w:tc>
        <w:tc>
          <w:tcPr>
            <w:tcW w:w="560" w:type="dxa"/>
            <w:vAlign w:val="bottom"/>
            <w:tcBorders>
              <w:bottom w:val="single" w:sz="8" w:color="58585A"/>
            </w:tcBorders>
          </w:tcPr>
          <w:p>
            <w:pPr>
              <w:spacing w:after="0"/>
              <w:rPr>
                <w:sz w:val="6"/>
                <w:szCs w:val="6"/>
                <w:color w:val="auto"/>
              </w:rPr>
            </w:pPr>
          </w:p>
        </w:tc>
        <w:tc>
          <w:tcPr>
            <w:tcW w:w="860" w:type="dxa"/>
            <w:vAlign w:val="bottom"/>
            <w:tcBorders>
              <w:bottom w:val="single" w:sz="8" w:color="58585A"/>
            </w:tcBorders>
          </w:tcPr>
          <w:p>
            <w:pPr>
              <w:spacing w:after="0"/>
              <w:rPr>
                <w:sz w:val="6"/>
                <w:szCs w:val="6"/>
                <w:color w:val="auto"/>
              </w:rPr>
            </w:pPr>
          </w:p>
        </w:tc>
        <w:tc>
          <w:tcPr>
            <w:tcW w:w="560" w:type="dxa"/>
            <w:vAlign w:val="bottom"/>
            <w:tcBorders>
              <w:bottom w:val="single" w:sz="8" w:color="58585A"/>
            </w:tcBorders>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1280" w:type="dxa"/>
            <w:vAlign w:val="bottom"/>
            <w:shd w:val="clear" w:color="auto" w:fill="ECEDED"/>
          </w:tcPr>
          <w:p>
            <w:pPr>
              <w:ind w:left="40"/>
              <w:spacing w:after="0"/>
              <w:rPr>
                <w:sz w:val="20"/>
                <w:szCs w:val="20"/>
                <w:color w:val="auto"/>
              </w:rPr>
            </w:pPr>
            <w:r>
              <w:rPr>
                <w:rFonts w:ascii="Arial" w:cs="Arial" w:eastAsia="Arial" w:hAnsi="Arial"/>
                <w:sz w:val="12"/>
                <w:szCs w:val="12"/>
                <w:b w:val="1"/>
                <w:bCs w:val="1"/>
                <w:color w:val="auto"/>
              </w:rPr>
              <w:t>National Academy of</w:t>
            </w:r>
          </w:p>
        </w:tc>
        <w:tc>
          <w:tcPr>
            <w:tcW w:w="640" w:type="dxa"/>
            <w:vAlign w:val="bottom"/>
            <w:shd w:val="clear" w:color="auto" w:fill="ECEDED"/>
          </w:tcPr>
          <w:p>
            <w:pPr>
              <w:spacing w:after="0"/>
              <w:rPr>
                <w:sz w:val="17"/>
                <w:szCs w:val="17"/>
                <w:color w:val="auto"/>
              </w:rPr>
            </w:pPr>
          </w:p>
        </w:tc>
        <w:tc>
          <w:tcPr>
            <w:tcW w:w="500" w:type="dxa"/>
            <w:vAlign w:val="bottom"/>
            <w:shd w:val="clear" w:color="auto" w:fill="ECEDED"/>
          </w:tcPr>
          <w:p>
            <w:pPr>
              <w:spacing w:after="0"/>
              <w:rPr>
                <w:sz w:val="17"/>
                <w:szCs w:val="17"/>
                <w:color w:val="auto"/>
              </w:rPr>
            </w:pPr>
          </w:p>
        </w:tc>
        <w:tc>
          <w:tcPr>
            <w:tcW w:w="560" w:type="dxa"/>
            <w:vAlign w:val="bottom"/>
            <w:shd w:val="clear" w:color="auto" w:fill="ECEDED"/>
          </w:tcPr>
          <w:p>
            <w:pPr>
              <w:spacing w:after="0"/>
              <w:rPr>
                <w:sz w:val="17"/>
                <w:szCs w:val="17"/>
                <w:color w:val="auto"/>
              </w:rPr>
            </w:pPr>
          </w:p>
        </w:tc>
        <w:tc>
          <w:tcPr>
            <w:tcW w:w="640" w:type="dxa"/>
            <w:vAlign w:val="bottom"/>
            <w:shd w:val="clear" w:color="auto" w:fill="ECEDED"/>
          </w:tcPr>
          <w:p>
            <w:pPr>
              <w:spacing w:after="0"/>
              <w:rPr>
                <w:sz w:val="17"/>
                <w:szCs w:val="17"/>
                <w:color w:val="auto"/>
              </w:rPr>
            </w:pPr>
          </w:p>
        </w:tc>
        <w:tc>
          <w:tcPr>
            <w:tcW w:w="560" w:type="dxa"/>
            <w:vAlign w:val="bottom"/>
            <w:shd w:val="clear" w:color="auto" w:fill="ECEDED"/>
          </w:tcPr>
          <w:p>
            <w:pPr>
              <w:spacing w:after="0"/>
              <w:rPr>
                <w:sz w:val="17"/>
                <w:szCs w:val="17"/>
                <w:color w:val="auto"/>
              </w:rPr>
            </w:pPr>
          </w:p>
        </w:tc>
        <w:tc>
          <w:tcPr>
            <w:tcW w:w="460" w:type="dxa"/>
            <w:vAlign w:val="bottom"/>
            <w:shd w:val="clear" w:color="auto" w:fill="ECEDED"/>
          </w:tcPr>
          <w:p>
            <w:pPr>
              <w:spacing w:after="0"/>
              <w:rPr>
                <w:sz w:val="17"/>
                <w:szCs w:val="17"/>
                <w:color w:val="auto"/>
              </w:rPr>
            </w:pPr>
          </w:p>
        </w:tc>
        <w:tc>
          <w:tcPr>
            <w:tcW w:w="700" w:type="dxa"/>
            <w:vAlign w:val="bottom"/>
            <w:shd w:val="clear" w:color="auto" w:fill="ECEDED"/>
          </w:tcPr>
          <w:p>
            <w:pPr>
              <w:spacing w:after="0"/>
              <w:rPr>
                <w:sz w:val="17"/>
                <w:szCs w:val="17"/>
                <w:color w:val="auto"/>
              </w:rPr>
            </w:pPr>
          </w:p>
        </w:tc>
        <w:tc>
          <w:tcPr>
            <w:tcW w:w="480" w:type="dxa"/>
            <w:vAlign w:val="bottom"/>
            <w:shd w:val="clear" w:color="auto" w:fill="ECEDED"/>
          </w:tcPr>
          <w:p>
            <w:pPr>
              <w:spacing w:after="0"/>
              <w:rPr>
                <w:sz w:val="17"/>
                <w:szCs w:val="17"/>
                <w:color w:val="auto"/>
              </w:rPr>
            </w:pPr>
          </w:p>
        </w:tc>
        <w:tc>
          <w:tcPr>
            <w:tcW w:w="840" w:type="dxa"/>
            <w:vAlign w:val="bottom"/>
            <w:shd w:val="clear" w:color="auto" w:fill="ECEDED"/>
          </w:tcPr>
          <w:p>
            <w:pPr>
              <w:spacing w:after="0"/>
              <w:rPr>
                <w:sz w:val="17"/>
                <w:szCs w:val="17"/>
                <w:color w:val="auto"/>
              </w:rPr>
            </w:pPr>
          </w:p>
        </w:tc>
        <w:tc>
          <w:tcPr>
            <w:tcW w:w="560" w:type="dxa"/>
            <w:vAlign w:val="bottom"/>
            <w:shd w:val="clear" w:color="auto" w:fill="ECEDED"/>
          </w:tcPr>
          <w:p>
            <w:pPr>
              <w:spacing w:after="0"/>
              <w:rPr>
                <w:sz w:val="17"/>
                <w:szCs w:val="17"/>
                <w:color w:val="auto"/>
              </w:rPr>
            </w:pPr>
          </w:p>
        </w:tc>
        <w:tc>
          <w:tcPr>
            <w:tcW w:w="860" w:type="dxa"/>
            <w:vAlign w:val="bottom"/>
            <w:shd w:val="clear" w:color="auto" w:fill="ECEDED"/>
          </w:tcPr>
          <w:p>
            <w:pPr>
              <w:spacing w:after="0"/>
              <w:rPr>
                <w:sz w:val="17"/>
                <w:szCs w:val="17"/>
                <w:color w:val="auto"/>
              </w:rPr>
            </w:pPr>
          </w:p>
        </w:tc>
        <w:tc>
          <w:tcPr>
            <w:tcW w:w="560" w:type="dxa"/>
            <w:vAlign w:val="bottom"/>
            <w:shd w:val="clear" w:color="auto" w:fill="ECEDED"/>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80" w:type="dxa"/>
            <w:vAlign w:val="bottom"/>
            <w:shd w:val="clear" w:color="auto" w:fill="ECEDED"/>
          </w:tcPr>
          <w:p>
            <w:pPr>
              <w:ind w:left="40"/>
              <w:spacing w:after="0" w:line="135" w:lineRule="exact"/>
              <w:rPr>
                <w:sz w:val="20"/>
                <w:szCs w:val="20"/>
                <w:color w:val="auto"/>
              </w:rPr>
            </w:pPr>
            <w:r>
              <w:rPr>
                <w:rFonts w:ascii="Arial" w:cs="Arial" w:eastAsia="Arial" w:hAnsi="Arial"/>
                <w:sz w:val="12"/>
                <w:szCs w:val="12"/>
                <w:b w:val="1"/>
                <w:bCs w:val="1"/>
                <w:color w:val="auto"/>
              </w:rPr>
              <w:t>Sciences</w:t>
            </w:r>
          </w:p>
        </w:tc>
        <w:tc>
          <w:tcPr>
            <w:tcW w:w="640" w:type="dxa"/>
            <w:vAlign w:val="bottom"/>
            <w:shd w:val="clear" w:color="auto" w:fill="ECEDED"/>
          </w:tcPr>
          <w:p>
            <w:pPr>
              <w:jc w:val="center"/>
              <w:spacing w:after="0" w:line="135" w:lineRule="exact"/>
              <w:rPr>
                <w:sz w:val="20"/>
                <w:szCs w:val="20"/>
                <w:color w:val="auto"/>
              </w:rPr>
            </w:pPr>
            <w:r>
              <w:rPr>
                <w:rFonts w:ascii="Arial" w:cs="Arial" w:eastAsia="Arial" w:hAnsi="Arial"/>
                <w:sz w:val="12"/>
                <w:szCs w:val="12"/>
                <w:color w:val="C44E5D"/>
              </w:rPr>
              <w:t>●</w:t>
            </w:r>
          </w:p>
        </w:tc>
        <w:tc>
          <w:tcPr>
            <w:tcW w:w="500" w:type="dxa"/>
            <w:vAlign w:val="bottom"/>
            <w:shd w:val="clear" w:color="auto" w:fill="ECEDED"/>
          </w:tcPr>
          <w:p>
            <w:pPr>
              <w:jc w:val="center"/>
              <w:spacing w:after="0" w:line="135" w:lineRule="exact"/>
              <w:rPr>
                <w:sz w:val="20"/>
                <w:szCs w:val="20"/>
                <w:color w:val="auto"/>
              </w:rPr>
            </w:pPr>
            <w:r>
              <w:rPr>
                <w:rFonts w:ascii="Arial" w:cs="Arial" w:eastAsia="Arial" w:hAnsi="Arial"/>
                <w:sz w:val="12"/>
                <w:szCs w:val="12"/>
                <w:color w:val="C44E5D"/>
                <w:w w:val="82"/>
              </w:rPr>
              <w:t>●</w:t>
            </w:r>
          </w:p>
        </w:tc>
        <w:tc>
          <w:tcPr>
            <w:tcW w:w="560" w:type="dxa"/>
            <w:vAlign w:val="bottom"/>
            <w:shd w:val="clear" w:color="auto" w:fill="ECEDED"/>
          </w:tcPr>
          <w:p>
            <w:pPr>
              <w:spacing w:after="0"/>
              <w:rPr>
                <w:sz w:val="11"/>
                <w:szCs w:val="11"/>
                <w:color w:val="auto"/>
              </w:rPr>
            </w:pPr>
          </w:p>
        </w:tc>
        <w:tc>
          <w:tcPr>
            <w:tcW w:w="640" w:type="dxa"/>
            <w:vAlign w:val="bottom"/>
            <w:shd w:val="clear" w:color="auto" w:fill="ECEDED"/>
          </w:tcPr>
          <w:p>
            <w:pPr>
              <w:jc w:val="center"/>
              <w:spacing w:after="0" w:line="135" w:lineRule="exact"/>
              <w:rPr>
                <w:sz w:val="20"/>
                <w:szCs w:val="20"/>
                <w:color w:val="auto"/>
              </w:rPr>
            </w:pPr>
            <w:r>
              <w:rPr>
                <w:rFonts w:ascii="Arial" w:cs="Arial" w:eastAsia="Arial" w:hAnsi="Arial"/>
                <w:sz w:val="12"/>
                <w:szCs w:val="12"/>
                <w:color w:val="C44E5D"/>
              </w:rPr>
              <w:t>●</w:t>
            </w:r>
          </w:p>
        </w:tc>
        <w:tc>
          <w:tcPr>
            <w:tcW w:w="560" w:type="dxa"/>
            <w:vAlign w:val="bottom"/>
            <w:shd w:val="clear" w:color="auto" w:fill="ECEDED"/>
          </w:tcPr>
          <w:p>
            <w:pPr>
              <w:spacing w:after="0"/>
              <w:rPr>
                <w:sz w:val="11"/>
                <w:szCs w:val="11"/>
                <w:color w:val="auto"/>
              </w:rPr>
            </w:pPr>
          </w:p>
        </w:tc>
        <w:tc>
          <w:tcPr>
            <w:tcW w:w="460" w:type="dxa"/>
            <w:vAlign w:val="bottom"/>
            <w:shd w:val="clear" w:color="auto" w:fill="ECEDED"/>
          </w:tcPr>
          <w:p>
            <w:pPr>
              <w:spacing w:after="0"/>
              <w:rPr>
                <w:sz w:val="11"/>
                <w:szCs w:val="11"/>
                <w:color w:val="auto"/>
              </w:rPr>
            </w:pPr>
          </w:p>
        </w:tc>
        <w:tc>
          <w:tcPr>
            <w:tcW w:w="700" w:type="dxa"/>
            <w:vAlign w:val="bottom"/>
            <w:shd w:val="clear" w:color="auto" w:fill="ECEDED"/>
          </w:tcPr>
          <w:p>
            <w:pPr>
              <w:spacing w:after="0"/>
              <w:rPr>
                <w:sz w:val="11"/>
                <w:szCs w:val="11"/>
                <w:color w:val="auto"/>
              </w:rPr>
            </w:pPr>
          </w:p>
        </w:tc>
        <w:tc>
          <w:tcPr>
            <w:tcW w:w="480" w:type="dxa"/>
            <w:vAlign w:val="bottom"/>
            <w:shd w:val="clear" w:color="auto" w:fill="ECEDED"/>
          </w:tcPr>
          <w:p>
            <w:pPr>
              <w:spacing w:after="0"/>
              <w:rPr>
                <w:sz w:val="11"/>
                <w:szCs w:val="11"/>
                <w:color w:val="auto"/>
              </w:rPr>
            </w:pPr>
          </w:p>
        </w:tc>
        <w:tc>
          <w:tcPr>
            <w:tcW w:w="840" w:type="dxa"/>
            <w:vAlign w:val="bottom"/>
            <w:shd w:val="clear" w:color="auto" w:fill="ECEDED"/>
          </w:tcPr>
          <w:p>
            <w:pPr>
              <w:jc w:val="center"/>
              <w:spacing w:after="0" w:line="135" w:lineRule="exact"/>
              <w:rPr>
                <w:sz w:val="20"/>
                <w:szCs w:val="20"/>
                <w:color w:val="auto"/>
              </w:rPr>
            </w:pPr>
            <w:r>
              <w:rPr>
                <w:rFonts w:ascii="Arial" w:cs="Arial" w:eastAsia="Arial" w:hAnsi="Arial"/>
                <w:sz w:val="12"/>
                <w:szCs w:val="12"/>
                <w:color w:val="C44E5D"/>
              </w:rPr>
              <w:t>●</w:t>
            </w:r>
          </w:p>
        </w:tc>
        <w:tc>
          <w:tcPr>
            <w:tcW w:w="560" w:type="dxa"/>
            <w:vAlign w:val="bottom"/>
            <w:shd w:val="clear" w:color="auto" w:fill="ECEDED"/>
          </w:tcPr>
          <w:p>
            <w:pPr>
              <w:jc w:val="center"/>
              <w:spacing w:after="0" w:line="135" w:lineRule="exact"/>
              <w:rPr>
                <w:sz w:val="20"/>
                <w:szCs w:val="20"/>
                <w:color w:val="auto"/>
              </w:rPr>
            </w:pPr>
            <w:r>
              <w:rPr>
                <w:rFonts w:ascii="Arial" w:cs="Arial" w:eastAsia="Arial" w:hAnsi="Arial"/>
                <w:sz w:val="12"/>
                <w:szCs w:val="12"/>
                <w:color w:val="C44E5D"/>
              </w:rPr>
              <w:t>●</w:t>
            </w:r>
          </w:p>
        </w:tc>
        <w:tc>
          <w:tcPr>
            <w:tcW w:w="860" w:type="dxa"/>
            <w:vAlign w:val="bottom"/>
            <w:shd w:val="clear" w:color="auto" w:fill="ECEDED"/>
          </w:tcPr>
          <w:p>
            <w:pPr>
              <w:jc w:val="center"/>
              <w:spacing w:after="0" w:line="135" w:lineRule="exact"/>
              <w:rPr>
                <w:sz w:val="20"/>
                <w:szCs w:val="20"/>
                <w:color w:val="auto"/>
              </w:rPr>
            </w:pPr>
            <w:r>
              <w:rPr>
                <w:rFonts w:ascii="Arial" w:cs="Arial" w:eastAsia="Arial" w:hAnsi="Arial"/>
                <w:sz w:val="12"/>
                <w:szCs w:val="12"/>
                <w:color w:val="C44E5D"/>
              </w:rPr>
              <w:t>●</w:t>
            </w:r>
          </w:p>
        </w:tc>
        <w:tc>
          <w:tcPr>
            <w:tcW w:w="560" w:type="dxa"/>
            <w:vAlign w:val="bottom"/>
            <w:shd w:val="clear" w:color="auto" w:fill="ECEDED"/>
          </w:tcPr>
          <w:p>
            <w:pPr>
              <w:jc w:val="center"/>
              <w:ind w:right="2"/>
              <w:spacing w:after="0" w:line="135" w:lineRule="exact"/>
              <w:rPr>
                <w:sz w:val="20"/>
                <w:szCs w:val="20"/>
                <w:color w:val="auto"/>
              </w:rPr>
            </w:pPr>
            <w:r>
              <w:rPr>
                <w:rFonts w:ascii="Arial" w:cs="Arial" w:eastAsia="Arial" w:hAnsi="Arial"/>
                <w:sz w:val="12"/>
                <w:szCs w:val="12"/>
                <w:color w:val="C44E5D"/>
                <w:w w:val="82"/>
              </w:rPr>
              <w:t>●</w:t>
            </w:r>
          </w:p>
        </w:tc>
        <w:tc>
          <w:tcPr>
            <w:tcW w:w="0" w:type="dxa"/>
            <w:vAlign w:val="bottom"/>
          </w:tcPr>
          <w:p>
            <w:pPr>
              <w:spacing w:after="0"/>
              <w:rPr>
                <w:sz w:val="1"/>
                <w:szCs w:val="1"/>
                <w:color w:val="auto"/>
              </w:rPr>
            </w:pPr>
          </w:p>
        </w:tc>
      </w:tr>
      <w:tr>
        <w:trPr>
          <w:trHeight w:val="154"/>
        </w:trPr>
        <w:tc>
          <w:tcPr>
            <w:tcW w:w="1280" w:type="dxa"/>
            <w:vAlign w:val="bottom"/>
            <w:shd w:val="clear" w:color="auto" w:fill="ECEDED"/>
          </w:tcPr>
          <w:p>
            <w:pPr>
              <w:ind w:left="40"/>
              <w:spacing w:after="0"/>
              <w:rPr>
                <w:sz w:val="20"/>
                <w:szCs w:val="20"/>
                <w:color w:val="auto"/>
              </w:rPr>
            </w:pPr>
            <w:r>
              <w:rPr>
                <w:rFonts w:ascii="Arial" w:cs="Arial" w:eastAsia="Arial" w:hAnsi="Arial"/>
                <w:sz w:val="12"/>
                <w:szCs w:val="12"/>
                <w:b w:val="1"/>
                <w:bCs w:val="1"/>
                <w:color w:val="auto"/>
              </w:rPr>
              <w:t>Membership</w:t>
            </w:r>
          </w:p>
        </w:tc>
        <w:tc>
          <w:tcPr>
            <w:tcW w:w="640" w:type="dxa"/>
            <w:vAlign w:val="bottom"/>
            <w:shd w:val="clear" w:color="auto" w:fill="ECEDED"/>
          </w:tcPr>
          <w:p>
            <w:pPr>
              <w:spacing w:after="0"/>
              <w:rPr>
                <w:sz w:val="13"/>
                <w:szCs w:val="13"/>
                <w:color w:val="auto"/>
              </w:rPr>
            </w:pPr>
          </w:p>
        </w:tc>
        <w:tc>
          <w:tcPr>
            <w:tcW w:w="500" w:type="dxa"/>
            <w:vAlign w:val="bottom"/>
            <w:shd w:val="clear" w:color="auto" w:fill="ECEDED"/>
          </w:tcPr>
          <w:p>
            <w:pPr>
              <w:spacing w:after="0"/>
              <w:rPr>
                <w:sz w:val="13"/>
                <w:szCs w:val="13"/>
                <w:color w:val="auto"/>
              </w:rPr>
            </w:pPr>
          </w:p>
        </w:tc>
        <w:tc>
          <w:tcPr>
            <w:tcW w:w="560" w:type="dxa"/>
            <w:vAlign w:val="bottom"/>
            <w:shd w:val="clear" w:color="auto" w:fill="ECEDED"/>
          </w:tcPr>
          <w:p>
            <w:pPr>
              <w:spacing w:after="0"/>
              <w:rPr>
                <w:sz w:val="13"/>
                <w:szCs w:val="13"/>
                <w:color w:val="auto"/>
              </w:rPr>
            </w:pPr>
          </w:p>
        </w:tc>
        <w:tc>
          <w:tcPr>
            <w:tcW w:w="640" w:type="dxa"/>
            <w:vAlign w:val="bottom"/>
            <w:shd w:val="clear" w:color="auto" w:fill="ECEDED"/>
          </w:tcPr>
          <w:p>
            <w:pPr>
              <w:spacing w:after="0"/>
              <w:rPr>
                <w:sz w:val="13"/>
                <w:szCs w:val="13"/>
                <w:color w:val="auto"/>
              </w:rPr>
            </w:pPr>
          </w:p>
        </w:tc>
        <w:tc>
          <w:tcPr>
            <w:tcW w:w="560" w:type="dxa"/>
            <w:vAlign w:val="bottom"/>
            <w:shd w:val="clear" w:color="auto" w:fill="ECEDED"/>
          </w:tcPr>
          <w:p>
            <w:pPr>
              <w:spacing w:after="0"/>
              <w:rPr>
                <w:sz w:val="13"/>
                <w:szCs w:val="13"/>
                <w:color w:val="auto"/>
              </w:rPr>
            </w:pPr>
          </w:p>
        </w:tc>
        <w:tc>
          <w:tcPr>
            <w:tcW w:w="460" w:type="dxa"/>
            <w:vAlign w:val="bottom"/>
            <w:shd w:val="clear" w:color="auto" w:fill="ECEDED"/>
          </w:tcPr>
          <w:p>
            <w:pPr>
              <w:spacing w:after="0"/>
              <w:rPr>
                <w:sz w:val="13"/>
                <w:szCs w:val="13"/>
                <w:color w:val="auto"/>
              </w:rPr>
            </w:pPr>
          </w:p>
        </w:tc>
        <w:tc>
          <w:tcPr>
            <w:tcW w:w="700" w:type="dxa"/>
            <w:vAlign w:val="bottom"/>
            <w:shd w:val="clear" w:color="auto" w:fill="ECEDED"/>
          </w:tcPr>
          <w:p>
            <w:pPr>
              <w:spacing w:after="0"/>
              <w:rPr>
                <w:sz w:val="13"/>
                <w:szCs w:val="13"/>
                <w:color w:val="auto"/>
              </w:rPr>
            </w:pPr>
          </w:p>
        </w:tc>
        <w:tc>
          <w:tcPr>
            <w:tcW w:w="480" w:type="dxa"/>
            <w:vAlign w:val="bottom"/>
            <w:shd w:val="clear" w:color="auto" w:fill="ECEDED"/>
          </w:tcPr>
          <w:p>
            <w:pPr>
              <w:spacing w:after="0"/>
              <w:rPr>
                <w:sz w:val="13"/>
                <w:szCs w:val="13"/>
                <w:color w:val="auto"/>
              </w:rPr>
            </w:pPr>
          </w:p>
        </w:tc>
        <w:tc>
          <w:tcPr>
            <w:tcW w:w="840" w:type="dxa"/>
            <w:vAlign w:val="bottom"/>
            <w:shd w:val="clear" w:color="auto" w:fill="ECEDED"/>
          </w:tcPr>
          <w:p>
            <w:pPr>
              <w:spacing w:after="0"/>
              <w:rPr>
                <w:sz w:val="13"/>
                <w:szCs w:val="13"/>
                <w:color w:val="auto"/>
              </w:rPr>
            </w:pPr>
          </w:p>
        </w:tc>
        <w:tc>
          <w:tcPr>
            <w:tcW w:w="560" w:type="dxa"/>
            <w:vAlign w:val="bottom"/>
            <w:shd w:val="clear" w:color="auto" w:fill="ECEDED"/>
          </w:tcPr>
          <w:p>
            <w:pPr>
              <w:spacing w:after="0"/>
              <w:rPr>
                <w:sz w:val="13"/>
                <w:szCs w:val="13"/>
                <w:color w:val="auto"/>
              </w:rPr>
            </w:pPr>
          </w:p>
        </w:tc>
        <w:tc>
          <w:tcPr>
            <w:tcW w:w="860" w:type="dxa"/>
            <w:vAlign w:val="bottom"/>
            <w:shd w:val="clear" w:color="auto" w:fill="ECEDED"/>
          </w:tcPr>
          <w:p>
            <w:pPr>
              <w:spacing w:after="0"/>
              <w:rPr>
                <w:sz w:val="13"/>
                <w:szCs w:val="13"/>
                <w:color w:val="auto"/>
              </w:rPr>
            </w:pPr>
          </w:p>
        </w:tc>
        <w:tc>
          <w:tcPr>
            <w:tcW w:w="560" w:type="dxa"/>
            <w:vAlign w:val="bottom"/>
            <w:shd w:val="clear" w:color="auto" w:fill="ECEDED"/>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1280" w:type="dxa"/>
            <w:vAlign w:val="bottom"/>
            <w:tcBorders>
              <w:bottom w:val="single" w:sz="8" w:color="58585A"/>
            </w:tcBorders>
            <w:shd w:val="clear" w:color="auto" w:fill="ECEDED"/>
          </w:tcPr>
          <w:p>
            <w:pPr>
              <w:spacing w:after="0"/>
              <w:rPr>
                <w:sz w:val="6"/>
                <w:szCs w:val="6"/>
                <w:color w:val="auto"/>
              </w:rPr>
            </w:pPr>
          </w:p>
        </w:tc>
        <w:tc>
          <w:tcPr>
            <w:tcW w:w="640" w:type="dxa"/>
            <w:vAlign w:val="bottom"/>
            <w:tcBorders>
              <w:bottom w:val="single" w:sz="8" w:color="58585A"/>
            </w:tcBorders>
            <w:shd w:val="clear" w:color="auto" w:fill="ECEDED"/>
          </w:tcPr>
          <w:p>
            <w:pPr>
              <w:spacing w:after="0"/>
              <w:rPr>
                <w:sz w:val="6"/>
                <w:szCs w:val="6"/>
                <w:color w:val="auto"/>
              </w:rPr>
            </w:pPr>
          </w:p>
        </w:tc>
        <w:tc>
          <w:tcPr>
            <w:tcW w:w="500" w:type="dxa"/>
            <w:vAlign w:val="bottom"/>
            <w:tcBorders>
              <w:bottom w:val="single" w:sz="8" w:color="58585A"/>
            </w:tcBorders>
            <w:shd w:val="clear" w:color="auto" w:fill="ECEDED"/>
          </w:tcPr>
          <w:p>
            <w:pPr>
              <w:spacing w:after="0"/>
              <w:rPr>
                <w:sz w:val="6"/>
                <w:szCs w:val="6"/>
                <w:color w:val="auto"/>
              </w:rPr>
            </w:pPr>
          </w:p>
        </w:tc>
        <w:tc>
          <w:tcPr>
            <w:tcW w:w="560" w:type="dxa"/>
            <w:vAlign w:val="bottom"/>
            <w:tcBorders>
              <w:bottom w:val="single" w:sz="8" w:color="58585A"/>
            </w:tcBorders>
            <w:shd w:val="clear" w:color="auto" w:fill="ECEDED"/>
          </w:tcPr>
          <w:p>
            <w:pPr>
              <w:spacing w:after="0"/>
              <w:rPr>
                <w:sz w:val="6"/>
                <w:szCs w:val="6"/>
                <w:color w:val="auto"/>
              </w:rPr>
            </w:pPr>
          </w:p>
        </w:tc>
        <w:tc>
          <w:tcPr>
            <w:tcW w:w="640" w:type="dxa"/>
            <w:vAlign w:val="bottom"/>
            <w:tcBorders>
              <w:bottom w:val="single" w:sz="8" w:color="58585A"/>
            </w:tcBorders>
            <w:shd w:val="clear" w:color="auto" w:fill="ECEDED"/>
          </w:tcPr>
          <w:p>
            <w:pPr>
              <w:spacing w:after="0"/>
              <w:rPr>
                <w:sz w:val="6"/>
                <w:szCs w:val="6"/>
                <w:color w:val="auto"/>
              </w:rPr>
            </w:pPr>
          </w:p>
        </w:tc>
        <w:tc>
          <w:tcPr>
            <w:tcW w:w="560" w:type="dxa"/>
            <w:vAlign w:val="bottom"/>
            <w:tcBorders>
              <w:bottom w:val="single" w:sz="8" w:color="58585A"/>
            </w:tcBorders>
            <w:shd w:val="clear" w:color="auto" w:fill="ECEDED"/>
          </w:tcPr>
          <w:p>
            <w:pPr>
              <w:spacing w:after="0"/>
              <w:rPr>
                <w:sz w:val="6"/>
                <w:szCs w:val="6"/>
                <w:color w:val="auto"/>
              </w:rPr>
            </w:pPr>
          </w:p>
        </w:tc>
        <w:tc>
          <w:tcPr>
            <w:tcW w:w="460" w:type="dxa"/>
            <w:vAlign w:val="bottom"/>
            <w:tcBorders>
              <w:bottom w:val="single" w:sz="8" w:color="58585A"/>
            </w:tcBorders>
            <w:shd w:val="clear" w:color="auto" w:fill="ECEDED"/>
          </w:tcPr>
          <w:p>
            <w:pPr>
              <w:spacing w:after="0"/>
              <w:rPr>
                <w:sz w:val="6"/>
                <w:szCs w:val="6"/>
                <w:color w:val="auto"/>
              </w:rPr>
            </w:pPr>
          </w:p>
        </w:tc>
        <w:tc>
          <w:tcPr>
            <w:tcW w:w="700" w:type="dxa"/>
            <w:vAlign w:val="bottom"/>
            <w:tcBorders>
              <w:bottom w:val="single" w:sz="8" w:color="58585A"/>
            </w:tcBorders>
            <w:shd w:val="clear" w:color="auto" w:fill="ECEDED"/>
          </w:tcPr>
          <w:p>
            <w:pPr>
              <w:spacing w:after="0"/>
              <w:rPr>
                <w:sz w:val="6"/>
                <w:szCs w:val="6"/>
                <w:color w:val="auto"/>
              </w:rPr>
            </w:pPr>
          </w:p>
        </w:tc>
        <w:tc>
          <w:tcPr>
            <w:tcW w:w="480" w:type="dxa"/>
            <w:vAlign w:val="bottom"/>
            <w:tcBorders>
              <w:bottom w:val="single" w:sz="8" w:color="58585A"/>
            </w:tcBorders>
            <w:shd w:val="clear" w:color="auto" w:fill="ECEDED"/>
          </w:tcPr>
          <w:p>
            <w:pPr>
              <w:spacing w:after="0"/>
              <w:rPr>
                <w:sz w:val="6"/>
                <w:szCs w:val="6"/>
                <w:color w:val="auto"/>
              </w:rPr>
            </w:pPr>
          </w:p>
        </w:tc>
        <w:tc>
          <w:tcPr>
            <w:tcW w:w="840" w:type="dxa"/>
            <w:vAlign w:val="bottom"/>
            <w:tcBorders>
              <w:bottom w:val="single" w:sz="8" w:color="58585A"/>
            </w:tcBorders>
            <w:shd w:val="clear" w:color="auto" w:fill="ECEDED"/>
          </w:tcPr>
          <w:p>
            <w:pPr>
              <w:spacing w:after="0"/>
              <w:rPr>
                <w:sz w:val="6"/>
                <w:szCs w:val="6"/>
                <w:color w:val="auto"/>
              </w:rPr>
            </w:pPr>
          </w:p>
        </w:tc>
        <w:tc>
          <w:tcPr>
            <w:tcW w:w="560" w:type="dxa"/>
            <w:vAlign w:val="bottom"/>
            <w:tcBorders>
              <w:bottom w:val="single" w:sz="8" w:color="58585A"/>
            </w:tcBorders>
            <w:shd w:val="clear" w:color="auto" w:fill="ECEDED"/>
          </w:tcPr>
          <w:p>
            <w:pPr>
              <w:spacing w:after="0"/>
              <w:rPr>
                <w:sz w:val="6"/>
                <w:szCs w:val="6"/>
                <w:color w:val="auto"/>
              </w:rPr>
            </w:pPr>
          </w:p>
        </w:tc>
        <w:tc>
          <w:tcPr>
            <w:tcW w:w="860" w:type="dxa"/>
            <w:vAlign w:val="bottom"/>
            <w:tcBorders>
              <w:bottom w:val="single" w:sz="8" w:color="58585A"/>
            </w:tcBorders>
            <w:shd w:val="clear" w:color="auto" w:fill="ECEDED"/>
          </w:tcPr>
          <w:p>
            <w:pPr>
              <w:spacing w:after="0"/>
              <w:rPr>
                <w:sz w:val="6"/>
                <w:szCs w:val="6"/>
                <w:color w:val="auto"/>
              </w:rPr>
            </w:pPr>
          </w:p>
        </w:tc>
        <w:tc>
          <w:tcPr>
            <w:tcW w:w="560" w:type="dxa"/>
            <w:vAlign w:val="bottom"/>
            <w:tcBorders>
              <w:bottom w:val="single" w:sz="8" w:color="58585A"/>
            </w:tcBorders>
            <w:shd w:val="clear" w:color="auto" w:fill="ECEDED"/>
          </w:tcPr>
          <w:p>
            <w:pPr>
              <w:spacing w:after="0"/>
              <w:rPr>
                <w:sz w:val="6"/>
                <w:szCs w:val="6"/>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00" w:type="dxa"/>
            <w:vAlign w:val="bottom"/>
          </w:tcPr>
          <w:p>
            <w:pPr>
              <w:ind w:left="22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40" w:type="dxa"/>
            <w:vAlign w:val="bottom"/>
          </w:tcPr>
          <w:p>
            <w:pPr>
              <w:jc w:val="right"/>
              <w:ind w:right="148"/>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9</w:t>
            </w:r>
          </w:p>
        </w:tc>
      </w:tr>
      <w:tr>
        <w:trPr>
          <w:trHeight w:val="258"/>
        </w:trPr>
        <w:tc>
          <w:tcPr>
            <w:tcW w:w="8400" w:type="dxa"/>
            <w:vAlign w:val="bottom"/>
            <w:tcBorders>
              <w:bottom w:val="single" w:sz="8" w:color="C0C0C0"/>
            </w:tcBorders>
          </w:tcPr>
          <w:p>
            <w:pPr>
              <w:spacing w:after="0"/>
              <w:rPr>
                <w:sz w:val="22"/>
                <w:szCs w:val="22"/>
                <w:color w:val="auto"/>
              </w:rPr>
            </w:pPr>
          </w:p>
        </w:tc>
        <w:tc>
          <w:tcPr>
            <w:tcW w:w="28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1233" w:right="339" w:bottom="1440" w:gutter="0" w:footer="0" w:header="0"/>
        </w:sectPr>
      </w:pPr>
    </w:p>
    <w:bookmarkStart w:id="20" w:name="page21"/>
    <w:bookmarkEnd w:id="20"/>
    <w:p>
      <w:pPr>
        <w:ind w:left="72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14605</wp:posOffset>
            </wp:positionV>
            <wp:extent cx="68580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620"/>
          </w:cols>
          <w:pgMar w:left="1180" w:top="405" w:right="109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720"/>
        <w:spacing w:after="0"/>
        <w:rPr>
          <w:sz w:val="20"/>
          <w:szCs w:val="20"/>
          <w:color w:val="auto"/>
        </w:rPr>
      </w:pPr>
      <w:r>
        <w:rPr>
          <w:rFonts w:ascii="Arial" w:cs="Arial" w:eastAsia="Arial" w:hAnsi="Arial"/>
          <w:sz w:val="29"/>
          <w:szCs w:val="29"/>
          <w:b w:val="1"/>
          <w:bCs w:val="1"/>
          <w:color w:val="C04C57"/>
        </w:rPr>
        <w:t>NOMINEES FOR CLASS III DIRECTORS</w:t>
      </w:r>
    </w:p>
    <w:p>
      <w:pPr>
        <w:spacing w:after="0" w:line="40" w:lineRule="exact"/>
        <w:rPr>
          <w:sz w:val="20"/>
          <w:szCs w:val="20"/>
          <w:color w:val="auto"/>
        </w:rPr>
      </w:pPr>
    </w:p>
    <w:p>
      <w:pPr>
        <w:ind w:left="720" w:right="1300"/>
        <w:spacing w:after="0" w:line="270" w:lineRule="auto"/>
        <w:rPr>
          <w:sz w:val="20"/>
          <w:szCs w:val="20"/>
          <w:color w:val="auto"/>
        </w:rPr>
      </w:pPr>
      <w:r>
        <w:rPr>
          <w:rFonts w:ascii="Arial" w:cs="Arial" w:eastAsia="Arial" w:hAnsi="Arial"/>
          <w:sz w:val="29"/>
          <w:szCs w:val="29"/>
          <w:b w:val="1"/>
          <w:bCs w:val="1"/>
          <w:color w:val="C04C57"/>
        </w:rPr>
        <w:t>FOR ELECTION AT THE 2021 ANNUAL MEETING FOR A TERM EXPIRING AT THE 2024 ANNUAL MEETING</w:t>
      </w:r>
      <w:r>
        <w:rPr>
          <w:rFonts w:ascii="Arial" w:cs="Arial" w:eastAsia="Arial" w:hAnsi="Arial"/>
          <w:sz w:val="47"/>
          <w:szCs w:val="47"/>
          <w:b w:val="1"/>
          <w:bCs w:val="1"/>
          <w:color w:val="C04C57"/>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-149860</wp:posOffset>
            </wp:positionV>
            <wp:extent cx="50831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83175" cy="8255"/>
                    </a:xfrm>
                    <a:prstGeom prst="rect">
                      <a:avLst/>
                    </a:prstGeom>
                    <a:noFill/>
                  </pic:spPr>
                </pic:pic>
              </a:graphicData>
            </a:graphic>
          </wp:anchor>
        </w:drawing>
        <w:drawing>
          <wp:anchor simplePos="0" relativeHeight="251657728" behindDoc="1" locked="0" layoutInCell="0" allowOverlap="1">
            <wp:simplePos x="0" y="0"/>
            <wp:positionH relativeFrom="column">
              <wp:posOffset>453390</wp:posOffset>
            </wp:positionH>
            <wp:positionV relativeFrom="paragraph">
              <wp:posOffset>-38100</wp:posOffset>
            </wp:positionV>
            <wp:extent cx="5083175" cy="308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ind w:left="800"/>
        <w:spacing w:after="0"/>
        <w:rPr>
          <w:sz w:val="20"/>
          <w:szCs w:val="20"/>
          <w:color w:val="auto"/>
        </w:rPr>
      </w:pPr>
      <w:r>
        <w:rPr>
          <w:rFonts w:ascii="Arial" w:cs="Arial" w:eastAsia="Arial" w:hAnsi="Arial"/>
          <w:sz w:val="25"/>
          <w:szCs w:val="25"/>
          <w:b w:val="1"/>
          <w:bCs w:val="1"/>
          <w:color w:val="FFFFFF"/>
        </w:rPr>
        <w:t>N. ANTHONY COLES, M.D.</w:t>
      </w:r>
    </w:p>
    <w:p>
      <w:pPr>
        <w:sectPr>
          <w:pgSz w:w="11900" w:h="16838" w:orient="portrait"/>
          <w:cols w:equalWidth="0" w:num="1">
            <w:col w:w="9620"/>
          </w:cols>
          <w:pgMar w:left="1180" w:top="40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-1572260</wp:posOffset>
            </wp:positionV>
            <wp:extent cx="1080135" cy="10890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80135" cy="1089025"/>
                    </a:xfrm>
                    <a:prstGeom prst="rect">
                      <a:avLst/>
                    </a:prstGeom>
                    <a:noFill/>
                  </pic:spPr>
                </pic:pic>
              </a:graphicData>
            </a:graphic>
          </wp:anchor>
        </w:drawing>
      </w:r>
    </w:p>
    <w:p>
      <w:pPr>
        <w:spacing w:after="0" w:line="37"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60</w:t>
      </w:r>
    </w:p>
    <w:p>
      <w:pPr>
        <w:spacing w:after="0" w:line="71"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2952A4"/>
        </w:rPr>
        <w:t>Independent</w:t>
      </w:r>
    </w:p>
    <w:p>
      <w:pPr>
        <w:spacing w:after="0" w:line="341"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2952A4"/>
        </w:rPr>
        <w:t>Other Public Boards:</w:t>
      </w:r>
    </w:p>
    <w:p>
      <w:pPr>
        <w:spacing w:after="0" w:line="102" w:lineRule="exact"/>
        <w:rPr>
          <w:sz w:val="20"/>
          <w:szCs w:val="20"/>
          <w:color w:val="auto"/>
        </w:rPr>
      </w:pPr>
    </w:p>
    <w:p>
      <w:pPr>
        <w:ind w:left="880" w:right="80" w:hanging="166"/>
        <w:spacing w:after="0" w:line="236" w:lineRule="auto"/>
        <w:tabs>
          <w:tab w:leader="none" w:pos="880" w:val="left"/>
        </w:tabs>
        <w:numPr>
          <w:ilvl w:val="0"/>
          <w:numId w:val="13"/>
        </w:numPr>
        <w:rPr>
          <w:rFonts w:ascii="Arial" w:cs="Arial" w:eastAsia="Arial" w:hAnsi="Arial"/>
          <w:sz w:val="15"/>
          <w:szCs w:val="15"/>
          <w:color w:val="2952A4"/>
        </w:rPr>
      </w:pPr>
      <w:r>
        <w:rPr>
          <w:rFonts w:ascii="Arial" w:cs="Arial" w:eastAsia="Arial" w:hAnsi="Arial"/>
          <w:sz w:val="15"/>
          <w:szCs w:val="15"/>
          <w:color w:val="231F20"/>
        </w:rPr>
        <w:t>Cerevel Therapeutics Holdings, Inc.</w:t>
      </w:r>
    </w:p>
    <w:p>
      <w:pPr>
        <w:spacing w:after="0" w:line="52" w:lineRule="exact"/>
        <w:rPr>
          <w:rFonts w:ascii="Arial" w:cs="Arial" w:eastAsia="Arial" w:hAnsi="Arial"/>
          <w:sz w:val="15"/>
          <w:szCs w:val="15"/>
          <w:color w:val="2952A4"/>
        </w:rPr>
      </w:pPr>
    </w:p>
    <w:p>
      <w:pPr>
        <w:ind w:left="880" w:hanging="166"/>
        <w:spacing w:after="0"/>
        <w:tabs>
          <w:tab w:leader="none" w:pos="880" w:val="left"/>
        </w:tabs>
        <w:numPr>
          <w:ilvl w:val="0"/>
          <w:numId w:val="13"/>
        </w:numPr>
        <w:rPr>
          <w:rFonts w:ascii="Arial" w:cs="Arial" w:eastAsia="Arial" w:hAnsi="Arial"/>
          <w:sz w:val="15"/>
          <w:szCs w:val="15"/>
          <w:color w:val="2952A4"/>
        </w:rPr>
      </w:pPr>
      <w:r>
        <w:rPr>
          <w:rFonts w:ascii="Arial" w:cs="Arial" w:eastAsia="Arial" w:hAnsi="Arial"/>
          <w:sz w:val="15"/>
          <w:szCs w:val="15"/>
          <w:color w:val="231F20"/>
        </w:rPr>
        <w:t>Yumanity Therapeutics, Inc.</w:t>
      </w:r>
    </w:p>
    <w:p>
      <w:pPr>
        <w:spacing w:after="0" w:line="57" w:lineRule="exact"/>
        <w:rPr>
          <w:rFonts w:ascii="Arial" w:cs="Arial" w:eastAsia="Arial" w:hAnsi="Arial"/>
          <w:sz w:val="15"/>
          <w:szCs w:val="15"/>
          <w:color w:val="2952A4"/>
        </w:rPr>
      </w:pPr>
    </w:p>
    <w:p>
      <w:pPr>
        <w:ind w:left="880" w:hanging="166"/>
        <w:spacing w:after="0"/>
        <w:tabs>
          <w:tab w:leader="none" w:pos="880" w:val="left"/>
        </w:tabs>
        <w:numPr>
          <w:ilvl w:val="0"/>
          <w:numId w:val="13"/>
        </w:numPr>
        <w:rPr>
          <w:rFonts w:ascii="Arial" w:cs="Arial" w:eastAsia="Arial" w:hAnsi="Arial"/>
          <w:sz w:val="15"/>
          <w:szCs w:val="15"/>
          <w:color w:val="2952A4"/>
        </w:rPr>
      </w:pPr>
      <w:r>
        <w:rPr>
          <w:rFonts w:ascii="Arial" w:cs="Arial" w:eastAsia="Arial" w:hAnsi="Arial"/>
          <w:sz w:val="15"/>
          <w:szCs w:val="15"/>
          <w:color w:val="231F20"/>
        </w:rPr>
        <w:t>McKesson Corporation*</w:t>
      </w:r>
    </w:p>
    <w:p>
      <w:pPr>
        <w:spacing w:after="0" w:line="277" w:lineRule="exact"/>
        <w:rPr>
          <w:sz w:val="20"/>
          <w:szCs w:val="20"/>
          <w:color w:val="auto"/>
        </w:rPr>
      </w:pPr>
    </w:p>
    <w:p>
      <w:pPr>
        <w:ind w:left="860" w:hanging="146"/>
        <w:spacing w:after="0" w:line="244" w:lineRule="auto"/>
        <w:tabs>
          <w:tab w:leader="none" w:pos="8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Dr. Coles has notified McKesson Corporation that he will not stand for reelection as a member of its board of directors at the end of his current term, which will expire at McKesson’s 2021 annual meeting of shareholders.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900"/>
        <w:spacing w:after="0" w:line="226" w:lineRule="auto"/>
        <w:rPr>
          <w:sz w:val="20"/>
          <w:szCs w:val="20"/>
          <w:color w:val="auto"/>
        </w:rPr>
      </w:pPr>
      <w:r>
        <w:rPr>
          <w:rFonts w:ascii="Arial" w:cs="Arial" w:eastAsia="Arial" w:hAnsi="Arial"/>
          <w:sz w:val="15"/>
          <w:szCs w:val="15"/>
          <w:color w:val="231F20"/>
        </w:rPr>
        <w:t>Dr. Coles serves as the President, Chief Executive Officer, and Chairperson of Cerevel Therapeutics Holdings, Inc., the parent entity of Cerevel Therapeutics, Inc., a biopharmaceutical company specializing in the development of new therapies for diseases of the central nervous system. Previously, from 2014 to 2019, Dr. Coles served as Chief Executive Officer of Yumanity Therapeutics, LLC (now known as Yumanity Therapeutics, Inc. ("Yumanity")), a company focused on transforming drug discovery for neurodegenerative diseases, and continues to serve as the Executive Chairman of the board of directors of Yumanity. From 2013 to present, Dr. Coles has served as Chairman and CEO of TRATE Enterprises LLC, a privately-held company. Dr. Coles served as President, Chief Executive Officer and Chairman of the Board of Onyx Pharmaceuticals, Inc., a biopharmaceutical company, from 2012 until 2013, having served as its President, Chief Executive Officer, and a member of its board of directors from 2008 until 2012. Prior to joining Onyx in 2008, he was President, Chief Executive Officer, and a member of the board of directors of NPS Pharmaceuticals, Inc., a biopharmaceutical company. Before joining NPS in 2005, he served in various leadership positions in the biopharmaceutical and pharmaceutical industries, including at Merck &amp; Co., Inc., Bristol-Myers Squibb Company, and Vertex Pharmaceuticals Incorporated. In addition to having previously served as a director of Onyx and NPS, he was formerly a director of Laboratory Corporation of America Holdings, Campus Crest Communities, Inc., and CRISPR Therapeutics AG.</w:t>
      </w:r>
    </w:p>
    <w:p>
      <w:pPr>
        <w:spacing w:after="0" w:line="152" w:lineRule="exact"/>
        <w:rPr>
          <w:sz w:val="20"/>
          <w:szCs w:val="20"/>
          <w:color w:val="auto"/>
        </w:rPr>
      </w:pPr>
    </w:p>
    <w:p>
      <w:pPr>
        <w:ind w:right="900"/>
        <w:spacing w:after="0" w:line="233" w:lineRule="auto"/>
        <w:rPr>
          <w:sz w:val="20"/>
          <w:szCs w:val="20"/>
          <w:color w:val="auto"/>
        </w:rPr>
      </w:pPr>
      <w:r>
        <w:rPr>
          <w:rFonts w:ascii="Arial" w:cs="Arial" w:eastAsia="Arial" w:hAnsi="Arial"/>
          <w:sz w:val="15"/>
          <w:szCs w:val="15"/>
          <w:color w:val="231F20"/>
        </w:rPr>
        <w:t>Dr. Coles has been a director of McKesson Corporation since April 2014 and serves on the Compensation Committee and the Finance Committee of its board of directors.</w:t>
      </w:r>
    </w:p>
    <w:p>
      <w:pPr>
        <w:spacing w:after="0" w:line="146" w:lineRule="exact"/>
        <w:rPr>
          <w:sz w:val="20"/>
          <w:szCs w:val="20"/>
          <w:color w:val="auto"/>
        </w:rPr>
      </w:pPr>
    </w:p>
    <w:p>
      <w:pPr>
        <w:ind w:right="920"/>
        <w:spacing w:after="0" w:line="247" w:lineRule="auto"/>
        <w:rPr>
          <w:sz w:val="20"/>
          <w:szCs w:val="20"/>
          <w:color w:val="auto"/>
        </w:rPr>
      </w:pPr>
      <w:r>
        <w:rPr>
          <w:rFonts w:ascii="Arial" w:cs="Arial" w:eastAsia="Arial" w:hAnsi="Arial"/>
          <w:sz w:val="14"/>
          <w:szCs w:val="14"/>
          <w:color w:val="231F20"/>
        </w:rPr>
        <w:t>The experience of Dr. Coles as a seasoned executive and corporate director with extensive knowledge of highly regulated biopharmaceutical and pharmaceutical companies, as well as his in-depth knowledge and understanding of the regulatory environment in which Regeneron operates, led to the board's decision to nominate Dr. Coles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3197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Membership—2020 Attendance: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60" w:type="dxa"/>
            <w:vAlign w:val="bottom"/>
          </w:tcPr>
          <w:p>
            <w:pPr>
              <w:spacing w:after="0"/>
              <w:rPr>
                <w:sz w:val="20"/>
                <w:szCs w:val="20"/>
                <w:color w:val="auto"/>
              </w:rPr>
            </w:pPr>
            <w:r>
              <w:rPr>
                <w:rFonts w:ascii="Arial" w:cs="Arial" w:eastAsia="Arial" w:hAnsi="Arial"/>
                <w:sz w:val="15"/>
                <w:szCs w:val="15"/>
                <w:color w:val="231F20"/>
              </w:rPr>
              <w:t>Board of Directors:</w:t>
            </w:r>
          </w:p>
        </w:tc>
        <w:tc>
          <w:tcPr>
            <w:tcW w:w="800" w:type="dxa"/>
            <w:vAlign w:val="bottom"/>
          </w:tcPr>
          <w:p>
            <w:pPr>
              <w:ind w:left="420"/>
              <w:spacing w:after="0"/>
              <w:rPr>
                <w:sz w:val="20"/>
                <w:szCs w:val="20"/>
                <w:color w:val="auto"/>
              </w:rPr>
            </w:pPr>
            <w:r>
              <w:rPr>
                <w:rFonts w:ascii="Arial" w:cs="Arial" w:eastAsia="Arial" w:hAnsi="Arial"/>
                <w:sz w:val="15"/>
                <w:szCs w:val="15"/>
                <w:b w:val="1"/>
                <w:bCs w:val="1"/>
                <w:color w:val="2952A4"/>
              </w:rPr>
              <w:t>9/11</w:t>
            </w:r>
          </w:p>
        </w:tc>
      </w:tr>
      <w:tr>
        <w:trPr>
          <w:trHeight w:val="324"/>
        </w:trPr>
        <w:tc>
          <w:tcPr>
            <w:tcW w:w="1660" w:type="dxa"/>
            <w:vAlign w:val="bottom"/>
          </w:tcPr>
          <w:p>
            <w:pPr>
              <w:spacing w:after="0"/>
              <w:rPr>
                <w:sz w:val="20"/>
                <w:szCs w:val="20"/>
                <w:color w:val="auto"/>
              </w:rPr>
            </w:pPr>
            <w:r>
              <w:rPr>
                <w:rFonts w:ascii="Arial" w:cs="Arial" w:eastAsia="Arial" w:hAnsi="Arial"/>
                <w:sz w:val="15"/>
                <w:szCs w:val="15"/>
                <w:color w:val="231F20"/>
              </w:rPr>
              <w:t>Audit Committee:</w:t>
            </w:r>
          </w:p>
        </w:tc>
        <w:tc>
          <w:tcPr>
            <w:tcW w:w="800" w:type="dxa"/>
            <w:vAlign w:val="bottom"/>
          </w:tcPr>
          <w:p>
            <w:pPr>
              <w:ind w:left="420"/>
              <w:spacing w:after="0"/>
              <w:rPr>
                <w:sz w:val="20"/>
                <w:szCs w:val="20"/>
                <w:color w:val="auto"/>
              </w:rPr>
            </w:pPr>
            <w:r>
              <w:rPr>
                <w:rFonts w:ascii="Arial" w:cs="Arial" w:eastAsia="Arial" w:hAnsi="Arial"/>
                <w:sz w:val="15"/>
                <w:szCs w:val="15"/>
                <w:b w:val="1"/>
                <w:bCs w:val="1"/>
                <w:color w:val="2952A4"/>
                <w:w w:val="95"/>
              </w:rPr>
              <w:t>11/11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Prior Voting Results—2020:</w:t>
      </w:r>
    </w:p>
    <w:p>
      <w:pPr>
        <w:spacing w:after="0" w:line="159"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For:</w:t>
      </w:r>
      <w:r>
        <w:rPr>
          <w:sz w:val="20"/>
          <w:szCs w:val="20"/>
          <w:color w:val="auto"/>
        </w:rPr>
        <w:tab/>
      </w:r>
      <w:r>
        <w:rPr>
          <w:rFonts w:ascii="Arial" w:cs="Arial" w:eastAsia="Arial" w:hAnsi="Arial"/>
          <w:sz w:val="15"/>
          <w:szCs w:val="15"/>
          <w:b w:val="1"/>
          <w:bCs w:val="1"/>
          <w:color w:val="2952A4"/>
        </w:rPr>
        <w:t>99.5%</w:t>
      </w:r>
    </w:p>
    <w:p>
      <w:pPr>
        <w:spacing w:after="0" w:line="152"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Against:</w:t>
      </w:r>
      <w:r>
        <w:rPr>
          <w:sz w:val="20"/>
          <w:szCs w:val="20"/>
          <w:color w:val="auto"/>
        </w:rPr>
        <w:tab/>
      </w:r>
      <w:r>
        <w:rPr>
          <w:rFonts w:ascii="Arial" w:cs="Arial" w:eastAsia="Arial" w:hAnsi="Arial"/>
          <w:sz w:val="15"/>
          <w:szCs w:val="15"/>
          <w:b w:val="1"/>
          <w:bCs w:val="1"/>
          <w:color w:val="2952A4"/>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3197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640"/>
            <w:col w:w="5940"/>
          </w:cols>
          <w:pgMar w:left="1180" w:top="405" w:right="1099" w:bottom="1440" w:gutter="0" w:footer="0" w:header="0"/>
          <w:type w:val="continuous"/>
        </w:sectPr>
      </w:pPr>
    </w:p>
    <w:p>
      <w:pPr>
        <w:spacing w:after="0" w:line="131" w:lineRule="exact"/>
        <w:rPr>
          <w:sz w:val="20"/>
          <w:szCs w:val="20"/>
          <w:color w:val="auto"/>
        </w:rPr>
      </w:pPr>
    </w:p>
    <w:p>
      <w:pPr>
        <w:ind w:left="3680"/>
        <w:spacing w:after="0"/>
        <w:rPr>
          <w:sz w:val="20"/>
          <w:szCs w:val="20"/>
          <w:color w:val="auto"/>
        </w:rPr>
      </w:pPr>
      <w:r>
        <w:rPr>
          <w:rFonts w:ascii="Arial" w:cs="Arial" w:eastAsia="Arial" w:hAnsi="Arial"/>
          <w:sz w:val="14"/>
          <w:szCs w:val="14"/>
          <w:b w:val="1"/>
          <w:bCs w:val="1"/>
          <w:color w:val="C04C57"/>
        </w:rPr>
        <w:t>Regeneron Common Stock Beneficially Owned as of April 13, 2021:</w:t>
      </w:r>
    </w:p>
    <w:p>
      <w:pPr>
        <w:spacing w:after="0" w:line="159" w:lineRule="exact"/>
        <w:rPr>
          <w:sz w:val="20"/>
          <w:szCs w:val="20"/>
          <w:color w:val="auto"/>
        </w:rPr>
      </w:pPr>
    </w:p>
    <w:tbl>
      <w:tblPr>
        <w:tblLayout w:type="fixed"/>
        <w:tblInd w:w="3680" w:type="dxa"/>
        <w:tblCellMar>
          <w:top w:w="0" w:type="dxa"/>
          <w:left w:w="0" w:type="dxa"/>
          <w:bottom w:w="0" w:type="dxa"/>
          <w:right w:w="0" w:type="dxa"/>
        </w:tblCellMar>
      </w:tblPr>
      <w:tr>
        <w:trPr>
          <w:trHeight w:val="196"/>
        </w:trPr>
        <w:tc>
          <w:tcPr>
            <w:tcW w:w="1820" w:type="dxa"/>
            <w:vAlign w:val="bottom"/>
          </w:tcPr>
          <w:p>
            <w:pPr>
              <w:spacing w:after="0"/>
              <w:rPr>
                <w:sz w:val="20"/>
                <w:szCs w:val="20"/>
                <w:color w:val="auto"/>
              </w:rPr>
            </w:pPr>
            <w:r>
              <w:rPr>
                <w:rFonts w:ascii="Arial" w:cs="Arial" w:eastAsia="Arial" w:hAnsi="Arial"/>
                <w:sz w:val="15"/>
                <w:szCs w:val="15"/>
                <w:color w:val="231F20"/>
              </w:rPr>
              <w:t>Common Stock:</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2952A4"/>
              </w:rPr>
              <w:t>11</w:t>
            </w:r>
          </w:p>
        </w:tc>
      </w:tr>
    </w:tbl>
    <w:p>
      <w:pPr>
        <w:spacing w:after="0" w:line="128" w:lineRule="exact"/>
        <w:rPr>
          <w:sz w:val="20"/>
          <w:szCs w:val="20"/>
          <w:color w:val="auto"/>
        </w:rPr>
      </w:pPr>
    </w:p>
    <w:p>
      <w:pPr>
        <w:ind w:left="3680"/>
        <w:spacing w:after="0"/>
        <w:tabs>
          <w:tab w:leader="none" w:pos="6260" w:val="left"/>
        </w:tabs>
        <w:rPr>
          <w:sz w:val="20"/>
          <w:szCs w:val="20"/>
          <w:color w:val="auto"/>
        </w:rPr>
      </w:pPr>
      <w:r>
        <w:rPr>
          <w:rFonts w:ascii="Arial" w:cs="Arial" w:eastAsia="Arial" w:hAnsi="Arial"/>
          <w:sz w:val="15"/>
          <w:szCs w:val="15"/>
          <w:color w:val="231F20"/>
        </w:rPr>
        <w:t>Options:</w:t>
      </w:r>
      <w:r>
        <w:rPr>
          <w:sz w:val="20"/>
          <w:szCs w:val="20"/>
          <w:color w:val="auto"/>
        </w:rPr>
        <w:tab/>
      </w:r>
      <w:r>
        <w:rPr>
          <w:rFonts w:ascii="Arial" w:cs="Arial" w:eastAsia="Arial" w:hAnsi="Arial"/>
          <w:sz w:val="15"/>
          <w:szCs w:val="15"/>
          <w:b w:val="1"/>
          <w:bCs w:val="1"/>
          <w:color w:val="2952A4"/>
        </w:rPr>
        <w:t>29,657</w:t>
      </w:r>
    </w:p>
    <w:p>
      <w:pPr>
        <w:spacing w:after="0" w:line="152" w:lineRule="exact"/>
        <w:rPr>
          <w:sz w:val="20"/>
          <w:szCs w:val="20"/>
          <w:color w:val="auto"/>
        </w:rPr>
      </w:pPr>
    </w:p>
    <w:tbl>
      <w:tblPr>
        <w:tblLayout w:type="fixed"/>
        <w:tblInd w:w="3680" w:type="dxa"/>
        <w:tblCellMar>
          <w:top w:w="0" w:type="dxa"/>
          <w:left w:w="0" w:type="dxa"/>
          <w:bottom w:w="0" w:type="dxa"/>
          <w:right w:w="0" w:type="dxa"/>
        </w:tblCellMar>
      </w:tblPr>
      <w:tr>
        <w:trPr>
          <w:trHeight w:val="196"/>
        </w:trPr>
        <w:tc>
          <w:tcPr>
            <w:tcW w:w="2360" w:type="dxa"/>
            <w:vAlign w:val="bottom"/>
          </w:tcPr>
          <w:p>
            <w:pPr>
              <w:spacing w:after="0"/>
              <w:rPr>
                <w:sz w:val="20"/>
                <w:szCs w:val="20"/>
                <w:color w:val="auto"/>
              </w:rPr>
            </w:pPr>
            <w:r>
              <w:rPr>
                <w:rFonts w:ascii="Arial" w:cs="Arial" w:eastAsia="Arial" w:hAnsi="Arial"/>
                <w:sz w:val="15"/>
                <w:szCs w:val="15"/>
                <w:color w:val="231F20"/>
              </w:rPr>
              <w:t>Restricted Stock Units (“RSUs”):</w:t>
            </w:r>
          </w:p>
        </w:tc>
        <w:tc>
          <w:tcPr>
            <w:tcW w:w="480" w:type="dxa"/>
            <w:vAlign w:val="bottom"/>
          </w:tcPr>
          <w:p>
            <w:pPr>
              <w:jc w:val="right"/>
              <w:spacing w:after="0"/>
              <w:rPr>
                <w:sz w:val="20"/>
                <w:szCs w:val="20"/>
                <w:color w:val="auto"/>
              </w:rPr>
            </w:pPr>
            <w:r>
              <w:rPr>
                <w:rFonts w:ascii="Arial" w:cs="Arial" w:eastAsia="Arial" w:hAnsi="Arial"/>
                <w:sz w:val="15"/>
                <w:szCs w:val="15"/>
                <w:b w:val="1"/>
                <w:bCs w:val="1"/>
                <w:color w:val="2952A4"/>
              </w:rPr>
              <w:t>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126365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359" w:lineRule="exact"/>
        <w:rPr>
          <w:sz w:val="20"/>
          <w:szCs w:val="20"/>
          <w:color w:val="auto"/>
        </w:rPr>
      </w:pPr>
    </w:p>
    <w:p>
      <w:pPr>
        <w:ind w:left="880" w:right="980" w:hanging="166"/>
        <w:spacing w:after="0" w:line="247" w:lineRule="auto"/>
        <w:tabs>
          <w:tab w:leader="none" w:pos="880" w:val="left"/>
        </w:tabs>
        <w:numPr>
          <w:ilvl w:val="0"/>
          <w:numId w:val="15"/>
        </w:numPr>
        <w:rPr>
          <w:rFonts w:ascii="Arial" w:cs="Arial" w:eastAsia="Arial" w:hAnsi="Arial"/>
          <w:sz w:val="14"/>
          <w:szCs w:val="14"/>
          <w:b w:val="1"/>
          <w:bCs w:val="1"/>
          <w:color w:val="2952A4"/>
        </w:rPr>
      </w:pPr>
      <w:r>
        <w:rPr>
          <w:rFonts w:ascii="Arial" w:cs="Arial" w:eastAsia="Arial" w:hAnsi="Arial"/>
          <w:sz w:val="14"/>
          <w:szCs w:val="14"/>
          <w:color w:val="231F20"/>
        </w:rPr>
        <w:t>Biographical information is given, as of April 13, 2021, for each nominee and for each of the other directors whose term of office will continue after the 2021 Annual Meeting. All the nominees are presently directors and were previously elected by the shareholders. None of the corporations or other organizations referred to below with which a director has been or is currently employed or otherwise associated is a parent, subsidiary, or affiliate of the Company.</w:t>
      </w:r>
    </w:p>
    <w:p>
      <w:pPr>
        <w:spacing w:after="0" w:line="364" w:lineRule="exact"/>
        <w:rPr>
          <w:sz w:val="20"/>
          <w:szCs w:val="20"/>
          <w:color w:val="auto"/>
        </w:rPr>
      </w:pPr>
    </w:p>
    <w:p>
      <w:pPr>
        <w:spacing w:after="0"/>
        <w:tabs>
          <w:tab w:leader="none" w:pos="3820" w:val="left"/>
        </w:tabs>
        <w:rPr>
          <w:sz w:val="20"/>
          <w:szCs w:val="20"/>
          <w:color w:val="auto"/>
        </w:rPr>
      </w:pPr>
      <w:r>
        <w:rPr>
          <w:rFonts w:ascii="Arial" w:cs="Arial" w:eastAsia="Arial" w:hAnsi="Arial"/>
          <w:sz w:val="14"/>
          <w:szCs w:val="14"/>
          <w:b w:val="1"/>
          <w:bCs w:val="1"/>
          <w:color w:val="00A5EC"/>
        </w:rPr>
        <w:t xml:space="preserve">10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161290</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620"/>
          </w:cols>
          <w:pgMar w:left="1180" w:top="405" w:right="1099" w:bottom="1440" w:gutter="0" w:footer="0" w:header="0"/>
          <w:type w:val="continuous"/>
        </w:sectPr>
      </w:pPr>
    </w:p>
    <w:bookmarkStart w:id="21" w:name="page22"/>
    <w:bookmarkEnd w:id="21"/>
    <w:p>
      <w:pPr>
        <w:ind w:left="640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554990</wp:posOffset>
            </wp:positionV>
            <wp:extent cx="5083175" cy="308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60"/>
        <w:spacing w:after="0"/>
        <w:rPr>
          <w:sz w:val="20"/>
          <w:szCs w:val="20"/>
          <w:color w:val="auto"/>
        </w:rPr>
      </w:pPr>
      <w:r>
        <w:rPr>
          <w:rFonts w:ascii="Arial" w:cs="Arial" w:eastAsia="Arial" w:hAnsi="Arial"/>
          <w:sz w:val="24"/>
          <w:szCs w:val="24"/>
          <w:b w:val="1"/>
          <w:bCs w:val="1"/>
          <w:color w:val="FFFFFF"/>
        </w:rPr>
        <w:t>ARTHUR 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195580</wp:posOffset>
            </wp:positionV>
            <wp:extent cx="1080135" cy="10801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2003</w:t>
      </w:r>
    </w:p>
    <w:p>
      <w:pPr>
        <w:spacing w:after="0" w:line="57"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78</w:t>
      </w:r>
    </w:p>
    <w:p>
      <w:pPr>
        <w:spacing w:after="0" w:line="7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660"/>
        <w:spacing w:after="0" w:line="227" w:lineRule="auto"/>
        <w:rPr>
          <w:sz w:val="20"/>
          <w:szCs w:val="20"/>
          <w:color w:val="auto"/>
        </w:rPr>
      </w:pPr>
      <w:r>
        <w:rPr>
          <w:rFonts w:ascii="Arial" w:cs="Arial" w:eastAsia="Arial" w:hAnsi="Arial"/>
          <w:sz w:val="15"/>
          <w:szCs w:val="15"/>
          <w:color w:val="231F20"/>
        </w:rPr>
        <w:t>In 2008, Mr. Ryan retired as the Chairman of the Board of Prudential Financial, Inc., one of the largest diversified financial institutions in the world. He served as Chief Executive Officer of Prudential until 2007. Prior to joining Prudential in 1994, Mr. Ryan served as President and Chief Operating Officer of Chase Manhattan Bank since 1990. Mr. Ryan managed Chase's worldwide retail bank between 1984 and 1990. From 2008 to 2013, Mr. Ryan served as a non-executive director of the Royal Bank of Scotland Group plc. From 2009 to 2019, Mr. Ryan served as a director of Citizens Financial Group, Inc., a retail bank holding company that became publicly traded in 2014, and also served as its lead director, chair of the Compensation and Human Resources Committee, and a member of the Nominating and Corporate Governance Committee.</w:t>
      </w:r>
    </w:p>
    <w:p>
      <w:pPr>
        <w:spacing w:after="0" w:line="148" w:lineRule="exact"/>
        <w:rPr>
          <w:sz w:val="20"/>
          <w:szCs w:val="20"/>
          <w:color w:val="auto"/>
        </w:rPr>
      </w:pPr>
    </w:p>
    <w:p>
      <w:pPr>
        <w:ind w:right="1800"/>
        <w:spacing w:after="0" w:line="231" w:lineRule="auto"/>
        <w:rPr>
          <w:sz w:val="20"/>
          <w:szCs w:val="20"/>
          <w:color w:val="auto"/>
        </w:rPr>
      </w:pPr>
      <w:r>
        <w:rPr>
          <w:rFonts w:ascii="Arial" w:cs="Arial" w:eastAsia="Arial" w:hAnsi="Arial"/>
          <w:sz w:val="15"/>
          <w:szCs w:val="15"/>
          <w:color w:val="231F20"/>
        </w:rPr>
        <w:t>Mr. Ryan's substantial leadership experience as a chief executive officer of leading companies in the banking and insurance industries, and his extensive business experience and financial expertise, led to the board's decision to nominate Mr. Ryan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Membership—2020 Attendance: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0" w:type="dxa"/>
            <w:vAlign w:val="bottom"/>
          </w:tcPr>
          <w:p>
            <w:pPr>
              <w:spacing w:after="0"/>
              <w:rPr>
                <w:sz w:val="20"/>
                <w:szCs w:val="20"/>
                <w:color w:val="auto"/>
              </w:rPr>
            </w:pPr>
            <w:r>
              <w:rPr>
                <w:rFonts w:ascii="Arial" w:cs="Arial" w:eastAsia="Arial" w:hAnsi="Arial"/>
                <w:sz w:val="15"/>
                <w:szCs w:val="15"/>
                <w:color w:val="231F20"/>
              </w:rPr>
              <w:t>Board of Directors:</w:t>
            </w:r>
          </w:p>
        </w:tc>
        <w:tc>
          <w:tcPr>
            <w:tcW w:w="2120" w:type="dxa"/>
            <w:vAlign w:val="bottom"/>
          </w:tcPr>
          <w:p>
            <w:pPr>
              <w:spacing w:after="0"/>
              <w:rPr>
                <w:sz w:val="17"/>
                <w:szCs w:val="17"/>
                <w:color w:val="auto"/>
              </w:rPr>
            </w:pPr>
          </w:p>
        </w:tc>
        <w:tc>
          <w:tcPr>
            <w:tcW w:w="1520" w:type="dxa"/>
            <w:vAlign w:val="bottom"/>
          </w:tcPr>
          <w:p>
            <w:pPr>
              <w:ind w:left="120"/>
              <w:spacing w:after="0"/>
              <w:rPr>
                <w:sz w:val="20"/>
                <w:szCs w:val="20"/>
                <w:color w:val="auto"/>
              </w:rPr>
            </w:pPr>
            <w:r>
              <w:rPr>
                <w:rFonts w:ascii="Arial" w:cs="Arial" w:eastAsia="Arial" w:hAnsi="Arial"/>
                <w:sz w:val="15"/>
                <w:szCs w:val="15"/>
                <w:b w:val="1"/>
                <w:bCs w:val="1"/>
                <w:color w:val="2952A4"/>
              </w:rPr>
              <w:t>10/11</w:t>
            </w:r>
          </w:p>
        </w:tc>
      </w:tr>
      <w:tr>
        <w:trPr>
          <w:trHeight w:val="324"/>
        </w:trPr>
        <w:tc>
          <w:tcPr>
            <w:tcW w:w="1400" w:type="dxa"/>
            <w:vAlign w:val="bottom"/>
          </w:tcPr>
          <w:p>
            <w:pPr>
              <w:spacing w:after="0"/>
              <w:rPr>
                <w:sz w:val="20"/>
                <w:szCs w:val="20"/>
                <w:color w:val="auto"/>
              </w:rPr>
            </w:pPr>
            <w:r>
              <w:rPr>
                <w:rFonts w:ascii="Arial" w:cs="Arial" w:eastAsia="Arial" w:hAnsi="Arial"/>
                <w:sz w:val="15"/>
                <w:szCs w:val="15"/>
                <w:color w:val="231F20"/>
              </w:rPr>
              <w:t>Audit Committee:</w:t>
            </w:r>
          </w:p>
        </w:tc>
        <w:tc>
          <w:tcPr>
            <w:tcW w:w="2120" w:type="dxa"/>
            <w:vAlign w:val="bottom"/>
          </w:tcPr>
          <w:p>
            <w:pPr>
              <w:spacing w:after="0"/>
              <w:rPr>
                <w:sz w:val="24"/>
                <w:szCs w:val="24"/>
                <w:color w:val="auto"/>
              </w:rPr>
            </w:pPr>
          </w:p>
        </w:tc>
        <w:tc>
          <w:tcPr>
            <w:tcW w:w="1520" w:type="dxa"/>
            <w:vAlign w:val="bottom"/>
          </w:tcPr>
          <w:p>
            <w:pPr>
              <w:ind w:left="120"/>
              <w:spacing w:after="0"/>
              <w:rPr>
                <w:sz w:val="20"/>
                <w:szCs w:val="20"/>
                <w:color w:val="auto"/>
              </w:rPr>
            </w:pPr>
            <w:r>
              <w:rPr>
                <w:rFonts w:ascii="Arial" w:cs="Arial" w:eastAsia="Arial" w:hAnsi="Arial"/>
                <w:sz w:val="15"/>
                <w:szCs w:val="15"/>
                <w:b w:val="1"/>
                <w:bCs w:val="1"/>
                <w:color w:val="2952A4"/>
              </w:rPr>
              <w:t>11/11</w:t>
            </w:r>
          </w:p>
        </w:tc>
      </w:tr>
      <w:tr>
        <w:trPr>
          <w:trHeight w:val="308"/>
        </w:trPr>
        <w:tc>
          <w:tcPr>
            <w:tcW w:w="3520" w:type="dxa"/>
            <w:vAlign w:val="bottom"/>
            <w:gridSpan w:val="2"/>
          </w:tcPr>
          <w:p>
            <w:pPr>
              <w:spacing w:after="0"/>
              <w:rPr>
                <w:sz w:val="20"/>
                <w:szCs w:val="20"/>
                <w:color w:val="auto"/>
              </w:rPr>
            </w:pPr>
            <w:r>
              <w:rPr>
                <w:rFonts w:ascii="Arial" w:cs="Arial" w:eastAsia="Arial" w:hAnsi="Arial"/>
                <w:sz w:val="15"/>
                <w:szCs w:val="15"/>
                <w:color w:val="auto"/>
              </w:rPr>
              <w:t>Corporate Governance and Compliance Committee</w:t>
            </w:r>
          </w:p>
        </w:tc>
        <w:tc>
          <w:tcPr>
            <w:tcW w:w="1520" w:type="dxa"/>
            <w:vAlign w:val="bottom"/>
          </w:tcPr>
          <w:p>
            <w:pPr>
              <w:ind w:left="120"/>
              <w:spacing w:after="0"/>
              <w:rPr>
                <w:sz w:val="20"/>
                <w:szCs w:val="20"/>
                <w:color w:val="auto"/>
              </w:rPr>
            </w:pPr>
            <w:r>
              <w:rPr>
                <w:rFonts w:ascii="Arial" w:cs="Arial" w:eastAsia="Arial" w:hAnsi="Arial"/>
                <w:sz w:val="15"/>
                <w:szCs w:val="15"/>
                <w:b w:val="1"/>
                <w:bCs w:val="1"/>
                <w:color w:val="2952A4"/>
              </w:rPr>
              <w:t>5/5</w:t>
            </w:r>
          </w:p>
        </w:tc>
      </w:tr>
      <w:tr>
        <w:trPr>
          <w:trHeight w:val="178"/>
        </w:trPr>
        <w:tc>
          <w:tcPr>
            <w:tcW w:w="1400" w:type="dxa"/>
            <w:vAlign w:val="bottom"/>
          </w:tcPr>
          <w:p>
            <w:pPr>
              <w:spacing w:after="0"/>
              <w:rPr>
                <w:sz w:val="20"/>
                <w:szCs w:val="20"/>
                <w:color w:val="auto"/>
              </w:rPr>
            </w:pPr>
            <w:r>
              <w:rPr>
                <w:rFonts w:ascii="Arial" w:cs="Arial" w:eastAsia="Arial" w:hAnsi="Arial"/>
                <w:sz w:val="15"/>
                <w:szCs w:val="15"/>
                <w:color w:val="auto"/>
              </w:rPr>
              <w:t>(Chairman):</w:t>
            </w:r>
          </w:p>
        </w:tc>
        <w:tc>
          <w:tcPr>
            <w:tcW w:w="21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45"/>
        </w:trPr>
        <w:tc>
          <w:tcPr>
            <w:tcW w:w="3520" w:type="dxa"/>
            <w:vAlign w:val="bottom"/>
            <w:tcBorders>
              <w:bottom w:val="single" w:sz="8" w:color="auto"/>
            </w:tcBorders>
            <w:gridSpan w:val="2"/>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333"/>
        </w:trPr>
        <w:tc>
          <w:tcPr>
            <w:tcW w:w="3520" w:type="dxa"/>
            <w:vAlign w:val="bottom"/>
            <w:gridSpan w:val="2"/>
          </w:tcPr>
          <w:p>
            <w:pPr>
              <w:spacing w:after="0"/>
              <w:rPr>
                <w:sz w:val="20"/>
                <w:szCs w:val="20"/>
                <w:color w:val="auto"/>
              </w:rPr>
            </w:pPr>
            <w:r>
              <w:rPr>
                <w:rFonts w:ascii="Arial" w:cs="Arial" w:eastAsia="Arial" w:hAnsi="Arial"/>
                <w:sz w:val="14"/>
                <w:szCs w:val="14"/>
                <w:b w:val="1"/>
                <w:bCs w:val="1"/>
                <w:color w:val="C04C57"/>
              </w:rPr>
              <w:t>Prior Voting Results—2018:</w:t>
            </w:r>
          </w:p>
        </w:tc>
        <w:tc>
          <w:tcPr>
            <w:tcW w:w="1520" w:type="dxa"/>
            <w:vAlign w:val="bottom"/>
          </w:tcPr>
          <w:p>
            <w:pPr>
              <w:spacing w:after="0"/>
              <w:rPr>
                <w:sz w:val="24"/>
                <w:szCs w:val="24"/>
                <w:color w:val="auto"/>
              </w:rPr>
            </w:pPr>
          </w:p>
        </w:tc>
      </w:tr>
      <w:tr>
        <w:trPr>
          <w:trHeight w:val="326"/>
        </w:trPr>
        <w:tc>
          <w:tcPr>
            <w:tcW w:w="1400" w:type="dxa"/>
            <w:vAlign w:val="bottom"/>
          </w:tcPr>
          <w:p>
            <w:pPr>
              <w:spacing w:after="0"/>
              <w:rPr>
                <w:sz w:val="20"/>
                <w:szCs w:val="20"/>
                <w:color w:val="auto"/>
              </w:rPr>
            </w:pPr>
            <w:r>
              <w:rPr>
                <w:rFonts w:ascii="Arial" w:cs="Arial" w:eastAsia="Arial" w:hAnsi="Arial"/>
                <w:sz w:val="15"/>
                <w:szCs w:val="15"/>
                <w:color w:val="231F20"/>
              </w:rPr>
              <w:t>For:</w:t>
            </w:r>
          </w:p>
        </w:tc>
        <w:tc>
          <w:tcPr>
            <w:tcW w:w="2120" w:type="dxa"/>
            <w:vAlign w:val="bottom"/>
          </w:tcPr>
          <w:p>
            <w:pPr>
              <w:jc w:val="right"/>
              <w:ind w:right="1446"/>
              <w:spacing w:after="0"/>
              <w:rPr>
                <w:sz w:val="20"/>
                <w:szCs w:val="20"/>
                <w:color w:val="auto"/>
              </w:rPr>
            </w:pPr>
            <w:r>
              <w:rPr>
                <w:rFonts w:ascii="Arial" w:cs="Arial" w:eastAsia="Arial" w:hAnsi="Arial"/>
                <w:sz w:val="15"/>
                <w:szCs w:val="15"/>
                <w:b w:val="1"/>
                <w:bCs w:val="1"/>
                <w:color w:val="2952A4"/>
              </w:rPr>
              <w:t>88.8%</w:t>
            </w:r>
          </w:p>
        </w:tc>
        <w:tc>
          <w:tcPr>
            <w:tcW w:w="1520" w:type="dxa"/>
            <w:vAlign w:val="bottom"/>
          </w:tcPr>
          <w:p>
            <w:pPr>
              <w:spacing w:after="0"/>
              <w:rPr>
                <w:sz w:val="24"/>
                <w:szCs w:val="24"/>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5"/>
                <w:szCs w:val="15"/>
                <w:color w:val="231F20"/>
              </w:rPr>
              <w:t>Against:</w:t>
            </w:r>
          </w:p>
        </w:tc>
        <w:tc>
          <w:tcPr>
            <w:tcW w:w="2120" w:type="dxa"/>
            <w:vAlign w:val="bottom"/>
          </w:tcPr>
          <w:p>
            <w:pPr>
              <w:jc w:val="right"/>
              <w:ind w:right="1446"/>
              <w:spacing w:after="0"/>
              <w:rPr>
                <w:sz w:val="20"/>
                <w:szCs w:val="20"/>
                <w:color w:val="auto"/>
              </w:rPr>
            </w:pPr>
            <w:r>
              <w:rPr>
                <w:rFonts w:ascii="Arial" w:cs="Arial" w:eastAsia="Arial" w:hAnsi="Arial"/>
                <w:sz w:val="15"/>
                <w:szCs w:val="15"/>
                <w:b w:val="1"/>
                <w:bCs w:val="1"/>
                <w:color w:val="2952A4"/>
              </w:rPr>
              <w:t>11.2%</w:t>
            </w: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700"/>
          </w:cols>
          <w:pgMar w:left="320" w:top="405" w:right="339" w:bottom="1440" w:gutter="0" w:footer="0" w:header="0"/>
          <w:type w:val="continuous"/>
        </w:sectPr>
      </w:pPr>
    </w:p>
    <w:p>
      <w:pPr>
        <w:spacing w:after="0" w:line="107"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C04C57"/>
        </w:rPr>
        <w:t>Regeneron Securities Beneficially Owned as of April 13,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ind w:left="4540"/>
              <w:spacing w:after="0"/>
              <w:rPr>
                <w:sz w:val="20"/>
                <w:szCs w:val="20"/>
                <w:color w:val="auto"/>
              </w:rPr>
            </w:pPr>
            <w:r>
              <w:rPr>
                <w:rFonts w:ascii="Arial" w:cs="Arial" w:eastAsia="Arial" w:hAnsi="Arial"/>
                <w:sz w:val="15"/>
                <w:szCs w:val="15"/>
                <w:color w:val="231F20"/>
              </w:rPr>
              <w:t>Common Stock:</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22,800</w:t>
            </w:r>
          </w:p>
        </w:tc>
      </w:tr>
      <w:tr>
        <w:trPr>
          <w:trHeight w:val="324"/>
        </w:trPr>
        <w:tc>
          <w:tcPr>
            <w:tcW w:w="6060" w:type="dxa"/>
            <w:vAlign w:val="bottom"/>
          </w:tcPr>
          <w:p>
            <w:pPr>
              <w:ind w:left="4540"/>
              <w:spacing w:after="0"/>
              <w:rPr>
                <w:sz w:val="20"/>
                <w:szCs w:val="20"/>
                <w:color w:val="auto"/>
              </w:rPr>
            </w:pPr>
            <w:r>
              <w:rPr>
                <w:rFonts w:ascii="Arial" w:cs="Arial" w:eastAsia="Arial" w:hAnsi="Arial"/>
                <w:sz w:val="15"/>
                <w:szCs w:val="15"/>
                <w:color w:val="231F20"/>
              </w:rPr>
              <w:t>Options:</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8,404</w:t>
            </w:r>
          </w:p>
        </w:tc>
      </w:tr>
      <w:tr>
        <w:trPr>
          <w:trHeight w:val="324"/>
        </w:trPr>
        <w:tc>
          <w:tcPr>
            <w:tcW w:w="6060" w:type="dxa"/>
            <w:vAlign w:val="bottom"/>
          </w:tcPr>
          <w:p>
            <w:pPr>
              <w:ind w:left="4540"/>
              <w:spacing w:after="0"/>
              <w:rPr>
                <w:sz w:val="20"/>
                <w:szCs w:val="20"/>
                <w:color w:val="auto"/>
              </w:rPr>
            </w:pPr>
            <w:r>
              <w:rPr>
                <w:rFonts w:ascii="Arial" w:cs="Arial" w:eastAsia="Arial" w:hAnsi="Arial"/>
                <w:sz w:val="15"/>
                <w:szCs w:val="15"/>
                <w:color w:val="231F20"/>
              </w:rPr>
              <w:t>RSUs:</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750</w:t>
            </w:r>
          </w:p>
        </w:tc>
      </w:tr>
      <w:tr>
        <w:trPr>
          <w:trHeight w:val="407"/>
        </w:trPr>
        <w:tc>
          <w:tcPr>
            <w:tcW w:w="6060" w:type="dxa"/>
            <w:vAlign w:val="bottom"/>
          </w:tcPr>
          <w:p>
            <w:pPr>
              <w:ind w:left="22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5180" w:type="dxa"/>
            <w:vAlign w:val="bottom"/>
          </w:tcPr>
          <w:p>
            <w:pPr>
              <w:jc w:val="right"/>
              <w:ind w:right="146"/>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11</w:t>
            </w:r>
          </w:p>
        </w:tc>
      </w:tr>
      <w:tr>
        <w:trPr>
          <w:trHeight w:val="258"/>
        </w:trPr>
        <w:tc>
          <w:tcPr>
            <w:tcW w:w="6060" w:type="dxa"/>
            <w:vAlign w:val="bottom"/>
            <w:tcBorders>
              <w:bottom w:val="single" w:sz="8" w:color="C0C0C0"/>
            </w:tcBorders>
          </w:tcPr>
          <w:p>
            <w:pPr>
              <w:spacing w:after="0"/>
              <w:rPr>
                <w:sz w:val="22"/>
                <w:szCs w:val="22"/>
                <w:color w:val="auto"/>
              </w:rPr>
            </w:pPr>
          </w:p>
        </w:tc>
        <w:tc>
          <w:tcPr>
            <w:tcW w:w="51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22" w:name="page23"/>
    <w:bookmarkEnd w:id="22"/>
    <w:p>
      <w:pPr>
        <w:ind w:left="726"/>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68580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554990</wp:posOffset>
            </wp:positionV>
            <wp:extent cx="5083175"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ectPr>
          <w:pgSz w:w="11900" w:h="16838" w:orient="portrait"/>
          <w:cols w:equalWidth="0" w:num="1">
            <w:col w:w="9626"/>
          </w:cols>
          <w:pgMar w:left="1174" w:top="40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726"/>
        <w:spacing w:after="0"/>
        <w:rPr>
          <w:sz w:val="20"/>
          <w:szCs w:val="20"/>
          <w:color w:val="auto"/>
        </w:rPr>
      </w:pPr>
      <w:r>
        <w:rPr>
          <w:rFonts w:ascii="Arial" w:cs="Arial" w:eastAsia="Arial" w:hAnsi="Arial"/>
          <w:sz w:val="25"/>
          <w:szCs w:val="25"/>
          <w:b w:val="1"/>
          <w:bCs w:val="1"/>
          <w:color w:val="FFFFFF"/>
        </w:rPr>
        <w:t>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187960</wp:posOffset>
            </wp:positionV>
            <wp:extent cx="1080135" cy="10801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26"/>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1988</w:t>
      </w:r>
    </w:p>
    <w:p>
      <w:pPr>
        <w:spacing w:after="0" w:line="57" w:lineRule="exact"/>
        <w:rPr>
          <w:sz w:val="20"/>
          <w:szCs w:val="20"/>
          <w:color w:val="auto"/>
        </w:rPr>
      </w:pPr>
    </w:p>
    <w:p>
      <w:pPr>
        <w:ind w:left="726"/>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71</w:t>
      </w:r>
    </w:p>
    <w:p>
      <w:pPr>
        <w:spacing w:after="0" w:line="71" w:lineRule="exact"/>
        <w:rPr>
          <w:sz w:val="20"/>
          <w:szCs w:val="20"/>
          <w:color w:val="auto"/>
        </w:rPr>
      </w:pPr>
    </w:p>
    <w:p>
      <w:pPr>
        <w:ind w:left="726"/>
        <w:spacing w:after="0"/>
        <w:rPr>
          <w:sz w:val="20"/>
          <w:szCs w:val="20"/>
          <w:color w:val="auto"/>
        </w:rPr>
      </w:pPr>
      <w:r>
        <w:rPr>
          <w:rFonts w:ascii="Arial" w:cs="Arial" w:eastAsia="Arial" w:hAnsi="Arial"/>
          <w:sz w:val="15"/>
          <w:szCs w:val="15"/>
          <w:b w:val="1"/>
          <w:bCs w:val="1"/>
          <w:color w:val="2952A4"/>
        </w:rPr>
        <w:t>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86" w:hanging="286"/>
        <w:spacing w:after="0"/>
        <w:tabs>
          <w:tab w:leader="none" w:pos="286" w:val="left"/>
        </w:tabs>
        <w:numPr>
          <w:ilvl w:val="0"/>
          <w:numId w:val="16"/>
        </w:numPr>
        <w:rPr>
          <w:rFonts w:ascii="Arial" w:cs="Arial" w:eastAsia="Arial" w:hAnsi="Arial"/>
          <w:sz w:val="14"/>
          <w:szCs w:val="14"/>
          <w:b w:val="1"/>
          <w:bCs w:val="1"/>
          <w:color w:val="00A5EC"/>
        </w:rPr>
      </w:pPr>
      <w:r>
        <w:rPr>
          <w:rFonts w:ascii="Arial" w:cs="Arial" w:eastAsia="Arial" w:hAnsi="Arial"/>
          <w:sz w:val="14"/>
          <w:szCs w:val="14"/>
          <w:color w:val="00A5EC"/>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220"/>
        <w:spacing w:after="0" w:line="231" w:lineRule="auto"/>
        <w:rPr>
          <w:sz w:val="20"/>
          <w:szCs w:val="20"/>
          <w:color w:val="auto"/>
        </w:rPr>
      </w:pPr>
      <w:r>
        <w:rPr>
          <w:rFonts w:ascii="Arial" w:cs="Arial" w:eastAsia="Arial" w:hAnsi="Arial"/>
          <w:sz w:val="15"/>
          <w:szCs w:val="15"/>
          <w:color w:val="231F20"/>
        </w:rPr>
        <w:t>Since 1998, Mr. Sing has been a Managing Director of Lancet Capital, a venture capital investment firm in the healthcare field. In addition, since 2016, Mr. Sing has served as Chief Executive Officer of GanD, Inc., a biomedical drug development company.</w:t>
      </w:r>
    </w:p>
    <w:p>
      <w:pPr>
        <w:spacing w:after="0" w:line="146" w:lineRule="exact"/>
        <w:rPr>
          <w:sz w:val="20"/>
          <w:szCs w:val="20"/>
          <w:color w:val="auto"/>
        </w:rPr>
      </w:pPr>
    </w:p>
    <w:p>
      <w:pPr>
        <w:ind w:right="1000"/>
        <w:spacing w:after="0" w:line="229" w:lineRule="auto"/>
        <w:rPr>
          <w:sz w:val="20"/>
          <w:szCs w:val="20"/>
          <w:color w:val="auto"/>
        </w:rPr>
      </w:pPr>
      <w:r>
        <w:rPr>
          <w:rFonts w:ascii="Arial" w:cs="Arial" w:eastAsia="Arial" w:hAnsi="Arial"/>
          <w:sz w:val="15"/>
          <w:szCs w:val="15"/>
          <w:color w:val="231F20"/>
        </w:rPr>
        <w:t>Mr. Sing's extensive healthcare and financial expertise as a healthcare venture capital investor and biomedical company chief executive officer, his executive leadership experience, and his substantial knowledge of the Company led to the board's decision to nominate Mr. Sing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3197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Membership—2020 Attendance: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60" w:type="dxa"/>
            <w:vAlign w:val="bottom"/>
          </w:tcPr>
          <w:p>
            <w:pPr>
              <w:spacing w:after="0"/>
              <w:rPr>
                <w:sz w:val="20"/>
                <w:szCs w:val="20"/>
                <w:color w:val="auto"/>
              </w:rPr>
            </w:pPr>
            <w:r>
              <w:rPr>
                <w:rFonts w:ascii="Arial" w:cs="Arial" w:eastAsia="Arial" w:hAnsi="Arial"/>
                <w:sz w:val="15"/>
                <w:szCs w:val="15"/>
                <w:color w:val="231F20"/>
              </w:rPr>
              <w:t>Board of Directors:</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2952A4"/>
              </w:rPr>
              <w:t>11/11</w:t>
            </w:r>
          </w:p>
        </w:tc>
      </w:tr>
      <w:tr>
        <w:trPr>
          <w:trHeight w:val="324"/>
        </w:trPr>
        <w:tc>
          <w:tcPr>
            <w:tcW w:w="2260" w:type="dxa"/>
            <w:vAlign w:val="bottom"/>
          </w:tcPr>
          <w:p>
            <w:pPr>
              <w:spacing w:after="0"/>
              <w:rPr>
                <w:sz w:val="20"/>
                <w:szCs w:val="20"/>
                <w:color w:val="auto"/>
              </w:rPr>
            </w:pPr>
            <w:r>
              <w:rPr>
                <w:rFonts w:ascii="Arial" w:cs="Arial" w:eastAsia="Arial" w:hAnsi="Arial"/>
                <w:sz w:val="15"/>
                <w:szCs w:val="15"/>
                <w:color w:val="231F20"/>
              </w:rPr>
              <w:t>Audit Committee (Chairman):</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2952A4"/>
              </w:rPr>
              <w:t>11/11</w:t>
            </w:r>
          </w:p>
        </w:tc>
      </w:tr>
      <w:tr>
        <w:trPr>
          <w:trHeight w:val="324"/>
        </w:trPr>
        <w:tc>
          <w:tcPr>
            <w:tcW w:w="2260" w:type="dxa"/>
            <w:vAlign w:val="bottom"/>
          </w:tcPr>
          <w:p>
            <w:pPr>
              <w:spacing w:after="0"/>
              <w:rPr>
                <w:sz w:val="20"/>
                <w:szCs w:val="20"/>
                <w:color w:val="auto"/>
              </w:rPr>
            </w:pPr>
            <w:r>
              <w:rPr>
                <w:rFonts w:ascii="Arial" w:cs="Arial" w:eastAsia="Arial" w:hAnsi="Arial"/>
                <w:sz w:val="15"/>
                <w:szCs w:val="15"/>
                <w:color w:val="auto"/>
              </w:rPr>
              <w:t>Compensation Committee:</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2952A4"/>
              </w:rPr>
              <w:t>13/13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Prior Voting Results—2018:</w:t>
      </w:r>
    </w:p>
    <w:p>
      <w:pPr>
        <w:spacing w:after="0" w:line="159"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For:</w:t>
      </w:r>
      <w:r>
        <w:rPr>
          <w:sz w:val="20"/>
          <w:szCs w:val="20"/>
          <w:color w:val="auto"/>
        </w:rPr>
        <w:tab/>
      </w:r>
      <w:r>
        <w:rPr>
          <w:rFonts w:ascii="Arial" w:cs="Arial" w:eastAsia="Arial" w:hAnsi="Arial"/>
          <w:sz w:val="15"/>
          <w:szCs w:val="15"/>
          <w:b w:val="1"/>
          <w:bCs w:val="1"/>
          <w:color w:val="2952A4"/>
        </w:rPr>
        <w:t>64.0%</w:t>
      </w:r>
    </w:p>
    <w:p>
      <w:pPr>
        <w:spacing w:after="0" w:line="152"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Against:</w:t>
      </w:r>
      <w:r>
        <w:rPr>
          <w:sz w:val="20"/>
          <w:szCs w:val="20"/>
          <w:color w:val="auto"/>
        </w:rPr>
        <w:tab/>
      </w:r>
      <w:r>
        <w:rPr>
          <w:rFonts w:ascii="Arial" w:cs="Arial" w:eastAsia="Arial" w:hAnsi="Arial"/>
          <w:sz w:val="15"/>
          <w:szCs w:val="15"/>
          <w:b w:val="1"/>
          <w:bCs w:val="1"/>
          <w:color w:val="2952A4"/>
        </w:rPr>
        <w:t>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3197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Regeneron Securities Beneficially Owned as of April 13,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20" w:type="dxa"/>
            <w:vAlign w:val="bottom"/>
          </w:tcPr>
          <w:p>
            <w:pPr>
              <w:spacing w:after="0"/>
              <w:rPr>
                <w:sz w:val="20"/>
                <w:szCs w:val="20"/>
                <w:color w:val="auto"/>
              </w:rPr>
            </w:pPr>
            <w:r>
              <w:rPr>
                <w:rFonts w:ascii="Arial" w:cs="Arial" w:eastAsia="Arial" w:hAnsi="Arial"/>
                <w:sz w:val="15"/>
                <w:szCs w:val="15"/>
                <w:color w:val="231F20"/>
              </w:rPr>
              <w:t>Common Stock:</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2952A4"/>
              </w:rPr>
              <w:t>59,022</w:t>
            </w:r>
          </w:p>
        </w:tc>
      </w:tr>
    </w:tbl>
    <w:p>
      <w:pPr>
        <w:spacing w:after="0" w:line="128"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Options:</w:t>
      </w:r>
      <w:r>
        <w:rPr>
          <w:sz w:val="20"/>
          <w:szCs w:val="20"/>
          <w:color w:val="auto"/>
        </w:rPr>
        <w:tab/>
      </w:r>
      <w:r>
        <w:rPr>
          <w:rFonts w:ascii="Arial" w:cs="Arial" w:eastAsia="Arial" w:hAnsi="Arial"/>
          <w:sz w:val="15"/>
          <w:szCs w:val="15"/>
          <w:b w:val="1"/>
          <w:bCs w:val="1"/>
          <w:color w:val="2952A4"/>
        </w:rPr>
        <w:t>45,028</w:t>
      </w:r>
    </w:p>
    <w:p>
      <w:pPr>
        <w:spacing w:after="0" w:line="152"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RSUs:</w:t>
      </w:r>
      <w:r>
        <w:rPr>
          <w:sz w:val="20"/>
          <w:szCs w:val="20"/>
          <w:color w:val="auto"/>
        </w:rPr>
        <w:tab/>
      </w:r>
      <w:r>
        <w:rPr>
          <w:rFonts w:ascii="Arial" w:cs="Arial" w:eastAsia="Arial" w:hAnsi="Arial"/>
          <w:sz w:val="15"/>
          <w:szCs w:val="15"/>
          <w:b w:val="1"/>
          <w:bCs w:val="1"/>
          <w:color w:val="2952A4"/>
        </w:rPr>
        <w:t>750</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161290</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2966" w:space="720"/>
            <w:col w:w="5940"/>
          </w:cols>
          <w:pgMar w:left="1174" w:top="405" w:right="1099" w:bottom="1440" w:gutter="0" w:footer="0" w:header="0"/>
          <w:type w:val="continuous"/>
        </w:sectPr>
      </w:pPr>
    </w:p>
    <w:bookmarkStart w:id="23" w:name="page24"/>
    <w:bookmarkEnd w:id="23"/>
    <w:p>
      <w:pPr>
        <w:jc w:val="right"/>
        <w:ind w:right="130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554990</wp:posOffset>
            </wp:positionV>
            <wp:extent cx="5083175" cy="30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FFFFFF"/>
        </w:rPr>
        <w:t>MARC TESSIER-LAVIGNE, PH.D.</w:t>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-1572260</wp:posOffset>
            </wp:positionV>
            <wp:extent cx="1080135" cy="10883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80135" cy="1088390"/>
                    </a:xfrm>
                    <a:prstGeom prst="rect">
                      <a:avLst/>
                    </a:prstGeom>
                    <a:noFill/>
                  </pic:spPr>
                </pic:pic>
              </a:graphicData>
            </a:graphic>
          </wp:anchor>
        </w:drawing>
      </w:r>
    </w:p>
    <w:p>
      <w:pPr>
        <w:spacing w:after="0" w:line="37"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61</w:t>
      </w:r>
    </w:p>
    <w:p>
      <w:pPr>
        <w:spacing w:after="0" w:line="7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Independent</w:t>
      </w:r>
    </w:p>
    <w:p>
      <w:pPr>
        <w:spacing w:after="0" w:line="206"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2952A4"/>
        </w:rPr>
        <w:t>Scientific Society Memberships:</w:t>
      </w:r>
    </w:p>
    <w:p>
      <w:pPr>
        <w:spacing w:after="0" w:line="114" w:lineRule="exact"/>
        <w:rPr>
          <w:sz w:val="20"/>
          <w:szCs w:val="20"/>
          <w:color w:val="auto"/>
        </w:rPr>
      </w:pPr>
    </w:p>
    <w:p>
      <w:pPr>
        <w:ind w:left="1740" w:right="440" w:hanging="166"/>
        <w:spacing w:after="0" w:line="236" w:lineRule="auto"/>
        <w:tabs>
          <w:tab w:leader="none" w:pos="1740" w:val="left"/>
        </w:tabs>
        <w:numPr>
          <w:ilvl w:val="0"/>
          <w:numId w:val="17"/>
        </w:numPr>
        <w:rPr>
          <w:rFonts w:ascii="Arial" w:cs="Arial" w:eastAsia="Arial" w:hAnsi="Arial"/>
          <w:sz w:val="15"/>
          <w:szCs w:val="15"/>
          <w:color w:val="2952A4"/>
        </w:rPr>
      </w:pPr>
      <w:r>
        <w:rPr>
          <w:rFonts w:ascii="Arial" w:cs="Arial" w:eastAsia="Arial" w:hAnsi="Arial"/>
          <w:sz w:val="15"/>
          <w:szCs w:val="15"/>
          <w:color w:val="231F20"/>
        </w:rPr>
        <w:t>The National Academy of Sciences</w:t>
      </w:r>
    </w:p>
    <w:p>
      <w:pPr>
        <w:spacing w:after="0" w:line="52" w:lineRule="exact"/>
        <w:rPr>
          <w:rFonts w:ascii="Arial" w:cs="Arial" w:eastAsia="Arial" w:hAnsi="Arial"/>
          <w:sz w:val="15"/>
          <w:szCs w:val="15"/>
          <w:color w:val="2952A4"/>
        </w:rPr>
      </w:pPr>
    </w:p>
    <w:p>
      <w:pPr>
        <w:ind w:left="1740" w:right="440" w:hanging="166"/>
        <w:spacing w:after="0" w:line="236" w:lineRule="auto"/>
        <w:tabs>
          <w:tab w:leader="none" w:pos="1740" w:val="left"/>
        </w:tabs>
        <w:numPr>
          <w:ilvl w:val="0"/>
          <w:numId w:val="17"/>
        </w:numPr>
        <w:rPr>
          <w:rFonts w:ascii="Arial" w:cs="Arial" w:eastAsia="Arial" w:hAnsi="Arial"/>
          <w:sz w:val="15"/>
          <w:szCs w:val="15"/>
          <w:color w:val="2952A4"/>
        </w:rPr>
      </w:pPr>
      <w:r>
        <w:rPr>
          <w:rFonts w:ascii="Arial" w:cs="Arial" w:eastAsia="Arial" w:hAnsi="Arial"/>
          <w:sz w:val="15"/>
          <w:szCs w:val="15"/>
          <w:color w:val="231F20"/>
        </w:rPr>
        <w:t>The National Academy of Medicine</w:t>
      </w:r>
    </w:p>
    <w:p>
      <w:pPr>
        <w:spacing w:after="0" w:line="52" w:lineRule="exact"/>
        <w:rPr>
          <w:rFonts w:ascii="Arial" w:cs="Arial" w:eastAsia="Arial" w:hAnsi="Arial"/>
          <w:sz w:val="15"/>
          <w:szCs w:val="15"/>
          <w:color w:val="2952A4"/>
        </w:rPr>
      </w:pPr>
    </w:p>
    <w:p>
      <w:pPr>
        <w:ind w:left="1740" w:hanging="166"/>
        <w:spacing w:after="0"/>
        <w:tabs>
          <w:tab w:leader="none" w:pos="1740" w:val="left"/>
        </w:tabs>
        <w:numPr>
          <w:ilvl w:val="0"/>
          <w:numId w:val="17"/>
        </w:numPr>
        <w:rPr>
          <w:rFonts w:ascii="Arial" w:cs="Arial" w:eastAsia="Arial" w:hAnsi="Arial"/>
          <w:sz w:val="15"/>
          <w:szCs w:val="15"/>
          <w:color w:val="2952A4"/>
        </w:rPr>
      </w:pPr>
      <w:r>
        <w:rPr>
          <w:rFonts w:ascii="Arial" w:cs="Arial" w:eastAsia="Arial" w:hAnsi="Arial"/>
          <w:sz w:val="15"/>
          <w:szCs w:val="15"/>
          <w:color w:val="231F20"/>
        </w:rPr>
        <w:t>The Royal Society of London</w:t>
      </w:r>
    </w:p>
    <w:p>
      <w:pPr>
        <w:spacing w:after="0" w:line="57" w:lineRule="exact"/>
        <w:rPr>
          <w:rFonts w:ascii="Arial" w:cs="Arial" w:eastAsia="Arial" w:hAnsi="Arial"/>
          <w:sz w:val="15"/>
          <w:szCs w:val="15"/>
          <w:color w:val="2952A4"/>
        </w:rPr>
      </w:pPr>
    </w:p>
    <w:p>
      <w:pPr>
        <w:ind w:left="1740" w:hanging="166"/>
        <w:spacing w:after="0"/>
        <w:tabs>
          <w:tab w:leader="none" w:pos="1740" w:val="left"/>
        </w:tabs>
        <w:numPr>
          <w:ilvl w:val="0"/>
          <w:numId w:val="17"/>
        </w:numPr>
        <w:rPr>
          <w:rFonts w:ascii="Arial" w:cs="Arial" w:eastAsia="Arial" w:hAnsi="Arial"/>
          <w:sz w:val="15"/>
          <w:szCs w:val="15"/>
          <w:color w:val="2952A4"/>
        </w:rPr>
      </w:pPr>
      <w:r>
        <w:rPr>
          <w:rFonts w:ascii="Arial" w:cs="Arial" w:eastAsia="Arial" w:hAnsi="Arial"/>
          <w:sz w:val="15"/>
          <w:szCs w:val="15"/>
          <w:color w:val="auto"/>
        </w:rPr>
        <w:t>The Royal Society of Canada</w:t>
      </w:r>
    </w:p>
    <w:p>
      <w:pPr>
        <w:spacing w:after="0" w:line="255" w:lineRule="exact"/>
        <w:rPr>
          <w:sz w:val="20"/>
          <w:szCs w:val="20"/>
          <w:color w:val="auto"/>
        </w:rPr>
      </w:pPr>
    </w:p>
    <w:p>
      <w:pPr>
        <w:jc w:val="center"/>
        <w:ind w:left="780"/>
        <w:spacing w:after="0"/>
        <w:rPr>
          <w:sz w:val="20"/>
          <w:szCs w:val="20"/>
          <w:color w:val="auto"/>
        </w:rPr>
      </w:pPr>
      <w:r>
        <w:rPr>
          <w:rFonts w:ascii="Arial" w:cs="Arial" w:eastAsia="Arial" w:hAnsi="Arial"/>
          <w:sz w:val="14"/>
          <w:szCs w:val="14"/>
          <w:b w:val="1"/>
          <w:bCs w:val="1"/>
          <w:color w:val="2952A4"/>
        </w:rPr>
        <w:t>Other Public Boards:</w:t>
      </w:r>
    </w:p>
    <w:p>
      <w:pPr>
        <w:spacing w:after="0" w:line="114" w:lineRule="exact"/>
        <w:rPr>
          <w:sz w:val="20"/>
          <w:szCs w:val="20"/>
          <w:color w:val="auto"/>
        </w:rPr>
      </w:pPr>
    </w:p>
    <w:p>
      <w:pPr>
        <w:ind w:left="1740" w:hanging="166"/>
        <w:spacing w:after="0"/>
        <w:tabs>
          <w:tab w:leader="none" w:pos="1740" w:val="left"/>
        </w:tabs>
        <w:numPr>
          <w:ilvl w:val="0"/>
          <w:numId w:val="18"/>
        </w:numPr>
        <w:rPr>
          <w:rFonts w:ascii="Arial" w:cs="Arial" w:eastAsia="Arial" w:hAnsi="Arial"/>
          <w:sz w:val="15"/>
          <w:szCs w:val="15"/>
          <w:color w:val="2952A4"/>
        </w:rPr>
      </w:pPr>
      <w:r>
        <w:rPr>
          <w:rFonts w:ascii="Arial" w:cs="Arial" w:eastAsia="Arial" w:hAnsi="Arial"/>
          <w:sz w:val="15"/>
          <w:szCs w:val="15"/>
          <w:color w:val="231F20"/>
        </w:rPr>
        <w:t>Denali Therapeutics Inc.</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660"/>
        <w:spacing w:after="0" w:line="227" w:lineRule="auto"/>
        <w:rPr>
          <w:sz w:val="20"/>
          <w:szCs w:val="20"/>
          <w:color w:val="auto"/>
        </w:rPr>
      </w:pPr>
      <w:r>
        <w:rPr>
          <w:rFonts w:ascii="Arial" w:cs="Arial" w:eastAsia="Arial" w:hAnsi="Arial"/>
          <w:sz w:val="15"/>
          <w:szCs w:val="15"/>
          <w:color w:val="231F20"/>
        </w:rPr>
        <w:t>Dr. Tessier-Lavigne has been the President of Stanford University since 2016. Before assuming his role at Stanford, he served as the President of The Rockefeller University and a Carson Family Professor and head of the Laboratory of Brain Development at The Rockefeller University from 2011. Previously, he served as Executive Vice President and Chief Scientific Officer at Genentech, Inc., which he joined in 2003. He was a professor at Stanford University from 2001 to 2003 and at the University of California, San Francisco from 1991 to 2001. Dr. Tessier-Lavigne is a member of the National Academy of Sciences, the National Academy of Medicine, and a fellow of the Royal Societies of London and Canada. Dr. Tessier-Lavigne is a member of the Board of Directors of Denali Therapeutics Inc., and previously served on the board of directors of Pfizer Inc., Agios Pharmaceuticals, Inc., and Juno Therapeutics, Inc.</w:t>
      </w:r>
    </w:p>
    <w:p>
      <w:pPr>
        <w:spacing w:after="0" w:line="147" w:lineRule="exact"/>
        <w:rPr>
          <w:sz w:val="20"/>
          <w:szCs w:val="20"/>
          <w:color w:val="auto"/>
        </w:rPr>
      </w:pPr>
    </w:p>
    <w:p>
      <w:pPr>
        <w:ind w:right="1700"/>
        <w:spacing w:after="0" w:line="250" w:lineRule="auto"/>
        <w:rPr>
          <w:sz w:val="20"/>
          <w:szCs w:val="20"/>
          <w:color w:val="auto"/>
        </w:rPr>
      </w:pPr>
      <w:r>
        <w:rPr>
          <w:rFonts w:ascii="Arial" w:cs="Arial" w:eastAsia="Arial" w:hAnsi="Arial"/>
          <w:sz w:val="14"/>
          <w:szCs w:val="14"/>
          <w:color w:val="231F20"/>
        </w:rPr>
        <w:t>Dr. Tessier-Lavigne's distinguished scientific and academic background, and his significant industry experience, including experience in senior scientific leadership roles at a leading biopharmaceutical company, led to the board's decision to nominate Dr. Tessier-Lavigne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3197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Membership—2020 Attendance: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60" w:type="dxa"/>
            <w:vAlign w:val="bottom"/>
          </w:tcPr>
          <w:p>
            <w:pPr>
              <w:spacing w:after="0"/>
              <w:rPr>
                <w:sz w:val="20"/>
                <w:szCs w:val="20"/>
                <w:color w:val="auto"/>
              </w:rPr>
            </w:pPr>
            <w:r>
              <w:rPr>
                <w:rFonts w:ascii="Arial" w:cs="Arial" w:eastAsia="Arial" w:hAnsi="Arial"/>
                <w:sz w:val="15"/>
                <w:szCs w:val="15"/>
                <w:color w:val="231F20"/>
              </w:rPr>
              <w:t>Board of Directors:</w:t>
            </w:r>
          </w:p>
        </w:tc>
        <w:tc>
          <w:tcPr>
            <w:tcW w:w="3480" w:type="dxa"/>
            <w:vAlign w:val="bottom"/>
          </w:tcPr>
          <w:p>
            <w:pPr>
              <w:ind w:left="1040"/>
              <w:spacing w:after="0"/>
              <w:rPr>
                <w:sz w:val="20"/>
                <w:szCs w:val="20"/>
                <w:color w:val="auto"/>
              </w:rPr>
            </w:pPr>
            <w:r>
              <w:rPr>
                <w:rFonts w:ascii="Arial" w:cs="Arial" w:eastAsia="Arial" w:hAnsi="Arial"/>
                <w:sz w:val="15"/>
                <w:szCs w:val="15"/>
                <w:b w:val="1"/>
                <w:bCs w:val="1"/>
                <w:color w:val="2952A4"/>
              </w:rPr>
              <w:t>7/11</w:t>
            </w:r>
          </w:p>
        </w:tc>
      </w:tr>
      <w:tr>
        <w:trPr>
          <w:trHeight w:val="324"/>
        </w:trPr>
        <w:tc>
          <w:tcPr>
            <w:tcW w:w="1560" w:type="dxa"/>
            <w:vAlign w:val="bottom"/>
          </w:tcPr>
          <w:p>
            <w:pPr>
              <w:spacing w:after="0"/>
              <w:rPr>
                <w:sz w:val="20"/>
                <w:szCs w:val="20"/>
                <w:color w:val="auto"/>
              </w:rPr>
            </w:pPr>
            <w:r>
              <w:rPr>
                <w:rFonts w:ascii="Arial" w:cs="Arial" w:eastAsia="Arial" w:hAnsi="Arial"/>
                <w:sz w:val="15"/>
                <w:szCs w:val="15"/>
                <w:color w:val="231F20"/>
                <w:w w:val="97"/>
              </w:rPr>
              <w:t>Technology Committee:</w:t>
            </w:r>
          </w:p>
        </w:tc>
        <w:tc>
          <w:tcPr>
            <w:tcW w:w="3480" w:type="dxa"/>
            <w:vAlign w:val="bottom"/>
          </w:tcPr>
          <w:p>
            <w:pPr>
              <w:ind w:left="1040"/>
              <w:spacing w:after="0"/>
              <w:rPr>
                <w:sz w:val="20"/>
                <w:szCs w:val="20"/>
                <w:color w:val="auto"/>
              </w:rPr>
            </w:pPr>
            <w:r>
              <w:rPr>
                <w:rFonts w:ascii="Arial" w:cs="Arial" w:eastAsia="Arial" w:hAnsi="Arial"/>
                <w:sz w:val="15"/>
                <w:szCs w:val="15"/>
                <w:b w:val="1"/>
                <w:bCs w:val="1"/>
                <w:color w:val="2952A4"/>
              </w:rPr>
              <w:t>3/3</w:t>
            </w:r>
          </w:p>
        </w:tc>
      </w:tr>
      <w:tr>
        <w:trPr>
          <w:trHeight w:val="145"/>
        </w:trPr>
        <w:tc>
          <w:tcPr>
            <w:tcW w:w="5040" w:type="dxa"/>
            <w:vAlign w:val="bottom"/>
            <w:tcBorders>
              <w:bottom w:val="single" w:sz="8" w:color="auto"/>
            </w:tcBorders>
            <w:gridSpan w:val="2"/>
          </w:tcPr>
          <w:p>
            <w:pPr>
              <w:spacing w:after="0"/>
              <w:rPr>
                <w:sz w:val="12"/>
                <w:szCs w:val="12"/>
                <w:color w:val="auto"/>
              </w:rPr>
            </w:pPr>
          </w:p>
        </w:tc>
      </w:tr>
      <w:tr>
        <w:trPr>
          <w:trHeight w:val="333"/>
        </w:trPr>
        <w:tc>
          <w:tcPr>
            <w:tcW w:w="5040" w:type="dxa"/>
            <w:vAlign w:val="bottom"/>
            <w:gridSpan w:val="2"/>
          </w:tcPr>
          <w:p>
            <w:pPr>
              <w:spacing w:after="0"/>
              <w:rPr>
                <w:sz w:val="20"/>
                <w:szCs w:val="20"/>
                <w:color w:val="auto"/>
              </w:rPr>
            </w:pPr>
            <w:r>
              <w:rPr>
                <w:rFonts w:ascii="Arial" w:cs="Arial" w:eastAsia="Arial" w:hAnsi="Arial"/>
                <w:sz w:val="14"/>
                <w:szCs w:val="14"/>
                <w:b w:val="1"/>
                <w:bCs w:val="1"/>
                <w:color w:val="C04C57"/>
              </w:rPr>
              <w:t>Prior Voting Results—2018:</w:t>
            </w:r>
          </w:p>
        </w:tc>
      </w:tr>
      <w:tr>
        <w:trPr>
          <w:trHeight w:val="326"/>
        </w:trPr>
        <w:tc>
          <w:tcPr>
            <w:tcW w:w="1560" w:type="dxa"/>
            <w:vAlign w:val="bottom"/>
          </w:tcPr>
          <w:p>
            <w:pPr>
              <w:spacing w:after="0"/>
              <w:rPr>
                <w:sz w:val="20"/>
                <w:szCs w:val="20"/>
                <w:color w:val="auto"/>
              </w:rPr>
            </w:pPr>
            <w:r>
              <w:rPr>
                <w:rFonts w:ascii="Arial" w:cs="Arial" w:eastAsia="Arial" w:hAnsi="Arial"/>
                <w:sz w:val="15"/>
                <w:szCs w:val="15"/>
                <w:color w:val="231F20"/>
              </w:rPr>
              <w:t>For:</w:t>
            </w:r>
          </w:p>
        </w:tc>
        <w:tc>
          <w:tcPr>
            <w:tcW w:w="3480" w:type="dxa"/>
            <w:vAlign w:val="bottom"/>
          </w:tcPr>
          <w:p>
            <w:pPr>
              <w:ind w:left="20"/>
              <w:spacing w:after="0"/>
              <w:rPr>
                <w:sz w:val="20"/>
                <w:szCs w:val="20"/>
                <w:color w:val="auto"/>
              </w:rPr>
            </w:pPr>
            <w:r>
              <w:rPr>
                <w:rFonts w:ascii="Arial" w:cs="Arial" w:eastAsia="Arial" w:hAnsi="Arial"/>
                <w:sz w:val="15"/>
                <w:szCs w:val="15"/>
                <w:b w:val="1"/>
                <w:bCs w:val="1"/>
                <w:color w:val="2952A4"/>
              </w:rPr>
              <w:t>94.8%</w:t>
            </w:r>
          </w:p>
        </w:tc>
      </w:tr>
      <w:tr>
        <w:trPr>
          <w:trHeight w:val="324"/>
        </w:trPr>
        <w:tc>
          <w:tcPr>
            <w:tcW w:w="1560" w:type="dxa"/>
            <w:vAlign w:val="bottom"/>
          </w:tcPr>
          <w:p>
            <w:pPr>
              <w:spacing w:after="0"/>
              <w:rPr>
                <w:sz w:val="20"/>
                <w:szCs w:val="20"/>
                <w:color w:val="auto"/>
              </w:rPr>
            </w:pPr>
            <w:r>
              <w:rPr>
                <w:rFonts w:ascii="Arial" w:cs="Arial" w:eastAsia="Arial" w:hAnsi="Arial"/>
                <w:sz w:val="15"/>
                <w:szCs w:val="15"/>
                <w:color w:val="231F20"/>
              </w:rPr>
              <w:t>Against:</w:t>
            </w:r>
          </w:p>
        </w:tc>
        <w:tc>
          <w:tcPr>
            <w:tcW w:w="3480" w:type="dxa"/>
            <w:vAlign w:val="bottom"/>
          </w:tcPr>
          <w:p>
            <w:pPr>
              <w:ind w:left="20"/>
              <w:spacing w:after="0"/>
              <w:rPr>
                <w:sz w:val="20"/>
                <w:szCs w:val="20"/>
                <w:color w:val="auto"/>
              </w:rPr>
            </w:pPr>
            <w:r>
              <w:rPr>
                <w:rFonts w:ascii="Arial" w:cs="Arial" w:eastAsia="Arial" w:hAnsi="Arial"/>
                <w:sz w:val="15"/>
                <w:szCs w:val="15"/>
                <w:b w:val="1"/>
                <w:bCs w:val="1"/>
                <w:color w:val="2952A4"/>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680"/>
            <w:col w:w="6700"/>
          </w:cols>
          <w:pgMar w:left="320" w:top="405" w:right="339" w:bottom="1440" w:gutter="0" w:footer="0" w:header="0"/>
          <w:type w:val="continuous"/>
        </w:sectPr>
      </w:pPr>
    </w:p>
    <w:p>
      <w:pPr>
        <w:spacing w:after="0" w:line="107"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C04C57"/>
        </w:rPr>
        <w:t>Regeneron Securities Beneficially Owned as of April 13,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ind w:left="4540"/>
              <w:spacing w:after="0"/>
              <w:rPr>
                <w:sz w:val="20"/>
                <w:szCs w:val="20"/>
                <w:color w:val="auto"/>
              </w:rPr>
            </w:pPr>
            <w:r>
              <w:rPr>
                <w:rFonts w:ascii="Arial" w:cs="Arial" w:eastAsia="Arial" w:hAnsi="Arial"/>
                <w:sz w:val="15"/>
                <w:szCs w:val="15"/>
                <w:color w:val="231F20"/>
              </w:rPr>
              <w:t>Common Stock:</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1,187</w:t>
            </w:r>
          </w:p>
        </w:tc>
      </w:tr>
      <w:tr>
        <w:trPr>
          <w:trHeight w:val="324"/>
        </w:trPr>
        <w:tc>
          <w:tcPr>
            <w:tcW w:w="6060" w:type="dxa"/>
            <w:vAlign w:val="bottom"/>
          </w:tcPr>
          <w:p>
            <w:pPr>
              <w:ind w:left="4540"/>
              <w:spacing w:after="0"/>
              <w:rPr>
                <w:sz w:val="20"/>
                <w:szCs w:val="20"/>
                <w:color w:val="auto"/>
              </w:rPr>
            </w:pPr>
            <w:r>
              <w:rPr>
                <w:rFonts w:ascii="Arial" w:cs="Arial" w:eastAsia="Arial" w:hAnsi="Arial"/>
                <w:sz w:val="15"/>
                <w:szCs w:val="15"/>
                <w:color w:val="231F20"/>
              </w:rPr>
              <w:t>Options:</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57,778</w:t>
            </w:r>
          </w:p>
        </w:tc>
      </w:tr>
      <w:tr>
        <w:trPr>
          <w:trHeight w:val="324"/>
        </w:trPr>
        <w:tc>
          <w:tcPr>
            <w:tcW w:w="6060" w:type="dxa"/>
            <w:vAlign w:val="bottom"/>
          </w:tcPr>
          <w:p>
            <w:pPr>
              <w:ind w:left="4540"/>
              <w:spacing w:after="0"/>
              <w:rPr>
                <w:sz w:val="20"/>
                <w:szCs w:val="20"/>
                <w:color w:val="auto"/>
              </w:rPr>
            </w:pPr>
            <w:r>
              <w:rPr>
                <w:rFonts w:ascii="Arial" w:cs="Arial" w:eastAsia="Arial" w:hAnsi="Arial"/>
                <w:sz w:val="15"/>
                <w:szCs w:val="15"/>
                <w:color w:val="231F20"/>
              </w:rPr>
              <w:t>RSUs:</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750</w:t>
            </w:r>
          </w:p>
        </w:tc>
      </w:tr>
      <w:tr>
        <w:trPr>
          <w:trHeight w:val="407"/>
        </w:trPr>
        <w:tc>
          <w:tcPr>
            <w:tcW w:w="6060" w:type="dxa"/>
            <w:vAlign w:val="bottom"/>
          </w:tcPr>
          <w:p>
            <w:pPr>
              <w:ind w:left="22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5180" w:type="dxa"/>
            <w:vAlign w:val="bottom"/>
          </w:tcPr>
          <w:p>
            <w:pPr>
              <w:jc w:val="right"/>
              <w:ind w:right="146"/>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13</w:t>
            </w:r>
          </w:p>
        </w:tc>
      </w:tr>
      <w:tr>
        <w:trPr>
          <w:trHeight w:val="258"/>
        </w:trPr>
        <w:tc>
          <w:tcPr>
            <w:tcW w:w="6060" w:type="dxa"/>
            <w:vAlign w:val="bottom"/>
            <w:tcBorders>
              <w:bottom w:val="single" w:sz="8" w:color="C0C0C0"/>
            </w:tcBorders>
          </w:tcPr>
          <w:p>
            <w:pPr>
              <w:spacing w:after="0"/>
              <w:rPr>
                <w:sz w:val="22"/>
                <w:szCs w:val="22"/>
                <w:color w:val="auto"/>
              </w:rPr>
            </w:pPr>
          </w:p>
        </w:tc>
        <w:tc>
          <w:tcPr>
            <w:tcW w:w="51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24" w:name="page25"/>
    <w:bookmarkEnd w:id="24"/>
    <w:p>
      <w:pPr>
        <w:ind w:left="726"/>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68580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9626"/>
          </w:cols>
          <w:pgMar w:left="1174" w:top="405" w:right="109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726" w:right="2260"/>
        <w:spacing w:after="0" w:line="296" w:lineRule="auto"/>
        <w:rPr>
          <w:sz w:val="20"/>
          <w:szCs w:val="20"/>
          <w:color w:val="auto"/>
        </w:rPr>
      </w:pPr>
      <w:r>
        <w:rPr>
          <w:rFonts w:ascii="Arial" w:cs="Arial" w:eastAsia="Arial" w:hAnsi="Arial"/>
          <w:sz w:val="28"/>
          <w:szCs w:val="28"/>
          <w:b w:val="1"/>
          <w:bCs w:val="1"/>
          <w:color w:val="C04C57"/>
        </w:rPr>
        <w:t>CLASS I DIRECTORS CONTINUING IN OFFICE TERM EXPIRES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52705</wp:posOffset>
            </wp:positionV>
            <wp:extent cx="5083175" cy="308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pacing w:after="0" w:line="127" w:lineRule="exact"/>
        <w:rPr>
          <w:sz w:val="20"/>
          <w:szCs w:val="20"/>
          <w:color w:val="auto"/>
        </w:rPr>
      </w:pPr>
    </w:p>
    <w:p>
      <w:pPr>
        <w:ind w:left="806"/>
        <w:spacing w:after="0"/>
        <w:rPr>
          <w:sz w:val="20"/>
          <w:szCs w:val="20"/>
          <w:color w:val="auto"/>
        </w:rPr>
      </w:pPr>
      <w:r>
        <w:rPr>
          <w:rFonts w:ascii="Arial" w:cs="Arial" w:eastAsia="Arial" w:hAnsi="Arial"/>
          <w:sz w:val="25"/>
          <w:szCs w:val="25"/>
          <w:b w:val="1"/>
          <w:bCs w:val="1"/>
          <w:color w:val="FFFFFF"/>
        </w:rPr>
        <w:t>BONNIE L. BASSLER, PH.D.</w:t>
      </w:r>
    </w:p>
    <w:p>
      <w:pPr>
        <w:sectPr>
          <w:pgSz w:w="11900" w:h="16838" w:orient="portrait"/>
          <w:cols w:equalWidth="0" w:num="1">
            <w:col w:w="9626"/>
          </w:cols>
          <w:pgMar w:left="1174" w:top="40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26"/>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-1572260</wp:posOffset>
            </wp:positionV>
            <wp:extent cx="1080135" cy="10883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80135" cy="1088390"/>
                    </a:xfrm>
                    <a:prstGeom prst="rect">
                      <a:avLst/>
                    </a:prstGeom>
                    <a:noFill/>
                  </pic:spPr>
                </pic:pic>
              </a:graphicData>
            </a:graphic>
          </wp:anchor>
        </w:drawing>
      </w:r>
    </w:p>
    <w:p>
      <w:pPr>
        <w:spacing w:after="0" w:line="37" w:lineRule="exact"/>
        <w:rPr>
          <w:sz w:val="20"/>
          <w:szCs w:val="20"/>
          <w:color w:val="auto"/>
        </w:rPr>
      </w:pPr>
    </w:p>
    <w:p>
      <w:pPr>
        <w:ind w:left="726"/>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58</w:t>
      </w:r>
    </w:p>
    <w:p>
      <w:pPr>
        <w:spacing w:after="0" w:line="71" w:lineRule="exact"/>
        <w:rPr>
          <w:sz w:val="20"/>
          <w:szCs w:val="20"/>
          <w:color w:val="auto"/>
        </w:rPr>
      </w:pPr>
    </w:p>
    <w:p>
      <w:pPr>
        <w:ind w:left="726"/>
        <w:spacing w:after="0"/>
        <w:rPr>
          <w:sz w:val="20"/>
          <w:szCs w:val="20"/>
          <w:color w:val="auto"/>
        </w:rPr>
      </w:pPr>
      <w:r>
        <w:rPr>
          <w:rFonts w:ascii="Arial" w:cs="Arial" w:eastAsia="Arial" w:hAnsi="Arial"/>
          <w:sz w:val="15"/>
          <w:szCs w:val="15"/>
          <w:b w:val="1"/>
          <w:bCs w:val="1"/>
          <w:color w:val="2952A4"/>
        </w:rPr>
        <w:t>Independent</w:t>
      </w:r>
    </w:p>
    <w:p>
      <w:pPr>
        <w:spacing w:after="0" w:line="206" w:lineRule="exact"/>
        <w:rPr>
          <w:sz w:val="20"/>
          <w:szCs w:val="20"/>
          <w:color w:val="auto"/>
        </w:rPr>
      </w:pPr>
    </w:p>
    <w:p>
      <w:pPr>
        <w:jc w:val="center"/>
        <w:ind w:left="726"/>
        <w:spacing w:after="0"/>
        <w:rPr>
          <w:sz w:val="20"/>
          <w:szCs w:val="20"/>
          <w:color w:val="auto"/>
        </w:rPr>
      </w:pPr>
      <w:r>
        <w:rPr>
          <w:rFonts w:ascii="Arial" w:cs="Arial" w:eastAsia="Arial" w:hAnsi="Arial"/>
          <w:sz w:val="14"/>
          <w:szCs w:val="14"/>
          <w:b w:val="1"/>
          <w:bCs w:val="1"/>
          <w:color w:val="2952A4"/>
        </w:rPr>
        <w:t>Scientific Society Memberships:</w:t>
      </w:r>
    </w:p>
    <w:p>
      <w:pPr>
        <w:spacing w:after="0" w:line="114" w:lineRule="exact"/>
        <w:rPr>
          <w:sz w:val="20"/>
          <w:szCs w:val="20"/>
          <w:color w:val="auto"/>
        </w:rPr>
      </w:pPr>
    </w:p>
    <w:p>
      <w:pPr>
        <w:ind w:left="886" w:right="440" w:hanging="166"/>
        <w:spacing w:after="0" w:line="236" w:lineRule="auto"/>
        <w:tabs>
          <w:tab w:leader="none" w:pos="886" w:val="left"/>
        </w:tabs>
        <w:numPr>
          <w:ilvl w:val="0"/>
          <w:numId w:val="19"/>
        </w:numPr>
        <w:rPr>
          <w:rFonts w:ascii="Arial" w:cs="Arial" w:eastAsia="Arial" w:hAnsi="Arial"/>
          <w:sz w:val="15"/>
          <w:szCs w:val="15"/>
          <w:color w:val="2952A4"/>
        </w:rPr>
      </w:pPr>
      <w:r>
        <w:rPr>
          <w:rFonts w:ascii="Arial" w:cs="Arial" w:eastAsia="Arial" w:hAnsi="Arial"/>
          <w:sz w:val="15"/>
          <w:szCs w:val="15"/>
          <w:color w:val="231F20"/>
        </w:rPr>
        <w:t>The National Academy of Sciences</w:t>
      </w:r>
    </w:p>
    <w:p>
      <w:pPr>
        <w:spacing w:after="0" w:line="52" w:lineRule="exact"/>
        <w:rPr>
          <w:rFonts w:ascii="Arial" w:cs="Arial" w:eastAsia="Arial" w:hAnsi="Arial"/>
          <w:sz w:val="15"/>
          <w:szCs w:val="15"/>
          <w:color w:val="2952A4"/>
        </w:rPr>
      </w:pPr>
    </w:p>
    <w:p>
      <w:pPr>
        <w:ind w:left="886" w:right="60" w:hanging="166"/>
        <w:spacing w:after="0" w:line="236" w:lineRule="auto"/>
        <w:tabs>
          <w:tab w:leader="none" w:pos="886" w:val="left"/>
        </w:tabs>
        <w:numPr>
          <w:ilvl w:val="0"/>
          <w:numId w:val="19"/>
        </w:numPr>
        <w:rPr>
          <w:rFonts w:ascii="Arial" w:cs="Arial" w:eastAsia="Arial" w:hAnsi="Arial"/>
          <w:sz w:val="15"/>
          <w:szCs w:val="15"/>
          <w:color w:val="2952A4"/>
        </w:rPr>
      </w:pPr>
      <w:r>
        <w:rPr>
          <w:rFonts w:ascii="Arial" w:cs="Arial" w:eastAsia="Arial" w:hAnsi="Arial"/>
          <w:sz w:val="15"/>
          <w:szCs w:val="15"/>
          <w:color w:val="231F20"/>
        </w:rPr>
        <w:t>The American Academy of Arts and Sciences</w:t>
      </w:r>
    </w:p>
    <w:p>
      <w:pPr>
        <w:spacing w:after="0" w:line="52" w:lineRule="exact"/>
        <w:rPr>
          <w:rFonts w:ascii="Arial" w:cs="Arial" w:eastAsia="Arial" w:hAnsi="Arial"/>
          <w:sz w:val="15"/>
          <w:szCs w:val="15"/>
          <w:color w:val="2952A4"/>
        </w:rPr>
      </w:pPr>
    </w:p>
    <w:p>
      <w:pPr>
        <w:ind w:left="886" w:hanging="166"/>
        <w:spacing w:after="0"/>
        <w:tabs>
          <w:tab w:leader="none" w:pos="886" w:val="left"/>
        </w:tabs>
        <w:numPr>
          <w:ilvl w:val="0"/>
          <w:numId w:val="19"/>
        </w:numPr>
        <w:rPr>
          <w:rFonts w:ascii="Arial" w:cs="Arial" w:eastAsia="Arial" w:hAnsi="Arial"/>
          <w:sz w:val="15"/>
          <w:szCs w:val="15"/>
          <w:color w:val="2952A4"/>
        </w:rPr>
      </w:pPr>
      <w:r>
        <w:rPr>
          <w:rFonts w:ascii="Arial" w:cs="Arial" w:eastAsia="Arial" w:hAnsi="Arial"/>
          <w:sz w:val="15"/>
          <w:szCs w:val="15"/>
          <w:color w:val="231F20"/>
        </w:rPr>
        <w:t>The Royal Society of London</w:t>
      </w:r>
    </w:p>
    <w:p>
      <w:pPr>
        <w:spacing w:after="0" w:line="57" w:lineRule="exact"/>
        <w:rPr>
          <w:rFonts w:ascii="Arial" w:cs="Arial" w:eastAsia="Arial" w:hAnsi="Arial"/>
          <w:sz w:val="15"/>
          <w:szCs w:val="15"/>
          <w:color w:val="2952A4"/>
        </w:rPr>
      </w:pPr>
    </w:p>
    <w:p>
      <w:pPr>
        <w:ind w:left="886" w:right="280" w:hanging="166"/>
        <w:spacing w:after="0" w:line="236" w:lineRule="auto"/>
        <w:tabs>
          <w:tab w:leader="none" w:pos="886" w:val="left"/>
        </w:tabs>
        <w:numPr>
          <w:ilvl w:val="0"/>
          <w:numId w:val="19"/>
        </w:numPr>
        <w:rPr>
          <w:rFonts w:ascii="Arial" w:cs="Arial" w:eastAsia="Arial" w:hAnsi="Arial"/>
          <w:sz w:val="15"/>
          <w:szCs w:val="15"/>
          <w:color w:val="2952A4"/>
        </w:rPr>
      </w:pPr>
      <w:r>
        <w:rPr>
          <w:rFonts w:ascii="Arial" w:cs="Arial" w:eastAsia="Arial" w:hAnsi="Arial"/>
          <w:sz w:val="15"/>
          <w:szCs w:val="15"/>
          <w:color w:val="auto"/>
        </w:rPr>
        <w:t>The American Philosophical Society</w:t>
      </w:r>
    </w:p>
    <w:p>
      <w:pPr>
        <w:spacing w:after="0" w:line="250" w:lineRule="exact"/>
        <w:rPr>
          <w:sz w:val="20"/>
          <w:szCs w:val="20"/>
          <w:color w:val="auto"/>
        </w:rPr>
      </w:pPr>
    </w:p>
    <w:p>
      <w:pPr>
        <w:ind w:left="726"/>
        <w:spacing w:after="0"/>
        <w:rPr>
          <w:sz w:val="20"/>
          <w:szCs w:val="20"/>
          <w:color w:val="auto"/>
        </w:rPr>
      </w:pPr>
      <w:r>
        <w:rPr>
          <w:rFonts w:ascii="Arial" w:cs="Arial" w:eastAsia="Arial" w:hAnsi="Arial"/>
          <w:sz w:val="15"/>
          <w:szCs w:val="15"/>
          <w:b w:val="1"/>
          <w:bCs w:val="1"/>
          <w:color w:val="2952A4"/>
        </w:rPr>
        <w:t>Other Public Boards:</w:t>
      </w:r>
    </w:p>
    <w:p>
      <w:pPr>
        <w:spacing w:after="0" w:line="102" w:lineRule="exact"/>
        <w:rPr>
          <w:sz w:val="20"/>
          <w:szCs w:val="20"/>
          <w:color w:val="auto"/>
        </w:rPr>
      </w:pPr>
    </w:p>
    <w:p>
      <w:pPr>
        <w:ind w:left="886" w:hanging="166"/>
        <w:spacing w:after="0"/>
        <w:tabs>
          <w:tab w:leader="none" w:pos="886" w:val="left"/>
        </w:tabs>
        <w:numPr>
          <w:ilvl w:val="0"/>
          <w:numId w:val="20"/>
        </w:numPr>
        <w:rPr>
          <w:rFonts w:ascii="Arial" w:cs="Arial" w:eastAsia="Arial" w:hAnsi="Arial"/>
          <w:sz w:val="15"/>
          <w:szCs w:val="15"/>
          <w:color w:val="2952A4"/>
        </w:rPr>
      </w:pPr>
      <w:r>
        <w:rPr>
          <w:rFonts w:ascii="Arial" w:cs="Arial" w:eastAsia="Arial" w:hAnsi="Arial"/>
          <w:sz w:val="15"/>
          <w:szCs w:val="15"/>
          <w:color w:val="231F20"/>
        </w:rPr>
        <w:t>Kaleido Biosciences, Inc.</w:t>
      </w:r>
    </w:p>
    <w:p>
      <w:pPr>
        <w:spacing w:after="0" w:line="57" w:lineRule="exact"/>
        <w:rPr>
          <w:rFonts w:ascii="Arial" w:cs="Arial" w:eastAsia="Arial" w:hAnsi="Arial"/>
          <w:sz w:val="15"/>
          <w:szCs w:val="15"/>
          <w:color w:val="2952A4"/>
        </w:rPr>
      </w:pPr>
    </w:p>
    <w:p>
      <w:pPr>
        <w:ind w:left="886" w:hanging="166"/>
        <w:spacing w:after="0"/>
        <w:tabs>
          <w:tab w:leader="none" w:pos="886" w:val="left"/>
        </w:tabs>
        <w:numPr>
          <w:ilvl w:val="0"/>
          <w:numId w:val="20"/>
        </w:numPr>
        <w:rPr>
          <w:rFonts w:ascii="Arial" w:cs="Arial" w:eastAsia="Arial" w:hAnsi="Arial"/>
          <w:sz w:val="15"/>
          <w:szCs w:val="15"/>
          <w:color w:val="2952A4"/>
        </w:rPr>
      </w:pPr>
      <w:r>
        <w:rPr>
          <w:rFonts w:ascii="Arial" w:cs="Arial" w:eastAsia="Arial" w:hAnsi="Arial"/>
          <w:sz w:val="15"/>
          <w:szCs w:val="15"/>
          <w:color w:val="auto"/>
        </w:rPr>
        <w:t>Cidara Therapeutics, Inc.</w:t>
      </w:r>
    </w:p>
    <w:p>
      <w:pPr>
        <w:spacing w:after="0" w:line="57" w:lineRule="exact"/>
        <w:rPr>
          <w:rFonts w:ascii="Arial" w:cs="Arial" w:eastAsia="Arial" w:hAnsi="Arial"/>
          <w:sz w:val="15"/>
          <w:szCs w:val="15"/>
          <w:color w:val="2952A4"/>
        </w:rPr>
      </w:pPr>
    </w:p>
    <w:p>
      <w:pPr>
        <w:ind w:left="886" w:hanging="166"/>
        <w:spacing w:after="0"/>
        <w:tabs>
          <w:tab w:leader="none" w:pos="886" w:val="left"/>
        </w:tabs>
        <w:numPr>
          <w:ilvl w:val="0"/>
          <w:numId w:val="20"/>
        </w:numPr>
        <w:rPr>
          <w:rFonts w:ascii="Arial" w:cs="Arial" w:eastAsia="Arial" w:hAnsi="Arial"/>
          <w:sz w:val="15"/>
          <w:szCs w:val="15"/>
          <w:color w:val="2952A4"/>
        </w:rPr>
      </w:pPr>
      <w:r>
        <w:rPr>
          <w:rFonts w:ascii="Arial" w:cs="Arial" w:eastAsia="Arial" w:hAnsi="Arial"/>
          <w:sz w:val="15"/>
          <w:szCs w:val="15"/>
          <w:color w:val="auto"/>
        </w:rPr>
        <w:t>Royalty Pharma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86" w:hanging="286"/>
        <w:spacing w:after="0"/>
        <w:tabs>
          <w:tab w:leader="none" w:pos="286" w:val="left"/>
        </w:tabs>
        <w:numPr>
          <w:ilvl w:val="0"/>
          <w:numId w:val="21"/>
        </w:numPr>
        <w:rPr>
          <w:rFonts w:ascii="Arial" w:cs="Arial" w:eastAsia="Arial" w:hAnsi="Arial"/>
          <w:sz w:val="14"/>
          <w:szCs w:val="14"/>
          <w:b w:val="1"/>
          <w:bCs w:val="1"/>
          <w:color w:val="00A5EC"/>
        </w:rPr>
      </w:pPr>
      <w:r>
        <w:rPr>
          <w:rFonts w:ascii="Arial" w:cs="Arial" w:eastAsia="Arial" w:hAnsi="Arial"/>
          <w:sz w:val="14"/>
          <w:szCs w:val="14"/>
          <w:color w:val="00A5EC"/>
        </w:rPr>
        <w:t>/</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900"/>
        <w:spacing w:after="0" w:line="226" w:lineRule="auto"/>
        <w:rPr>
          <w:sz w:val="20"/>
          <w:szCs w:val="20"/>
          <w:color w:val="auto"/>
        </w:rPr>
      </w:pPr>
      <w:r>
        <w:rPr>
          <w:rFonts w:ascii="Arial" w:cs="Arial" w:eastAsia="Arial" w:hAnsi="Arial"/>
          <w:sz w:val="15"/>
          <w:szCs w:val="15"/>
          <w:color w:val="231F20"/>
        </w:rPr>
        <w:t>Dr. Bassler is currently the Chair of the Department of Molecular Biology and the Squibb Professor in Molecular Biology at Princeton University, and a Howard Hughes Medical Institute Investigator. Dr. Bassler has previously served as the President of the American Society for Microbiology, as well as on the boards for the American Association for the Advancement of Science, the National Science Foundation, and the American Academy of Microbiology. She has been elected to the National Academy of Sciences, the American Academy of Arts and Sciences, the Royal Society of London, and the American Philosophical Society, and has received many scientific honors, including a MacArthur Foundation Fellowship, the Lounsbery Award, and the Shaw Prize for Life Science and Medicine. Dr. Bassler received her B.Sc. from the University of California, Davis, and her Ph.D. in Biochemistry from Johns Hopkins University. She served as a Postdoctoral Fellow and Research Scientist at the Agouron Institute in La Jolla, California, before becoming a faculty member at Princeton University. Dr. Bassler served as a director of Sanofi from November 2014 to July 2016 and currently serves on the board of directors of Kaleido Biosciences, Inc., Cidara Therapeutics, Inc., and Royalty Pharma plc.</w:t>
      </w:r>
    </w:p>
    <w:p>
      <w:pPr>
        <w:spacing w:after="0" w:line="154" w:lineRule="exact"/>
        <w:rPr>
          <w:sz w:val="20"/>
          <w:szCs w:val="20"/>
          <w:color w:val="auto"/>
        </w:rPr>
      </w:pPr>
    </w:p>
    <w:p>
      <w:pPr>
        <w:ind w:right="940"/>
        <w:spacing w:after="0" w:line="231" w:lineRule="auto"/>
        <w:rPr>
          <w:sz w:val="20"/>
          <w:szCs w:val="20"/>
          <w:color w:val="auto"/>
        </w:rPr>
      </w:pPr>
      <w:r>
        <w:rPr>
          <w:rFonts w:ascii="Arial" w:cs="Arial" w:eastAsia="Arial" w:hAnsi="Arial"/>
          <w:sz w:val="15"/>
          <w:szCs w:val="15"/>
          <w:color w:val="231F20"/>
        </w:rPr>
        <w:t>Dr. Bassler's extensive research experience and her scientific and academic career and accomplishments, as well as her experience as a corporate director, led the board to conclude that Dr. Bassler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Membership—2020 Attendance: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60" w:type="dxa"/>
            <w:vAlign w:val="bottom"/>
          </w:tcPr>
          <w:p>
            <w:pPr>
              <w:spacing w:after="0"/>
              <w:rPr>
                <w:sz w:val="20"/>
                <w:szCs w:val="20"/>
                <w:color w:val="auto"/>
              </w:rPr>
            </w:pPr>
            <w:r>
              <w:rPr>
                <w:rFonts w:ascii="Arial" w:cs="Arial" w:eastAsia="Arial" w:hAnsi="Arial"/>
                <w:sz w:val="15"/>
                <w:szCs w:val="15"/>
                <w:color w:val="231F20"/>
              </w:rPr>
              <w:t>Board of Directors:</w:t>
            </w:r>
          </w:p>
        </w:tc>
        <w:tc>
          <w:tcPr>
            <w:tcW w:w="3480" w:type="dxa"/>
            <w:vAlign w:val="bottom"/>
          </w:tcPr>
          <w:p>
            <w:pPr>
              <w:ind w:left="2080"/>
              <w:spacing w:after="0"/>
              <w:rPr>
                <w:sz w:val="20"/>
                <w:szCs w:val="20"/>
                <w:color w:val="auto"/>
              </w:rPr>
            </w:pPr>
            <w:r>
              <w:rPr>
                <w:rFonts w:ascii="Arial" w:cs="Arial" w:eastAsia="Arial" w:hAnsi="Arial"/>
                <w:sz w:val="15"/>
                <w:szCs w:val="15"/>
                <w:b w:val="1"/>
                <w:bCs w:val="1"/>
                <w:color w:val="2952A4"/>
              </w:rPr>
              <w:t>11/11</w:t>
            </w:r>
          </w:p>
        </w:tc>
      </w:tr>
      <w:tr>
        <w:trPr>
          <w:trHeight w:val="324"/>
        </w:trPr>
        <w:tc>
          <w:tcPr>
            <w:tcW w:w="5040" w:type="dxa"/>
            <w:vAlign w:val="bottom"/>
            <w:gridSpan w:val="2"/>
          </w:tcPr>
          <w:p>
            <w:pPr>
              <w:spacing w:after="0"/>
              <w:rPr>
                <w:sz w:val="20"/>
                <w:szCs w:val="20"/>
                <w:color w:val="auto"/>
              </w:rPr>
            </w:pPr>
            <w:r>
              <w:rPr>
                <w:rFonts w:ascii="Arial" w:cs="Arial" w:eastAsia="Arial" w:hAnsi="Arial"/>
                <w:sz w:val="15"/>
                <w:szCs w:val="15"/>
                <w:color w:val="231F20"/>
              </w:rPr>
              <w:t xml:space="preserve">Corporate Governance and Compliance Committee:   </w:t>
            </w:r>
            <w:r>
              <w:rPr>
                <w:rFonts w:ascii="Arial" w:cs="Arial" w:eastAsia="Arial" w:hAnsi="Arial"/>
                <w:sz w:val="15"/>
                <w:szCs w:val="15"/>
                <w:b w:val="1"/>
                <w:bCs w:val="1"/>
                <w:color w:val="2952A4"/>
              </w:rPr>
              <w:t>5/5</w:t>
            </w:r>
          </w:p>
        </w:tc>
      </w:tr>
      <w:tr>
        <w:trPr>
          <w:trHeight w:val="324"/>
        </w:trPr>
        <w:tc>
          <w:tcPr>
            <w:tcW w:w="1560" w:type="dxa"/>
            <w:vAlign w:val="bottom"/>
          </w:tcPr>
          <w:p>
            <w:pPr>
              <w:spacing w:after="0"/>
              <w:rPr>
                <w:sz w:val="20"/>
                <w:szCs w:val="20"/>
                <w:color w:val="auto"/>
              </w:rPr>
            </w:pPr>
            <w:r>
              <w:rPr>
                <w:rFonts w:ascii="Arial" w:cs="Arial" w:eastAsia="Arial" w:hAnsi="Arial"/>
                <w:sz w:val="15"/>
                <w:szCs w:val="15"/>
                <w:color w:val="auto"/>
                <w:w w:val="97"/>
              </w:rPr>
              <w:t>Technology Committee:</w:t>
            </w:r>
          </w:p>
        </w:tc>
        <w:tc>
          <w:tcPr>
            <w:tcW w:w="3480" w:type="dxa"/>
            <w:vAlign w:val="bottom"/>
          </w:tcPr>
          <w:p>
            <w:pPr>
              <w:ind w:left="2080"/>
              <w:spacing w:after="0"/>
              <w:rPr>
                <w:sz w:val="20"/>
                <w:szCs w:val="20"/>
                <w:color w:val="auto"/>
              </w:rPr>
            </w:pPr>
            <w:r>
              <w:rPr>
                <w:rFonts w:ascii="Arial" w:cs="Arial" w:eastAsia="Arial" w:hAnsi="Arial"/>
                <w:sz w:val="15"/>
                <w:szCs w:val="15"/>
                <w:b w:val="1"/>
                <w:bCs w:val="1"/>
                <w:color w:val="2952A4"/>
              </w:rPr>
              <w:t>3/3</w:t>
            </w:r>
          </w:p>
        </w:tc>
      </w:tr>
      <w:tr>
        <w:trPr>
          <w:trHeight w:val="145"/>
        </w:trPr>
        <w:tc>
          <w:tcPr>
            <w:tcW w:w="5040" w:type="dxa"/>
            <w:vAlign w:val="bottom"/>
            <w:tcBorders>
              <w:bottom w:val="single" w:sz="8" w:color="auto"/>
            </w:tcBorders>
            <w:gridSpan w:val="2"/>
          </w:tcPr>
          <w:p>
            <w:pPr>
              <w:spacing w:after="0"/>
              <w:rPr>
                <w:sz w:val="12"/>
                <w:szCs w:val="12"/>
                <w:color w:val="auto"/>
              </w:rPr>
            </w:pPr>
          </w:p>
        </w:tc>
      </w:tr>
      <w:tr>
        <w:trPr>
          <w:trHeight w:val="333"/>
        </w:trPr>
        <w:tc>
          <w:tcPr>
            <w:tcW w:w="5040" w:type="dxa"/>
            <w:vAlign w:val="bottom"/>
            <w:gridSpan w:val="2"/>
          </w:tcPr>
          <w:p>
            <w:pPr>
              <w:spacing w:after="0"/>
              <w:rPr>
                <w:sz w:val="20"/>
                <w:szCs w:val="20"/>
                <w:color w:val="auto"/>
              </w:rPr>
            </w:pPr>
            <w:r>
              <w:rPr>
                <w:rFonts w:ascii="Arial" w:cs="Arial" w:eastAsia="Arial" w:hAnsi="Arial"/>
                <w:sz w:val="14"/>
                <w:szCs w:val="14"/>
                <w:b w:val="1"/>
                <w:bCs w:val="1"/>
                <w:color w:val="C04C57"/>
              </w:rPr>
              <w:t>Prior Voting Results—2019:</w:t>
            </w:r>
          </w:p>
        </w:tc>
      </w:tr>
      <w:tr>
        <w:trPr>
          <w:trHeight w:val="326"/>
        </w:trPr>
        <w:tc>
          <w:tcPr>
            <w:tcW w:w="1560" w:type="dxa"/>
            <w:vAlign w:val="bottom"/>
          </w:tcPr>
          <w:p>
            <w:pPr>
              <w:spacing w:after="0"/>
              <w:rPr>
                <w:sz w:val="20"/>
                <w:szCs w:val="20"/>
                <w:color w:val="auto"/>
              </w:rPr>
            </w:pPr>
            <w:r>
              <w:rPr>
                <w:rFonts w:ascii="Arial" w:cs="Arial" w:eastAsia="Arial" w:hAnsi="Arial"/>
                <w:sz w:val="15"/>
                <w:szCs w:val="15"/>
                <w:color w:val="231F20"/>
              </w:rPr>
              <w:t>For:</w:t>
            </w:r>
          </w:p>
        </w:tc>
        <w:tc>
          <w:tcPr>
            <w:tcW w:w="3480" w:type="dxa"/>
            <w:vAlign w:val="bottom"/>
          </w:tcPr>
          <w:p>
            <w:pPr>
              <w:jc w:val="right"/>
              <w:ind w:right="2966"/>
              <w:spacing w:after="0"/>
              <w:rPr>
                <w:sz w:val="20"/>
                <w:szCs w:val="20"/>
                <w:color w:val="auto"/>
              </w:rPr>
            </w:pPr>
            <w:r>
              <w:rPr>
                <w:rFonts w:ascii="Arial" w:cs="Arial" w:eastAsia="Arial" w:hAnsi="Arial"/>
                <w:sz w:val="15"/>
                <w:szCs w:val="15"/>
                <w:b w:val="1"/>
                <w:bCs w:val="1"/>
                <w:color w:val="2952A4"/>
                <w:w w:val="98"/>
              </w:rPr>
              <w:t>75.4%</w:t>
            </w:r>
          </w:p>
        </w:tc>
      </w:tr>
      <w:tr>
        <w:trPr>
          <w:trHeight w:val="324"/>
        </w:trPr>
        <w:tc>
          <w:tcPr>
            <w:tcW w:w="1560" w:type="dxa"/>
            <w:vAlign w:val="bottom"/>
          </w:tcPr>
          <w:p>
            <w:pPr>
              <w:spacing w:after="0"/>
              <w:rPr>
                <w:sz w:val="20"/>
                <w:szCs w:val="20"/>
                <w:color w:val="auto"/>
              </w:rPr>
            </w:pPr>
            <w:r>
              <w:rPr>
                <w:rFonts w:ascii="Arial" w:cs="Arial" w:eastAsia="Arial" w:hAnsi="Arial"/>
                <w:sz w:val="15"/>
                <w:szCs w:val="15"/>
                <w:color w:val="231F20"/>
              </w:rPr>
              <w:t>Against:</w:t>
            </w:r>
          </w:p>
        </w:tc>
        <w:tc>
          <w:tcPr>
            <w:tcW w:w="3480" w:type="dxa"/>
            <w:vAlign w:val="bottom"/>
          </w:tcPr>
          <w:p>
            <w:pPr>
              <w:jc w:val="right"/>
              <w:ind w:right="2966"/>
              <w:spacing w:after="0"/>
              <w:rPr>
                <w:sz w:val="20"/>
                <w:szCs w:val="20"/>
                <w:color w:val="auto"/>
              </w:rPr>
            </w:pPr>
            <w:r>
              <w:rPr>
                <w:rFonts w:ascii="Arial" w:cs="Arial" w:eastAsia="Arial" w:hAnsi="Arial"/>
                <w:sz w:val="15"/>
                <w:szCs w:val="15"/>
                <w:b w:val="1"/>
                <w:bCs w:val="1"/>
                <w:color w:val="2952A4"/>
                <w:w w:val="98"/>
              </w:rPr>
              <w:t>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Regeneron Securities Beneficially Owned as of April 13,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20" w:type="dxa"/>
            <w:vAlign w:val="bottom"/>
          </w:tcPr>
          <w:p>
            <w:pPr>
              <w:spacing w:after="0"/>
              <w:rPr>
                <w:sz w:val="20"/>
                <w:szCs w:val="20"/>
                <w:color w:val="auto"/>
              </w:rPr>
            </w:pPr>
            <w:r>
              <w:rPr>
                <w:rFonts w:ascii="Arial" w:cs="Arial" w:eastAsia="Arial" w:hAnsi="Arial"/>
                <w:sz w:val="15"/>
                <w:szCs w:val="15"/>
                <w:color w:val="231F20"/>
              </w:rPr>
              <w:t>Common Stock:</w:t>
            </w:r>
          </w:p>
        </w:tc>
        <w:tc>
          <w:tcPr>
            <w:tcW w:w="340" w:type="dxa"/>
            <w:vAlign w:val="bottom"/>
          </w:tcPr>
          <w:p>
            <w:pPr>
              <w:jc w:val="right"/>
              <w:spacing w:after="0"/>
              <w:rPr>
                <w:sz w:val="20"/>
                <w:szCs w:val="20"/>
                <w:color w:val="auto"/>
              </w:rPr>
            </w:pPr>
            <w:r>
              <w:rPr>
                <w:rFonts w:ascii="Arial" w:cs="Arial" w:eastAsia="Arial" w:hAnsi="Arial"/>
                <w:sz w:val="15"/>
                <w:szCs w:val="15"/>
                <w:b w:val="1"/>
                <w:bCs w:val="1"/>
                <w:color w:val="2952A4"/>
              </w:rPr>
              <w:t>0</w:t>
            </w:r>
          </w:p>
        </w:tc>
      </w:tr>
    </w:tbl>
    <w:p>
      <w:pPr>
        <w:spacing w:after="0" w:line="128"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Options:</w:t>
      </w:r>
      <w:r>
        <w:rPr>
          <w:sz w:val="20"/>
          <w:szCs w:val="20"/>
          <w:color w:val="auto"/>
        </w:rPr>
        <w:tab/>
      </w:r>
      <w:r>
        <w:rPr>
          <w:rFonts w:ascii="Arial" w:cs="Arial" w:eastAsia="Arial" w:hAnsi="Arial"/>
          <w:sz w:val="15"/>
          <w:szCs w:val="15"/>
          <w:b w:val="1"/>
          <w:bCs w:val="1"/>
          <w:color w:val="2952A4"/>
        </w:rPr>
        <w:t>29,821</w:t>
      </w:r>
    </w:p>
    <w:p>
      <w:pPr>
        <w:spacing w:after="0" w:line="152"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RSUs:</w:t>
      </w:r>
      <w:r>
        <w:rPr>
          <w:sz w:val="20"/>
          <w:szCs w:val="20"/>
          <w:color w:val="auto"/>
        </w:rPr>
        <w:tab/>
      </w:r>
      <w:r>
        <w:rPr>
          <w:rFonts w:ascii="Arial" w:cs="Arial" w:eastAsia="Arial" w:hAnsi="Arial"/>
          <w:sz w:val="15"/>
          <w:szCs w:val="15"/>
          <w:b w:val="1"/>
          <w:bCs w:val="1"/>
          <w:color w:val="2952A4"/>
        </w:rPr>
        <w:t>750</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161290</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3006" w:space="680"/>
            <w:col w:w="5940"/>
          </w:cols>
          <w:pgMar w:left="1174" w:top="405" w:right="1099" w:bottom="1440" w:gutter="0" w:footer="0" w:header="0"/>
          <w:type w:val="continuous"/>
        </w:sectPr>
      </w:pPr>
    </w:p>
    <w:bookmarkStart w:id="25" w:name="page26"/>
    <w:bookmarkEnd w:id="25"/>
    <w:p>
      <w:pPr>
        <w:jc w:val="right"/>
        <w:ind w:right="130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554990</wp:posOffset>
            </wp:positionV>
            <wp:extent cx="5083175" cy="308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FFFFFF"/>
        </w:rPr>
        <w:t>MICHAEL S. BROWN, M.D.</w:t>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-1564005</wp:posOffset>
            </wp:positionV>
            <wp:extent cx="1080135" cy="10801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37"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80</w:t>
      </w:r>
    </w:p>
    <w:p>
      <w:pPr>
        <w:spacing w:after="0" w:line="7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Independent</w:t>
      </w:r>
    </w:p>
    <w:p>
      <w:pPr>
        <w:spacing w:after="0" w:line="206"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2952A4"/>
        </w:rPr>
        <w:t>Scientific Society Memberships:</w:t>
      </w:r>
    </w:p>
    <w:p>
      <w:pPr>
        <w:spacing w:after="0" w:line="114" w:lineRule="exact"/>
        <w:rPr>
          <w:sz w:val="20"/>
          <w:szCs w:val="20"/>
          <w:color w:val="auto"/>
        </w:rPr>
      </w:pPr>
    </w:p>
    <w:p>
      <w:pPr>
        <w:ind w:left="1740" w:right="440" w:hanging="166"/>
        <w:spacing w:after="0" w:line="236" w:lineRule="auto"/>
        <w:tabs>
          <w:tab w:leader="none" w:pos="1740" w:val="left"/>
        </w:tabs>
        <w:numPr>
          <w:ilvl w:val="0"/>
          <w:numId w:val="22"/>
        </w:numPr>
        <w:rPr>
          <w:rFonts w:ascii="Arial" w:cs="Arial" w:eastAsia="Arial" w:hAnsi="Arial"/>
          <w:sz w:val="15"/>
          <w:szCs w:val="15"/>
          <w:color w:val="2952A4"/>
        </w:rPr>
      </w:pPr>
      <w:r>
        <w:rPr>
          <w:rFonts w:ascii="Arial" w:cs="Arial" w:eastAsia="Arial" w:hAnsi="Arial"/>
          <w:sz w:val="15"/>
          <w:szCs w:val="15"/>
          <w:color w:val="231F20"/>
        </w:rPr>
        <w:t>The National Academy of Sciences</w:t>
      </w:r>
    </w:p>
    <w:p>
      <w:pPr>
        <w:spacing w:after="0" w:line="52" w:lineRule="exact"/>
        <w:rPr>
          <w:rFonts w:ascii="Arial" w:cs="Arial" w:eastAsia="Arial" w:hAnsi="Arial"/>
          <w:sz w:val="15"/>
          <w:szCs w:val="15"/>
          <w:color w:val="2952A4"/>
        </w:rPr>
      </w:pPr>
    </w:p>
    <w:p>
      <w:pPr>
        <w:ind w:left="1740" w:right="440" w:hanging="166"/>
        <w:spacing w:after="0" w:line="236" w:lineRule="auto"/>
        <w:tabs>
          <w:tab w:leader="none" w:pos="1740" w:val="left"/>
        </w:tabs>
        <w:numPr>
          <w:ilvl w:val="0"/>
          <w:numId w:val="22"/>
        </w:numPr>
        <w:rPr>
          <w:rFonts w:ascii="Arial" w:cs="Arial" w:eastAsia="Arial" w:hAnsi="Arial"/>
          <w:sz w:val="15"/>
          <w:szCs w:val="15"/>
          <w:color w:val="2952A4"/>
        </w:rPr>
      </w:pPr>
      <w:r>
        <w:rPr>
          <w:rFonts w:ascii="Arial" w:cs="Arial" w:eastAsia="Arial" w:hAnsi="Arial"/>
          <w:sz w:val="15"/>
          <w:szCs w:val="15"/>
          <w:color w:val="231F20"/>
        </w:rPr>
        <w:t>The National Academy of Medicine</w:t>
      </w:r>
    </w:p>
    <w:p>
      <w:pPr>
        <w:spacing w:after="0" w:line="52" w:lineRule="exact"/>
        <w:rPr>
          <w:rFonts w:ascii="Arial" w:cs="Arial" w:eastAsia="Arial" w:hAnsi="Arial"/>
          <w:sz w:val="15"/>
          <w:szCs w:val="15"/>
          <w:color w:val="2952A4"/>
        </w:rPr>
      </w:pPr>
    </w:p>
    <w:p>
      <w:pPr>
        <w:ind w:left="1740" w:hanging="166"/>
        <w:spacing w:after="0"/>
        <w:tabs>
          <w:tab w:leader="none" w:pos="1740" w:val="left"/>
        </w:tabs>
        <w:numPr>
          <w:ilvl w:val="0"/>
          <w:numId w:val="22"/>
        </w:numPr>
        <w:rPr>
          <w:rFonts w:ascii="Arial" w:cs="Arial" w:eastAsia="Arial" w:hAnsi="Arial"/>
          <w:sz w:val="15"/>
          <w:szCs w:val="15"/>
          <w:color w:val="2952A4"/>
        </w:rPr>
      </w:pPr>
      <w:r>
        <w:rPr>
          <w:rFonts w:ascii="Arial" w:cs="Arial" w:eastAsia="Arial" w:hAnsi="Arial"/>
          <w:sz w:val="15"/>
          <w:szCs w:val="15"/>
          <w:color w:val="231F20"/>
        </w:rPr>
        <w:t>The Royal Society of London</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660"/>
        <w:spacing w:after="0" w:line="227" w:lineRule="auto"/>
        <w:rPr>
          <w:sz w:val="20"/>
          <w:szCs w:val="20"/>
          <w:color w:val="auto"/>
        </w:rPr>
      </w:pPr>
      <w:r>
        <w:rPr>
          <w:rFonts w:ascii="Arial" w:cs="Arial" w:eastAsia="Arial" w:hAnsi="Arial"/>
          <w:sz w:val="15"/>
          <w:szCs w:val="15"/>
          <w:color w:val="231F20"/>
        </w:rPr>
        <w:t>Dr. Brown holds the Distinguished Chair in Biomedical Sciences, a position he has held since 1989, and is a Regental Professor of Molecular Genetics and Internal Medicine, and the Director of the Jonsson Center for Molecular Genetics, at The University of Texas Southwestern Medical Center at Dallas, positions he has held since 1985. Drs. Brown and Goldstein jointly received the Nobel Prize for Physiology or Medicine in 1985 and the U.S. National Medal of Science in 1988. Dr. Brown is a member of the National Academy of Sciences, the National Academy of Medicine, and Foreign Member of the Royal Society of London.</w:t>
      </w:r>
    </w:p>
    <w:p>
      <w:pPr>
        <w:spacing w:after="0" w:line="152" w:lineRule="exact"/>
        <w:rPr>
          <w:sz w:val="20"/>
          <w:szCs w:val="20"/>
          <w:color w:val="auto"/>
        </w:rPr>
      </w:pPr>
    </w:p>
    <w:p>
      <w:pPr>
        <w:ind w:right="1720"/>
        <w:spacing w:after="0" w:line="229" w:lineRule="auto"/>
        <w:rPr>
          <w:sz w:val="20"/>
          <w:szCs w:val="20"/>
          <w:color w:val="auto"/>
        </w:rPr>
      </w:pPr>
      <w:r>
        <w:rPr>
          <w:rFonts w:ascii="Arial" w:cs="Arial" w:eastAsia="Arial" w:hAnsi="Arial"/>
          <w:sz w:val="15"/>
          <w:szCs w:val="15"/>
          <w:color w:val="231F20"/>
        </w:rPr>
        <w:t>Dr. Brown's distinguished scientific and academic background, including his receipt of the Nobel Prize for Physiology or Medicine in 1985, and his significant industry experience gained through his service on the board of directors of the Company and of a leading pharmaceutical company, led the board to conclude that Dr. Brown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31972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Membership—2020 Attendance: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0" w:type="dxa"/>
            <w:vAlign w:val="bottom"/>
          </w:tcPr>
          <w:p>
            <w:pPr>
              <w:spacing w:after="0"/>
              <w:rPr>
                <w:sz w:val="20"/>
                <w:szCs w:val="20"/>
                <w:color w:val="auto"/>
              </w:rPr>
            </w:pPr>
            <w:r>
              <w:rPr>
                <w:rFonts w:ascii="Arial" w:cs="Arial" w:eastAsia="Arial" w:hAnsi="Arial"/>
                <w:sz w:val="15"/>
                <w:szCs w:val="15"/>
                <w:color w:val="231F20"/>
              </w:rPr>
              <w:t>Board of Directors:</w:t>
            </w:r>
          </w:p>
        </w:tc>
        <w:tc>
          <w:tcPr>
            <w:tcW w:w="2140" w:type="dxa"/>
            <w:vAlign w:val="bottom"/>
          </w:tcPr>
          <w:p>
            <w:pPr>
              <w:spacing w:after="0"/>
              <w:rPr>
                <w:sz w:val="17"/>
                <w:szCs w:val="17"/>
                <w:color w:val="auto"/>
              </w:rPr>
            </w:pPr>
          </w:p>
        </w:tc>
        <w:tc>
          <w:tcPr>
            <w:tcW w:w="1500" w:type="dxa"/>
            <w:vAlign w:val="bottom"/>
          </w:tcPr>
          <w:p>
            <w:pPr>
              <w:ind w:left="100"/>
              <w:spacing w:after="0"/>
              <w:rPr>
                <w:sz w:val="20"/>
                <w:szCs w:val="20"/>
                <w:color w:val="auto"/>
              </w:rPr>
            </w:pPr>
            <w:r>
              <w:rPr>
                <w:rFonts w:ascii="Arial" w:cs="Arial" w:eastAsia="Arial" w:hAnsi="Arial"/>
                <w:sz w:val="15"/>
                <w:szCs w:val="15"/>
                <w:b w:val="1"/>
                <w:bCs w:val="1"/>
                <w:color w:val="2952A4"/>
              </w:rPr>
              <w:t>11/11</w:t>
            </w:r>
          </w:p>
        </w:tc>
      </w:tr>
      <w:tr>
        <w:trPr>
          <w:trHeight w:val="324"/>
        </w:trPr>
        <w:tc>
          <w:tcPr>
            <w:tcW w:w="3540" w:type="dxa"/>
            <w:vAlign w:val="bottom"/>
            <w:gridSpan w:val="2"/>
          </w:tcPr>
          <w:p>
            <w:pPr>
              <w:spacing w:after="0"/>
              <w:rPr>
                <w:sz w:val="20"/>
                <w:szCs w:val="20"/>
                <w:color w:val="auto"/>
              </w:rPr>
            </w:pPr>
            <w:r>
              <w:rPr>
                <w:rFonts w:ascii="Arial" w:cs="Arial" w:eastAsia="Arial" w:hAnsi="Arial"/>
                <w:sz w:val="15"/>
                <w:szCs w:val="15"/>
                <w:color w:val="231F20"/>
              </w:rPr>
              <w:t>Corporate Governance and Compliance Committee:</w:t>
            </w:r>
          </w:p>
        </w:tc>
        <w:tc>
          <w:tcPr>
            <w:tcW w:w="1500" w:type="dxa"/>
            <w:vAlign w:val="bottom"/>
          </w:tcPr>
          <w:p>
            <w:pPr>
              <w:ind w:left="100"/>
              <w:spacing w:after="0"/>
              <w:rPr>
                <w:sz w:val="20"/>
                <w:szCs w:val="20"/>
                <w:color w:val="auto"/>
              </w:rPr>
            </w:pPr>
            <w:r>
              <w:rPr>
                <w:rFonts w:ascii="Arial" w:cs="Arial" w:eastAsia="Arial" w:hAnsi="Arial"/>
                <w:sz w:val="15"/>
                <w:szCs w:val="15"/>
                <w:b w:val="1"/>
                <w:bCs w:val="1"/>
                <w:color w:val="2952A4"/>
              </w:rPr>
              <w:t>5/5</w:t>
            </w:r>
          </w:p>
        </w:tc>
      </w:tr>
      <w:tr>
        <w:trPr>
          <w:trHeight w:val="324"/>
        </w:trPr>
        <w:tc>
          <w:tcPr>
            <w:tcW w:w="3540" w:type="dxa"/>
            <w:vAlign w:val="bottom"/>
            <w:gridSpan w:val="2"/>
          </w:tcPr>
          <w:p>
            <w:pPr>
              <w:spacing w:after="0"/>
              <w:rPr>
                <w:sz w:val="20"/>
                <w:szCs w:val="20"/>
                <w:color w:val="auto"/>
              </w:rPr>
            </w:pPr>
            <w:r>
              <w:rPr>
                <w:rFonts w:ascii="Arial" w:cs="Arial" w:eastAsia="Arial" w:hAnsi="Arial"/>
                <w:sz w:val="15"/>
                <w:szCs w:val="15"/>
                <w:color w:val="auto"/>
              </w:rPr>
              <w:t>Technology Committee (Chairman):</w:t>
            </w:r>
          </w:p>
        </w:tc>
        <w:tc>
          <w:tcPr>
            <w:tcW w:w="1500" w:type="dxa"/>
            <w:vAlign w:val="bottom"/>
          </w:tcPr>
          <w:p>
            <w:pPr>
              <w:ind w:left="100"/>
              <w:spacing w:after="0"/>
              <w:rPr>
                <w:sz w:val="20"/>
                <w:szCs w:val="20"/>
                <w:color w:val="auto"/>
              </w:rPr>
            </w:pPr>
            <w:r>
              <w:rPr>
                <w:rFonts w:ascii="Arial" w:cs="Arial" w:eastAsia="Arial" w:hAnsi="Arial"/>
                <w:sz w:val="15"/>
                <w:szCs w:val="15"/>
                <w:b w:val="1"/>
                <w:bCs w:val="1"/>
                <w:color w:val="2952A4"/>
              </w:rPr>
              <w:t>3/3</w:t>
            </w:r>
          </w:p>
        </w:tc>
      </w:tr>
      <w:tr>
        <w:trPr>
          <w:trHeight w:val="145"/>
        </w:trPr>
        <w:tc>
          <w:tcPr>
            <w:tcW w:w="3540" w:type="dxa"/>
            <w:vAlign w:val="bottom"/>
            <w:tcBorders>
              <w:bottom w:val="single" w:sz="8" w:color="auto"/>
            </w:tcBorders>
            <w:gridSpan w:val="2"/>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r>
      <w:tr>
        <w:trPr>
          <w:trHeight w:val="332"/>
        </w:trPr>
        <w:tc>
          <w:tcPr>
            <w:tcW w:w="3540" w:type="dxa"/>
            <w:vAlign w:val="bottom"/>
            <w:gridSpan w:val="2"/>
          </w:tcPr>
          <w:p>
            <w:pPr>
              <w:spacing w:after="0"/>
              <w:rPr>
                <w:sz w:val="20"/>
                <w:szCs w:val="20"/>
                <w:color w:val="auto"/>
              </w:rPr>
            </w:pPr>
            <w:r>
              <w:rPr>
                <w:rFonts w:ascii="Arial" w:cs="Arial" w:eastAsia="Arial" w:hAnsi="Arial"/>
                <w:sz w:val="14"/>
                <w:szCs w:val="14"/>
                <w:b w:val="1"/>
                <w:bCs w:val="1"/>
                <w:color w:val="C04C57"/>
              </w:rPr>
              <w:t>Prior Voting Results—2019:</w:t>
            </w:r>
          </w:p>
        </w:tc>
        <w:tc>
          <w:tcPr>
            <w:tcW w:w="1500" w:type="dxa"/>
            <w:vAlign w:val="bottom"/>
          </w:tcPr>
          <w:p>
            <w:pPr>
              <w:spacing w:after="0"/>
              <w:rPr>
                <w:sz w:val="24"/>
                <w:szCs w:val="24"/>
                <w:color w:val="auto"/>
              </w:rPr>
            </w:pPr>
          </w:p>
        </w:tc>
      </w:tr>
      <w:tr>
        <w:trPr>
          <w:trHeight w:val="326"/>
        </w:trPr>
        <w:tc>
          <w:tcPr>
            <w:tcW w:w="1400" w:type="dxa"/>
            <w:vAlign w:val="bottom"/>
          </w:tcPr>
          <w:p>
            <w:pPr>
              <w:spacing w:after="0"/>
              <w:rPr>
                <w:sz w:val="20"/>
                <w:szCs w:val="20"/>
                <w:color w:val="auto"/>
              </w:rPr>
            </w:pPr>
            <w:r>
              <w:rPr>
                <w:rFonts w:ascii="Arial" w:cs="Arial" w:eastAsia="Arial" w:hAnsi="Arial"/>
                <w:sz w:val="15"/>
                <w:szCs w:val="15"/>
                <w:color w:val="231F20"/>
              </w:rPr>
              <w:t>For:</w:t>
            </w:r>
          </w:p>
        </w:tc>
        <w:tc>
          <w:tcPr>
            <w:tcW w:w="2140" w:type="dxa"/>
            <w:vAlign w:val="bottom"/>
          </w:tcPr>
          <w:p>
            <w:pPr>
              <w:jc w:val="right"/>
              <w:ind w:right="1466"/>
              <w:spacing w:after="0"/>
              <w:rPr>
                <w:sz w:val="20"/>
                <w:szCs w:val="20"/>
                <w:color w:val="auto"/>
              </w:rPr>
            </w:pPr>
            <w:r>
              <w:rPr>
                <w:rFonts w:ascii="Arial" w:cs="Arial" w:eastAsia="Arial" w:hAnsi="Arial"/>
                <w:sz w:val="15"/>
                <w:szCs w:val="15"/>
                <w:b w:val="1"/>
                <w:bCs w:val="1"/>
                <w:color w:val="2952A4"/>
              </w:rPr>
              <w:t>70.7%</w:t>
            </w:r>
          </w:p>
        </w:tc>
        <w:tc>
          <w:tcPr>
            <w:tcW w:w="1500" w:type="dxa"/>
            <w:vAlign w:val="bottom"/>
          </w:tcPr>
          <w:p>
            <w:pPr>
              <w:spacing w:after="0"/>
              <w:rPr>
                <w:sz w:val="24"/>
                <w:szCs w:val="24"/>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5"/>
                <w:szCs w:val="15"/>
                <w:color w:val="231F20"/>
              </w:rPr>
              <w:t>Against:</w:t>
            </w:r>
          </w:p>
        </w:tc>
        <w:tc>
          <w:tcPr>
            <w:tcW w:w="2140" w:type="dxa"/>
            <w:vAlign w:val="bottom"/>
          </w:tcPr>
          <w:p>
            <w:pPr>
              <w:jc w:val="right"/>
              <w:ind w:right="1466"/>
              <w:spacing w:after="0"/>
              <w:rPr>
                <w:sz w:val="20"/>
                <w:szCs w:val="20"/>
                <w:color w:val="auto"/>
              </w:rPr>
            </w:pPr>
            <w:r>
              <w:rPr>
                <w:rFonts w:ascii="Arial" w:cs="Arial" w:eastAsia="Arial" w:hAnsi="Arial"/>
                <w:sz w:val="15"/>
                <w:szCs w:val="15"/>
                <w:b w:val="1"/>
                <w:bCs w:val="1"/>
                <w:color w:val="2952A4"/>
              </w:rPr>
              <w:t>29.3%</w:t>
            </w:r>
          </w:p>
        </w:tc>
        <w:tc>
          <w:tcPr>
            <w:tcW w:w="1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680"/>
            <w:col w:w="6700"/>
          </w:cols>
          <w:pgMar w:left="320" w:top="405" w:right="339" w:bottom="1440" w:gutter="0" w:footer="0" w:header="0"/>
          <w:type w:val="continuous"/>
        </w:sectPr>
      </w:pPr>
    </w:p>
    <w:p>
      <w:pPr>
        <w:spacing w:after="0" w:line="107"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C04C57"/>
        </w:rPr>
        <w:t>Regeneron Securities Beneficially Owned as of April 13,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ind w:left="4540"/>
              <w:spacing w:after="0"/>
              <w:rPr>
                <w:sz w:val="20"/>
                <w:szCs w:val="20"/>
                <w:color w:val="auto"/>
              </w:rPr>
            </w:pPr>
            <w:r>
              <w:rPr>
                <w:rFonts w:ascii="Arial" w:cs="Arial" w:eastAsia="Arial" w:hAnsi="Arial"/>
                <w:sz w:val="15"/>
                <w:szCs w:val="15"/>
                <w:color w:val="231F20"/>
              </w:rPr>
              <w:t>Common Stock:</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15,349</w:t>
            </w:r>
          </w:p>
        </w:tc>
      </w:tr>
      <w:tr>
        <w:trPr>
          <w:trHeight w:val="324"/>
        </w:trPr>
        <w:tc>
          <w:tcPr>
            <w:tcW w:w="6060" w:type="dxa"/>
            <w:vAlign w:val="bottom"/>
          </w:tcPr>
          <w:p>
            <w:pPr>
              <w:ind w:left="4540"/>
              <w:spacing w:after="0"/>
              <w:rPr>
                <w:sz w:val="20"/>
                <w:szCs w:val="20"/>
                <w:color w:val="auto"/>
              </w:rPr>
            </w:pPr>
            <w:r>
              <w:rPr>
                <w:rFonts w:ascii="Arial" w:cs="Arial" w:eastAsia="Arial" w:hAnsi="Arial"/>
                <w:sz w:val="15"/>
                <w:szCs w:val="15"/>
                <w:color w:val="231F20"/>
              </w:rPr>
              <w:t>Options:</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28,625</w:t>
            </w:r>
          </w:p>
        </w:tc>
      </w:tr>
      <w:tr>
        <w:trPr>
          <w:trHeight w:val="324"/>
        </w:trPr>
        <w:tc>
          <w:tcPr>
            <w:tcW w:w="6060" w:type="dxa"/>
            <w:vAlign w:val="bottom"/>
          </w:tcPr>
          <w:p>
            <w:pPr>
              <w:ind w:left="4540"/>
              <w:spacing w:after="0"/>
              <w:rPr>
                <w:sz w:val="20"/>
                <w:szCs w:val="20"/>
                <w:color w:val="auto"/>
              </w:rPr>
            </w:pPr>
            <w:r>
              <w:rPr>
                <w:rFonts w:ascii="Arial" w:cs="Arial" w:eastAsia="Arial" w:hAnsi="Arial"/>
                <w:sz w:val="15"/>
                <w:szCs w:val="15"/>
                <w:color w:val="231F20"/>
              </w:rPr>
              <w:t>RSUs:</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750</w:t>
            </w:r>
          </w:p>
        </w:tc>
      </w:tr>
      <w:tr>
        <w:trPr>
          <w:trHeight w:val="407"/>
        </w:trPr>
        <w:tc>
          <w:tcPr>
            <w:tcW w:w="6060" w:type="dxa"/>
            <w:vAlign w:val="bottom"/>
          </w:tcPr>
          <w:p>
            <w:pPr>
              <w:ind w:left="22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5180" w:type="dxa"/>
            <w:vAlign w:val="bottom"/>
          </w:tcPr>
          <w:p>
            <w:pPr>
              <w:jc w:val="right"/>
              <w:ind w:right="146"/>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15</w:t>
            </w:r>
          </w:p>
        </w:tc>
      </w:tr>
      <w:tr>
        <w:trPr>
          <w:trHeight w:val="258"/>
        </w:trPr>
        <w:tc>
          <w:tcPr>
            <w:tcW w:w="6060" w:type="dxa"/>
            <w:vAlign w:val="bottom"/>
            <w:tcBorders>
              <w:bottom w:val="single" w:sz="8" w:color="C0C0C0"/>
            </w:tcBorders>
          </w:tcPr>
          <w:p>
            <w:pPr>
              <w:spacing w:after="0"/>
              <w:rPr>
                <w:sz w:val="22"/>
                <w:szCs w:val="22"/>
                <w:color w:val="auto"/>
              </w:rPr>
            </w:pPr>
          </w:p>
        </w:tc>
        <w:tc>
          <w:tcPr>
            <w:tcW w:w="51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26" w:name="page27"/>
    <w:bookmarkEnd w:id="26"/>
    <w:p>
      <w:pPr>
        <w:ind w:left="158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554990</wp:posOffset>
            </wp:positionV>
            <wp:extent cx="5083175" cy="308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FFFFFF"/>
        </w:rPr>
        <w:t>LEONARD S. SCHLEIFER, M.D., PH.D.</w:t>
      </w:r>
    </w:p>
    <w:p>
      <w:pPr>
        <w:sectPr>
          <w:pgSz w:w="11900" w:h="16838" w:orient="portrait"/>
          <w:cols w:equalWidth="0" w:num="1">
            <w:col w:w="11240"/>
          </w:cols>
          <w:pgMar w:left="320" w:top="40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2952A4"/>
        </w:rPr>
        <w:t xml:space="preserve">Director since: </w:t>
      </w:r>
      <w:r>
        <w:rPr>
          <w:rFonts w:ascii="Arial" w:cs="Arial" w:eastAsia="Arial" w:hAnsi="Arial"/>
          <w:sz w:val="14"/>
          <w:szCs w:val="14"/>
          <w:color w:val="2952A4"/>
        </w:rPr>
        <w:t>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-1556385</wp:posOffset>
            </wp:positionV>
            <wp:extent cx="1080135" cy="10801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49"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68</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660"/>
        <w:spacing w:after="0" w:line="227" w:lineRule="auto"/>
        <w:rPr>
          <w:sz w:val="20"/>
          <w:szCs w:val="20"/>
          <w:color w:val="auto"/>
        </w:rPr>
      </w:pPr>
      <w:r>
        <w:rPr>
          <w:rFonts w:ascii="Arial" w:cs="Arial" w:eastAsia="Arial" w:hAnsi="Arial"/>
          <w:sz w:val="15"/>
          <w:szCs w:val="15"/>
          <w:color w:val="231F20"/>
        </w:rPr>
        <w:t>Dr. Schleifer founded the Company in 1988, has been a director and its President and Chief Executive Officer since its inception, and served as Chairman of the Board from 1990 through 1994. Dr. Schleifer, together with Regeneron's founding scientist, Dr. Yancopoulos, built and has managed the Company over the past 33 years. Dr. Schleifer is a licensed physician and is certified in Neurology by the American Board of Psychiatry and Neurology. With over 30 years of experience as Chief Executive Officer of the Company, Dr. Schleifer brings to the board an incomparable knowledge of the Company, significant leadership experience, and an in-depth understanding of the complex research, drug development, and business issues facing companies in the biopharmaceutical industry.</w:t>
      </w:r>
    </w:p>
    <w:p>
      <w:pPr>
        <w:spacing w:after="0" w:line="149" w:lineRule="exact"/>
        <w:rPr>
          <w:sz w:val="20"/>
          <w:szCs w:val="20"/>
          <w:color w:val="auto"/>
        </w:rPr>
      </w:pPr>
    </w:p>
    <w:p>
      <w:pPr>
        <w:ind w:right="1780"/>
        <w:spacing w:after="0" w:line="233" w:lineRule="auto"/>
        <w:rPr>
          <w:sz w:val="20"/>
          <w:szCs w:val="20"/>
          <w:color w:val="auto"/>
        </w:rPr>
      </w:pPr>
      <w:r>
        <w:rPr>
          <w:rFonts w:ascii="Arial" w:cs="Arial" w:eastAsia="Arial" w:hAnsi="Arial"/>
          <w:sz w:val="15"/>
          <w:szCs w:val="15"/>
          <w:color w:val="231F20"/>
        </w:rPr>
        <w:t>Dr. Schleifer's significant industry and leadership experience, as well as his extensive knowledge of the Company, led the board to conclude that Dr. Schleifer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Membership—2020 Attendance: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60" w:type="dxa"/>
            <w:vAlign w:val="bottom"/>
          </w:tcPr>
          <w:p>
            <w:pPr>
              <w:spacing w:after="0"/>
              <w:rPr>
                <w:sz w:val="20"/>
                <w:szCs w:val="20"/>
                <w:color w:val="auto"/>
              </w:rPr>
            </w:pPr>
            <w:r>
              <w:rPr>
                <w:rFonts w:ascii="Arial" w:cs="Arial" w:eastAsia="Arial" w:hAnsi="Arial"/>
                <w:sz w:val="15"/>
                <w:szCs w:val="15"/>
                <w:color w:val="231F20"/>
              </w:rPr>
              <w:t>Board of Directors:</w:t>
            </w:r>
          </w:p>
        </w:tc>
        <w:tc>
          <w:tcPr>
            <w:tcW w:w="3480" w:type="dxa"/>
            <w:vAlign w:val="bottom"/>
          </w:tcPr>
          <w:p>
            <w:pPr>
              <w:ind w:left="1040"/>
              <w:spacing w:after="0"/>
              <w:rPr>
                <w:sz w:val="20"/>
                <w:szCs w:val="20"/>
                <w:color w:val="auto"/>
              </w:rPr>
            </w:pPr>
            <w:r>
              <w:rPr>
                <w:rFonts w:ascii="Arial" w:cs="Arial" w:eastAsia="Arial" w:hAnsi="Arial"/>
                <w:sz w:val="15"/>
                <w:szCs w:val="15"/>
                <w:b w:val="1"/>
                <w:bCs w:val="1"/>
                <w:color w:val="2952A4"/>
              </w:rPr>
              <w:t>10/11</w:t>
            </w:r>
          </w:p>
        </w:tc>
      </w:tr>
      <w:tr>
        <w:trPr>
          <w:trHeight w:val="324"/>
        </w:trPr>
        <w:tc>
          <w:tcPr>
            <w:tcW w:w="1560" w:type="dxa"/>
            <w:vAlign w:val="bottom"/>
          </w:tcPr>
          <w:p>
            <w:pPr>
              <w:spacing w:after="0"/>
              <w:rPr>
                <w:sz w:val="20"/>
                <w:szCs w:val="20"/>
                <w:color w:val="auto"/>
              </w:rPr>
            </w:pPr>
            <w:r>
              <w:rPr>
                <w:rFonts w:ascii="Arial" w:cs="Arial" w:eastAsia="Arial" w:hAnsi="Arial"/>
                <w:sz w:val="15"/>
                <w:szCs w:val="15"/>
                <w:color w:val="231F20"/>
                <w:w w:val="97"/>
              </w:rPr>
              <w:t>Technology Committee:</w:t>
            </w:r>
          </w:p>
        </w:tc>
        <w:tc>
          <w:tcPr>
            <w:tcW w:w="3480" w:type="dxa"/>
            <w:vAlign w:val="bottom"/>
          </w:tcPr>
          <w:p>
            <w:pPr>
              <w:ind w:left="1040"/>
              <w:spacing w:after="0"/>
              <w:rPr>
                <w:sz w:val="20"/>
                <w:szCs w:val="20"/>
                <w:color w:val="auto"/>
              </w:rPr>
            </w:pPr>
            <w:r>
              <w:rPr>
                <w:rFonts w:ascii="Arial" w:cs="Arial" w:eastAsia="Arial" w:hAnsi="Arial"/>
                <w:sz w:val="15"/>
                <w:szCs w:val="15"/>
                <w:b w:val="1"/>
                <w:bCs w:val="1"/>
                <w:color w:val="2952A4"/>
              </w:rPr>
              <w:t>3/3</w:t>
            </w:r>
          </w:p>
        </w:tc>
      </w:tr>
      <w:tr>
        <w:trPr>
          <w:trHeight w:val="145"/>
        </w:trPr>
        <w:tc>
          <w:tcPr>
            <w:tcW w:w="5040" w:type="dxa"/>
            <w:vAlign w:val="bottom"/>
            <w:tcBorders>
              <w:bottom w:val="single" w:sz="8" w:color="auto"/>
            </w:tcBorders>
            <w:gridSpan w:val="2"/>
          </w:tcPr>
          <w:p>
            <w:pPr>
              <w:spacing w:after="0"/>
              <w:rPr>
                <w:sz w:val="12"/>
                <w:szCs w:val="12"/>
                <w:color w:val="auto"/>
              </w:rPr>
            </w:pPr>
          </w:p>
        </w:tc>
      </w:tr>
      <w:tr>
        <w:trPr>
          <w:trHeight w:val="333"/>
        </w:trPr>
        <w:tc>
          <w:tcPr>
            <w:tcW w:w="5040" w:type="dxa"/>
            <w:vAlign w:val="bottom"/>
            <w:gridSpan w:val="2"/>
          </w:tcPr>
          <w:p>
            <w:pPr>
              <w:spacing w:after="0"/>
              <w:rPr>
                <w:sz w:val="20"/>
                <w:szCs w:val="20"/>
                <w:color w:val="auto"/>
              </w:rPr>
            </w:pPr>
            <w:r>
              <w:rPr>
                <w:rFonts w:ascii="Arial" w:cs="Arial" w:eastAsia="Arial" w:hAnsi="Arial"/>
                <w:sz w:val="14"/>
                <w:szCs w:val="14"/>
                <w:b w:val="1"/>
                <w:bCs w:val="1"/>
                <w:color w:val="C04C57"/>
              </w:rPr>
              <w:t>Prior Voting Results—2019:</w:t>
            </w:r>
          </w:p>
        </w:tc>
      </w:tr>
      <w:tr>
        <w:trPr>
          <w:trHeight w:val="326"/>
        </w:trPr>
        <w:tc>
          <w:tcPr>
            <w:tcW w:w="1560" w:type="dxa"/>
            <w:vAlign w:val="bottom"/>
          </w:tcPr>
          <w:p>
            <w:pPr>
              <w:spacing w:after="0"/>
              <w:rPr>
                <w:sz w:val="20"/>
                <w:szCs w:val="20"/>
                <w:color w:val="auto"/>
              </w:rPr>
            </w:pPr>
            <w:r>
              <w:rPr>
                <w:rFonts w:ascii="Arial" w:cs="Arial" w:eastAsia="Arial" w:hAnsi="Arial"/>
                <w:sz w:val="15"/>
                <w:szCs w:val="15"/>
                <w:color w:val="231F20"/>
              </w:rPr>
              <w:t>For:</w:t>
            </w:r>
          </w:p>
        </w:tc>
        <w:tc>
          <w:tcPr>
            <w:tcW w:w="3480" w:type="dxa"/>
            <w:vAlign w:val="bottom"/>
          </w:tcPr>
          <w:p>
            <w:pPr>
              <w:jc w:val="right"/>
              <w:ind w:right="2966"/>
              <w:spacing w:after="0"/>
              <w:rPr>
                <w:sz w:val="20"/>
                <w:szCs w:val="20"/>
                <w:color w:val="auto"/>
              </w:rPr>
            </w:pPr>
            <w:r>
              <w:rPr>
                <w:rFonts w:ascii="Arial" w:cs="Arial" w:eastAsia="Arial" w:hAnsi="Arial"/>
                <w:sz w:val="15"/>
                <w:szCs w:val="15"/>
                <w:b w:val="1"/>
                <w:bCs w:val="1"/>
                <w:color w:val="2952A4"/>
                <w:w w:val="98"/>
              </w:rPr>
              <w:t>83.8%</w:t>
            </w:r>
          </w:p>
        </w:tc>
      </w:tr>
      <w:tr>
        <w:trPr>
          <w:trHeight w:val="324"/>
        </w:trPr>
        <w:tc>
          <w:tcPr>
            <w:tcW w:w="1560" w:type="dxa"/>
            <w:vAlign w:val="bottom"/>
          </w:tcPr>
          <w:p>
            <w:pPr>
              <w:spacing w:after="0"/>
              <w:rPr>
                <w:sz w:val="20"/>
                <w:szCs w:val="20"/>
                <w:color w:val="auto"/>
              </w:rPr>
            </w:pPr>
            <w:r>
              <w:rPr>
                <w:rFonts w:ascii="Arial" w:cs="Arial" w:eastAsia="Arial" w:hAnsi="Arial"/>
                <w:sz w:val="15"/>
                <w:szCs w:val="15"/>
                <w:color w:val="231F20"/>
              </w:rPr>
              <w:t>Against:</w:t>
            </w:r>
          </w:p>
        </w:tc>
        <w:tc>
          <w:tcPr>
            <w:tcW w:w="3480" w:type="dxa"/>
            <w:vAlign w:val="bottom"/>
          </w:tcPr>
          <w:p>
            <w:pPr>
              <w:jc w:val="right"/>
              <w:ind w:right="2966"/>
              <w:spacing w:after="0"/>
              <w:rPr>
                <w:sz w:val="20"/>
                <w:szCs w:val="20"/>
                <w:color w:val="auto"/>
              </w:rPr>
            </w:pPr>
            <w:r>
              <w:rPr>
                <w:rFonts w:ascii="Arial" w:cs="Arial" w:eastAsia="Arial" w:hAnsi="Arial"/>
                <w:sz w:val="15"/>
                <w:szCs w:val="15"/>
                <w:b w:val="1"/>
                <w:bCs w:val="1"/>
                <w:color w:val="2952A4"/>
                <w:w w:val="98"/>
              </w:rPr>
              <w:t>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700"/>
          </w:cols>
          <w:pgMar w:left="320" w:top="405" w:right="339" w:bottom="1440" w:gutter="0" w:footer="0" w:header="0"/>
          <w:type w:val="continuous"/>
        </w:sectPr>
      </w:pP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8380" w:type="dxa"/>
            <w:vAlign w:val="bottom"/>
            <w:gridSpan w:val="2"/>
          </w:tcPr>
          <w:p>
            <w:pPr>
              <w:ind w:left="1680"/>
              <w:spacing w:after="0"/>
              <w:rPr>
                <w:sz w:val="20"/>
                <w:szCs w:val="20"/>
                <w:color w:val="auto"/>
              </w:rPr>
            </w:pPr>
            <w:r>
              <w:rPr>
                <w:rFonts w:ascii="Arial" w:cs="Arial" w:eastAsia="Arial" w:hAnsi="Arial"/>
                <w:sz w:val="14"/>
                <w:szCs w:val="14"/>
                <w:b w:val="1"/>
                <w:bCs w:val="1"/>
                <w:color w:val="C04C57"/>
              </w:rPr>
              <w:t>Regeneron Securities Beneficially Owned as of April 13, 2021:</w:t>
            </w:r>
          </w:p>
        </w:tc>
      </w:tr>
      <w:tr>
        <w:trPr>
          <w:trHeight w:val="326"/>
        </w:trPr>
        <w:tc>
          <w:tcPr>
            <w:tcW w:w="2860" w:type="dxa"/>
            <w:vAlign w:val="bottom"/>
          </w:tcPr>
          <w:p>
            <w:pPr>
              <w:spacing w:after="0"/>
              <w:rPr>
                <w:sz w:val="24"/>
                <w:szCs w:val="24"/>
                <w:color w:val="auto"/>
              </w:rPr>
            </w:pPr>
          </w:p>
        </w:tc>
        <w:tc>
          <w:tcPr>
            <w:tcW w:w="3000" w:type="dxa"/>
            <w:vAlign w:val="bottom"/>
          </w:tcPr>
          <w:p>
            <w:pPr>
              <w:ind w:left="1680"/>
              <w:spacing w:after="0"/>
              <w:rPr>
                <w:sz w:val="20"/>
                <w:szCs w:val="20"/>
                <w:color w:val="auto"/>
              </w:rPr>
            </w:pPr>
            <w:r>
              <w:rPr>
                <w:rFonts w:ascii="Arial" w:cs="Arial" w:eastAsia="Arial" w:hAnsi="Arial"/>
                <w:sz w:val="15"/>
                <w:szCs w:val="15"/>
                <w:color w:val="231F20"/>
              </w:rPr>
              <w:t>Class A Stock:</w:t>
            </w:r>
          </w:p>
        </w:tc>
        <w:tc>
          <w:tcPr>
            <w:tcW w:w="5380" w:type="dxa"/>
            <w:vAlign w:val="bottom"/>
          </w:tcPr>
          <w:p>
            <w:pPr>
              <w:ind w:left="260"/>
              <w:spacing w:after="0"/>
              <w:rPr>
                <w:sz w:val="20"/>
                <w:szCs w:val="20"/>
                <w:color w:val="auto"/>
              </w:rPr>
            </w:pPr>
            <w:r>
              <w:rPr>
                <w:rFonts w:ascii="Arial" w:cs="Arial" w:eastAsia="Arial" w:hAnsi="Arial"/>
                <w:sz w:val="15"/>
                <w:szCs w:val="15"/>
                <w:b w:val="1"/>
                <w:bCs w:val="1"/>
                <w:color w:val="2952A4"/>
              </w:rPr>
              <w:t>1,726,565</w:t>
            </w:r>
          </w:p>
        </w:tc>
      </w:tr>
      <w:tr>
        <w:trPr>
          <w:trHeight w:val="324"/>
        </w:trPr>
        <w:tc>
          <w:tcPr>
            <w:tcW w:w="2860" w:type="dxa"/>
            <w:vAlign w:val="bottom"/>
          </w:tcPr>
          <w:p>
            <w:pPr>
              <w:spacing w:after="0"/>
              <w:rPr>
                <w:sz w:val="24"/>
                <w:szCs w:val="24"/>
                <w:color w:val="auto"/>
              </w:rPr>
            </w:pPr>
          </w:p>
        </w:tc>
        <w:tc>
          <w:tcPr>
            <w:tcW w:w="3000" w:type="dxa"/>
            <w:vAlign w:val="bottom"/>
          </w:tcPr>
          <w:p>
            <w:pPr>
              <w:ind w:left="1680"/>
              <w:spacing w:after="0"/>
              <w:rPr>
                <w:sz w:val="20"/>
                <w:szCs w:val="20"/>
                <w:color w:val="auto"/>
              </w:rPr>
            </w:pPr>
            <w:r>
              <w:rPr>
                <w:rFonts w:ascii="Arial" w:cs="Arial" w:eastAsia="Arial" w:hAnsi="Arial"/>
                <w:sz w:val="15"/>
                <w:szCs w:val="15"/>
                <w:color w:val="231F20"/>
              </w:rPr>
              <w:t>Common Stock:</w:t>
            </w:r>
          </w:p>
        </w:tc>
        <w:tc>
          <w:tcPr>
            <w:tcW w:w="5380" w:type="dxa"/>
            <w:vAlign w:val="bottom"/>
          </w:tcPr>
          <w:p>
            <w:pPr>
              <w:ind w:left="260"/>
              <w:spacing w:after="0"/>
              <w:rPr>
                <w:sz w:val="20"/>
                <w:szCs w:val="20"/>
                <w:color w:val="auto"/>
              </w:rPr>
            </w:pPr>
            <w:r>
              <w:rPr>
                <w:rFonts w:ascii="Arial" w:cs="Arial" w:eastAsia="Arial" w:hAnsi="Arial"/>
                <w:sz w:val="15"/>
                <w:szCs w:val="15"/>
                <w:b w:val="1"/>
                <w:bCs w:val="1"/>
                <w:color w:val="2952A4"/>
              </w:rPr>
              <w:t>580,347</w:t>
            </w:r>
          </w:p>
        </w:tc>
      </w:tr>
      <w:tr>
        <w:trPr>
          <w:trHeight w:val="324"/>
        </w:trPr>
        <w:tc>
          <w:tcPr>
            <w:tcW w:w="2860" w:type="dxa"/>
            <w:vAlign w:val="bottom"/>
          </w:tcPr>
          <w:p>
            <w:pPr>
              <w:spacing w:after="0"/>
              <w:rPr>
                <w:sz w:val="24"/>
                <w:szCs w:val="24"/>
                <w:color w:val="auto"/>
              </w:rPr>
            </w:pPr>
          </w:p>
        </w:tc>
        <w:tc>
          <w:tcPr>
            <w:tcW w:w="3000" w:type="dxa"/>
            <w:vAlign w:val="bottom"/>
          </w:tcPr>
          <w:p>
            <w:pPr>
              <w:ind w:left="1680"/>
              <w:spacing w:after="0"/>
              <w:rPr>
                <w:sz w:val="20"/>
                <w:szCs w:val="20"/>
                <w:color w:val="auto"/>
              </w:rPr>
            </w:pPr>
            <w:r>
              <w:rPr>
                <w:rFonts w:ascii="Arial" w:cs="Arial" w:eastAsia="Arial" w:hAnsi="Arial"/>
                <w:sz w:val="15"/>
                <w:szCs w:val="15"/>
                <w:color w:val="231F20"/>
              </w:rPr>
              <w:t>Options:</w:t>
            </w:r>
          </w:p>
        </w:tc>
        <w:tc>
          <w:tcPr>
            <w:tcW w:w="5380" w:type="dxa"/>
            <w:vAlign w:val="bottom"/>
          </w:tcPr>
          <w:p>
            <w:pPr>
              <w:ind w:left="260"/>
              <w:spacing w:after="0"/>
              <w:rPr>
                <w:sz w:val="20"/>
                <w:szCs w:val="20"/>
                <w:color w:val="auto"/>
              </w:rPr>
            </w:pPr>
            <w:r>
              <w:rPr>
                <w:rFonts w:ascii="Arial" w:cs="Arial" w:eastAsia="Arial" w:hAnsi="Arial"/>
                <w:sz w:val="15"/>
                <w:szCs w:val="15"/>
                <w:b w:val="1"/>
                <w:bCs w:val="1"/>
                <w:color w:val="2952A4"/>
              </w:rPr>
              <w:t>1,632,488</w:t>
            </w:r>
          </w:p>
        </w:tc>
      </w:tr>
      <w:tr>
        <w:trPr>
          <w:trHeight w:val="569"/>
        </w:trPr>
        <w:tc>
          <w:tcPr>
            <w:tcW w:w="2860" w:type="dxa"/>
            <w:vAlign w:val="bottom"/>
          </w:tcPr>
          <w:p>
            <w:pPr>
              <w:jc w:val="right"/>
              <w:ind w:right="1608"/>
              <w:spacing w:after="0"/>
              <w:rPr>
                <w:sz w:val="20"/>
                <w:szCs w:val="20"/>
                <w:color w:val="auto"/>
              </w:rPr>
            </w:pPr>
            <w:r>
              <w:rPr>
                <w:rFonts w:ascii="Arial" w:cs="Arial" w:eastAsia="Arial" w:hAnsi="Arial"/>
                <w:sz w:val="14"/>
                <w:szCs w:val="14"/>
                <w:b w:val="1"/>
                <w:bCs w:val="1"/>
                <w:color w:val="00A5EC"/>
              </w:rPr>
              <w:t xml:space="preserve">16  </w:t>
            </w:r>
            <w:r>
              <w:rPr>
                <w:rFonts w:ascii="Arial" w:cs="Arial" w:eastAsia="Arial" w:hAnsi="Arial"/>
                <w:sz w:val="14"/>
                <w:szCs w:val="14"/>
                <w:color w:val="00A5EC"/>
              </w:rPr>
              <w:t>/</w:t>
            </w:r>
          </w:p>
        </w:tc>
        <w:tc>
          <w:tcPr>
            <w:tcW w:w="8380" w:type="dxa"/>
            <w:vAlign w:val="bottom"/>
            <w:gridSpan w:val="2"/>
          </w:tcPr>
          <w:p>
            <w:pPr>
              <w:ind w:left="184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r>
      <w:tr>
        <w:trPr>
          <w:trHeight w:val="258"/>
        </w:trPr>
        <w:tc>
          <w:tcPr>
            <w:tcW w:w="2860" w:type="dxa"/>
            <w:vAlign w:val="bottom"/>
            <w:tcBorders>
              <w:bottom w:val="single" w:sz="8" w:color="C0C0C0"/>
            </w:tcBorders>
          </w:tcPr>
          <w:p>
            <w:pPr>
              <w:spacing w:after="0"/>
              <w:rPr>
                <w:sz w:val="22"/>
                <w:szCs w:val="22"/>
                <w:color w:val="auto"/>
              </w:rPr>
            </w:pPr>
          </w:p>
        </w:tc>
        <w:tc>
          <w:tcPr>
            <w:tcW w:w="3000" w:type="dxa"/>
            <w:vAlign w:val="bottom"/>
            <w:tcBorders>
              <w:bottom w:val="single" w:sz="8" w:color="C0C0C0"/>
            </w:tcBorders>
          </w:tcPr>
          <w:p>
            <w:pPr>
              <w:spacing w:after="0"/>
              <w:rPr>
                <w:sz w:val="22"/>
                <w:szCs w:val="22"/>
                <w:color w:val="auto"/>
              </w:rPr>
            </w:pPr>
          </w:p>
        </w:tc>
        <w:tc>
          <w:tcPr>
            <w:tcW w:w="53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27" w:name="page28"/>
    <w:bookmarkEnd w:id="27"/>
    <w:p>
      <w:pPr>
        <w:jc w:val="right"/>
        <w:ind w:right="130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554990</wp:posOffset>
            </wp:positionV>
            <wp:extent cx="5083175" cy="308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FFFFFF"/>
        </w:rPr>
        <w:t>GEORGE D. YANCOPOULOS, M.D., PH.D.</w:t>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-1572260</wp:posOffset>
            </wp:positionV>
            <wp:extent cx="1080135" cy="10883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80135" cy="1088390"/>
                    </a:xfrm>
                    <a:prstGeom prst="rect">
                      <a:avLst/>
                    </a:prstGeom>
                    <a:noFill/>
                  </pic:spPr>
                </pic:pic>
              </a:graphicData>
            </a:graphic>
          </wp:anchor>
        </w:drawing>
      </w:r>
    </w:p>
    <w:p>
      <w:pPr>
        <w:spacing w:after="0" w:line="37"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61</w:t>
      </w:r>
    </w:p>
    <w:p>
      <w:pPr>
        <w:spacing w:after="0" w:line="287"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2952A4"/>
        </w:rPr>
        <w:t>Scientific Society Memberships:</w:t>
      </w:r>
    </w:p>
    <w:p>
      <w:pPr>
        <w:spacing w:after="0" w:line="114" w:lineRule="exact"/>
        <w:rPr>
          <w:sz w:val="20"/>
          <w:szCs w:val="20"/>
          <w:color w:val="auto"/>
        </w:rPr>
      </w:pPr>
    </w:p>
    <w:p>
      <w:pPr>
        <w:ind w:left="1740" w:right="440" w:hanging="166"/>
        <w:spacing w:after="0" w:line="236" w:lineRule="auto"/>
        <w:tabs>
          <w:tab w:leader="none" w:pos="1740" w:val="left"/>
        </w:tabs>
        <w:numPr>
          <w:ilvl w:val="0"/>
          <w:numId w:val="23"/>
        </w:numPr>
        <w:rPr>
          <w:rFonts w:ascii="Arial" w:cs="Arial" w:eastAsia="Arial" w:hAnsi="Arial"/>
          <w:sz w:val="15"/>
          <w:szCs w:val="15"/>
          <w:color w:val="2952A4"/>
        </w:rPr>
      </w:pPr>
      <w:r>
        <w:rPr>
          <w:rFonts w:ascii="Arial" w:cs="Arial" w:eastAsia="Arial" w:hAnsi="Arial"/>
          <w:sz w:val="15"/>
          <w:szCs w:val="15"/>
          <w:color w:val="231F20"/>
        </w:rPr>
        <w:t>The National Academy of Sciences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700"/>
        <w:spacing w:after="0" w:line="231" w:lineRule="auto"/>
        <w:rPr>
          <w:sz w:val="20"/>
          <w:szCs w:val="20"/>
          <w:color w:val="auto"/>
        </w:rPr>
      </w:pPr>
      <w:r>
        <w:rPr>
          <w:rFonts w:ascii="Arial" w:cs="Arial" w:eastAsia="Arial" w:hAnsi="Arial"/>
          <w:sz w:val="15"/>
          <w:szCs w:val="15"/>
          <w:color w:val="231F20"/>
        </w:rPr>
        <w:t>Dr. Yancopoulos joined Dr. Schleifer in 1989 as founding scientist of the Company, and together they built and have managed the Company since then. Dr. Yancopoulos is currently President and Chief Scientific Officer, and has served on the board since 2001.</w:t>
      </w:r>
    </w:p>
    <w:p>
      <w:pPr>
        <w:spacing w:after="0" w:line="146" w:lineRule="exact"/>
        <w:rPr>
          <w:sz w:val="20"/>
          <w:szCs w:val="20"/>
          <w:color w:val="auto"/>
        </w:rPr>
      </w:pPr>
    </w:p>
    <w:p>
      <w:pPr>
        <w:ind w:right="1740"/>
        <w:spacing w:after="0"/>
        <w:rPr>
          <w:sz w:val="20"/>
          <w:szCs w:val="20"/>
          <w:color w:val="auto"/>
        </w:rPr>
      </w:pPr>
      <w:r>
        <w:rPr>
          <w:rFonts w:ascii="Arial" w:cs="Arial" w:eastAsia="Arial" w:hAnsi="Arial"/>
          <w:sz w:val="14"/>
          <w:szCs w:val="14"/>
          <w:color w:val="231F20"/>
        </w:rPr>
        <w:t>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and/or developer of the nine FDA-approved drugs the Company</w:t>
      </w:r>
    </w:p>
    <w:p>
      <w:pPr>
        <w:spacing w:after="0" w:line="1" w:lineRule="exact"/>
        <w:rPr>
          <w:sz w:val="20"/>
          <w:szCs w:val="20"/>
          <w:color w:val="auto"/>
        </w:rPr>
      </w:pPr>
    </w:p>
    <w:p>
      <w:pPr>
        <w:ind w:right="1960"/>
        <w:spacing w:after="0" w:line="187" w:lineRule="auto"/>
        <w:rPr>
          <w:sz w:val="20"/>
          <w:szCs w:val="20"/>
          <w:color w:val="auto"/>
        </w:rPr>
      </w:pPr>
      <w:r>
        <w:rPr>
          <w:rFonts w:ascii="Arial" w:cs="Arial" w:eastAsia="Arial" w:hAnsi="Arial"/>
          <w:sz w:val="13"/>
          <w:szCs w:val="13"/>
          <w:color w:val="231F20"/>
        </w:rPr>
        <w:t>has developed, EYLEA</w:t>
      </w:r>
      <w:r>
        <w:rPr>
          <w:rFonts w:ascii="Arial" w:cs="Arial" w:eastAsia="Arial" w:hAnsi="Arial"/>
          <w:sz w:val="21"/>
          <w:szCs w:val="21"/>
          <w:color w:val="231F20"/>
          <w:vertAlign w:val="superscript"/>
        </w:rPr>
        <w:t>®</w:t>
      </w:r>
      <w:r>
        <w:rPr>
          <w:rFonts w:ascii="Arial" w:cs="Arial" w:eastAsia="Arial" w:hAnsi="Arial"/>
          <w:sz w:val="13"/>
          <w:szCs w:val="13"/>
          <w:color w:val="231F20"/>
        </w:rPr>
        <w:t xml:space="preserve"> (aflibercept) Injection, Praluent</w:t>
      </w:r>
      <w:r>
        <w:rPr>
          <w:rFonts w:ascii="Arial" w:cs="Arial" w:eastAsia="Arial" w:hAnsi="Arial"/>
          <w:sz w:val="21"/>
          <w:szCs w:val="21"/>
          <w:color w:val="231F20"/>
          <w:vertAlign w:val="superscript"/>
        </w:rPr>
        <w:t>®</w:t>
      </w:r>
      <w:r>
        <w:rPr>
          <w:rFonts w:ascii="Arial" w:cs="Arial" w:eastAsia="Arial" w:hAnsi="Arial"/>
          <w:sz w:val="13"/>
          <w:szCs w:val="13"/>
          <w:color w:val="231F20"/>
        </w:rPr>
        <w:t xml:space="preserve"> (alirocumab), Dupixent</w:t>
      </w:r>
      <w:r>
        <w:rPr>
          <w:rFonts w:ascii="Arial" w:cs="Arial" w:eastAsia="Arial" w:hAnsi="Arial"/>
          <w:sz w:val="21"/>
          <w:szCs w:val="21"/>
          <w:color w:val="231F20"/>
          <w:vertAlign w:val="superscript"/>
        </w:rPr>
        <w:t>®</w:t>
      </w:r>
      <w:r>
        <w:rPr>
          <w:rFonts w:ascii="Arial" w:cs="Arial" w:eastAsia="Arial" w:hAnsi="Arial"/>
          <w:sz w:val="13"/>
          <w:szCs w:val="13"/>
          <w:color w:val="231F20"/>
        </w:rPr>
        <w:t xml:space="preserve"> (dupilumab), Kevzara</w:t>
      </w:r>
      <w:r>
        <w:rPr>
          <w:rFonts w:ascii="Arial" w:cs="Arial" w:eastAsia="Arial" w:hAnsi="Arial"/>
          <w:sz w:val="21"/>
          <w:szCs w:val="21"/>
          <w:color w:val="231F20"/>
          <w:vertAlign w:val="superscript"/>
        </w:rPr>
        <w:t>®</w:t>
      </w:r>
      <w:r>
        <w:rPr>
          <w:rFonts w:ascii="Arial" w:cs="Arial" w:eastAsia="Arial" w:hAnsi="Arial"/>
          <w:sz w:val="13"/>
          <w:szCs w:val="13"/>
          <w:color w:val="231F20"/>
        </w:rPr>
        <w:t xml:space="preserve"> (sarilumab), Libtayo</w:t>
      </w:r>
      <w:r>
        <w:rPr>
          <w:rFonts w:ascii="Arial" w:cs="Arial" w:eastAsia="Arial" w:hAnsi="Arial"/>
          <w:sz w:val="21"/>
          <w:szCs w:val="21"/>
          <w:color w:val="231F20"/>
          <w:vertAlign w:val="superscript"/>
        </w:rPr>
        <w:t>®</w:t>
      </w:r>
      <w:r>
        <w:rPr>
          <w:rFonts w:ascii="Arial" w:cs="Arial" w:eastAsia="Arial" w:hAnsi="Arial"/>
          <w:sz w:val="13"/>
          <w:szCs w:val="13"/>
          <w:color w:val="231F20"/>
        </w:rPr>
        <w:t xml:space="preserve"> (cemiplimab), EvkeezaTM (evinacumab-dgnb), Inmazeb</w:t>
      </w:r>
      <w:r>
        <w:rPr>
          <w:rFonts w:ascii="Arial" w:cs="Arial" w:eastAsia="Arial" w:hAnsi="Arial"/>
          <w:sz w:val="21"/>
          <w:szCs w:val="21"/>
          <w:color w:val="231F20"/>
          <w:vertAlign w:val="superscript"/>
        </w:rPr>
        <w:t>®</w:t>
      </w:r>
      <w:r>
        <w:rPr>
          <w:rFonts w:ascii="Arial" w:cs="Arial" w:eastAsia="Arial" w:hAnsi="Arial"/>
          <w:sz w:val="13"/>
          <w:szCs w:val="13"/>
          <w:color w:val="231F20"/>
        </w:rPr>
        <w:t xml:space="preserve"> (atoltivimab, maftivimab and odesivimab-ebgn), ZALTRAP</w:t>
      </w:r>
      <w:r>
        <w:rPr>
          <w:rFonts w:ascii="Arial" w:cs="Arial" w:eastAsia="Arial" w:hAnsi="Arial"/>
          <w:sz w:val="21"/>
          <w:szCs w:val="21"/>
          <w:color w:val="231F20"/>
          <w:vertAlign w:val="superscript"/>
        </w:rPr>
        <w:t>®</w:t>
      </w:r>
      <w:r>
        <w:rPr>
          <w:rFonts w:ascii="Arial" w:cs="Arial" w:eastAsia="Arial" w:hAnsi="Arial"/>
          <w:sz w:val="13"/>
          <w:szCs w:val="13"/>
          <w:color w:val="231F20"/>
        </w:rPr>
        <w:t xml:space="preserve"> (ziv-aflibercept) Injection for Intravenous</w:t>
      </w:r>
    </w:p>
    <w:p>
      <w:pPr>
        <w:spacing w:after="0" w:line="3" w:lineRule="exact"/>
        <w:rPr>
          <w:sz w:val="20"/>
          <w:szCs w:val="20"/>
          <w:color w:val="auto"/>
        </w:rPr>
      </w:pPr>
    </w:p>
    <w:p>
      <w:pPr>
        <w:ind w:right="1820"/>
        <w:spacing w:after="0" w:line="187" w:lineRule="auto"/>
        <w:rPr>
          <w:sz w:val="20"/>
          <w:szCs w:val="20"/>
          <w:color w:val="auto"/>
        </w:rPr>
      </w:pPr>
      <w:r>
        <w:rPr>
          <w:rFonts w:ascii="Arial" w:cs="Arial" w:eastAsia="Arial" w:hAnsi="Arial"/>
          <w:sz w:val="15"/>
          <w:szCs w:val="15"/>
          <w:color w:val="231F20"/>
        </w:rPr>
        <w:t>Infusion, and ARCALYST</w:t>
      </w:r>
      <w:r>
        <w:rPr>
          <w:rFonts w:ascii="Arial" w:cs="Arial" w:eastAsia="Arial" w:hAnsi="Arial"/>
          <w:sz w:val="24"/>
          <w:szCs w:val="24"/>
          <w:color w:val="231F20"/>
          <w:vertAlign w:val="superscript"/>
        </w:rPr>
        <w:t>®</w:t>
      </w:r>
      <w:r>
        <w:rPr>
          <w:rFonts w:ascii="Arial" w:cs="Arial" w:eastAsia="Arial" w:hAnsi="Arial"/>
          <w:sz w:val="15"/>
          <w:szCs w:val="15"/>
          <w:color w:val="231F20"/>
        </w:rPr>
        <w:t xml:space="preserve"> (rilonacept) Injection for Subcutaneous Use, as well as of its foundation technologies, including the TRAP technology,</w:t>
      </w:r>
    </w:p>
    <w:p>
      <w:pPr>
        <w:spacing w:after="0" w:line="2" w:lineRule="exact"/>
        <w:rPr>
          <w:sz w:val="20"/>
          <w:szCs w:val="20"/>
          <w:color w:val="auto"/>
        </w:rPr>
      </w:pPr>
    </w:p>
    <w:p>
      <w:pPr>
        <w:ind w:right="1860"/>
        <w:spacing w:after="0" w:line="217" w:lineRule="auto"/>
        <w:rPr>
          <w:sz w:val="20"/>
          <w:szCs w:val="20"/>
          <w:color w:val="auto"/>
        </w:rPr>
      </w:pPr>
      <w:r>
        <w:rPr>
          <w:rFonts w:ascii="Arial" w:cs="Arial" w:eastAsia="Arial" w:hAnsi="Arial"/>
          <w:sz w:val="15"/>
          <w:szCs w:val="15"/>
          <w:i w:val="1"/>
          <w:iCs w:val="1"/>
          <w:color w:val="231F20"/>
        </w:rPr>
        <w:t>VelociGene</w:t>
      </w:r>
      <w:r>
        <w:rPr>
          <w:rFonts w:ascii="Arial" w:cs="Arial" w:eastAsia="Arial" w:hAnsi="Arial"/>
          <w:sz w:val="24"/>
          <w:szCs w:val="24"/>
          <w:color w:val="231F20"/>
          <w:vertAlign w:val="superscript"/>
        </w:rPr>
        <w:t>®</w:t>
      </w:r>
      <w:r>
        <w:rPr>
          <w:rFonts w:ascii="Arial" w:cs="Arial" w:eastAsia="Arial" w:hAnsi="Arial"/>
          <w:sz w:val="15"/>
          <w:szCs w:val="15"/>
          <w:color w:val="231F20"/>
        </w:rPr>
        <w:t>, and</w:t>
      </w:r>
      <w:r>
        <w:rPr>
          <w:rFonts w:ascii="Arial" w:cs="Arial" w:eastAsia="Arial" w:hAnsi="Arial"/>
          <w:sz w:val="15"/>
          <w:szCs w:val="15"/>
          <w:i w:val="1"/>
          <w:iCs w:val="1"/>
          <w:color w:val="231F20"/>
        </w:rPr>
        <w:t xml:space="preserve"> VelocImmune</w:t>
      </w:r>
      <w:r>
        <w:rPr>
          <w:rFonts w:ascii="Arial" w:cs="Arial" w:eastAsia="Arial" w:hAnsi="Arial"/>
          <w:sz w:val="24"/>
          <w:szCs w:val="24"/>
          <w:color w:val="231F20"/>
          <w:vertAlign w:val="superscript"/>
        </w:rPr>
        <w:t>®</w:t>
      </w:r>
      <w:r>
        <w:rPr>
          <w:rFonts w:ascii="Arial" w:cs="Arial" w:eastAsia="Arial" w:hAnsi="Arial"/>
          <w:sz w:val="15"/>
          <w:szCs w:val="15"/>
          <w:color w:val="231F20"/>
        </w:rPr>
        <w:t>. As one of the few members of the</w:t>
      </w:r>
      <w:r>
        <w:rPr>
          <w:rFonts w:ascii="Arial" w:cs="Arial" w:eastAsia="Arial" w:hAnsi="Arial"/>
          <w:sz w:val="15"/>
          <w:szCs w:val="15"/>
          <w:i w:val="1"/>
          <w:iCs w:val="1"/>
          <w:color w:val="231F20"/>
        </w:rPr>
        <w:t xml:space="preserve"> </w:t>
      </w:r>
      <w:r>
        <w:rPr>
          <w:rFonts w:ascii="Arial" w:cs="Arial" w:eastAsia="Arial" w:hAnsi="Arial"/>
          <w:sz w:val="15"/>
          <w:szCs w:val="15"/>
          <w:color w:val="231F20"/>
        </w:rPr>
        <w:t>National Academy of Sciences from industry and as an author of a substantial number of scientific publications, Dr. Yancopoulos has a distinguished record of scientific expertise. Dr. Yancopoulos also brings to the board his experience in building and managing the Company, his in-depth knowledge of the Company's technologies and research and development programs, and his proven track-record for envisioning successful long-term strategic directions and opportunities.</w:t>
      </w:r>
    </w:p>
    <w:p>
      <w:pPr>
        <w:spacing w:after="0" w:line="148" w:lineRule="exact"/>
        <w:rPr>
          <w:sz w:val="20"/>
          <w:szCs w:val="20"/>
          <w:color w:val="auto"/>
        </w:rPr>
      </w:pPr>
    </w:p>
    <w:p>
      <w:pPr>
        <w:ind w:right="1740"/>
        <w:spacing w:after="0" w:line="233" w:lineRule="auto"/>
        <w:rPr>
          <w:sz w:val="20"/>
          <w:szCs w:val="20"/>
          <w:color w:val="auto"/>
        </w:rPr>
      </w:pPr>
      <w:r>
        <w:rPr>
          <w:rFonts w:ascii="Arial" w:cs="Arial" w:eastAsia="Arial" w:hAnsi="Arial"/>
          <w:sz w:val="15"/>
          <w:szCs w:val="15"/>
          <w:color w:val="231F20"/>
        </w:rPr>
        <w:t>Dr. Yancopoulos's significant industry and scientific experience, as well as his extensive knowledge of the Company, led the board to conclude that Dr. Yancopoulos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Membership—2020 Attendance: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60" w:type="dxa"/>
            <w:vAlign w:val="bottom"/>
          </w:tcPr>
          <w:p>
            <w:pPr>
              <w:spacing w:after="0"/>
              <w:rPr>
                <w:sz w:val="20"/>
                <w:szCs w:val="20"/>
                <w:color w:val="auto"/>
              </w:rPr>
            </w:pPr>
            <w:r>
              <w:rPr>
                <w:rFonts w:ascii="Arial" w:cs="Arial" w:eastAsia="Arial" w:hAnsi="Arial"/>
                <w:sz w:val="15"/>
                <w:szCs w:val="15"/>
                <w:color w:val="231F20"/>
              </w:rPr>
              <w:t>Board of Directors:</w:t>
            </w:r>
          </w:p>
        </w:tc>
        <w:tc>
          <w:tcPr>
            <w:tcW w:w="3480" w:type="dxa"/>
            <w:vAlign w:val="bottom"/>
          </w:tcPr>
          <w:p>
            <w:pPr>
              <w:ind w:left="1040"/>
              <w:spacing w:after="0"/>
              <w:rPr>
                <w:sz w:val="20"/>
                <w:szCs w:val="20"/>
                <w:color w:val="auto"/>
              </w:rPr>
            </w:pPr>
            <w:r>
              <w:rPr>
                <w:rFonts w:ascii="Arial" w:cs="Arial" w:eastAsia="Arial" w:hAnsi="Arial"/>
                <w:sz w:val="15"/>
                <w:szCs w:val="15"/>
                <w:b w:val="1"/>
                <w:bCs w:val="1"/>
                <w:color w:val="2952A4"/>
              </w:rPr>
              <w:t>9/11</w:t>
            </w:r>
          </w:p>
        </w:tc>
      </w:tr>
      <w:tr>
        <w:trPr>
          <w:trHeight w:val="324"/>
        </w:trPr>
        <w:tc>
          <w:tcPr>
            <w:tcW w:w="1560" w:type="dxa"/>
            <w:vAlign w:val="bottom"/>
          </w:tcPr>
          <w:p>
            <w:pPr>
              <w:spacing w:after="0"/>
              <w:rPr>
                <w:sz w:val="20"/>
                <w:szCs w:val="20"/>
                <w:color w:val="auto"/>
              </w:rPr>
            </w:pPr>
            <w:r>
              <w:rPr>
                <w:rFonts w:ascii="Arial" w:cs="Arial" w:eastAsia="Arial" w:hAnsi="Arial"/>
                <w:sz w:val="15"/>
                <w:szCs w:val="15"/>
                <w:color w:val="231F20"/>
                <w:w w:val="97"/>
              </w:rPr>
              <w:t>Technology Committee:</w:t>
            </w:r>
          </w:p>
        </w:tc>
        <w:tc>
          <w:tcPr>
            <w:tcW w:w="3480" w:type="dxa"/>
            <w:vAlign w:val="bottom"/>
          </w:tcPr>
          <w:p>
            <w:pPr>
              <w:ind w:left="1040"/>
              <w:spacing w:after="0"/>
              <w:rPr>
                <w:sz w:val="20"/>
                <w:szCs w:val="20"/>
                <w:color w:val="auto"/>
              </w:rPr>
            </w:pPr>
            <w:r>
              <w:rPr>
                <w:rFonts w:ascii="Arial" w:cs="Arial" w:eastAsia="Arial" w:hAnsi="Arial"/>
                <w:sz w:val="15"/>
                <w:szCs w:val="15"/>
                <w:b w:val="1"/>
                <w:bCs w:val="1"/>
                <w:color w:val="2952A4"/>
              </w:rPr>
              <w:t>3/3</w:t>
            </w:r>
          </w:p>
        </w:tc>
      </w:tr>
      <w:tr>
        <w:trPr>
          <w:trHeight w:val="145"/>
        </w:trPr>
        <w:tc>
          <w:tcPr>
            <w:tcW w:w="5040" w:type="dxa"/>
            <w:vAlign w:val="bottom"/>
            <w:tcBorders>
              <w:bottom w:val="single" w:sz="8" w:color="auto"/>
            </w:tcBorders>
            <w:gridSpan w:val="2"/>
          </w:tcPr>
          <w:p>
            <w:pPr>
              <w:spacing w:after="0"/>
              <w:rPr>
                <w:sz w:val="12"/>
                <w:szCs w:val="12"/>
                <w:color w:val="auto"/>
              </w:rPr>
            </w:pPr>
          </w:p>
        </w:tc>
      </w:tr>
      <w:tr>
        <w:trPr>
          <w:trHeight w:val="333"/>
        </w:trPr>
        <w:tc>
          <w:tcPr>
            <w:tcW w:w="5040" w:type="dxa"/>
            <w:vAlign w:val="bottom"/>
            <w:gridSpan w:val="2"/>
          </w:tcPr>
          <w:p>
            <w:pPr>
              <w:spacing w:after="0"/>
              <w:rPr>
                <w:sz w:val="20"/>
                <w:szCs w:val="20"/>
                <w:color w:val="auto"/>
              </w:rPr>
            </w:pPr>
            <w:r>
              <w:rPr>
                <w:rFonts w:ascii="Arial" w:cs="Arial" w:eastAsia="Arial" w:hAnsi="Arial"/>
                <w:sz w:val="14"/>
                <w:szCs w:val="14"/>
                <w:b w:val="1"/>
                <w:bCs w:val="1"/>
                <w:color w:val="C04C57"/>
              </w:rPr>
              <w:t>Prior Voting Results—2019:</w:t>
            </w:r>
          </w:p>
        </w:tc>
      </w:tr>
      <w:tr>
        <w:trPr>
          <w:trHeight w:val="326"/>
        </w:trPr>
        <w:tc>
          <w:tcPr>
            <w:tcW w:w="1560" w:type="dxa"/>
            <w:vAlign w:val="bottom"/>
          </w:tcPr>
          <w:p>
            <w:pPr>
              <w:spacing w:after="0"/>
              <w:rPr>
                <w:sz w:val="20"/>
                <w:szCs w:val="20"/>
                <w:color w:val="auto"/>
              </w:rPr>
            </w:pPr>
            <w:r>
              <w:rPr>
                <w:rFonts w:ascii="Arial" w:cs="Arial" w:eastAsia="Arial" w:hAnsi="Arial"/>
                <w:sz w:val="15"/>
                <w:szCs w:val="15"/>
                <w:color w:val="231F20"/>
              </w:rPr>
              <w:t>For:</w:t>
            </w:r>
          </w:p>
        </w:tc>
        <w:tc>
          <w:tcPr>
            <w:tcW w:w="3480" w:type="dxa"/>
            <w:vAlign w:val="bottom"/>
          </w:tcPr>
          <w:p>
            <w:pPr>
              <w:jc w:val="right"/>
              <w:ind w:right="2966"/>
              <w:spacing w:after="0"/>
              <w:rPr>
                <w:sz w:val="20"/>
                <w:szCs w:val="20"/>
                <w:color w:val="auto"/>
              </w:rPr>
            </w:pPr>
            <w:r>
              <w:rPr>
                <w:rFonts w:ascii="Arial" w:cs="Arial" w:eastAsia="Arial" w:hAnsi="Arial"/>
                <w:sz w:val="15"/>
                <w:szCs w:val="15"/>
                <w:b w:val="1"/>
                <w:bCs w:val="1"/>
                <w:color w:val="2952A4"/>
                <w:w w:val="98"/>
              </w:rPr>
              <w:t>83.7%</w:t>
            </w:r>
          </w:p>
        </w:tc>
      </w:tr>
      <w:tr>
        <w:trPr>
          <w:trHeight w:val="324"/>
        </w:trPr>
        <w:tc>
          <w:tcPr>
            <w:tcW w:w="1560" w:type="dxa"/>
            <w:vAlign w:val="bottom"/>
          </w:tcPr>
          <w:p>
            <w:pPr>
              <w:spacing w:after="0"/>
              <w:rPr>
                <w:sz w:val="20"/>
                <w:szCs w:val="20"/>
                <w:color w:val="auto"/>
              </w:rPr>
            </w:pPr>
            <w:r>
              <w:rPr>
                <w:rFonts w:ascii="Arial" w:cs="Arial" w:eastAsia="Arial" w:hAnsi="Arial"/>
                <w:sz w:val="15"/>
                <w:szCs w:val="15"/>
                <w:color w:val="231F20"/>
              </w:rPr>
              <w:t>Against:</w:t>
            </w:r>
          </w:p>
        </w:tc>
        <w:tc>
          <w:tcPr>
            <w:tcW w:w="3480" w:type="dxa"/>
            <w:vAlign w:val="bottom"/>
          </w:tcPr>
          <w:p>
            <w:pPr>
              <w:jc w:val="right"/>
              <w:ind w:right="2966"/>
              <w:spacing w:after="0"/>
              <w:rPr>
                <w:sz w:val="20"/>
                <w:szCs w:val="20"/>
                <w:color w:val="auto"/>
              </w:rPr>
            </w:pPr>
            <w:r>
              <w:rPr>
                <w:rFonts w:ascii="Arial" w:cs="Arial" w:eastAsia="Arial" w:hAnsi="Arial"/>
                <w:sz w:val="15"/>
                <w:szCs w:val="15"/>
                <w:b w:val="1"/>
                <w:bCs w:val="1"/>
                <w:color w:val="2952A4"/>
                <w:w w:val="98"/>
              </w:rPr>
              <w:t>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680"/>
            <w:col w:w="6700"/>
          </w:cols>
          <w:pgMar w:left="320" w:top="405" w:right="339" w:bottom="1440" w:gutter="0" w:footer="0" w:header="0"/>
          <w:type w:val="continuous"/>
        </w:sectPr>
      </w:pPr>
    </w:p>
    <w:p>
      <w:pPr>
        <w:spacing w:after="0" w:line="107"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C04C57"/>
        </w:rPr>
        <w:t>Regeneron Securities Beneficially Owned as of April 13,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ind w:left="4540"/>
              <w:spacing w:after="0"/>
              <w:rPr>
                <w:sz w:val="20"/>
                <w:szCs w:val="20"/>
                <w:color w:val="auto"/>
              </w:rPr>
            </w:pPr>
            <w:r>
              <w:rPr>
                <w:rFonts w:ascii="Arial" w:cs="Arial" w:eastAsia="Arial" w:hAnsi="Arial"/>
                <w:sz w:val="15"/>
                <w:szCs w:val="15"/>
                <w:color w:val="231F20"/>
              </w:rPr>
              <w:t>Class A Stock:</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42,750</w:t>
            </w:r>
          </w:p>
        </w:tc>
      </w:tr>
      <w:tr>
        <w:trPr>
          <w:trHeight w:val="324"/>
        </w:trPr>
        <w:tc>
          <w:tcPr>
            <w:tcW w:w="6060" w:type="dxa"/>
            <w:vAlign w:val="bottom"/>
          </w:tcPr>
          <w:p>
            <w:pPr>
              <w:ind w:left="4540"/>
              <w:spacing w:after="0"/>
              <w:rPr>
                <w:sz w:val="20"/>
                <w:szCs w:val="20"/>
                <w:color w:val="auto"/>
              </w:rPr>
            </w:pPr>
            <w:r>
              <w:rPr>
                <w:rFonts w:ascii="Arial" w:cs="Arial" w:eastAsia="Arial" w:hAnsi="Arial"/>
                <w:sz w:val="15"/>
                <w:szCs w:val="15"/>
                <w:color w:val="231F20"/>
              </w:rPr>
              <w:t>Common Stock:</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1,286,997</w:t>
            </w:r>
          </w:p>
        </w:tc>
      </w:tr>
      <w:tr>
        <w:trPr>
          <w:trHeight w:val="324"/>
        </w:trPr>
        <w:tc>
          <w:tcPr>
            <w:tcW w:w="6060" w:type="dxa"/>
            <w:vAlign w:val="bottom"/>
          </w:tcPr>
          <w:p>
            <w:pPr>
              <w:ind w:left="4540"/>
              <w:spacing w:after="0"/>
              <w:rPr>
                <w:sz w:val="20"/>
                <w:szCs w:val="20"/>
                <w:color w:val="auto"/>
              </w:rPr>
            </w:pPr>
            <w:r>
              <w:rPr>
                <w:rFonts w:ascii="Arial" w:cs="Arial" w:eastAsia="Arial" w:hAnsi="Arial"/>
                <w:sz w:val="15"/>
                <w:szCs w:val="15"/>
                <w:color w:val="231F20"/>
              </w:rPr>
              <w:t>Options:</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1,098,053</w:t>
            </w:r>
          </w:p>
        </w:tc>
      </w:tr>
      <w:tr>
        <w:trPr>
          <w:trHeight w:val="407"/>
        </w:trPr>
        <w:tc>
          <w:tcPr>
            <w:tcW w:w="6060" w:type="dxa"/>
            <w:vAlign w:val="bottom"/>
          </w:tcPr>
          <w:p>
            <w:pPr>
              <w:ind w:left="22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5180" w:type="dxa"/>
            <w:vAlign w:val="bottom"/>
          </w:tcPr>
          <w:p>
            <w:pPr>
              <w:jc w:val="right"/>
              <w:ind w:right="146"/>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17</w:t>
            </w:r>
          </w:p>
        </w:tc>
      </w:tr>
      <w:tr>
        <w:trPr>
          <w:trHeight w:val="258"/>
        </w:trPr>
        <w:tc>
          <w:tcPr>
            <w:tcW w:w="6060" w:type="dxa"/>
            <w:vAlign w:val="bottom"/>
            <w:tcBorders>
              <w:bottom w:val="single" w:sz="8" w:color="C0C0C0"/>
            </w:tcBorders>
          </w:tcPr>
          <w:p>
            <w:pPr>
              <w:spacing w:after="0"/>
              <w:rPr>
                <w:sz w:val="22"/>
                <w:szCs w:val="22"/>
                <w:color w:val="auto"/>
              </w:rPr>
            </w:pPr>
          </w:p>
        </w:tc>
        <w:tc>
          <w:tcPr>
            <w:tcW w:w="51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28" w:name="page29"/>
    <w:bookmarkEnd w:id="28"/>
    <w:p>
      <w:pPr>
        <w:ind w:left="158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1580" w:right="3020"/>
        <w:spacing w:after="0" w:line="296" w:lineRule="auto"/>
        <w:rPr>
          <w:sz w:val="20"/>
          <w:szCs w:val="20"/>
          <w:color w:val="auto"/>
        </w:rPr>
      </w:pPr>
      <w:r>
        <w:rPr>
          <w:rFonts w:ascii="Arial" w:cs="Arial" w:eastAsia="Arial" w:hAnsi="Arial"/>
          <w:sz w:val="28"/>
          <w:szCs w:val="28"/>
          <w:b w:val="1"/>
          <w:bCs w:val="1"/>
          <w:color w:val="C04C57"/>
        </w:rPr>
        <w:t>CLASS II DIRECTORS CONTINUING IN OFFICE TERM EXPIRES AT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52705</wp:posOffset>
            </wp:positionV>
            <wp:extent cx="5083175" cy="308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pacing w:after="0" w:line="127"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FFFFFF"/>
        </w:rPr>
        <w:t>JOSEPH L. GOLDSTEIN, M.D.</w:t>
      </w:r>
    </w:p>
    <w:p>
      <w:pPr>
        <w:sectPr>
          <w:pgSz w:w="11900" w:h="16838" w:orient="portrait"/>
          <w:cols w:equalWidth="0" w:num="1">
            <w:col w:w="11240"/>
          </w:cols>
          <w:pgMar w:left="320" w:top="40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-1564005</wp:posOffset>
            </wp:positionV>
            <wp:extent cx="1080135" cy="10801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37"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80</w:t>
      </w:r>
    </w:p>
    <w:p>
      <w:pPr>
        <w:spacing w:after="0" w:line="7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Independent</w:t>
      </w:r>
    </w:p>
    <w:p>
      <w:pPr>
        <w:spacing w:after="0" w:line="206"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2952A4"/>
        </w:rPr>
        <w:t>Scientific Society Memberships:</w:t>
      </w:r>
    </w:p>
    <w:p>
      <w:pPr>
        <w:spacing w:after="0" w:line="114" w:lineRule="exact"/>
        <w:rPr>
          <w:sz w:val="20"/>
          <w:szCs w:val="20"/>
          <w:color w:val="auto"/>
        </w:rPr>
      </w:pPr>
    </w:p>
    <w:p>
      <w:pPr>
        <w:ind w:left="1740" w:right="440" w:hanging="166"/>
        <w:spacing w:after="0" w:line="236" w:lineRule="auto"/>
        <w:tabs>
          <w:tab w:leader="none" w:pos="1740" w:val="left"/>
        </w:tabs>
        <w:numPr>
          <w:ilvl w:val="0"/>
          <w:numId w:val="24"/>
        </w:numPr>
        <w:rPr>
          <w:rFonts w:ascii="Arial" w:cs="Arial" w:eastAsia="Arial" w:hAnsi="Arial"/>
          <w:sz w:val="15"/>
          <w:szCs w:val="15"/>
          <w:color w:val="2952A4"/>
        </w:rPr>
      </w:pPr>
      <w:r>
        <w:rPr>
          <w:rFonts w:ascii="Arial" w:cs="Arial" w:eastAsia="Arial" w:hAnsi="Arial"/>
          <w:sz w:val="15"/>
          <w:szCs w:val="15"/>
          <w:color w:val="231F20"/>
        </w:rPr>
        <w:t>The National Academy of Sciences</w:t>
      </w:r>
    </w:p>
    <w:p>
      <w:pPr>
        <w:spacing w:after="0" w:line="52" w:lineRule="exact"/>
        <w:rPr>
          <w:rFonts w:ascii="Arial" w:cs="Arial" w:eastAsia="Arial" w:hAnsi="Arial"/>
          <w:sz w:val="15"/>
          <w:szCs w:val="15"/>
          <w:color w:val="2952A4"/>
        </w:rPr>
      </w:pPr>
    </w:p>
    <w:p>
      <w:pPr>
        <w:ind w:left="1740" w:right="440" w:hanging="166"/>
        <w:spacing w:after="0" w:line="236" w:lineRule="auto"/>
        <w:tabs>
          <w:tab w:leader="none" w:pos="1740" w:val="left"/>
        </w:tabs>
        <w:numPr>
          <w:ilvl w:val="0"/>
          <w:numId w:val="24"/>
        </w:numPr>
        <w:rPr>
          <w:rFonts w:ascii="Arial" w:cs="Arial" w:eastAsia="Arial" w:hAnsi="Arial"/>
          <w:sz w:val="15"/>
          <w:szCs w:val="15"/>
          <w:color w:val="2952A4"/>
        </w:rPr>
      </w:pPr>
      <w:r>
        <w:rPr>
          <w:rFonts w:ascii="Arial" w:cs="Arial" w:eastAsia="Arial" w:hAnsi="Arial"/>
          <w:sz w:val="15"/>
          <w:szCs w:val="15"/>
          <w:color w:val="auto"/>
        </w:rPr>
        <w:t>The National Academy of Medicine</w:t>
      </w:r>
    </w:p>
    <w:p>
      <w:pPr>
        <w:spacing w:after="0" w:line="52" w:lineRule="exact"/>
        <w:rPr>
          <w:rFonts w:ascii="Arial" w:cs="Arial" w:eastAsia="Arial" w:hAnsi="Arial"/>
          <w:sz w:val="15"/>
          <w:szCs w:val="15"/>
          <w:color w:val="2952A4"/>
        </w:rPr>
      </w:pPr>
    </w:p>
    <w:p>
      <w:pPr>
        <w:ind w:left="1740" w:hanging="166"/>
        <w:spacing w:after="0"/>
        <w:tabs>
          <w:tab w:leader="none" w:pos="1740" w:val="left"/>
        </w:tabs>
        <w:numPr>
          <w:ilvl w:val="0"/>
          <w:numId w:val="24"/>
        </w:numPr>
        <w:rPr>
          <w:rFonts w:ascii="Arial" w:cs="Arial" w:eastAsia="Arial" w:hAnsi="Arial"/>
          <w:sz w:val="15"/>
          <w:szCs w:val="15"/>
          <w:color w:val="2952A4"/>
        </w:rPr>
      </w:pPr>
      <w:r>
        <w:rPr>
          <w:rFonts w:ascii="Arial" w:cs="Arial" w:eastAsia="Arial" w:hAnsi="Arial"/>
          <w:sz w:val="15"/>
          <w:szCs w:val="15"/>
          <w:color w:val="auto"/>
        </w:rPr>
        <w:t>The Royal Society of London</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720"/>
        <w:spacing w:after="0" w:line="227" w:lineRule="auto"/>
        <w:rPr>
          <w:sz w:val="20"/>
          <w:szCs w:val="20"/>
          <w:color w:val="auto"/>
        </w:rPr>
      </w:pPr>
      <w:r>
        <w:rPr>
          <w:rFonts w:ascii="Arial" w:cs="Arial" w:eastAsia="Arial" w:hAnsi="Arial"/>
          <w:sz w:val="15"/>
          <w:szCs w:val="15"/>
          <w:color w:val="231F20"/>
        </w:rPr>
        <w:t>Dr. Goldstein has been a Professor of Molecular Genetics and Internal Medicine and the Chairman of the Department of Molecular Genetics at The University of Texas Southwestern Medical Center at Dallas since 1977. Dr. Goldstein is a member of the National Academy of Sciences, the National Academy of Medicine, and the Royal Society of London. He also serves on the Boards of Trustees of The Rockefeller University and the Howard Hughes Medical Institute. Drs. Goldstein and Brown jointly received the Nobel Prize for Physiology or Medicine in 1985 and the U.S. National Medal of Science in 1988.</w:t>
      </w:r>
    </w:p>
    <w:p>
      <w:pPr>
        <w:spacing w:after="0" w:line="152" w:lineRule="exact"/>
        <w:rPr>
          <w:sz w:val="20"/>
          <w:szCs w:val="20"/>
          <w:color w:val="auto"/>
        </w:rPr>
      </w:pPr>
    </w:p>
    <w:p>
      <w:pPr>
        <w:ind w:right="1720"/>
        <w:spacing w:after="0" w:line="229" w:lineRule="auto"/>
        <w:rPr>
          <w:sz w:val="20"/>
          <w:szCs w:val="20"/>
          <w:color w:val="auto"/>
        </w:rPr>
      </w:pPr>
      <w:r>
        <w:rPr>
          <w:rFonts w:ascii="Arial" w:cs="Arial" w:eastAsia="Arial" w:hAnsi="Arial"/>
          <w:sz w:val="15"/>
          <w:szCs w:val="15"/>
          <w:color w:val="231F20"/>
        </w:rPr>
        <w:t>Dr. Goldstein's extensive research experience, his distinguished scientific and academic credentials, including his receipt of the Nobel Prize for Physiology or Medicine in 1985, and his substantial understanding of the Company gained through his service as a director since 1991, led the board to conclude that Dr. Goldstein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3197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Membership—2020 Attendance: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60" w:type="dxa"/>
            <w:vAlign w:val="bottom"/>
          </w:tcPr>
          <w:p>
            <w:pPr>
              <w:spacing w:after="0"/>
              <w:rPr>
                <w:sz w:val="20"/>
                <w:szCs w:val="20"/>
                <w:color w:val="auto"/>
              </w:rPr>
            </w:pPr>
            <w:r>
              <w:rPr>
                <w:rFonts w:ascii="Arial" w:cs="Arial" w:eastAsia="Arial" w:hAnsi="Arial"/>
                <w:sz w:val="15"/>
                <w:szCs w:val="15"/>
                <w:color w:val="231F20"/>
              </w:rPr>
              <w:t>Board of Directors:</w:t>
            </w:r>
          </w:p>
        </w:tc>
        <w:tc>
          <w:tcPr>
            <w:tcW w:w="3480" w:type="dxa"/>
            <w:vAlign w:val="bottom"/>
          </w:tcPr>
          <w:p>
            <w:pPr>
              <w:ind w:left="2080"/>
              <w:spacing w:after="0"/>
              <w:rPr>
                <w:sz w:val="20"/>
                <w:szCs w:val="20"/>
                <w:color w:val="auto"/>
              </w:rPr>
            </w:pPr>
            <w:r>
              <w:rPr>
                <w:rFonts w:ascii="Arial" w:cs="Arial" w:eastAsia="Arial" w:hAnsi="Arial"/>
                <w:sz w:val="15"/>
                <w:szCs w:val="15"/>
                <w:b w:val="1"/>
                <w:bCs w:val="1"/>
                <w:color w:val="2952A4"/>
              </w:rPr>
              <w:t>11/11</w:t>
            </w:r>
          </w:p>
        </w:tc>
      </w:tr>
      <w:tr>
        <w:trPr>
          <w:trHeight w:val="324"/>
        </w:trPr>
        <w:tc>
          <w:tcPr>
            <w:tcW w:w="5040" w:type="dxa"/>
            <w:vAlign w:val="bottom"/>
            <w:gridSpan w:val="2"/>
          </w:tcPr>
          <w:p>
            <w:pPr>
              <w:spacing w:after="0"/>
              <w:rPr>
                <w:sz w:val="20"/>
                <w:szCs w:val="20"/>
                <w:color w:val="auto"/>
              </w:rPr>
            </w:pPr>
            <w:r>
              <w:rPr>
                <w:rFonts w:ascii="Arial" w:cs="Arial" w:eastAsia="Arial" w:hAnsi="Arial"/>
                <w:sz w:val="15"/>
                <w:szCs w:val="15"/>
                <w:color w:val="231F20"/>
              </w:rPr>
              <w:t xml:space="preserve">Corporate Governance and Compliance Committee:   </w:t>
            </w:r>
            <w:r>
              <w:rPr>
                <w:rFonts w:ascii="Arial" w:cs="Arial" w:eastAsia="Arial" w:hAnsi="Arial"/>
                <w:sz w:val="15"/>
                <w:szCs w:val="15"/>
                <w:b w:val="1"/>
                <w:bCs w:val="1"/>
                <w:color w:val="2952A4"/>
              </w:rPr>
              <w:t>5/5</w:t>
            </w:r>
          </w:p>
        </w:tc>
      </w:tr>
      <w:tr>
        <w:trPr>
          <w:trHeight w:val="324"/>
        </w:trPr>
        <w:tc>
          <w:tcPr>
            <w:tcW w:w="1560" w:type="dxa"/>
            <w:vAlign w:val="bottom"/>
          </w:tcPr>
          <w:p>
            <w:pPr>
              <w:spacing w:after="0"/>
              <w:rPr>
                <w:sz w:val="20"/>
                <w:szCs w:val="20"/>
                <w:color w:val="auto"/>
              </w:rPr>
            </w:pPr>
            <w:r>
              <w:rPr>
                <w:rFonts w:ascii="Arial" w:cs="Arial" w:eastAsia="Arial" w:hAnsi="Arial"/>
                <w:sz w:val="15"/>
                <w:szCs w:val="15"/>
                <w:color w:val="auto"/>
                <w:w w:val="97"/>
              </w:rPr>
              <w:t>Technology Committee:</w:t>
            </w:r>
          </w:p>
        </w:tc>
        <w:tc>
          <w:tcPr>
            <w:tcW w:w="3480" w:type="dxa"/>
            <w:vAlign w:val="bottom"/>
          </w:tcPr>
          <w:p>
            <w:pPr>
              <w:ind w:left="2080"/>
              <w:spacing w:after="0"/>
              <w:rPr>
                <w:sz w:val="20"/>
                <w:szCs w:val="20"/>
                <w:color w:val="auto"/>
              </w:rPr>
            </w:pPr>
            <w:r>
              <w:rPr>
                <w:rFonts w:ascii="Arial" w:cs="Arial" w:eastAsia="Arial" w:hAnsi="Arial"/>
                <w:sz w:val="15"/>
                <w:szCs w:val="15"/>
                <w:b w:val="1"/>
                <w:bCs w:val="1"/>
                <w:color w:val="2952A4"/>
              </w:rPr>
              <w:t>3/3</w:t>
            </w:r>
          </w:p>
        </w:tc>
      </w:tr>
      <w:tr>
        <w:trPr>
          <w:trHeight w:val="145"/>
        </w:trPr>
        <w:tc>
          <w:tcPr>
            <w:tcW w:w="5040" w:type="dxa"/>
            <w:vAlign w:val="bottom"/>
            <w:tcBorders>
              <w:bottom w:val="single" w:sz="8" w:color="auto"/>
            </w:tcBorders>
            <w:gridSpan w:val="2"/>
          </w:tcPr>
          <w:p>
            <w:pPr>
              <w:spacing w:after="0"/>
              <w:rPr>
                <w:sz w:val="12"/>
                <w:szCs w:val="12"/>
                <w:color w:val="auto"/>
              </w:rPr>
            </w:pPr>
          </w:p>
        </w:tc>
      </w:tr>
      <w:tr>
        <w:trPr>
          <w:trHeight w:val="333"/>
        </w:trPr>
        <w:tc>
          <w:tcPr>
            <w:tcW w:w="5040" w:type="dxa"/>
            <w:vAlign w:val="bottom"/>
            <w:gridSpan w:val="2"/>
          </w:tcPr>
          <w:p>
            <w:pPr>
              <w:spacing w:after="0"/>
              <w:rPr>
                <w:sz w:val="20"/>
                <w:szCs w:val="20"/>
                <w:color w:val="auto"/>
              </w:rPr>
            </w:pPr>
            <w:r>
              <w:rPr>
                <w:rFonts w:ascii="Arial" w:cs="Arial" w:eastAsia="Arial" w:hAnsi="Arial"/>
                <w:sz w:val="14"/>
                <w:szCs w:val="14"/>
                <w:b w:val="1"/>
                <w:bCs w:val="1"/>
                <w:color w:val="C04C57"/>
              </w:rPr>
              <w:t>Prior Voting Results—2020:</w:t>
            </w:r>
          </w:p>
        </w:tc>
      </w:tr>
      <w:tr>
        <w:trPr>
          <w:trHeight w:val="326"/>
        </w:trPr>
        <w:tc>
          <w:tcPr>
            <w:tcW w:w="1560" w:type="dxa"/>
            <w:vAlign w:val="bottom"/>
          </w:tcPr>
          <w:p>
            <w:pPr>
              <w:spacing w:after="0"/>
              <w:rPr>
                <w:sz w:val="20"/>
                <w:szCs w:val="20"/>
                <w:color w:val="auto"/>
              </w:rPr>
            </w:pPr>
            <w:r>
              <w:rPr>
                <w:rFonts w:ascii="Arial" w:cs="Arial" w:eastAsia="Arial" w:hAnsi="Arial"/>
                <w:sz w:val="15"/>
                <w:szCs w:val="15"/>
                <w:color w:val="231F20"/>
              </w:rPr>
              <w:t>For:</w:t>
            </w:r>
          </w:p>
        </w:tc>
        <w:tc>
          <w:tcPr>
            <w:tcW w:w="3480" w:type="dxa"/>
            <w:vAlign w:val="bottom"/>
          </w:tcPr>
          <w:p>
            <w:pPr>
              <w:ind w:left="20"/>
              <w:spacing w:after="0"/>
              <w:rPr>
                <w:sz w:val="20"/>
                <w:szCs w:val="20"/>
                <w:color w:val="auto"/>
              </w:rPr>
            </w:pPr>
            <w:r>
              <w:rPr>
                <w:rFonts w:ascii="Arial" w:cs="Arial" w:eastAsia="Arial" w:hAnsi="Arial"/>
                <w:sz w:val="15"/>
                <w:szCs w:val="15"/>
                <w:b w:val="1"/>
                <w:bCs w:val="1"/>
                <w:color w:val="2952A4"/>
              </w:rPr>
              <w:t>95.1%</w:t>
            </w:r>
          </w:p>
        </w:tc>
      </w:tr>
      <w:tr>
        <w:trPr>
          <w:trHeight w:val="324"/>
        </w:trPr>
        <w:tc>
          <w:tcPr>
            <w:tcW w:w="1560" w:type="dxa"/>
            <w:vAlign w:val="bottom"/>
          </w:tcPr>
          <w:p>
            <w:pPr>
              <w:spacing w:after="0"/>
              <w:rPr>
                <w:sz w:val="20"/>
                <w:szCs w:val="20"/>
                <w:color w:val="auto"/>
              </w:rPr>
            </w:pPr>
            <w:r>
              <w:rPr>
                <w:rFonts w:ascii="Arial" w:cs="Arial" w:eastAsia="Arial" w:hAnsi="Arial"/>
                <w:sz w:val="15"/>
                <w:szCs w:val="15"/>
                <w:color w:val="231F20"/>
              </w:rPr>
              <w:t>Against:</w:t>
            </w:r>
          </w:p>
        </w:tc>
        <w:tc>
          <w:tcPr>
            <w:tcW w:w="3480" w:type="dxa"/>
            <w:vAlign w:val="bottom"/>
          </w:tcPr>
          <w:p>
            <w:pPr>
              <w:ind w:left="20"/>
              <w:spacing w:after="0"/>
              <w:rPr>
                <w:sz w:val="20"/>
                <w:szCs w:val="20"/>
                <w:color w:val="auto"/>
              </w:rPr>
            </w:pPr>
            <w:r>
              <w:rPr>
                <w:rFonts w:ascii="Arial" w:cs="Arial" w:eastAsia="Arial" w:hAnsi="Arial"/>
                <w:sz w:val="15"/>
                <w:szCs w:val="15"/>
                <w:b w:val="1"/>
                <w:bCs w:val="1"/>
                <w:color w:val="2952A4"/>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680"/>
            <w:col w:w="6700"/>
          </w:cols>
          <w:pgMar w:left="320" w:top="405" w:right="339" w:bottom="1440" w:gutter="0" w:footer="0" w:header="0"/>
          <w:type w:val="continuous"/>
        </w:sectPr>
      </w:pP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8380" w:type="dxa"/>
            <w:vAlign w:val="bottom"/>
            <w:gridSpan w:val="2"/>
          </w:tcPr>
          <w:p>
            <w:pPr>
              <w:ind w:left="1680"/>
              <w:spacing w:after="0"/>
              <w:rPr>
                <w:sz w:val="20"/>
                <w:szCs w:val="20"/>
                <w:color w:val="auto"/>
              </w:rPr>
            </w:pPr>
            <w:r>
              <w:rPr>
                <w:rFonts w:ascii="Arial" w:cs="Arial" w:eastAsia="Arial" w:hAnsi="Arial"/>
                <w:sz w:val="14"/>
                <w:szCs w:val="14"/>
                <w:b w:val="1"/>
                <w:bCs w:val="1"/>
                <w:color w:val="C04C57"/>
              </w:rPr>
              <w:t>Regeneron Securities Beneficially Owned as of April 13, 2021:</w:t>
            </w:r>
          </w:p>
        </w:tc>
      </w:tr>
      <w:tr>
        <w:trPr>
          <w:trHeight w:val="326"/>
        </w:trPr>
        <w:tc>
          <w:tcPr>
            <w:tcW w:w="2860" w:type="dxa"/>
            <w:vAlign w:val="bottom"/>
          </w:tcPr>
          <w:p>
            <w:pPr>
              <w:spacing w:after="0"/>
              <w:rPr>
                <w:sz w:val="24"/>
                <w:szCs w:val="24"/>
                <w:color w:val="auto"/>
              </w:rPr>
            </w:pPr>
          </w:p>
        </w:tc>
        <w:tc>
          <w:tcPr>
            <w:tcW w:w="3000" w:type="dxa"/>
            <w:vAlign w:val="bottom"/>
          </w:tcPr>
          <w:p>
            <w:pPr>
              <w:ind w:left="1680"/>
              <w:spacing w:after="0"/>
              <w:rPr>
                <w:sz w:val="20"/>
                <w:szCs w:val="20"/>
                <w:color w:val="auto"/>
              </w:rPr>
            </w:pPr>
            <w:r>
              <w:rPr>
                <w:rFonts w:ascii="Arial" w:cs="Arial" w:eastAsia="Arial" w:hAnsi="Arial"/>
                <w:sz w:val="15"/>
                <w:szCs w:val="15"/>
                <w:color w:val="231F20"/>
              </w:rPr>
              <w:t>Common Stock:</w:t>
            </w:r>
          </w:p>
        </w:tc>
        <w:tc>
          <w:tcPr>
            <w:tcW w:w="5380" w:type="dxa"/>
            <w:vAlign w:val="bottom"/>
          </w:tcPr>
          <w:p>
            <w:pPr>
              <w:ind w:left="260"/>
              <w:spacing w:after="0"/>
              <w:rPr>
                <w:sz w:val="20"/>
                <w:szCs w:val="20"/>
                <w:color w:val="auto"/>
              </w:rPr>
            </w:pPr>
            <w:r>
              <w:rPr>
                <w:rFonts w:ascii="Arial" w:cs="Arial" w:eastAsia="Arial" w:hAnsi="Arial"/>
                <w:sz w:val="15"/>
                <w:szCs w:val="15"/>
                <w:b w:val="1"/>
                <w:bCs w:val="1"/>
                <w:color w:val="2952A4"/>
              </w:rPr>
              <w:t>5,000</w:t>
            </w:r>
          </w:p>
        </w:tc>
      </w:tr>
      <w:tr>
        <w:trPr>
          <w:trHeight w:val="324"/>
        </w:trPr>
        <w:tc>
          <w:tcPr>
            <w:tcW w:w="2860" w:type="dxa"/>
            <w:vAlign w:val="bottom"/>
          </w:tcPr>
          <w:p>
            <w:pPr>
              <w:spacing w:after="0"/>
              <w:rPr>
                <w:sz w:val="24"/>
                <w:szCs w:val="24"/>
                <w:color w:val="auto"/>
              </w:rPr>
            </w:pPr>
          </w:p>
        </w:tc>
        <w:tc>
          <w:tcPr>
            <w:tcW w:w="3000" w:type="dxa"/>
            <w:vAlign w:val="bottom"/>
          </w:tcPr>
          <w:p>
            <w:pPr>
              <w:ind w:left="1680"/>
              <w:spacing w:after="0"/>
              <w:rPr>
                <w:sz w:val="20"/>
                <w:szCs w:val="20"/>
                <w:color w:val="auto"/>
              </w:rPr>
            </w:pPr>
            <w:r>
              <w:rPr>
                <w:rFonts w:ascii="Arial" w:cs="Arial" w:eastAsia="Arial" w:hAnsi="Arial"/>
                <w:sz w:val="15"/>
                <w:szCs w:val="15"/>
                <w:color w:val="231F20"/>
              </w:rPr>
              <w:t>Options:</w:t>
            </w:r>
          </w:p>
        </w:tc>
        <w:tc>
          <w:tcPr>
            <w:tcW w:w="5380" w:type="dxa"/>
            <w:vAlign w:val="bottom"/>
          </w:tcPr>
          <w:p>
            <w:pPr>
              <w:ind w:left="260"/>
              <w:spacing w:after="0"/>
              <w:rPr>
                <w:sz w:val="20"/>
                <w:szCs w:val="20"/>
                <w:color w:val="auto"/>
              </w:rPr>
            </w:pPr>
            <w:r>
              <w:rPr>
                <w:rFonts w:ascii="Arial" w:cs="Arial" w:eastAsia="Arial" w:hAnsi="Arial"/>
                <w:sz w:val="15"/>
                <w:szCs w:val="15"/>
                <w:b w:val="1"/>
                <w:bCs w:val="1"/>
                <w:color w:val="2952A4"/>
              </w:rPr>
              <w:t>8,404</w:t>
            </w:r>
          </w:p>
        </w:tc>
      </w:tr>
      <w:tr>
        <w:trPr>
          <w:trHeight w:val="324"/>
        </w:trPr>
        <w:tc>
          <w:tcPr>
            <w:tcW w:w="2860" w:type="dxa"/>
            <w:vAlign w:val="bottom"/>
          </w:tcPr>
          <w:p>
            <w:pPr>
              <w:spacing w:after="0"/>
              <w:rPr>
                <w:sz w:val="24"/>
                <w:szCs w:val="24"/>
                <w:color w:val="auto"/>
              </w:rPr>
            </w:pPr>
          </w:p>
        </w:tc>
        <w:tc>
          <w:tcPr>
            <w:tcW w:w="3000" w:type="dxa"/>
            <w:vAlign w:val="bottom"/>
          </w:tcPr>
          <w:p>
            <w:pPr>
              <w:ind w:left="1680"/>
              <w:spacing w:after="0"/>
              <w:rPr>
                <w:sz w:val="20"/>
                <w:szCs w:val="20"/>
                <w:color w:val="auto"/>
              </w:rPr>
            </w:pPr>
            <w:r>
              <w:rPr>
                <w:rFonts w:ascii="Arial" w:cs="Arial" w:eastAsia="Arial" w:hAnsi="Arial"/>
                <w:sz w:val="15"/>
                <w:szCs w:val="15"/>
                <w:color w:val="231F20"/>
              </w:rPr>
              <w:t>RSUs:</w:t>
            </w:r>
          </w:p>
        </w:tc>
        <w:tc>
          <w:tcPr>
            <w:tcW w:w="5380" w:type="dxa"/>
            <w:vAlign w:val="bottom"/>
          </w:tcPr>
          <w:p>
            <w:pPr>
              <w:ind w:left="260"/>
              <w:spacing w:after="0"/>
              <w:rPr>
                <w:sz w:val="20"/>
                <w:szCs w:val="20"/>
                <w:color w:val="auto"/>
              </w:rPr>
            </w:pPr>
            <w:r>
              <w:rPr>
                <w:rFonts w:ascii="Arial" w:cs="Arial" w:eastAsia="Arial" w:hAnsi="Arial"/>
                <w:sz w:val="15"/>
                <w:szCs w:val="15"/>
                <w:b w:val="1"/>
                <w:bCs w:val="1"/>
                <w:color w:val="2952A4"/>
              </w:rPr>
              <w:t>750</w:t>
            </w:r>
          </w:p>
        </w:tc>
      </w:tr>
      <w:tr>
        <w:trPr>
          <w:trHeight w:val="569"/>
        </w:trPr>
        <w:tc>
          <w:tcPr>
            <w:tcW w:w="2860" w:type="dxa"/>
            <w:vAlign w:val="bottom"/>
          </w:tcPr>
          <w:p>
            <w:pPr>
              <w:jc w:val="right"/>
              <w:ind w:right="1608"/>
              <w:spacing w:after="0"/>
              <w:rPr>
                <w:sz w:val="20"/>
                <w:szCs w:val="20"/>
                <w:color w:val="auto"/>
              </w:rPr>
            </w:pPr>
            <w:r>
              <w:rPr>
                <w:rFonts w:ascii="Arial" w:cs="Arial" w:eastAsia="Arial" w:hAnsi="Arial"/>
                <w:sz w:val="14"/>
                <w:szCs w:val="14"/>
                <w:b w:val="1"/>
                <w:bCs w:val="1"/>
                <w:color w:val="00A5EC"/>
              </w:rPr>
              <w:t xml:space="preserve">18  </w:t>
            </w:r>
            <w:r>
              <w:rPr>
                <w:rFonts w:ascii="Arial" w:cs="Arial" w:eastAsia="Arial" w:hAnsi="Arial"/>
                <w:sz w:val="14"/>
                <w:szCs w:val="14"/>
                <w:color w:val="00A5EC"/>
              </w:rPr>
              <w:t>/</w:t>
            </w:r>
          </w:p>
        </w:tc>
        <w:tc>
          <w:tcPr>
            <w:tcW w:w="8380" w:type="dxa"/>
            <w:vAlign w:val="bottom"/>
            <w:gridSpan w:val="2"/>
          </w:tcPr>
          <w:p>
            <w:pPr>
              <w:ind w:left="184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r>
      <w:tr>
        <w:trPr>
          <w:trHeight w:val="258"/>
        </w:trPr>
        <w:tc>
          <w:tcPr>
            <w:tcW w:w="2860" w:type="dxa"/>
            <w:vAlign w:val="bottom"/>
            <w:tcBorders>
              <w:bottom w:val="single" w:sz="8" w:color="C0C0C0"/>
            </w:tcBorders>
          </w:tcPr>
          <w:p>
            <w:pPr>
              <w:spacing w:after="0"/>
              <w:rPr>
                <w:sz w:val="22"/>
                <w:szCs w:val="22"/>
                <w:color w:val="auto"/>
              </w:rPr>
            </w:pPr>
          </w:p>
        </w:tc>
        <w:tc>
          <w:tcPr>
            <w:tcW w:w="3000" w:type="dxa"/>
            <w:vAlign w:val="bottom"/>
            <w:tcBorders>
              <w:bottom w:val="single" w:sz="8" w:color="C0C0C0"/>
            </w:tcBorders>
          </w:tcPr>
          <w:p>
            <w:pPr>
              <w:spacing w:after="0"/>
              <w:rPr>
                <w:sz w:val="22"/>
                <w:szCs w:val="22"/>
                <w:color w:val="auto"/>
              </w:rPr>
            </w:pPr>
          </w:p>
        </w:tc>
        <w:tc>
          <w:tcPr>
            <w:tcW w:w="53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29" w:name="page30"/>
    <w:bookmarkEnd w:id="29"/>
    <w:p>
      <w:pPr>
        <w:ind w:left="640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554990</wp:posOffset>
            </wp:positionV>
            <wp:extent cx="5083175" cy="3086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FFFFFF"/>
        </w:rPr>
        <w:t>CHRISTINE A.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188595</wp:posOffset>
            </wp:positionV>
            <wp:extent cx="1080135" cy="10972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8013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2010</w:t>
      </w:r>
    </w:p>
    <w:p>
      <w:pPr>
        <w:spacing w:after="0" w:line="57"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68</w:t>
      </w:r>
    </w:p>
    <w:p>
      <w:pPr>
        <w:spacing w:after="0" w:line="287"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2952A4"/>
        </w:rPr>
        <w:t>Other Public Boards:</w:t>
      </w:r>
    </w:p>
    <w:p>
      <w:pPr>
        <w:spacing w:after="0" w:line="114" w:lineRule="exact"/>
        <w:rPr>
          <w:sz w:val="20"/>
          <w:szCs w:val="20"/>
          <w:color w:val="auto"/>
        </w:rPr>
      </w:pPr>
    </w:p>
    <w:p>
      <w:pPr>
        <w:ind w:left="1740" w:hanging="166"/>
        <w:spacing w:after="0"/>
        <w:tabs>
          <w:tab w:leader="none" w:pos="1740" w:val="left"/>
        </w:tabs>
        <w:numPr>
          <w:ilvl w:val="0"/>
          <w:numId w:val="25"/>
        </w:numPr>
        <w:rPr>
          <w:rFonts w:ascii="Arial" w:cs="Arial" w:eastAsia="Arial" w:hAnsi="Arial"/>
          <w:sz w:val="15"/>
          <w:szCs w:val="15"/>
          <w:color w:val="2952A4"/>
        </w:rPr>
      </w:pPr>
      <w:r>
        <w:rPr>
          <w:rFonts w:ascii="Arial" w:cs="Arial" w:eastAsia="Arial" w:hAnsi="Arial"/>
          <w:sz w:val="15"/>
          <w:szCs w:val="15"/>
          <w:color w:val="231F20"/>
        </w:rPr>
        <w:t>Prudential Financial, Inc.</w:t>
      </w:r>
    </w:p>
    <w:p>
      <w:pPr>
        <w:spacing w:after="0" w:line="57" w:lineRule="exact"/>
        <w:rPr>
          <w:rFonts w:ascii="Arial" w:cs="Arial" w:eastAsia="Arial" w:hAnsi="Arial"/>
          <w:sz w:val="15"/>
          <w:szCs w:val="15"/>
          <w:color w:val="2952A4"/>
        </w:rPr>
      </w:pPr>
    </w:p>
    <w:p>
      <w:pPr>
        <w:ind w:left="1740" w:hanging="166"/>
        <w:spacing w:after="0"/>
        <w:tabs>
          <w:tab w:leader="none" w:pos="1740" w:val="left"/>
        </w:tabs>
        <w:numPr>
          <w:ilvl w:val="0"/>
          <w:numId w:val="25"/>
        </w:numPr>
        <w:rPr>
          <w:rFonts w:ascii="Arial" w:cs="Arial" w:eastAsia="Arial" w:hAnsi="Arial"/>
          <w:sz w:val="15"/>
          <w:szCs w:val="15"/>
          <w:color w:val="2952A4"/>
        </w:rPr>
      </w:pPr>
      <w:r>
        <w:rPr>
          <w:rFonts w:ascii="Arial" w:cs="Arial" w:eastAsia="Arial" w:hAnsi="Arial"/>
          <w:sz w:val="15"/>
          <w:szCs w:val="15"/>
          <w:color w:val="auto"/>
        </w:rPr>
        <w:t>The Sherwin-Williams Company</w:t>
      </w:r>
    </w:p>
    <w:p>
      <w:pPr>
        <w:spacing w:after="0" w:line="57" w:lineRule="exact"/>
        <w:rPr>
          <w:rFonts w:ascii="Arial" w:cs="Arial" w:eastAsia="Arial" w:hAnsi="Arial"/>
          <w:sz w:val="15"/>
          <w:szCs w:val="15"/>
          <w:color w:val="2952A4"/>
        </w:rPr>
      </w:pPr>
    </w:p>
    <w:p>
      <w:pPr>
        <w:ind w:left="1740" w:hanging="166"/>
        <w:spacing w:after="0"/>
        <w:tabs>
          <w:tab w:leader="none" w:pos="1740" w:val="left"/>
        </w:tabs>
        <w:numPr>
          <w:ilvl w:val="0"/>
          <w:numId w:val="25"/>
        </w:numPr>
        <w:rPr>
          <w:rFonts w:ascii="Arial" w:cs="Arial" w:eastAsia="Arial" w:hAnsi="Arial"/>
          <w:sz w:val="15"/>
          <w:szCs w:val="15"/>
          <w:color w:val="2952A4"/>
        </w:rPr>
      </w:pPr>
      <w:r>
        <w:rPr>
          <w:rFonts w:ascii="Arial" w:cs="Arial" w:eastAsia="Arial" w:hAnsi="Arial"/>
          <w:sz w:val="15"/>
          <w:szCs w:val="15"/>
          <w:color w:val="auto"/>
        </w:rPr>
        <w:t>Decibel Therapeutics, Inc.*</w:t>
      </w:r>
    </w:p>
    <w:p>
      <w:pPr>
        <w:spacing w:after="0" w:line="57" w:lineRule="exact"/>
        <w:rPr>
          <w:rFonts w:ascii="Arial" w:cs="Arial" w:eastAsia="Arial" w:hAnsi="Arial"/>
          <w:sz w:val="15"/>
          <w:szCs w:val="15"/>
          <w:color w:val="2952A4"/>
        </w:rPr>
      </w:pPr>
    </w:p>
    <w:p>
      <w:pPr>
        <w:ind w:left="1740" w:hanging="166"/>
        <w:spacing w:after="0"/>
        <w:tabs>
          <w:tab w:leader="none" w:pos="1740" w:val="left"/>
        </w:tabs>
        <w:numPr>
          <w:ilvl w:val="0"/>
          <w:numId w:val="25"/>
        </w:numPr>
        <w:rPr>
          <w:rFonts w:ascii="Arial" w:cs="Arial" w:eastAsia="Arial" w:hAnsi="Arial"/>
          <w:sz w:val="15"/>
          <w:szCs w:val="15"/>
          <w:color w:val="2952A4"/>
        </w:rPr>
      </w:pPr>
      <w:r>
        <w:rPr>
          <w:rFonts w:ascii="Arial" w:cs="Arial" w:eastAsia="Arial" w:hAnsi="Arial"/>
          <w:sz w:val="15"/>
          <w:szCs w:val="15"/>
          <w:color w:val="auto"/>
        </w:rPr>
        <w:t>Royal Philips Electronics*</w:t>
      </w:r>
    </w:p>
    <w:p>
      <w:pPr>
        <w:spacing w:after="0" w:line="277" w:lineRule="exact"/>
        <w:rPr>
          <w:sz w:val="20"/>
          <w:szCs w:val="20"/>
          <w:color w:val="auto"/>
        </w:rPr>
      </w:pPr>
    </w:p>
    <w:p>
      <w:pPr>
        <w:ind w:left="1720" w:right="220" w:hanging="146"/>
        <w:spacing w:after="0" w:line="244" w:lineRule="auto"/>
        <w:tabs>
          <w:tab w:leader="none" w:pos="17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Ms. Poon is a director of Decibel Therapeutics, which went public in February 2021. She will not be standing for reelection to the Supervisory Board of Royal Philips Electronics when her term expires in May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700"/>
        <w:spacing w:after="0" w:line="226" w:lineRule="auto"/>
        <w:rPr>
          <w:sz w:val="20"/>
          <w:szCs w:val="20"/>
          <w:color w:val="auto"/>
        </w:rPr>
      </w:pPr>
      <w:r>
        <w:rPr>
          <w:rFonts w:ascii="Arial" w:cs="Arial" w:eastAsia="Arial" w:hAnsi="Arial"/>
          <w:sz w:val="15"/>
          <w:szCs w:val="15"/>
          <w:color w:val="231F20"/>
        </w:rPr>
        <w:t>Ms. Poon is an Executive-in-Residence in the Department of Management and Human Resources at The Max M. Fisher College of Business at The Ohio State University, where she served as Dean and the John W. Berry, Sr. Chair in Business from 2009 to 2014. Prior to joining Fisher, Ms. Poon spent eight years at Johnson &amp; Johnson, most recently as vice chairman and worldwide chairman of pharmaceuticals. At Johnson &amp; Johnson, she served on the company's board of directors and executive committee and was responsible for managing the pharmaceutical businesses of the company. Prior to joining Johnson &amp; Johnson, Ms. Poon spent 15 years at Bristol-Myers Squibb Company, a global pharmaceutical company, where she held senior leadership positions including president of international medicines and president of medical devices. Ms. Poon serves on the boards of directors of Prudential Financial, Inc., The Sherwin-Williams Company, and Decibel Therapeutics, Inc. and the Supervisory Board of Royal Philips Electronics.</w:t>
      </w:r>
    </w:p>
    <w:p>
      <w:pPr>
        <w:spacing w:after="0" w:line="156" w:lineRule="exact"/>
        <w:rPr>
          <w:sz w:val="20"/>
          <w:szCs w:val="20"/>
          <w:color w:val="auto"/>
        </w:rPr>
      </w:pPr>
    </w:p>
    <w:p>
      <w:pPr>
        <w:ind w:right="1700"/>
        <w:spacing w:after="0" w:line="250" w:lineRule="auto"/>
        <w:rPr>
          <w:sz w:val="20"/>
          <w:szCs w:val="20"/>
          <w:color w:val="auto"/>
        </w:rPr>
      </w:pPr>
      <w:r>
        <w:rPr>
          <w:rFonts w:ascii="Arial" w:cs="Arial" w:eastAsia="Arial" w:hAnsi="Arial"/>
          <w:sz w:val="14"/>
          <w:szCs w:val="14"/>
          <w:color w:val="231F20"/>
        </w:rPr>
        <w:t>Ms. Poon's extensive expertise in domestic and international business operations, including sales and marketing and commercial operations, and her deep strategic and operational knowledge of the pharmaceutical industry, led the board to conclude that Ms. Poon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31972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Membership—2020 Attendance: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0" w:type="dxa"/>
            <w:vAlign w:val="bottom"/>
          </w:tcPr>
          <w:p>
            <w:pPr>
              <w:spacing w:after="0"/>
              <w:rPr>
                <w:sz w:val="20"/>
                <w:szCs w:val="20"/>
                <w:color w:val="auto"/>
              </w:rPr>
            </w:pPr>
            <w:r>
              <w:rPr>
                <w:rFonts w:ascii="Arial" w:cs="Arial" w:eastAsia="Arial" w:hAnsi="Arial"/>
                <w:sz w:val="15"/>
                <w:szCs w:val="15"/>
                <w:color w:val="231F20"/>
              </w:rPr>
              <w:t>Board of Directors:</w:t>
            </w:r>
          </w:p>
        </w:tc>
        <w:tc>
          <w:tcPr>
            <w:tcW w:w="2140" w:type="dxa"/>
            <w:vAlign w:val="bottom"/>
          </w:tcPr>
          <w:p>
            <w:pPr>
              <w:spacing w:after="0"/>
              <w:rPr>
                <w:sz w:val="17"/>
                <w:szCs w:val="17"/>
                <w:color w:val="auto"/>
              </w:rPr>
            </w:pPr>
          </w:p>
        </w:tc>
        <w:tc>
          <w:tcPr>
            <w:tcW w:w="1500" w:type="dxa"/>
            <w:vAlign w:val="bottom"/>
          </w:tcPr>
          <w:p>
            <w:pPr>
              <w:ind w:left="100"/>
              <w:spacing w:after="0"/>
              <w:rPr>
                <w:sz w:val="20"/>
                <w:szCs w:val="20"/>
                <w:color w:val="auto"/>
              </w:rPr>
            </w:pPr>
            <w:r>
              <w:rPr>
                <w:rFonts w:ascii="Arial" w:cs="Arial" w:eastAsia="Arial" w:hAnsi="Arial"/>
                <w:sz w:val="15"/>
                <w:szCs w:val="15"/>
                <w:b w:val="1"/>
                <w:bCs w:val="1"/>
                <w:color w:val="2952A4"/>
              </w:rPr>
              <w:t>11/11</w:t>
            </w:r>
          </w:p>
        </w:tc>
      </w:tr>
      <w:tr>
        <w:trPr>
          <w:trHeight w:val="324"/>
        </w:trPr>
        <w:tc>
          <w:tcPr>
            <w:tcW w:w="3540" w:type="dxa"/>
            <w:vAlign w:val="bottom"/>
            <w:gridSpan w:val="2"/>
          </w:tcPr>
          <w:p>
            <w:pPr>
              <w:spacing w:after="0"/>
              <w:rPr>
                <w:sz w:val="20"/>
                <w:szCs w:val="20"/>
                <w:color w:val="auto"/>
              </w:rPr>
            </w:pPr>
            <w:r>
              <w:rPr>
                <w:rFonts w:ascii="Arial" w:cs="Arial" w:eastAsia="Arial" w:hAnsi="Arial"/>
                <w:sz w:val="15"/>
                <w:szCs w:val="15"/>
                <w:color w:val="231F20"/>
              </w:rPr>
              <w:t>Compensation Committee (Chairperson):</w:t>
            </w:r>
          </w:p>
        </w:tc>
        <w:tc>
          <w:tcPr>
            <w:tcW w:w="1500" w:type="dxa"/>
            <w:vAlign w:val="bottom"/>
          </w:tcPr>
          <w:p>
            <w:pPr>
              <w:ind w:left="100"/>
              <w:spacing w:after="0"/>
              <w:rPr>
                <w:sz w:val="20"/>
                <w:szCs w:val="20"/>
                <w:color w:val="auto"/>
              </w:rPr>
            </w:pPr>
            <w:r>
              <w:rPr>
                <w:rFonts w:ascii="Arial" w:cs="Arial" w:eastAsia="Arial" w:hAnsi="Arial"/>
                <w:sz w:val="15"/>
                <w:szCs w:val="15"/>
                <w:b w:val="1"/>
                <w:bCs w:val="1"/>
                <w:color w:val="2952A4"/>
              </w:rPr>
              <w:t>13/13</w:t>
            </w:r>
          </w:p>
        </w:tc>
      </w:tr>
      <w:tr>
        <w:trPr>
          <w:trHeight w:val="324"/>
        </w:trPr>
        <w:tc>
          <w:tcPr>
            <w:tcW w:w="3540" w:type="dxa"/>
            <w:vAlign w:val="bottom"/>
            <w:gridSpan w:val="2"/>
          </w:tcPr>
          <w:p>
            <w:pPr>
              <w:spacing w:after="0"/>
              <w:rPr>
                <w:sz w:val="20"/>
                <w:szCs w:val="20"/>
                <w:color w:val="auto"/>
              </w:rPr>
            </w:pPr>
            <w:r>
              <w:rPr>
                <w:rFonts w:ascii="Arial" w:cs="Arial" w:eastAsia="Arial" w:hAnsi="Arial"/>
                <w:sz w:val="15"/>
                <w:szCs w:val="15"/>
                <w:color w:val="auto"/>
              </w:rPr>
              <w:t>Corporate Governance and Compliance Committee:</w:t>
            </w:r>
          </w:p>
        </w:tc>
        <w:tc>
          <w:tcPr>
            <w:tcW w:w="1500" w:type="dxa"/>
            <w:vAlign w:val="bottom"/>
          </w:tcPr>
          <w:p>
            <w:pPr>
              <w:ind w:left="100"/>
              <w:spacing w:after="0"/>
              <w:rPr>
                <w:sz w:val="20"/>
                <w:szCs w:val="20"/>
                <w:color w:val="auto"/>
              </w:rPr>
            </w:pPr>
            <w:r>
              <w:rPr>
                <w:rFonts w:ascii="Arial" w:cs="Arial" w:eastAsia="Arial" w:hAnsi="Arial"/>
                <w:sz w:val="15"/>
                <w:szCs w:val="15"/>
                <w:b w:val="1"/>
                <w:bCs w:val="1"/>
                <w:color w:val="2952A4"/>
              </w:rPr>
              <w:t>5/5</w:t>
            </w:r>
          </w:p>
        </w:tc>
      </w:tr>
      <w:tr>
        <w:trPr>
          <w:trHeight w:val="145"/>
        </w:trPr>
        <w:tc>
          <w:tcPr>
            <w:tcW w:w="3540" w:type="dxa"/>
            <w:vAlign w:val="bottom"/>
            <w:tcBorders>
              <w:bottom w:val="single" w:sz="8" w:color="auto"/>
            </w:tcBorders>
            <w:gridSpan w:val="2"/>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r>
      <w:tr>
        <w:trPr>
          <w:trHeight w:val="333"/>
        </w:trPr>
        <w:tc>
          <w:tcPr>
            <w:tcW w:w="3540" w:type="dxa"/>
            <w:vAlign w:val="bottom"/>
            <w:gridSpan w:val="2"/>
          </w:tcPr>
          <w:p>
            <w:pPr>
              <w:spacing w:after="0"/>
              <w:rPr>
                <w:sz w:val="20"/>
                <w:szCs w:val="20"/>
                <w:color w:val="auto"/>
              </w:rPr>
            </w:pPr>
            <w:r>
              <w:rPr>
                <w:rFonts w:ascii="Arial" w:cs="Arial" w:eastAsia="Arial" w:hAnsi="Arial"/>
                <w:sz w:val="14"/>
                <w:szCs w:val="14"/>
                <w:b w:val="1"/>
                <w:bCs w:val="1"/>
                <w:color w:val="C04C57"/>
              </w:rPr>
              <w:t>Prior Voting Results—2020:</w:t>
            </w:r>
          </w:p>
        </w:tc>
        <w:tc>
          <w:tcPr>
            <w:tcW w:w="1500" w:type="dxa"/>
            <w:vAlign w:val="bottom"/>
          </w:tcPr>
          <w:p>
            <w:pPr>
              <w:spacing w:after="0"/>
              <w:rPr>
                <w:sz w:val="24"/>
                <w:szCs w:val="24"/>
                <w:color w:val="auto"/>
              </w:rPr>
            </w:pPr>
          </w:p>
        </w:tc>
      </w:tr>
      <w:tr>
        <w:trPr>
          <w:trHeight w:val="326"/>
        </w:trPr>
        <w:tc>
          <w:tcPr>
            <w:tcW w:w="1400" w:type="dxa"/>
            <w:vAlign w:val="bottom"/>
          </w:tcPr>
          <w:p>
            <w:pPr>
              <w:spacing w:after="0"/>
              <w:rPr>
                <w:sz w:val="20"/>
                <w:szCs w:val="20"/>
                <w:color w:val="auto"/>
              </w:rPr>
            </w:pPr>
            <w:r>
              <w:rPr>
                <w:rFonts w:ascii="Arial" w:cs="Arial" w:eastAsia="Arial" w:hAnsi="Arial"/>
                <w:sz w:val="15"/>
                <w:szCs w:val="15"/>
                <w:color w:val="231F20"/>
              </w:rPr>
              <w:t>For:</w:t>
            </w:r>
          </w:p>
        </w:tc>
        <w:tc>
          <w:tcPr>
            <w:tcW w:w="2140" w:type="dxa"/>
            <w:vAlign w:val="bottom"/>
          </w:tcPr>
          <w:p>
            <w:pPr>
              <w:ind w:left="180"/>
              <w:spacing w:after="0"/>
              <w:rPr>
                <w:sz w:val="20"/>
                <w:szCs w:val="20"/>
                <w:color w:val="auto"/>
              </w:rPr>
            </w:pPr>
            <w:r>
              <w:rPr>
                <w:rFonts w:ascii="Arial" w:cs="Arial" w:eastAsia="Arial" w:hAnsi="Arial"/>
                <w:sz w:val="15"/>
                <w:szCs w:val="15"/>
                <w:b w:val="1"/>
                <w:bCs w:val="1"/>
                <w:color w:val="2952A4"/>
              </w:rPr>
              <w:t>91.5%</w:t>
            </w:r>
          </w:p>
        </w:tc>
        <w:tc>
          <w:tcPr>
            <w:tcW w:w="1500" w:type="dxa"/>
            <w:vAlign w:val="bottom"/>
          </w:tcPr>
          <w:p>
            <w:pPr>
              <w:spacing w:after="0"/>
              <w:rPr>
                <w:sz w:val="24"/>
                <w:szCs w:val="24"/>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5"/>
                <w:szCs w:val="15"/>
                <w:color w:val="231F20"/>
              </w:rPr>
              <w:t>Against:</w:t>
            </w:r>
          </w:p>
        </w:tc>
        <w:tc>
          <w:tcPr>
            <w:tcW w:w="2140" w:type="dxa"/>
            <w:vAlign w:val="bottom"/>
          </w:tcPr>
          <w:p>
            <w:pPr>
              <w:ind w:left="180"/>
              <w:spacing w:after="0"/>
              <w:rPr>
                <w:sz w:val="20"/>
                <w:szCs w:val="20"/>
                <w:color w:val="auto"/>
              </w:rPr>
            </w:pPr>
            <w:r>
              <w:rPr>
                <w:rFonts w:ascii="Arial" w:cs="Arial" w:eastAsia="Arial" w:hAnsi="Arial"/>
                <w:sz w:val="15"/>
                <w:szCs w:val="15"/>
                <w:b w:val="1"/>
                <w:bCs w:val="1"/>
                <w:color w:val="2952A4"/>
              </w:rPr>
              <w:t>8.5%</w:t>
            </w:r>
          </w:p>
        </w:tc>
        <w:tc>
          <w:tcPr>
            <w:tcW w:w="1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380"/>
            <w:col w:w="6700"/>
          </w:cols>
          <w:pgMar w:left="320" w:top="405" w:right="339" w:bottom="1440" w:gutter="0" w:footer="0" w:header="0"/>
          <w:type w:val="continuous"/>
        </w:sectPr>
      </w:pPr>
    </w:p>
    <w:p>
      <w:pPr>
        <w:spacing w:after="0" w:line="107"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C04C57"/>
        </w:rPr>
        <w:t>Regeneron Securities Beneficially Owned as of April 13,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ind w:left="4540"/>
              <w:spacing w:after="0"/>
              <w:rPr>
                <w:sz w:val="20"/>
                <w:szCs w:val="20"/>
                <w:color w:val="auto"/>
              </w:rPr>
            </w:pPr>
            <w:r>
              <w:rPr>
                <w:rFonts w:ascii="Arial" w:cs="Arial" w:eastAsia="Arial" w:hAnsi="Arial"/>
                <w:sz w:val="15"/>
                <w:szCs w:val="15"/>
                <w:color w:val="231F20"/>
              </w:rPr>
              <w:t>Common Stock:</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790</w:t>
            </w:r>
          </w:p>
        </w:tc>
      </w:tr>
      <w:tr>
        <w:trPr>
          <w:trHeight w:val="324"/>
        </w:trPr>
        <w:tc>
          <w:tcPr>
            <w:tcW w:w="6060" w:type="dxa"/>
            <w:vAlign w:val="bottom"/>
          </w:tcPr>
          <w:p>
            <w:pPr>
              <w:ind w:left="4540"/>
              <w:spacing w:after="0"/>
              <w:rPr>
                <w:sz w:val="20"/>
                <w:szCs w:val="20"/>
                <w:color w:val="auto"/>
              </w:rPr>
            </w:pPr>
            <w:r>
              <w:rPr>
                <w:rFonts w:ascii="Arial" w:cs="Arial" w:eastAsia="Arial" w:hAnsi="Arial"/>
                <w:sz w:val="15"/>
                <w:szCs w:val="15"/>
                <w:color w:val="231F20"/>
              </w:rPr>
              <w:t>Options:</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87,308</w:t>
            </w:r>
          </w:p>
        </w:tc>
      </w:tr>
      <w:tr>
        <w:trPr>
          <w:trHeight w:val="324"/>
        </w:trPr>
        <w:tc>
          <w:tcPr>
            <w:tcW w:w="6060" w:type="dxa"/>
            <w:vAlign w:val="bottom"/>
          </w:tcPr>
          <w:p>
            <w:pPr>
              <w:ind w:left="4540"/>
              <w:spacing w:after="0"/>
              <w:rPr>
                <w:sz w:val="20"/>
                <w:szCs w:val="20"/>
                <w:color w:val="auto"/>
              </w:rPr>
            </w:pPr>
            <w:r>
              <w:rPr>
                <w:rFonts w:ascii="Arial" w:cs="Arial" w:eastAsia="Arial" w:hAnsi="Arial"/>
                <w:sz w:val="15"/>
                <w:szCs w:val="15"/>
                <w:color w:val="231F20"/>
              </w:rPr>
              <w:t>RSUs:</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750</w:t>
            </w:r>
          </w:p>
        </w:tc>
      </w:tr>
      <w:tr>
        <w:trPr>
          <w:trHeight w:val="407"/>
        </w:trPr>
        <w:tc>
          <w:tcPr>
            <w:tcW w:w="6060" w:type="dxa"/>
            <w:vAlign w:val="bottom"/>
          </w:tcPr>
          <w:p>
            <w:pPr>
              <w:ind w:left="22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5180" w:type="dxa"/>
            <w:vAlign w:val="bottom"/>
          </w:tcPr>
          <w:p>
            <w:pPr>
              <w:jc w:val="right"/>
              <w:ind w:right="146"/>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19</w:t>
            </w:r>
          </w:p>
        </w:tc>
      </w:tr>
      <w:tr>
        <w:trPr>
          <w:trHeight w:val="258"/>
        </w:trPr>
        <w:tc>
          <w:tcPr>
            <w:tcW w:w="6060" w:type="dxa"/>
            <w:vAlign w:val="bottom"/>
            <w:tcBorders>
              <w:bottom w:val="single" w:sz="8" w:color="C0C0C0"/>
            </w:tcBorders>
          </w:tcPr>
          <w:p>
            <w:pPr>
              <w:spacing w:after="0"/>
              <w:rPr>
                <w:sz w:val="22"/>
                <w:szCs w:val="22"/>
                <w:color w:val="auto"/>
              </w:rPr>
            </w:pPr>
          </w:p>
        </w:tc>
        <w:tc>
          <w:tcPr>
            <w:tcW w:w="51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30" w:name="page31"/>
    <w:bookmarkEnd w:id="30"/>
    <w:p>
      <w:pPr>
        <w:ind w:left="158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554990</wp:posOffset>
            </wp:positionV>
            <wp:extent cx="5083175" cy="308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660"/>
        <w:spacing w:after="0"/>
        <w:rPr>
          <w:sz w:val="20"/>
          <w:szCs w:val="20"/>
          <w:color w:val="auto"/>
        </w:rPr>
      </w:pPr>
      <w:r>
        <w:rPr>
          <w:rFonts w:ascii="Arial" w:cs="Arial" w:eastAsia="Arial" w:hAnsi="Arial"/>
          <w:sz w:val="24"/>
          <w:szCs w:val="24"/>
          <w:b w:val="1"/>
          <w:bCs w:val="1"/>
          <w:color w:val="FFFFFF"/>
        </w:rPr>
        <w:t>P. ROY VAGELOS, M.D.</w:t>
      </w:r>
    </w:p>
    <w:p>
      <w:pPr>
        <w:sectPr>
          <w:pgSz w:w="11900" w:h="16838" w:orient="portrait"/>
          <w:cols w:equalWidth="0" w:num="1">
            <w:col w:w="11240"/>
          </w:cols>
          <w:pgMar w:left="320" w:top="40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-1546860</wp:posOffset>
            </wp:positionV>
            <wp:extent cx="1080135" cy="10629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80135" cy="1062990"/>
                    </a:xfrm>
                    <a:prstGeom prst="rect">
                      <a:avLst/>
                    </a:prstGeom>
                    <a:noFill/>
                  </pic:spPr>
                </pic:pic>
              </a:graphicData>
            </a:graphic>
          </wp:anchor>
        </w:drawing>
      </w:r>
    </w:p>
    <w:p>
      <w:pPr>
        <w:spacing w:after="0" w:line="37"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91</w:t>
      </w:r>
    </w:p>
    <w:p>
      <w:pPr>
        <w:spacing w:after="0" w:line="287"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2952A4"/>
        </w:rPr>
        <w:t>Scientific Society Memberships:</w:t>
      </w:r>
    </w:p>
    <w:p>
      <w:pPr>
        <w:spacing w:after="0" w:line="114" w:lineRule="exact"/>
        <w:rPr>
          <w:sz w:val="20"/>
          <w:szCs w:val="20"/>
          <w:color w:val="auto"/>
        </w:rPr>
      </w:pPr>
    </w:p>
    <w:p>
      <w:pPr>
        <w:ind w:left="1740" w:right="440" w:hanging="166"/>
        <w:spacing w:after="0" w:line="236" w:lineRule="auto"/>
        <w:tabs>
          <w:tab w:leader="none" w:pos="1740" w:val="left"/>
        </w:tabs>
        <w:numPr>
          <w:ilvl w:val="0"/>
          <w:numId w:val="27"/>
        </w:numPr>
        <w:rPr>
          <w:rFonts w:ascii="Arial" w:cs="Arial" w:eastAsia="Arial" w:hAnsi="Arial"/>
          <w:sz w:val="15"/>
          <w:szCs w:val="15"/>
          <w:color w:val="2952A4"/>
        </w:rPr>
      </w:pPr>
      <w:r>
        <w:rPr>
          <w:rFonts w:ascii="Arial" w:cs="Arial" w:eastAsia="Arial" w:hAnsi="Arial"/>
          <w:sz w:val="15"/>
          <w:szCs w:val="15"/>
          <w:color w:val="231F20"/>
        </w:rPr>
        <w:t>The National Academy of Sciences</w:t>
      </w:r>
    </w:p>
    <w:p>
      <w:pPr>
        <w:spacing w:after="0" w:line="52" w:lineRule="exact"/>
        <w:rPr>
          <w:rFonts w:ascii="Arial" w:cs="Arial" w:eastAsia="Arial" w:hAnsi="Arial"/>
          <w:sz w:val="15"/>
          <w:szCs w:val="15"/>
          <w:color w:val="2952A4"/>
        </w:rPr>
      </w:pPr>
    </w:p>
    <w:p>
      <w:pPr>
        <w:ind w:left="1740" w:right="440" w:hanging="166"/>
        <w:spacing w:after="0" w:line="236" w:lineRule="auto"/>
        <w:tabs>
          <w:tab w:leader="none" w:pos="1740" w:val="left"/>
        </w:tabs>
        <w:numPr>
          <w:ilvl w:val="0"/>
          <w:numId w:val="27"/>
        </w:numPr>
        <w:rPr>
          <w:rFonts w:ascii="Arial" w:cs="Arial" w:eastAsia="Arial" w:hAnsi="Arial"/>
          <w:sz w:val="15"/>
          <w:szCs w:val="15"/>
          <w:color w:val="2952A4"/>
        </w:rPr>
      </w:pPr>
      <w:r>
        <w:rPr>
          <w:rFonts w:ascii="Arial" w:cs="Arial" w:eastAsia="Arial" w:hAnsi="Arial"/>
          <w:sz w:val="15"/>
          <w:szCs w:val="15"/>
          <w:color w:val="auto"/>
        </w:rPr>
        <w:t>The National Academy of Medicine</w:t>
      </w:r>
    </w:p>
    <w:p>
      <w:pPr>
        <w:spacing w:after="0" w:line="52" w:lineRule="exact"/>
        <w:rPr>
          <w:rFonts w:ascii="Arial" w:cs="Arial" w:eastAsia="Arial" w:hAnsi="Arial"/>
          <w:sz w:val="15"/>
          <w:szCs w:val="15"/>
          <w:color w:val="2952A4"/>
        </w:rPr>
      </w:pPr>
    </w:p>
    <w:p>
      <w:pPr>
        <w:ind w:left="1740" w:right="280" w:hanging="166"/>
        <w:spacing w:after="0" w:line="236" w:lineRule="auto"/>
        <w:tabs>
          <w:tab w:leader="none" w:pos="1740" w:val="left"/>
        </w:tabs>
        <w:numPr>
          <w:ilvl w:val="0"/>
          <w:numId w:val="27"/>
        </w:numPr>
        <w:rPr>
          <w:rFonts w:ascii="Arial" w:cs="Arial" w:eastAsia="Arial" w:hAnsi="Arial"/>
          <w:sz w:val="15"/>
          <w:szCs w:val="15"/>
          <w:color w:val="2952A4"/>
        </w:rPr>
      </w:pPr>
      <w:r>
        <w:rPr>
          <w:rFonts w:ascii="Arial" w:cs="Arial" w:eastAsia="Arial" w:hAnsi="Arial"/>
          <w:sz w:val="15"/>
          <w:szCs w:val="15"/>
          <w:color w:val="auto"/>
        </w:rPr>
        <w:t>The American Philosophical Society</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740"/>
        <w:spacing w:after="0" w:line="227" w:lineRule="auto"/>
        <w:rPr>
          <w:sz w:val="20"/>
          <w:szCs w:val="20"/>
          <w:color w:val="auto"/>
        </w:rPr>
      </w:pPr>
      <w:r>
        <w:rPr>
          <w:rFonts w:ascii="Arial" w:cs="Arial" w:eastAsia="Arial" w:hAnsi="Arial"/>
          <w:sz w:val="15"/>
          <w:szCs w:val="15"/>
          <w:color w:val="231F20"/>
        </w:rPr>
        <w:t>Prior to joining Regeneron, Dr. Vagelos was Chairman of the Board and Chief Executive Officer of Merck &amp; Co., Inc., a global pharmaceutical company. He joined Merck in 1975, became a director in 1984, President and Chief Executive Officer in 1985, and Chairman in 1986. Dr. Vagelos retired from all positions with Merck in 1994. Dr. Vagelos is a member of the National Academy of Sciences, the National Academy of Medicine, and the American Philosophical Society. During his tenure as Chairman of Regeneron and previously as Chairman and Chief Executive Officer of Merck, Dr. Vagelos developed an extensive understanding of the complex business, operational, scientific, regulatory, and commercial issues facing the pharmaceutical industry.</w:t>
      </w:r>
    </w:p>
    <w:p>
      <w:pPr>
        <w:spacing w:after="0" w:line="149" w:lineRule="exact"/>
        <w:rPr>
          <w:sz w:val="20"/>
          <w:szCs w:val="20"/>
          <w:color w:val="auto"/>
        </w:rPr>
      </w:pPr>
    </w:p>
    <w:p>
      <w:pPr>
        <w:ind w:right="1660"/>
        <w:spacing w:after="0" w:line="231" w:lineRule="auto"/>
        <w:rPr>
          <w:sz w:val="20"/>
          <w:szCs w:val="20"/>
          <w:color w:val="auto"/>
        </w:rPr>
      </w:pPr>
      <w:r>
        <w:rPr>
          <w:rFonts w:ascii="Arial" w:cs="Arial" w:eastAsia="Arial" w:hAnsi="Arial"/>
          <w:sz w:val="15"/>
          <w:szCs w:val="15"/>
          <w:color w:val="231F20"/>
        </w:rPr>
        <w:t>Dr. Vagelos's tenure and experience with the Company and Merck, his extensive knowledge of the pharmaceutical industry, his substantial leadership experience, and his significant understanding of the Company led the board to conclude that Dr. Vagelos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Membership—2020 Attendance: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60" w:type="dxa"/>
            <w:vAlign w:val="bottom"/>
          </w:tcPr>
          <w:p>
            <w:pPr>
              <w:spacing w:after="0"/>
              <w:rPr>
                <w:sz w:val="20"/>
                <w:szCs w:val="20"/>
                <w:color w:val="auto"/>
              </w:rPr>
            </w:pPr>
            <w:r>
              <w:rPr>
                <w:rFonts w:ascii="Arial" w:cs="Arial" w:eastAsia="Arial" w:hAnsi="Arial"/>
                <w:sz w:val="15"/>
                <w:szCs w:val="15"/>
                <w:color w:val="231F20"/>
              </w:rPr>
              <w:t>Board of Directors:</w:t>
            </w:r>
          </w:p>
        </w:tc>
        <w:tc>
          <w:tcPr>
            <w:tcW w:w="3480" w:type="dxa"/>
            <w:vAlign w:val="bottom"/>
          </w:tcPr>
          <w:p>
            <w:pPr>
              <w:ind w:left="1040"/>
              <w:spacing w:after="0"/>
              <w:rPr>
                <w:sz w:val="20"/>
                <w:szCs w:val="20"/>
                <w:color w:val="auto"/>
              </w:rPr>
            </w:pPr>
            <w:r>
              <w:rPr>
                <w:rFonts w:ascii="Arial" w:cs="Arial" w:eastAsia="Arial" w:hAnsi="Arial"/>
                <w:sz w:val="15"/>
                <w:szCs w:val="15"/>
                <w:b w:val="1"/>
                <w:bCs w:val="1"/>
                <w:color w:val="2952A4"/>
              </w:rPr>
              <w:t>11/11</w:t>
            </w:r>
          </w:p>
        </w:tc>
      </w:tr>
      <w:tr>
        <w:trPr>
          <w:trHeight w:val="324"/>
        </w:trPr>
        <w:tc>
          <w:tcPr>
            <w:tcW w:w="1560" w:type="dxa"/>
            <w:vAlign w:val="bottom"/>
          </w:tcPr>
          <w:p>
            <w:pPr>
              <w:spacing w:after="0"/>
              <w:rPr>
                <w:sz w:val="20"/>
                <w:szCs w:val="20"/>
                <w:color w:val="auto"/>
              </w:rPr>
            </w:pPr>
            <w:r>
              <w:rPr>
                <w:rFonts w:ascii="Arial" w:cs="Arial" w:eastAsia="Arial" w:hAnsi="Arial"/>
                <w:sz w:val="15"/>
                <w:szCs w:val="15"/>
                <w:color w:val="231F20"/>
                <w:w w:val="97"/>
              </w:rPr>
              <w:t>Technology Committee:</w:t>
            </w:r>
          </w:p>
        </w:tc>
        <w:tc>
          <w:tcPr>
            <w:tcW w:w="3480" w:type="dxa"/>
            <w:vAlign w:val="bottom"/>
          </w:tcPr>
          <w:p>
            <w:pPr>
              <w:ind w:left="1040"/>
              <w:spacing w:after="0"/>
              <w:rPr>
                <w:sz w:val="20"/>
                <w:szCs w:val="20"/>
                <w:color w:val="auto"/>
              </w:rPr>
            </w:pPr>
            <w:r>
              <w:rPr>
                <w:rFonts w:ascii="Arial" w:cs="Arial" w:eastAsia="Arial" w:hAnsi="Arial"/>
                <w:sz w:val="15"/>
                <w:szCs w:val="15"/>
                <w:b w:val="1"/>
                <w:bCs w:val="1"/>
                <w:color w:val="2952A4"/>
              </w:rPr>
              <w:t>3/3</w:t>
            </w:r>
          </w:p>
        </w:tc>
      </w:tr>
      <w:tr>
        <w:trPr>
          <w:trHeight w:val="145"/>
        </w:trPr>
        <w:tc>
          <w:tcPr>
            <w:tcW w:w="5040" w:type="dxa"/>
            <w:vAlign w:val="bottom"/>
            <w:tcBorders>
              <w:bottom w:val="single" w:sz="8" w:color="auto"/>
            </w:tcBorders>
            <w:gridSpan w:val="2"/>
          </w:tcPr>
          <w:p>
            <w:pPr>
              <w:spacing w:after="0"/>
              <w:rPr>
                <w:sz w:val="12"/>
                <w:szCs w:val="12"/>
                <w:color w:val="auto"/>
              </w:rPr>
            </w:pPr>
          </w:p>
        </w:tc>
      </w:tr>
      <w:tr>
        <w:trPr>
          <w:trHeight w:val="333"/>
        </w:trPr>
        <w:tc>
          <w:tcPr>
            <w:tcW w:w="5040" w:type="dxa"/>
            <w:vAlign w:val="bottom"/>
            <w:gridSpan w:val="2"/>
          </w:tcPr>
          <w:p>
            <w:pPr>
              <w:spacing w:after="0"/>
              <w:rPr>
                <w:sz w:val="20"/>
                <w:szCs w:val="20"/>
                <w:color w:val="auto"/>
              </w:rPr>
            </w:pPr>
            <w:r>
              <w:rPr>
                <w:rFonts w:ascii="Arial" w:cs="Arial" w:eastAsia="Arial" w:hAnsi="Arial"/>
                <w:sz w:val="14"/>
                <w:szCs w:val="14"/>
                <w:b w:val="1"/>
                <w:bCs w:val="1"/>
                <w:color w:val="C04C57"/>
              </w:rPr>
              <w:t>Prior Voting Results—2020:</w:t>
            </w:r>
          </w:p>
        </w:tc>
      </w:tr>
      <w:tr>
        <w:trPr>
          <w:trHeight w:val="326"/>
        </w:trPr>
        <w:tc>
          <w:tcPr>
            <w:tcW w:w="1560" w:type="dxa"/>
            <w:vAlign w:val="bottom"/>
          </w:tcPr>
          <w:p>
            <w:pPr>
              <w:spacing w:after="0"/>
              <w:rPr>
                <w:sz w:val="20"/>
                <w:szCs w:val="20"/>
                <w:color w:val="auto"/>
              </w:rPr>
            </w:pPr>
            <w:r>
              <w:rPr>
                <w:rFonts w:ascii="Arial" w:cs="Arial" w:eastAsia="Arial" w:hAnsi="Arial"/>
                <w:sz w:val="15"/>
                <w:szCs w:val="15"/>
                <w:color w:val="231F20"/>
              </w:rPr>
              <w:t>For:</w:t>
            </w:r>
          </w:p>
        </w:tc>
        <w:tc>
          <w:tcPr>
            <w:tcW w:w="3480" w:type="dxa"/>
            <w:vAlign w:val="bottom"/>
          </w:tcPr>
          <w:p>
            <w:pPr>
              <w:ind w:left="20"/>
              <w:spacing w:after="0"/>
              <w:rPr>
                <w:sz w:val="20"/>
                <w:szCs w:val="20"/>
                <w:color w:val="auto"/>
              </w:rPr>
            </w:pPr>
            <w:r>
              <w:rPr>
                <w:rFonts w:ascii="Arial" w:cs="Arial" w:eastAsia="Arial" w:hAnsi="Arial"/>
                <w:sz w:val="15"/>
                <w:szCs w:val="15"/>
                <w:b w:val="1"/>
                <w:bCs w:val="1"/>
                <w:color w:val="2952A4"/>
              </w:rPr>
              <w:t>98.4%</w:t>
            </w:r>
          </w:p>
        </w:tc>
      </w:tr>
      <w:tr>
        <w:trPr>
          <w:trHeight w:val="324"/>
        </w:trPr>
        <w:tc>
          <w:tcPr>
            <w:tcW w:w="1560" w:type="dxa"/>
            <w:vAlign w:val="bottom"/>
          </w:tcPr>
          <w:p>
            <w:pPr>
              <w:spacing w:after="0"/>
              <w:rPr>
                <w:sz w:val="20"/>
                <w:szCs w:val="20"/>
                <w:color w:val="auto"/>
              </w:rPr>
            </w:pPr>
            <w:r>
              <w:rPr>
                <w:rFonts w:ascii="Arial" w:cs="Arial" w:eastAsia="Arial" w:hAnsi="Arial"/>
                <w:sz w:val="15"/>
                <w:szCs w:val="15"/>
                <w:color w:val="231F20"/>
              </w:rPr>
              <w:t>Against:</w:t>
            </w:r>
          </w:p>
        </w:tc>
        <w:tc>
          <w:tcPr>
            <w:tcW w:w="3480" w:type="dxa"/>
            <w:vAlign w:val="bottom"/>
          </w:tcPr>
          <w:p>
            <w:pPr>
              <w:ind w:left="20"/>
              <w:spacing w:after="0"/>
              <w:rPr>
                <w:sz w:val="20"/>
                <w:szCs w:val="20"/>
                <w:color w:val="auto"/>
              </w:rPr>
            </w:pPr>
            <w:r>
              <w:rPr>
                <w:rFonts w:ascii="Arial" w:cs="Arial" w:eastAsia="Arial" w:hAnsi="Arial"/>
                <w:sz w:val="15"/>
                <w:szCs w:val="15"/>
                <w:b w:val="1"/>
                <w:bCs w:val="1"/>
                <w:color w:val="2952A4"/>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680"/>
            <w:col w:w="6700"/>
          </w:cols>
          <w:pgMar w:left="320" w:top="405" w:right="339" w:bottom="1440" w:gutter="0" w:footer="0" w:header="0"/>
          <w:type w:val="continuous"/>
        </w:sectPr>
      </w:pP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8380" w:type="dxa"/>
            <w:vAlign w:val="bottom"/>
            <w:gridSpan w:val="2"/>
          </w:tcPr>
          <w:p>
            <w:pPr>
              <w:ind w:left="1680"/>
              <w:spacing w:after="0"/>
              <w:rPr>
                <w:sz w:val="20"/>
                <w:szCs w:val="20"/>
                <w:color w:val="auto"/>
              </w:rPr>
            </w:pPr>
            <w:r>
              <w:rPr>
                <w:rFonts w:ascii="Arial" w:cs="Arial" w:eastAsia="Arial" w:hAnsi="Arial"/>
                <w:sz w:val="14"/>
                <w:szCs w:val="14"/>
                <w:b w:val="1"/>
                <w:bCs w:val="1"/>
                <w:color w:val="C04C57"/>
              </w:rPr>
              <w:t>Regeneron Securities Beneficially Owned as of April 13, 2021:</w:t>
            </w:r>
          </w:p>
        </w:tc>
      </w:tr>
      <w:tr>
        <w:trPr>
          <w:trHeight w:val="326"/>
        </w:trPr>
        <w:tc>
          <w:tcPr>
            <w:tcW w:w="2860" w:type="dxa"/>
            <w:vAlign w:val="bottom"/>
          </w:tcPr>
          <w:p>
            <w:pPr>
              <w:spacing w:after="0"/>
              <w:rPr>
                <w:sz w:val="24"/>
                <w:szCs w:val="24"/>
                <w:color w:val="auto"/>
              </w:rPr>
            </w:pPr>
          </w:p>
        </w:tc>
        <w:tc>
          <w:tcPr>
            <w:tcW w:w="3000" w:type="dxa"/>
            <w:vAlign w:val="bottom"/>
          </w:tcPr>
          <w:p>
            <w:pPr>
              <w:ind w:left="1680"/>
              <w:spacing w:after="0"/>
              <w:rPr>
                <w:sz w:val="20"/>
                <w:szCs w:val="20"/>
                <w:color w:val="auto"/>
              </w:rPr>
            </w:pPr>
            <w:r>
              <w:rPr>
                <w:rFonts w:ascii="Arial" w:cs="Arial" w:eastAsia="Arial" w:hAnsi="Arial"/>
                <w:sz w:val="15"/>
                <w:szCs w:val="15"/>
                <w:color w:val="231F20"/>
              </w:rPr>
              <w:t>Common Stock:</w:t>
            </w:r>
          </w:p>
        </w:tc>
        <w:tc>
          <w:tcPr>
            <w:tcW w:w="5380" w:type="dxa"/>
            <w:vAlign w:val="bottom"/>
          </w:tcPr>
          <w:p>
            <w:pPr>
              <w:jc w:val="right"/>
              <w:ind w:right="4526"/>
              <w:spacing w:after="0"/>
              <w:rPr>
                <w:sz w:val="20"/>
                <w:szCs w:val="20"/>
                <w:color w:val="auto"/>
              </w:rPr>
            </w:pPr>
            <w:r>
              <w:rPr>
                <w:rFonts w:ascii="Arial" w:cs="Arial" w:eastAsia="Arial" w:hAnsi="Arial"/>
                <w:sz w:val="15"/>
                <w:szCs w:val="15"/>
                <w:b w:val="1"/>
                <w:bCs w:val="1"/>
                <w:color w:val="2952A4"/>
              </w:rPr>
              <w:t>636,427</w:t>
            </w:r>
          </w:p>
        </w:tc>
      </w:tr>
      <w:tr>
        <w:trPr>
          <w:trHeight w:val="324"/>
        </w:trPr>
        <w:tc>
          <w:tcPr>
            <w:tcW w:w="2860" w:type="dxa"/>
            <w:vAlign w:val="bottom"/>
          </w:tcPr>
          <w:p>
            <w:pPr>
              <w:spacing w:after="0"/>
              <w:rPr>
                <w:sz w:val="24"/>
                <w:szCs w:val="24"/>
                <w:color w:val="auto"/>
              </w:rPr>
            </w:pPr>
          </w:p>
        </w:tc>
        <w:tc>
          <w:tcPr>
            <w:tcW w:w="3000" w:type="dxa"/>
            <w:vAlign w:val="bottom"/>
          </w:tcPr>
          <w:p>
            <w:pPr>
              <w:ind w:left="1680"/>
              <w:spacing w:after="0"/>
              <w:rPr>
                <w:sz w:val="20"/>
                <w:szCs w:val="20"/>
                <w:color w:val="auto"/>
              </w:rPr>
            </w:pPr>
            <w:r>
              <w:rPr>
                <w:rFonts w:ascii="Arial" w:cs="Arial" w:eastAsia="Arial" w:hAnsi="Arial"/>
                <w:sz w:val="15"/>
                <w:szCs w:val="15"/>
                <w:color w:val="231F20"/>
              </w:rPr>
              <w:t>Options:</w:t>
            </w:r>
          </w:p>
        </w:tc>
        <w:tc>
          <w:tcPr>
            <w:tcW w:w="5380" w:type="dxa"/>
            <w:vAlign w:val="bottom"/>
          </w:tcPr>
          <w:p>
            <w:pPr>
              <w:jc w:val="right"/>
              <w:ind w:right="4526"/>
              <w:spacing w:after="0"/>
              <w:rPr>
                <w:sz w:val="20"/>
                <w:szCs w:val="20"/>
                <w:color w:val="auto"/>
              </w:rPr>
            </w:pPr>
            <w:r>
              <w:rPr>
                <w:rFonts w:ascii="Arial" w:cs="Arial" w:eastAsia="Arial" w:hAnsi="Arial"/>
                <w:sz w:val="15"/>
                <w:szCs w:val="15"/>
                <w:b w:val="1"/>
                <w:bCs w:val="1"/>
                <w:color w:val="2952A4"/>
              </w:rPr>
              <w:t>637,530</w:t>
            </w:r>
          </w:p>
        </w:tc>
      </w:tr>
      <w:tr>
        <w:trPr>
          <w:trHeight w:val="569"/>
        </w:trPr>
        <w:tc>
          <w:tcPr>
            <w:tcW w:w="2860" w:type="dxa"/>
            <w:vAlign w:val="bottom"/>
          </w:tcPr>
          <w:p>
            <w:pPr>
              <w:jc w:val="right"/>
              <w:ind w:right="1608"/>
              <w:spacing w:after="0"/>
              <w:rPr>
                <w:sz w:val="20"/>
                <w:szCs w:val="20"/>
                <w:color w:val="auto"/>
              </w:rPr>
            </w:pPr>
            <w:r>
              <w:rPr>
                <w:rFonts w:ascii="Arial" w:cs="Arial" w:eastAsia="Arial" w:hAnsi="Arial"/>
                <w:sz w:val="14"/>
                <w:szCs w:val="14"/>
                <w:b w:val="1"/>
                <w:bCs w:val="1"/>
                <w:color w:val="00A5EC"/>
              </w:rPr>
              <w:t xml:space="preserve">20  </w:t>
            </w:r>
            <w:r>
              <w:rPr>
                <w:rFonts w:ascii="Arial" w:cs="Arial" w:eastAsia="Arial" w:hAnsi="Arial"/>
                <w:sz w:val="14"/>
                <w:szCs w:val="14"/>
                <w:color w:val="00A5EC"/>
              </w:rPr>
              <w:t>/</w:t>
            </w:r>
          </w:p>
        </w:tc>
        <w:tc>
          <w:tcPr>
            <w:tcW w:w="8380" w:type="dxa"/>
            <w:vAlign w:val="bottom"/>
            <w:gridSpan w:val="2"/>
          </w:tcPr>
          <w:p>
            <w:pPr>
              <w:ind w:left="184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r>
      <w:tr>
        <w:trPr>
          <w:trHeight w:val="258"/>
        </w:trPr>
        <w:tc>
          <w:tcPr>
            <w:tcW w:w="2860" w:type="dxa"/>
            <w:vAlign w:val="bottom"/>
            <w:tcBorders>
              <w:bottom w:val="single" w:sz="8" w:color="C0C0C0"/>
            </w:tcBorders>
          </w:tcPr>
          <w:p>
            <w:pPr>
              <w:spacing w:after="0"/>
              <w:rPr>
                <w:sz w:val="22"/>
                <w:szCs w:val="22"/>
                <w:color w:val="auto"/>
              </w:rPr>
            </w:pPr>
          </w:p>
        </w:tc>
        <w:tc>
          <w:tcPr>
            <w:tcW w:w="3000" w:type="dxa"/>
            <w:vAlign w:val="bottom"/>
            <w:tcBorders>
              <w:bottom w:val="single" w:sz="8" w:color="C0C0C0"/>
            </w:tcBorders>
          </w:tcPr>
          <w:p>
            <w:pPr>
              <w:spacing w:after="0"/>
              <w:rPr>
                <w:sz w:val="22"/>
                <w:szCs w:val="22"/>
                <w:color w:val="auto"/>
              </w:rPr>
            </w:pPr>
          </w:p>
        </w:tc>
        <w:tc>
          <w:tcPr>
            <w:tcW w:w="53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31" w:name="page32"/>
    <w:bookmarkEnd w:id="31"/>
    <w:p>
      <w:pPr>
        <w:jc w:val="right"/>
        <w:ind w:right="1300"/>
        <w:spacing w:after="0"/>
        <w:rPr>
          <w:sz w:val="20"/>
          <w:szCs w:val="20"/>
          <w:color w:val="auto"/>
        </w:rPr>
      </w:pPr>
      <w:r>
        <w:rPr>
          <w:rFonts w:ascii="Arial" w:cs="Arial" w:eastAsia="Arial" w:hAnsi="Arial"/>
          <w:sz w:val="16"/>
          <w:szCs w:val="16"/>
          <w:b w:val="1"/>
          <w:bCs w:val="1"/>
          <w:color w:val="2952A4"/>
        </w:rPr>
        <w:t xml:space="preserve">BOARD OF DIRECTORS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554990</wp:posOffset>
            </wp:positionV>
            <wp:extent cx="5083175" cy="3086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0831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FFFFFF"/>
        </w:rPr>
        <w:t>HUDA Y. ZOGHBI, M.D.</w:t>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Director since: </w:t>
      </w:r>
      <w:r>
        <w:rPr>
          <w:rFonts w:ascii="Arial" w:cs="Arial" w:eastAsia="Arial" w:hAnsi="Arial"/>
          <w:sz w:val="15"/>
          <w:szCs w:val="15"/>
          <w:color w:val="2952A4"/>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-1564005</wp:posOffset>
            </wp:positionV>
            <wp:extent cx="1080135" cy="10801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37"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 xml:space="preserve">Age: </w:t>
      </w:r>
      <w:r>
        <w:rPr>
          <w:rFonts w:ascii="Arial" w:cs="Arial" w:eastAsia="Arial" w:hAnsi="Arial"/>
          <w:sz w:val="15"/>
          <w:szCs w:val="15"/>
          <w:color w:val="2952A4"/>
        </w:rPr>
        <w:t>66</w:t>
      </w:r>
    </w:p>
    <w:p>
      <w:pPr>
        <w:spacing w:after="0" w:line="71"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Independent</w:t>
      </w:r>
    </w:p>
    <w:p>
      <w:pPr>
        <w:spacing w:after="0" w:line="206"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2952A4"/>
        </w:rPr>
        <w:t>Scientific Society Memberships:</w:t>
      </w:r>
    </w:p>
    <w:p>
      <w:pPr>
        <w:spacing w:after="0" w:line="102" w:lineRule="exact"/>
        <w:rPr>
          <w:sz w:val="20"/>
          <w:szCs w:val="20"/>
          <w:color w:val="auto"/>
        </w:rPr>
      </w:pPr>
    </w:p>
    <w:p>
      <w:pPr>
        <w:ind w:left="1740" w:right="520" w:hanging="166"/>
        <w:spacing w:after="0" w:line="236" w:lineRule="auto"/>
        <w:tabs>
          <w:tab w:leader="none" w:pos="1740" w:val="left"/>
        </w:tabs>
        <w:numPr>
          <w:ilvl w:val="0"/>
          <w:numId w:val="28"/>
        </w:numPr>
        <w:rPr>
          <w:rFonts w:ascii="Arial" w:cs="Arial" w:eastAsia="Arial" w:hAnsi="Arial"/>
          <w:sz w:val="15"/>
          <w:szCs w:val="15"/>
          <w:color w:val="2952A4"/>
        </w:rPr>
      </w:pPr>
      <w:r>
        <w:rPr>
          <w:rFonts w:ascii="Arial" w:cs="Arial" w:eastAsia="Arial" w:hAnsi="Arial"/>
          <w:sz w:val="15"/>
          <w:szCs w:val="15"/>
          <w:color w:val="231F20"/>
        </w:rPr>
        <w:t>The National Academy of Sciences</w:t>
      </w:r>
    </w:p>
    <w:p>
      <w:pPr>
        <w:spacing w:after="0" w:line="52" w:lineRule="exact"/>
        <w:rPr>
          <w:rFonts w:ascii="Arial" w:cs="Arial" w:eastAsia="Arial" w:hAnsi="Arial"/>
          <w:sz w:val="15"/>
          <w:szCs w:val="15"/>
          <w:color w:val="2952A4"/>
        </w:rPr>
      </w:pPr>
    </w:p>
    <w:p>
      <w:pPr>
        <w:ind w:left="1740" w:hanging="166"/>
        <w:spacing w:after="0"/>
        <w:tabs>
          <w:tab w:leader="none" w:pos="1740" w:val="left"/>
        </w:tabs>
        <w:numPr>
          <w:ilvl w:val="0"/>
          <w:numId w:val="28"/>
        </w:numPr>
        <w:rPr>
          <w:rFonts w:ascii="Arial" w:cs="Arial" w:eastAsia="Arial" w:hAnsi="Arial"/>
          <w:sz w:val="15"/>
          <w:szCs w:val="15"/>
          <w:color w:val="2952A4"/>
        </w:rPr>
      </w:pPr>
      <w:r>
        <w:rPr>
          <w:rFonts w:ascii="Arial" w:cs="Arial" w:eastAsia="Arial" w:hAnsi="Arial"/>
          <w:sz w:val="15"/>
          <w:szCs w:val="15"/>
          <w:color w:val="auto"/>
        </w:rPr>
        <w:t>The Institute of Medicine</w:t>
      </w:r>
    </w:p>
    <w:p>
      <w:pPr>
        <w:spacing w:after="0" w:line="57" w:lineRule="exact"/>
        <w:rPr>
          <w:rFonts w:ascii="Arial" w:cs="Arial" w:eastAsia="Arial" w:hAnsi="Arial"/>
          <w:sz w:val="15"/>
          <w:szCs w:val="15"/>
          <w:color w:val="2952A4"/>
        </w:rPr>
      </w:pPr>
    </w:p>
    <w:p>
      <w:pPr>
        <w:ind w:left="1740" w:hanging="166"/>
        <w:spacing w:after="0" w:line="236" w:lineRule="auto"/>
        <w:tabs>
          <w:tab w:leader="none" w:pos="1740" w:val="left"/>
        </w:tabs>
        <w:numPr>
          <w:ilvl w:val="0"/>
          <w:numId w:val="28"/>
        </w:numPr>
        <w:rPr>
          <w:rFonts w:ascii="Arial" w:cs="Arial" w:eastAsia="Arial" w:hAnsi="Arial"/>
          <w:sz w:val="15"/>
          <w:szCs w:val="15"/>
          <w:color w:val="2952A4"/>
        </w:rPr>
      </w:pPr>
      <w:r>
        <w:rPr>
          <w:rFonts w:ascii="Arial" w:cs="Arial" w:eastAsia="Arial" w:hAnsi="Arial"/>
          <w:sz w:val="15"/>
          <w:szCs w:val="15"/>
          <w:color w:val="auto"/>
        </w:rPr>
        <w:t>The American Association for the Advancement of Science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Experience and Qualifications</w:t>
      </w:r>
    </w:p>
    <w:p>
      <w:pPr>
        <w:spacing w:after="0" w:line="177" w:lineRule="exact"/>
        <w:rPr>
          <w:sz w:val="20"/>
          <w:szCs w:val="20"/>
          <w:color w:val="auto"/>
        </w:rPr>
      </w:pPr>
    </w:p>
    <w:p>
      <w:pPr>
        <w:ind w:right="1700"/>
        <w:spacing w:after="0" w:line="227" w:lineRule="auto"/>
        <w:rPr>
          <w:sz w:val="20"/>
          <w:szCs w:val="20"/>
          <w:color w:val="auto"/>
        </w:rPr>
      </w:pPr>
      <w:r>
        <w:rPr>
          <w:rFonts w:ascii="Arial" w:cs="Arial" w:eastAsia="Arial" w:hAnsi="Arial"/>
          <w:sz w:val="15"/>
          <w:szCs w:val="15"/>
          <w:color w:val="231F20"/>
        </w:rPr>
        <w:t>Dr. Zoghbi is currently a professor in the departments of Pediatrics, Molecular and Human Genetics, and Neurology and Neuroscience at Baylor College of Medicine, the director of the Jan and Dan Duncan Neurological Research Institute at Texas Children's Hospital, and an investigator of the Howard Hughes Medical Institute. She has been elected to the National Academy of Sciences, the Institute of Medicine, and the American Association for the Advancement of Science, and has been awarded numerous recognitions for her work, including the Pearl Meister Greengard Prize, the March of Dimes Prize in Developmental Biology, and the Vanderbilt Prize in Biomedical Science.</w:t>
      </w:r>
    </w:p>
    <w:p>
      <w:pPr>
        <w:spacing w:after="0" w:line="151" w:lineRule="exact"/>
        <w:rPr>
          <w:sz w:val="20"/>
          <w:szCs w:val="20"/>
          <w:color w:val="auto"/>
        </w:rPr>
      </w:pPr>
    </w:p>
    <w:p>
      <w:pPr>
        <w:ind w:right="1660"/>
        <w:spacing w:after="0" w:line="229" w:lineRule="auto"/>
        <w:rPr>
          <w:sz w:val="20"/>
          <w:szCs w:val="20"/>
          <w:color w:val="auto"/>
        </w:rPr>
      </w:pPr>
      <w:r>
        <w:rPr>
          <w:rFonts w:ascii="Arial" w:cs="Arial" w:eastAsia="Arial" w:hAnsi="Arial"/>
          <w:sz w:val="15"/>
          <w:szCs w:val="15"/>
          <w:color w:val="231F20"/>
        </w:rPr>
        <w:t>Dr. Zoghbi earned her B.Sc. from the American University of Beirut, received her M.D. from Meharry Medical College in Nashville, Tennessee, and completed her pediatrics residency and a joint residency in neurology and pediatric neurology at Baylor College of Medicine, where she then pursued postdoctoral research training in molecular genetics.</w:t>
      </w:r>
    </w:p>
    <w:p>
      <w:pPr>
        <w:spacing w:after="0" w:line="149" w:lineRule="exact"/>
        <w:rPr>
          <w:sz w:val="20"/>
          <w:szCs w:val="20"/>
          <w:color w:val="auto"/>
        </w:rPr>
      </w:pPr>
    </w:p>
    <w:p>
      <w:pPr>
        <w:ind w:right="1740"/>
        <w:spacing w:after="0" w:line="233" w:lineRule="auto"/>
        <w:rPr>
          <w:sz w:val="20"/>
          <w:szCs w:val="20"/>
          <w:color w:val="auto"/>
        </w:rPr>
      </w:pPr>
      <w:r>
        <w:rPr>
          <w:rFonts w:ascii="Arial" w:cs="Arial" w:eastAsia="Arial" w:hAnsi="Arial"/>
          <w:sz w:val="15"/>
          <w:szCs w:val="15"/>
          <w:color w:val="231F20"/>
        </w:rPr>
        <w:t>Dr. Zoghbi’s extensive research experience and her scientific and academic career and accomplishments led the board to conclude that Dr. Zoghbi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Board and Committee Membership—2020 Attendance: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80" w:type="dxa"/>
            <w:vAlign w:val="bottom"/>
          </w:tcPr>
          <w:p>
            <w:pPr>
              <w:spacing w:after="0"/>
              <w:rPr>
                <w:sz w:val="20"/>
                <w:szCs w:val="20"/>
                <w:color w:val="auto"/>
              </w:rPr>
            </w:pPr>
            <w:r>
              <w:rPr>
                <w:rFonts w:ascii="Arial" w:cs="Arial" w:eastAsia="Arial" w:hAnsi="Arial"/>
                <w:sz w:val="15"/>
                <w:szCs w:val="15"/>
                <w:color w:val="231F20"/>
              </w:rPr>
              <w:t>Board of Directors:</w:t>
            </w:r>
          </w:p>
        </w:tc>
        <w:tc>
          <w:tcPr>
            <w:tcW w:w="780" w:type="dxa"/>
            <w:vAlign w:val="bottom"/>
          </w:tcPr>
          <w:p>
            <w:pPr>
              <w:ind w:left="420"/>
              <w:spacing w:after="0"/>
              <w:rPr>
                <w:sz w:val="20"/>
                <w:szCs w:val="20"/>
                <w:color w:val="auto"/>
              </w:rPr>
            </w:pPr>
            <w:r>
              <w:rPr>
                <w:rFonts w:ascii="Arial" w:cs="Arial" w:eastAsia="Arial" w:hAnsi="Arial"/>
                <w:sz w:val="15"/>
                <w:szCs w:val="15"/>
                <w:b w:val="1"/>
                <w:bCs w:val="1"/>
                <w:color w:val="2952A4"/>
              </w:rPr>
              <w:t>9/11</w:t>
            </w:r>
          </w:p>
        </w:tc>
      </w:tr>
      <w:tr>
        <w:trPr>
          <w:trHeight w:val="324"/>
        </w:trPr>
        <w:tc>
          <w:tcPr>
            <w:tcW w:w="2180" w:type="dxa"/>
            <w:vAlign w:val="bottom"/>
          </w:tcPr>
          <w:p>
            <w:pPr>
              <w:spacing w:after="0"/>
              <w:rPr>
                <w:sz w:val="20"/>
                <w:szCs w:val="20"/>
                <w:color w:val="auto"/>
              </w:rPr>
            </w:pPr>
            <w:r>
              <w:rPr>
                <w:rFonts w:ascii="Arial" w:cs="Arial" w:eastAsia="Arial" w:hAnsi="Arial"/>
                <w:sz w:val="15"/>
                <w:szCs w:val="15"/>
                <w:color w:val="231F20"/>
              </w:rPr>
              <w:t>Compensation Committee:</w:t>
            </w:r>
          </w:p>
        </w:tc>
        <w:tc>
          <w:tcPr>
            <w:tcW w:w="780" w:type="dxa"/>
            <w:vAlign w:val="bottom"/>
          </w:tcPr>
          <w:p>
            <w:pPr>
              <w:ind w:left="420"/>
              <w:spacing w:after="0"/>
              <w:rPr>
                <w:sz w:val="20"/>
                <w:szCs w:val="20"/>
                <w:color w:val="auto"/>
              </w:rPr>
            </w:pPr>
            <w:r>
              <w:rPr>
                <w:rFonts w:ascii="Arial" w:cs="Arial" w:eastAsia="Arial" w:hAnsi="Arial"/>
                <w:sz w:val="15"/>
                <w:szCs w:val="15"/>
                <w:b w:val="1"/>
                <w:bCs w:val="1"/>
                <w:color w:val="2952A4"/>
                <w:w w:val="90"/>
              </w:rPr>
              <w:t>11/13</w:t>
            </w:r>
          </w:p>
        </w:tc>
      </w:tr>
      <w:tr>
        <w:trPr>
          <w:trHeight w:val="324"/>
        </w:trPr>
        <w:tc>
          <w:tcPr>
            <w:tcW w:w="2180" w:type="dxa"/>
            <w:vAlign w:val="bottom"/>
          </w:tcPr>
          <w:p>
            <w:pPr>
              <w:spacing w:after="0"/>
              <w:rPr>
                <w:sz w:val="20"/>
                <w:szCs w:val="20"/>
                <w:color w:val="auto"/>
              </w:rPr>
            </w:pPr>
            <w:r>
              <w:rPr>
                <w:rFonts w:ascii="Arial" w:cs="Arial" w:eastAsia="Arial" w:hAnsi="Arial"/>
                <w:sz w:val="15"/>
                <w:szCs w:val="15"/>
                <w:color w:val="auto"/>
              </w:rPr>
              <w:t>Technology Committee:</w:t>
            </w:r>
          </w:p>
        </w:tc>
        <w:tc>
          <w:tcPr>
            <w:tcW w:w="780" w:type="dxa"/>
            <w:vAlign w:val="bottom"/>
          </w:tcPr>
          <w:p>
            <w:pPr>
              <w:ind w:left="420"/>
              <w:spacing w:after="0"/>
              <w:rPr>
                <w:sz w:val="20"/>
                <w:szCs w:val="20"/>
                <w:color w:val="auto"/>
              </w:rPr>
            </w:pPr>
            <w:r>
              <w:rPr>
                <w:rFonts w:ascii="Arial" w:cs="Arial" w:eastAsia="Arial" w:hAnsi="Arial"/>
                <w:sz w:val="15"/>
                <w:szCs w:val="15"/>
                <w:b w:val="1"/>
                <w:bCs w:val="1"/>
                <w:color w:val="2952A4"/>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31972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C04C57"/>
        </w:rPr>
        <w:t>Prior Voting Results—2020:</w:t>
      </w:r>
    </w:p>
    <w:p>
      <w:pPr>
        <w:spacing w:after="0" w:line="159"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For:</w:t>
      </w:r>
      <w:r>
        <w:rPr>
          <w:sz w:val="20"/>
          <w:szCs w:val="20"/>
          <w:color w:val="auto"/>
        </w:rPr>
        <w:tab/>
      </w:r>
      <w:r>
        <w:rPr>
          <w:rFonts w:ascii="Arial" w:cs="Arial" w:eastAsia="Arial" w:hAnsi="Arial"/>
          <w:sz w:val="15"/>
          <w:szCs w:val="15"/>
          <w:b w:val="1"/>
          <w:bCs w:val="1"/>
          <w:color w:val="2952A4"/>
        </w:rPr>
        <w:t>95.6%</w:t>
      </w:r>
    </w:p>
    <w:p>
      <w:pPr>
        <w:spacing w:after="0" w:line="152"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231F20"/>
        </w:rPr>
        <w:t>Against:</w:t>
      </w:r>
      <w:r>
        <w:rPr>
          <w:sz w:val="20"/>
          <w:szCs w:val="20"/>
          <w:color w:val="auto"/>
        </w:rPr>
        <w:tab/>
      </w:r>
      <w:r>
        <w:rPr>
          <w:rFonts w:ascii="Arial" w:cs="Arial" w:eastAsia="Arial" w:hAnsi="Arial"/>
          <w:sz w:val="15"/>
          <w:szCs w:val="15"/>
          <w:b w:val="1"/>
          <w:bCs w:val="1"/>
          <w:color w:val="2952A4"/>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31972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600"/>
            <w:col w:w="6700"/>
          </w:cols>
          <w:pgMar w:left="320" w:top="405" w:right="339" w:bottom="1440" w:gutter="0" w:footer="0" w:header="0"/>
          <w:type w:val="continuous"/>
        </w:sectPr>
      </w:pPr>
    </w:p>
    <w:p>
      <w:pPr>
        <w:spacing w:after="0" w:line="131"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C04C57"/>
        </w:rPr>
        <w:t>Regeneron Securities Beneficially Owned as of April 13,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ind w:left="4540"/>
              <w:spacing w:after="0"/>
              <w:rPr>
                <w:sz w:val="20"/>
                <w:szCs w:val="20"/>
                <w:color w:val="auto"/>
              </w:rPr>
            </w:pPr>
            <w:r>
              <w:rPr>
                <w:rFonts w:ascii="Arial" w:cs="Arial" w:eastAsia="Arial" w:hAnsi="Arial"/>
                <w:sz w:val="15"/>
                <w:szCs w:val="15"/>
                <w:color w:val="231F20"/>
              </w:rPr>
              <w:t>Common Stock:</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0</w:t>
            </w:r>
          </w:p>
        </w:tc>
      </w:tr>
      <w:tr>
        <w:trPr>
          <w:trHeight w:val="324"/>
        </w:trPr>
        <w:tc>
          <w:tcPr>
            <w:tcW w:w="6060" w:type="dxa"/>
            <w:vAlign w:val="bottom"/>
          </w:tcPr>
          <w:p>
            <w:pPr>
              <w:ind w:left="4540"/>
              <w:spacing w:after="0"/>
              <w:rPr>
                <w:sz w:val="20"/>
                <w:szCs w:val="20"/>
                <w:color w:val="auto"/>
              </w:rPr>
            </w:pPr>
            <w:r>
              <w:rPr>
                <w:rFonts w:ascii="Arial" w:cs="Arial" w:eastAsia="Arial" w:hAnsi="Arial"/>
                <w:sz w:val="15"/>
                <w:szCs w:val="15"/>
                <w:color w:val="231F20"/>
              </w:rPr>
              <w:t>Options:</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24,703</w:t>
            </w:r>
          </w:p>
        </w:tc>
      </w:tr>
      <w:tr>
        <w:trPr>
          <w:trHeight w:val="324"/>
        </w:trPr>
        <w:tc>
          <w:tcPr>
            <w:tcW w:w="6060" w:type="dxa"/>
            <w:vAlign w:val="bottom"/>
          </w:tcPr>
          <w:p>
            <w:pPr>
              <w:ind w:left="4540"/>
              <w:spacing w:after="0"/>
              <w:rPr>
                <w:sz w:val="20"/>
                <w:szCs w:val="20"/>
                <w:color w:val="auto"/>
              </w:rPr>
            </w:pPr>
            <w:r>
              <w:rPr>
                <w:rFonts w:ascii="Arial" w:cs="Arial" w:eastAsia="Arial" w:hAnsi="Arial"/>
                <w:sz w:val="15"/>
                <w:szCs w:val="15"/>
                <w:color w:val="231F20"/>
              </w:rPr>
              <w:t>RSUs:</w:t>
            </w:r>
          </w:p>
        </w:tc>
        <w:tc>
          <w:tcPr>
            <w:tcW w:w="5180" w:type="dxa"/>
            <w:vAlign w:val="bottom"/>
          </w:tcPr>
          <w:p>
            <w:pPr>
              <w:ind w:left="60"/>
              <w:spacing w:after="0"/>
              <w:rPr>
                <w:sz w:val="20"/>
                <w:szCs w:val="20"/>
                <w:color w:val="auto"/>
              </w:rPr>
            </w:pPr>
            <w:r>
              <w:rPr>
                <w:rFonts w:ascii="Arial" w:cs="Arial" w:eastAsia="Arial" w:hAnsi="Arial"/>
                <w:sz w:val="15"/>
                <w:szCs w:val="15"/>
                <w:b w:val="1"/>
                <w:bCs w:val="1"/>
                <w:color w:val="2952A4"/>
              </w:rPr>
              <w:t>750</w:t>
            </w:r>
          </w:p>
        </w:tc>
      </w:tr>
      <w:tr>
        <w:trPr>
          <w:trHeight w:val="407"/>
        </w:trPr>
        <w:tc>
          <w:tcPr>
            <w:tcW w:w="6060" w:type="dxa"/>
            <w:vAlign w:val="bottom"/>
          </w:tcPr>
          <w:p>
            <w:pPr>
              <w:ind w:left="22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5180" w:type="dxa"/>
            <w:vAlign w:val="bottom"/>
          </w:tcPr>
          <w:p>
            <w:pPr>
              <w:jc w:val="right"/>
              <w:ind w:right="146"/>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21</w:t>
            </w:r>
          </w:p>
        </w:tc>
      </w:tr>
      <w:tr>
        <w:trPr>
          <w:trHeight w:val="258"/>
        </w:trPr>
        <w:tc>
          <w:tcPr>
            <w:tcW w:w="6060" w:type="dxa"/>
            <w:vAlign w:val="bottom"/>
            <w:tcBorders>
              <w:bottom w:val="single" w:sz="8" w:color="C0C0C0"/>
            </w:tcBorders>
          </w:tcPr>
          <w:p>
            <w:pPr>
              <w:spacing w:after="0"/>
              <w:rPr>
                <w:sz w:val="22"/>
                <w:szCs w:val="22"/>
                <w:color w:val="auto"/>
              </w:rPr>
            </w:pPr>
          </w:p>
        </w:tc>
        <w:tc>
          <w:tcPr>
            <w:tcW w:w="51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32" w:name="page33"/>
    <w:bookmarkEnd w:id="32"/>
    <w:p>
      <w:pPr>
        <w:ind w:left="540"/>
        <w:spacing w:after="0"/>
        <w:rPr>
          <w:sz w:val="20"/>
          <w:szCs w:val="20"/>
          <w:color w:val="auto"/>
        </w:rPr>
      </w:pPr>
      <w:r>
        <w:rPr>
          <w:rFonts w:ascii="Arial" w:cs="Arial" w:eastAsia="Arial" w:hAnsi="Arial"/>
          <w:sz w:val="68"/>
          <w:szCs w:val="68"/>
          <w:b w:val="1"/>
          <w:bCs w:val="1"/>
          <w:color w:val="205BA8"/>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131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11910"/>
                    </a:xfrm>
                    <a:prstGeom prst="rect">
                      <a:avLst/>
                    </a:prstGeom>
                    <a:noFill/>
                  </pic:spPr>
                </pic:pic>
              </a:graphicData>
            </a:graphic>
          </wp:anchor>
        </w:drawing>
        <w:t>BOARD COMMITTEES</w:t>
      </w:r>
    </w:p>
    <w:p>
      <w:pPr>
        <w:spacing w:after="0" w:line="200" w:lineRule="exact"/>
        <w:rPr>
          <w:sz w:val="20"/>
          <w:szCs w:val="20"/>
          <w:color w:val="auto"/>
        </w:rPr>
      </w:pPr>
    </w:p>
    <w:p>
      <w:pPr>
        <w:spacing w:after="0" w:line="341" w:lineRule="exact"/>
        <w:rPr>
          <w:sz w:val="20"/>
          <w:szCs w:val="20"/>
          <w:color w:val="auto"/>
        </w:rPr>
      </w:pPr>
    </w:p>
    <w:p>
      <w:pPr>
        <w:ind w:left="640" w:right="560"/>
        <w:spacing w:after="0" w:line="230" w:lineRule="auto"/>
        <w:rPr>
          <w:sz w:val="20"/>
          <w:szCs w:val="20"/>
          <w:color w:val="auto"/>
        </w:rPr>
      </w:pPr>
      <w:r>
        <w:rPr>
          <w:rFonts w:ascii="Arial" w:cs="Arial" w:eastAsia="Arial" w:hAnsi="Arial"/>
          <w:sz w:val="15"/>
          <w:szCs w:val="15"/>
          <w:color w:val="auto"/>
        </w:rPr>
        <w:t xml:space="preserve">The board has a standing Audit Committee, Compensation Committee, and Corporate Governance and Compliance Committee, each of which is comprised entirely of independent directors. The Corporate Governance and Compliance Committee is responsible for reviewing and recommending for the board’s selection candidates to serve on our board of directors and for overseeing all aspects of the Company’s compliance program other than financial compliance. The board also has a standing Technology Committee. The board has adopted charters for the Audit Committee, Compensation Committee, Corporate Governance and Compliance Committee, and Technology Committee, current copies of which are available on our website at </w:t>
      </w:r>
      <w:r>
        <w:rPr>
          <w:rFonts w:ascii="Arial" w:cs="Arial" w:eastAsia="Arial" w:hAnsi="Arial"/>
          <w:sz w:val="15"/>
          <w:szCs w:val="15"/>
          <w:b w:val="1"/>
          <w:bCs w:val="1"/>
          <w:color w:val="auto"/>
        </w:rPr>
        <w:t>www.regeneron.com</w:t>
      </w:r>
      <w:r>
        <w:rPr>
          <w:rFonts w:ascii="Arial" w:cs="Arial" w:eastAsia="Arial" w:hAnsi="Arial"/>
          <w:sz w:val="15"/>
          <w:szCs w:val="15"/>
          <w:color w:val="auto"/>
        </w:rPr>
        <w:t xml:space="preserve"> under the “Corporate Governance” heading on the “Investors &amp; Media” page.</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We show below information on the membership, key functions, and number of meetings of each board committee during 2020.</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25"/>
          <w:szCs w:val="25"/>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-179705</wp:posOffset>
            </wp:positionV>
            <wp:extent cx="6386195" cy="2228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86195" cy="22288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gridSpan w:val="2"/>
          </w:tcPr>
          <w:p>
            <w:pPr>
              <w:ind w:left="640"/>
              <w:spacing w:after="0"/>
              <w:rPr>
                <w:sz w:val="20"/>
                <w:szCs w:val="20"/>
                <w:color w:val="auto"/>
              </w:rPr>
            </w:pPr>
            <w:r>
              <w:rPr>
                <w:rFonts w:ascii="Arial" w:cs="Arial" w:eastAsia="Arial" w:hAnsi="Arial"/>
                <w:sz w:val="14"/>
                <w:szCs w:val="14"/>
                <w:b w:val="1"/>
                <w:bCs w:val="1"/>
                <w:color w:val="C44E5E"/>
              </w:rPr>
              <w:t>Members</w:t>
            </w:r>
          </w:p>
        </w:tc>
        <w:tc>
          <w:tcPr>
            <w:tcW w:w="7560" w:type="dxa"/>
            <w:vAlign w:val="bottom"/>
            <w:gridSpan w:val="2"/>
          </w:tcPr>
          <w:p>
            <w:pPr>
              <w:ind w:left="800"/>
              <w:spacing w:after="0"/>
              <w:rPr>
                <w:sz w:val="20"/>
                <w:szCs w:val="20"/>
                <w:color w:val="auto"/>
              </w:rPr>
            </w:pPr>
            <w:r>
              <w:rPr>
                <w:rFonts w:ascii="Arial" w:cs="Arial" w:eastAsia="Arial" w:hAnsi="Arial"/>
                <w:sz w:val="14"/>
                <w:szCs w:val="14"/>
                <w:b w:val="1"/>
                <w:bCs w:val="1"/>
                <w:color w:val="C44E5E"/>
              </w:rPr>
              <w:t>Key Functions</w:t>
            </w:r>
          </w:p>
        </w:tc>
        <w:tc>
          <w:tcPr>
            <w:tcW w:w="0" w:type="dxa"/>
            <w:vAlign w:val="bottom"/>
          </w:tcPr>
          <w:p>
            <w:pPr>
              <w:spacing w:after="0"/>
              <w:rPr>
                <w:sz w:val="1"/>
                <w:szCs w:val="1"/>
                <w:color w:val="auto"/>
              </w:rPr>
            </w:pPr>
          </w:p>
        </w:tc>
      </w:tr>
      <w:tr>
        <w:trPr>
          <w:trHeight w:val="229"/>
        </w:trPr>
        <w:tc>
          <w:tcPr>
            <w:tcW w:w="3680" w:type="dxa"/>
            <w:vAlign w:val="bottom"/>
            <w:gridSpan w:val="2"/>
          </w:tcPr>
          <w:p>
            <w:pPr>
              <w:ind w:left="640"/>
              <w:spacing w:after="0"/>
              <w:rPr>
                <w:sz w:val="20"/>
                <w:szCs w:val="20"/>
                <w:color w:val="auto"/>
              </w:rPr>
            </w:pPr>
            <w:r>
              <w:rPr>
                <w:rFonts w:ascii="Arial" w:cs="Arial" w:eastAsia="Arial" w:hAnsi="Arial"/>
                <w:sz w:val="14"/>
                <w:szCs w:val="14"/>
                <w:color w:val="205BA8"/>
              </w:rPr>
              <w:t xml:space="preserve">George L. Sing, </w:t>
            </w:r>
            <w:r>
              <w:rPr>
                <w:rFonts w:ascii="Arial" w:cs="Arial" w:eastAsia="Arial" w:hAnsi="Arial"/>
                <w:sz w:val="14"/>
                <w:szCs w:val="14"/>
                <w:i w:val="1"/>
                <w:iCs w:val="1"/>
                <w:color w:val="205BA8"/>
              </w:rPr>
              <w:t>Chairman</w:t>
            </w:r>
          </w:p>
        </w:tc>
        <w:tc>
          <w:tcPr>
            <w:tcW w:w="7560" w:type="dxa"/>
            <w:vAlign w:val="bottom"/>
            <w:gridSpan w:val="2"/>
          </w:tcPr>
          <w:p>
            <w:pPr>
              <w:ind w:left="8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Select the independent registered public accounting firm, review and approve its</w:t>
            </w:r>
          </w:p>
        </w:tc>
        <w:tc>
          <w:tcPr>
            <w:tcW w:w="0" w:type="dxa"/>
            <w:vAlign w:val="bottom"/>
          </w:tcPr>
          <w:p>
            <w:pPr>
              <w:spacing w:after="0"/>
              <w:rPr>
                <w:sz w:val="1"/>
                <w:szCs w:val="1"/>
                <w:color w:val="auto"/>
              </w:rPr>
            </w:pPr>
          </w:p>
        </w:tc>
      </w:tr>
      <w:tr>
        <w:trPr>
          <w:trHeight w:val="166"/>
        </w:trPr>
        <w:tc>
          <w:tcPr>
            <w:tcW w:w="3680" w:type="dxa"/>
            <w:vAlign w:val="bottom"/>
            <w:gridSpan w:val="2"/>
          </w:tcPr>
          <w:p>
            <w:pPr>
              <w:ind w:left="640"/>
              <w:spacing w:after="0"/>
              <w:rPr>
                <w:sz w:val="20"/>
                <w:szCs w:val="20"/>
                <w:color w:val="auto"/>
              </w:rPr>
            </w:pPr>
            <w:r>
              <w:rPr>
                <w:rFonts w:ascii="Arial" w:cs="Arial" w:eastAsia="Arial" w:hAnsi="Arial"/>
                <w:sz w:val="14"/>
                <w:szCs w:val="14"/>
                <w:color w:val="205BA8"/>
              </w:rPr>
              <w:t>N. Anthony Coles, M.D.</w:t>
            </w:r>
          </w:p>
        </w:tc>
        <w:tc>
          <w:tcPr>
            <w:tcW w:w="7560" w:type="dxa"/>
            <w:vAlign w:val="bottom"/>
            <w:gridSpan w:val="2"/>
          </w:tcPr>
          <w:p>
            <w:pPr>
              <w:ind w:left="980"/>
              <w:spacing w:after="0" w:line="167" w:lineRule="exact"/>
              <w:rPr>
                <w:sz w:val="20"/>
                <w:szCs w:val="20"/>
                <w:color w:val="auto"/>
              </w:rPr>
            </w:pPr>
            <w:r>
              <w:rPr>
                <w:rFonts w:ascii="Arial" w:cs="Arial" w:eastAsia="Arial" w:hAnsi="Arial"/>
                <w:sz w:val="15"/>
                <w:szCs w:val="15"/>
                <w:color w:val="auto"/>
              </w:rPr>
              <w:t>engagement letter, and monitor its independence and performance.</w:t>
            </w:r>
          </w:p>
        </w:tc>
        <w:tc>
          <w:tcPr>
            <w:tcW w:w="0" w:type="dxa"/>
            <w:vAlign w:val="bottom"/>
          </w:tcPr>
          <w:p>
            <w:pPr>
              <w:spacing w:after="0"/>
              <w:rPr>
                <w:sz w:val="1"/>
                <w:szCs w:val="1"/>
                <w:color w:val="auto"/>
              </w:rPr>
            </w:pPr>
          </w:p>
        </w:tc>
      </w:tr>
      <w:tr>
        <w:trPr>
          <w:trHeight w:val="172"/>
        </w:trPr>
        <w:tc>
          <w:tcPr>
            <w:tcW w:w="3680" w:type="dxa"/>
            <w:vAlign w:val="bottom"/>
            <w:gridSpan w:val="2"/>
          </w:tcPr>
          <w:p>
            <w:pPr>
              <w:ind w:left="640"/>
              <w:spacing w:after="0"/>
              <w:rPr>
                <w:sz w:val="20"/>
                <w:szCs w:val="20"/>
                <w:color w:val="auto"/>
              </w:rPr>
            </w:pPr>
            <w:r>
              <w:rPr>
                <w:rFonts w:ascii="Arial" w:cs="Arial" w:eastAsia="Arial" w:hAnsi="Arial"/>
                <w:sz w:val="14"/>
                <w:szCs w:val="14"/>
                <w:color w:val="205BA8"/>
              </w:rPr>
              <w:t>Arthur F. Ryan</w:t>
            </w:r>
          </w:p>
        </w:tc>
        <w:tc>
          <w:tcPr>
            <w:tcW w:w="7560" w:type="dxa"/>
            <w:vAlign w:val="bottom"/>
            <w:gridSpan w:val="2"/>
            <w:vMerge w:val="restart"/>
          </w:tcPr>
          <w:p>
            <w:pPr>
              <w:ind w:left="8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Review the overall scope and plans for the annual audit by the independent registered</w:t>
            </w:r>
          </w:p>
        </w:tc>
        <w:tc>
          <w:tcPr>
            <w:tcW w:w="0" w:type="dxa"/>
            <w:vAlign w:val="bottom"/>
          </w:tcPr>
          <w:p>
            <w:pPr>
              <w:spacing w:after="0"/>
              <w:rPr>
                <w:sz w:val="1"/>
                <w:szCs w:val="1"/>
                <w:color w:val="auto"/>
              </w:rPr>
            </w:pPr>
          </w:p>
        </w:tc>
      </w:tr>
      <w:tr>
        <w:trPr>
          <w:trHeight w:val="53"/>
        </w:trPr>
        <w:tc>
          <w:tcPr>
            <w:tcW w:w="368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C44E5E"/>
              </w:rPr>
              <w:t>Number of Meetings Held in 2020</w:t>
            </w:r>
          </w:p>
        </w:tc>
        <w:tc>
          <w:tcPr>
            <w:tcW w:w="7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680" w:type="dxa"/>
            <w:vAlign w:val="bottom"/>
            <w:gridSpan w:val="2"/>
            <w:vMerge w:val="continue"/>
          </w:tcPr>
          <w:p>
            <w:pPr>
              <w:spacing w:after="0"/>
              <w:rPr>
                <w:sz w:val="15"/>
                <w:szCs w:val="15"/>
                <w:color w:val="auto"/>
              </w:rPr>
            </w:pPr>
          </w:p>
        </w:tc>
        <w:tc>
          <w:tcPr>
            <w:tcW w:w="7560" w:type="dxa"/>
            <w:vAlign w:val="bottom"/>
            <w:gridSpan w:val="2"/>
          </w:tcPr>
          <w:p>
            <w:pPr>
              <w:ind w:left="980"/>
              <w:spacing w:after="0"/>
              <w:rPr>
                <w:sz w:val="20"/>
                <w:szCs w:val="20"/>
                <w:color w:val="auto"/>
              </w:rPr>
            </w:pPr>
            <w:r>
              <w:rPr>
                <w:rFonts w:ascii="Arial" w:cs="Arial" w:eastAsia="Arial" w:hAnsi="Arial"/>
                <w:sz w:val="15"/>
                <w:szCs w:val="15"/>
                <w:color w:val="auto"/>
              </w:rPr>
              <w:t>public accounting firm.</w:t>
            </w:r>
          </w:p>
        </w:tc>
        <w:tc>
          <w:tcPr>
            <w:tcW w:w="0" w:type="dxa"/>
            <w:vAlign w:val="bottom"/>
          </w:tcPr>
          <w:p>
            <w:pPr>
              <w:spacing w:after="0"/>
              <w:rPr>
                <w:sz w:val="1"/>
                <w:szCs w:val="1"/>
                <w:color w:val="auto"/>
              </w:rPr>
            </w:pPr>
          </w:p>
        </w:tc>
      </w:tr>
      <w:tr>
        <w:trPr>
          <w:trHeight w:val="213"/>
        </w:trPr>
        <w:tc>
          <w:tcPr>
            <w:tcW w:w="3680" w:type="dxa"/>
            <w:vAlign w:val="bottom"/>
            <w:gridSpan w:val="2"/>
          </w:tcPr>
          <w:p>
            <w:pPr>
              <w:ind w:left="640"/>
              <w:spacing w:after="0"/>
              <w:rPr>
                <w:sz w:val="20"/>
                <w:szCs w:val="20"/>
                <w:color w:val="auto"/>
              </w:rPr>
            </w:pPr>
            <w:r>
              <w:rPr>
                <w:rFonts w:ascii="Arial" w:cs="Arial" w:eastAsia="Arial" w:hAnsi="Arial"/>
                <w:sz w:val="14"/>
                <w:szCs w:val="14"/>
                <w:color w:val="205BA8"/>
              </w:rPr>
              <w:t>11</w:t>
            </w:r>
          </w:p>
        </w:tc>
        <w:tc>
          <w:tcPr>
            <w:tcW w:w="7560" w:type="dxa"/>
            <w:vAlign w:val="bottom"/>
            <w:gridSpan w:val="2"/>
          </w:tcPr>
          <w:p>
            <w:pPr>
              <w:ind w:left="8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Approve performance of non-audit services by the independent registered public accounting</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560" w:type="dxa"/>
            <w:vAlign w:val="bottom"/>
            <w:gridSpan w:val="2"/>
          </w:tcPr>
          <w:p>
            <w:pPr>
              <w:ind w:left="980"/>
              <w:spacing w:after="0" w:line="162" w:lineRule="exact"/>
              <w:rPr>
                <w:sz w:val="20"/>
                <w:szCs w:val="20"/>
                <w:color w:val="auto"/>
              </w:rPr>
            </w:pPr>
            <w:r>
              <w:rPr>
                <w:rFonts w:ascii="Arial" w:cs="Arial" w:eastAsia="Arial" w:hAnsi="Arial"/>
                <w:sz w:val="15"/>
                <w:szCs w:val="15"/>
                <w:color w:val="auto"/>
              </w:rPr>
              <w:t>firm and evaluate the performance and independence of the independent registered public</w:t>
            </w:r>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560" w:type="dxa"/>
            <w:vAlign w:val="bottom"/>
            <w:gridSpan w:val="2"/>
          </w:tcPr>
          <w:p>
            <w:pPr>
              <w:ind w:left="980"/>
              <w:spacing w:after="0"/>
              <w:rPr>
                <w:sz w:val="20"/>
                <w:szCs w:val="20"/>
                <w:color w:val="auto"/>
              </w:rPr>
            </w:pPr>
            <w:r>
              <w:rPr>
                <w:rFonts w:ascii="Arial" w:cs="Arial" w:eastAsia="Arial" w:hAnsi="Arial"/>
                <w:sz w:val="15"/>
                <w:szCs w:val="15"/>
                <w:color w:val="auto"/>
              </w:rPr>
              <w:t>accounting firm.</w:t>
            </w: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560" w:type="dxa"/>
            <w:vAlign w:val="bottom"/>
            <w:gridSpan w:val="2"/>
          </w:tcPr>
          <w:p>
            <w:pPr>
              <w:ind w:left="8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Review and approve the Company’s periodic financial statements and the results of the</w:t>
            </w:r>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560" w:type="dxa"/>
            <w:vAlign w:val="bottom"/>
            <w:gridSpan w:val="2"/>
          </w:tcPr>
          <w:p>
            <w:pPr>
              <w:ind w:left="980"/>
              <w:spacing w:after="0"/>
              <w:rPr>
                <w:sz w:val="20"/>
                <w:szCs w:val="20"/>
                <w:color w:val="auto"/>
              </w:rPr>
            </w:pPr>
            <w:r>
              <w:rPr>
                <w:rFonts w:ascii="Arial" w:cs="Arial" w:eastAsia="Arial" w:hAnsi="Arial"/>
                <w:sz w:val="15"/>
                <w:szCs w:val="15"/>
                <w:color w:val="auto"/>
              </w:rPr>
              <w:t>year-end audit.</w:t>
            </w: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560" w:type="dxa"/>
            <w:vAlign w:val="bottom"/>
            <w:gridSpan w:val="2"/>
          </w:tcPr>
          <w:p>
            <w:pPr>
              <w:ind w:left="8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Review and discuss the adequacy and effectiveness of the Company’s accounting and</w:t>
            </w:r>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560" w:type="dxa"/>
            <w:vAlign w:val="bottom"/>
            <w:gridSpan w:val="2"/>
          </w:tcPr>
          <w:p>
            <w:pPr>
              <w:ind w:left="980"/>
              <w:spacing w:after="0"/>
              <w:rPr>
                <w:sz w:val="20"/>
                <w:szCs w:val="20"/>
                <w:color w:val="auto"/>
              </w:rPr>
            </w:pPr>
            <w:r>
              <w:rPr>
                <w:rFonts w:ascii="Arial" w:cs="Arial" w:eastAsia="Arial" w:hAnsi="Arial"/>
                <w:sz w:val="15"/>
                <w:szCs w:val="15"/>
                <w:color w:val="auto"/>
              </w:rPr>
              <w:t>internal control policies and procedures.</w:t>
            </w: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560" w:type="dxa"/>
            <w:vAlign w:val="bottom"/>
            <w:gridSpan w:val="2"/>
          </w:tcPr>
          <w:p>
            <w:pPr>
              <w:ind w:left="8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Evaluate the internal audit process for establishing the annual audit plan; review and</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560" w:type="dxa"/>
            <w:vAlign w:val="bottom"/>
            <w:gridSpan w:val="2"/>
          </w:tcPr>
          <w:p>
            <w:pPr>
              <w:ind w:left="980"/>
              <w:spacing w:after="0" w:line="162" w:lineRule="exact"/>
              <w:rPr>
                <w:sz w:val="20"/>
                <w:szCs w:val="20"/>
                <w:color w:val="auto"/>
              </w:rPr>
            </w:pPr>
            <w:r>
              <w:rPr>
                <w:rFonts w:ascii="Arial" w:cs="Arial" w:eastAsia="Arial" w:hAnsi="Arial"/>
                <w:sz w:val="15"/>
                <w:szCs w:val="15"/>
                <w:color w:val="auto"/>
              </w:rPr>
              <w:t>approve the appointment and replacement of the Company’s Chief Audit Executive, if</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560" w:type="dxa"/>
            <w:vAlign w:val="bottom"/>
            <w:gridSpan w:val="2"/>
          </w:tcPr>
          <w:p>
            <w:pPr>
              <w:ind w:left="980"/>
              <w:spacing w:after="0" w:line="162" w:lineRule="exact"/>
              <w:rPr>
                <w:sz w:val="20"/>
                <w:szCs w:val="20"/>
                <w:color w:val="auto"/>
              </w:rPr>
            </w:pPr>
            <w:r>
              <w:rPr>
                <w:rFonts w:ascii="Arial" w:cs="Arial" w:eastAsia="Arial" w:hAnsi="Arial"/>
                <w:sz w:val="15"/>
                <w:szCs w:val="15"/>
                <w:color w:val="auto"/>
              </w:rPr>
              <w:t>applicable, and any outside entities providing internal audit services and evaluate their</w:t>
            </w:r>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560" w:type="dxa"/>
            <w:vAlign w:val="bottom"/>
            <w:gridSpan w:val="2"/>
          </w:tcPr>
          <w:p>
            <w:pPr>
              <w:ind w:left="980"/>
              <w:spacing w:after="0"/>
              <w:rPr>
                <w:sz w:val="20"/>
                <w:szCs w:val="20"/>
                <w:color w:val="auto"/>
              </w:rPr>
            </w:pPr>
            <w:r>
              <w:rPr>
                <w:rFonts w:ascii="Arial" w:cs="Arial" w:eastAsia="Arial" w:hAnsi="Arial"/>
                <w:sz w:val="15"/>
                <w:szCs w:val="15"/>
                <w:color w:val="auto"/>
              </w:rPr>
              <w:t>performance on an annual basis.</w:t>
            </w: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560" w:type="dxa"/>
            <w:vAlign w:val="bottom"/>
            <w:gridSpan w:val="2"/>
          </w:tcPr>
          <w:p>
            <w:pPr>
              <w:ind w:left="8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Review the independent registered public accounting firm’s recommendations concerning</w:t>
            </w:r>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560" w:type="dxa"/>
            <w:vAlign w:val="bottom"/>
            <w:gridSpan w:val="2"/>
          </w:tcPr>
          <w:p>
            <w:pPr>
              <w:ind w:left="980"/>
              <w:spacing w:after="0"/>
              <w:rPr>
                <w:sz w:val="20"/>
                <w:szCs w:val="20"/>
                <w:color w:val="auto"/>
              </w:rPr>
            </w:pPr>
            <w:r>
              <w:rPr>
                <w:rFonts w:ascii="Arial" w:cs="Arial" w:eastAsia="Arial" w:hAnsi="Arial"/>
                <w:sz w:val="15"/>
                <w:szCs w:val="15"/>
                <w:color w:val="auto"/>
              </w:rPr>
              <w:t>the Company’s financial practices and procedures.</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560" w:type="dxa"/>
            <w:vAlign w:val="bottom"/>
            <w:gridSpan w:val="2"/>
          </w:tcPr>
          <w:p>
            <w:pPr>
              <w:ind w:left="8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Oversee the Company’s risk management program.</w:t>
            </w: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560" w:type="dxa"/>
            <w:vAlign w:val="bottom"/>
            <w:gridSpan w:val="2"/>
          </w:tcPr>
          <w:p>
            <w:pPr>
              <w:ind w:left="8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Discuss with management the Company’s major financial risk exposures and the steps</w:t>
            </w:r>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560" w:type="dxa"/>
            <w:vAlign w:val="bottom"/>
            <w:gridSpan w:val="2"/>
          </w:tcPr>
          <w:p>
            <w:pPr>
              <w:ind w:left="980"/>
              <w:spacing w:after="0"/>
              <w:rPr>
                <w:sz w:val="20"/>
                <w:szCs w:val="20"/>
                <w:color w:val="auto"/>
              </w:rPr>
            </w:pPr>
            <w:r>
              <w:rPr>
                <w:rFonts w:ascii="Arial" w:cs="Arial" w:eastAsia="Arial" w:hAnsi="Arial"/>
                <w:sz w:val="15"/>
                <w:szCs w:val="15"/>
                <w:color w:val="auto"/>
              </w:rPr>
              <w:t>management has taken to monitor and control such exposures.</w:t>
            </w: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560" w:type="dxa"/>
            <w:vAlign w:val="bottom"/>
            <w:gridSpan w:val="2"/>
          </w:tcPr>
          <w:p>
            <w:pPr>
              <w:ind w:left="8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Establish procedures for the receipt, retention, and treatment of complaints received by the</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560" w:type="dxa"/>
            <w:vAlign w:val="bottom"/>
            <w:gridSpan w:val="2"/>
          </w:tcPr>
          <w:p>
            <w:pPr>
              <w:ind w:left="980"/>
              <w:spacing w:after="0" w:line="162" w:lineRule="exact"/>
              <w:rPr>
                <w:sz w:val="20"/>
                <w:szCs w:val="20"/>
                <w:color w:val="auto"/>
              </w:rPr>
            </w:pPr>
            <w:r>
              <w:rPr>
                <w:rFonts w:ascii="Arial" w:cs="Arial" w:eastAsia="Arial" w:hAnsi="Arial"/>
                <w:sz w:val="15"/>
                <w:szCs w:val="15"/>
                <w:color w:val="auto"/>
              </w:rPr>
              <w:t>Company regarding accounting, internal accounting controls, or auditing matters and for the</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560" w:type="dxa"/>
            <w:vAlign w:val="bottom"/>
            <w:gridSpan w:val="2"/>
          </w:tcPr>
          <w:p>
            <w:pPr>
              <w:ind w:left="980"/>
              <w:spacing w:after="0" w:line="162" w:lineRule="exact"/>
              <w:rPr>
                <w:sz w:val="20"/>
                <w:szCs w:val="20"/>
                <w:color w:val="auto"/>
              </w:rPr>
            </w:pPr>
            <w:r>
              <w:rPr>
                <w:rFonts w:ascii="Arial" w:cs="Arial" w:eastAsia="Arial" w:hAnsi="Arial"/>
                <w:sz w:val="15"/>
                <w:szCs w:val="15"/>
                <w:color w:val="auto"/>
              </w:rPr>
              <w:t>confidential, anonymous submission by employees of concerns regarding questionable</w:t>
            </w:r>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560" w:type="dxa"/>
            <w:vAlign w:val="bottom"/>
            <w:gridSpan w:val="2"/>
          </w:tcPr>
          <w:p>
            <w:pPr>
              <w:ind w:left="980"/>
              <w:spacing w:after="0"/>
              <w:rPr>
                <w:sz w:val="20"/>
                <w:szCs w:val="20"/>
                <w:color w:val="auto"/>
              </w:rPr>
            </w:pPr>
            <w:r>
              <w:rPr>
                <w:rFonts w:ascii="Arial" w:cs="Arial" w:eastAsia="Arial" w:hAnsi="Arial"/>
                <w:sz w:val="15"/>
                <w:szCs w:val="15"/>
                <w:color w:val="auto"/>
              </w:rPr>
              <w:t>accounting or auditing matters.</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560" w:type="dxa"/>
            <w:vAlign w:val="bottom"/>
            <w:gridSpan w:val="2"/>
          </w:tcPr>
          <w:p>
            <w:pPr>
              <w:ind w:left="8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Review and approve any related person transaction.</w:t>
            </w: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560" w:type="dxa"/>
            <w:vAlign w:val="bottom"/>
            <w:gridSpan w:val="2"/>
          </w:tcPr>
          <w:p>
            <w:pPr>
              <w:ind w:left="8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Prepare an annual report of the Audit Committee for inclusion in the Company’s proxy</w:t>
            </w:r>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560" w:type="dxa"/>
            <w:vAlign w:val="bottom"/>
            <w:gridSpan w:val="2"/>
          </w:tcPr>
          <w:p>
            <w:pPr>
              <w:ind w:left="980"/>
              <w:spacing w:after="0"/>
              <w:rPr>
                <w:sz w:val="20"/>
                <w:szCs w:val="20"/>
                <w:color w:val="auto"/>
              </w:rPr>
            </w:pPr>
            <w:r>
              <w:rPr>
                <w:rFonts w:ascii="Arial" w:cs="Arial" w:eastAsia="Arial" w:hAnsi="Arial"/>
                <w:sz w:val="15"/>
                <w:szCs w:val="15"/>
                <w:color w:val="auto"/>
              </w:rPr>
              <w:t>statement.</w:t>
            </w:r>
          </w:p>
        </w:tc>
        <w:tc>
          <w:tcPr>
            <w:tcW w:w="0" w:type="dxa"/>
            <w:vAlign w:val="bottom"/>
          </w:tcPr>
          <w:p>
            <w:pPr>
              <w:spacing w:after="0"/>
              <w:rPr>
                <w:sz w:val="1"/>
                <w:szCs w:val="1"/>
                <w:color w:val="auto"/>
              </w:rPr>
            </w:pPr>
          </w:p>
        </w:tc>
      </w:tr>
      <w:tr>
        <w:trPr>
          <w:trHeight w:val="37"/>
        </w:trPr>
        <w:tc>
          <w:tcPr>
            <w:tcW w:w="640" w:type="dxa"/>
            <w:vAlign w:val="bottom"/>
          </w:tcPr>
          <w:p>
            <w:pPr>
              <w:spacing w:after="0"/>
              <w:rPr>
                <w:sz w:val="3"/>
                <w:szCs w:val="3"/>
                <w:color w:val="auto"/>
              </w:rPr>
            </w:pPr>
          </w:p>
        </w:tc>
        <w:tc>
          <w:tcPr>
            <w:tcW w:w="3040" w:type="dxa"/>
            <w:vAlign w:val="bottom"/>
            <w:tcBorders>
              <w:bottom w:val="single" w:sz="8" w:color="1F5AA8"/>
            </w:tcBorders>
          </w:tcPr>
          <w:p>
            <w:pPr>
              <w:spacing w:after="0"/>
              <w:rPr>
                <w:sz w:val="3"/>
                <w:szCs w:val="3"/>
                <w:color w:val="auto"/>
              </w:rPr>
            </w:pPr>
          </w:p>
        </w:tc>
        <w:tc>
          <w:tcPr>
            <w:tcW w:w="7020" w:type="dxa"/>
            <w:vAlign w:val="bottom"/>
            <w:tcBorders>
              <w:bottom w:val="single" w:sz="8" w:color="1F5AA8"/>
            </w:tcBorders>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98"/>
        </w:trPr>
        <w:tc>
          <w:tcPr>
            <w:tcW w:w="640" w:type="dxa"/>
            <w:vAlign w:val="bottom"/>
          </w:tcPr>
          <w:p>
            <w:pPr>
              <w:jc w:val="right"/>
              <w:ind w:right="248"/>
              <w:spacing w:after="0"/>
              <w:rPr>
                <w:sz w:val="20"/>
                <w:szCs w:val="20"/>
                <w:color w:val="auto"/>
              </w:rPr>
            </w:pPr>
            <w:r>
              <w:rPr>
                <w:rFonts w:ascii="Arial" w:cs="Arial" w:eastAsia="Arial" w:hAnsi="Arial"/>
                <w:sz w:val="14"/>
                <w:szCs w:val="14"/>
                <w:b w:val="1"/>
                <w:bCs w:val="1"/>
                <w:color w:val="00A5EC"/>
              </w:rPr>
              <w:t xml:space="preserve">22  </w:t>
            </w:r>
            <w:r>
              <w:rPr>
                <w:rFonts w:ascii="Arial" w:cs="Arial" w:eastAsia="Arial" w:hAnsi="Arial"/>
                <w:sz w:val="14"/>
                <w:szCs w:val="14"/>
                <w:color w:val="00A5EC"/>
              </w:rPr>
              <w:t>/</w:t>
            </w:r>
          </w:p>
        </w:tc>
        <w:tc>
          <w:tcPr>
            <w:tcW w:w="3040" w:type="dxa"/>
            <w:vAlign w:val="bottom"/>
          </w:tcPr>
          <w:p>
            <w:pPr>
              <w:spacing w:after="0"/>
              <w:rPr>
                <w:sz w:val="24"/>
                <w:szCs w:val="24"/>
                <w:color w:val="auto"/>
              </w:rPr>
            </w:pPr>
          </w:p>
        </w:tc>
        <w:tc>
          <w:tcPr>
            <w:tcW w:w="7560" w:type="dxa"/>
            <w:vAlign w:val="bottom"/>
            <w:gridSpan w:val="2"/>
          </w:tcPr>
          <w:p>
            <w:pPr>
              <w:ind w:left="178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0" w:type="dxa"/>
            <w:vAlign w:val="bottom"/>
          </w:tcPr>
          <w:p>
            <w:pPr>
              <w:spacing w:after="0"/>
              <w:rPr>
                <w:sz w:val="1"/>
                <w:szCs w:val="1"/>
                <w:color w:val="auto"/>
              </w:rPr>
            </w:pPr>
          </w:p>
        </w:tc>
      </w:tr>
      <w:tr>
        <w:trPr>
          <w:trHeight w:val="258"/>
        </w:trPr>
        <w:tc>
          <w:tcPr>
            <w:tcW w:w="64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c>
          <w:tcPr>
            <w:tcW w:w="7020" w:type="dxa"/>
            <w:vAlign w:val="bottom"/>
            <w:tcBorders>
              <w:bottom w:val="single" w:sz="8" w:color="C0C0C0"/>
            </w:tcBorders>
          </w:tcPr>
          <w:p>
            <w:pPr>
              <w:spacing w:after="0"/>
              <w:rPr>
                <w:sz w:val="22"/>
                <w:szCs w:val="22"/>
                <w:color w:val="auto"/>
              </w:rPr>
            </w:pPr>
          </w:p>
        </w:tc>
        <w:tc>
          <w:tcPr>
            <w:tcW w:w="54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25"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Borders>
              <w:bottom w:val="single" w:sz="8" w:color="00AEEF"/>
            </w:tcBorders>
          </w:tcPr>
          <w:p>
            <w:pPr>
              <w:spacing w:after="0"/>
              <w:rPr>
                <w:sz w:val="18"/>
                <w:szCs w:val="18"/>
                <w:color w:val="auto"/>
              </w:rPr>
            </w:pPr>
          </w:p>
        </w:tc>
        <w:tc>
          <w:tcPr>
            <w:tcW w:w="3740" w:type="dxa"/>
            <w:vAlign w:val="bottom"/>
            <w:tcBorders>
              <w:bottom w:val="single" w:sz="8" w:color="00AEEF"/>
            </w:tcBorders>
          </w:tcPr>
          <w:p>
            <w:pPr>
              <w:spacing w:after="0"/>
              <w:rPr>
                <w:sz w:val="18"/>
                <w:szCs w:val="18"/>
                <w:color w:val="auto"/>
              </w:rPr>
            </w:pPr>
          </w:p>
        </w:tc>
        <w:tc>
          <w:tcPr>
            <w:tcW w:w="6860" w:type="dxa"/>
            <w:vAlign w:val="bottom"/>
            <w:tcBorders>
              <w:bottom w:val="single" w:sz="8" w:color="00AEEF"/>
            </w:tcBorders>
            <w:gridSpan w:val="2"/>
          </w:tcPr>
          <w:p>
            <w:pPr>
              <w:ind w:left="2600"/>
              <w:spacing w:after="0"/>
              <w:rPr>
                <w:sz w:val="20"/>
                <w:szCs w:val="20"/>
                <w:color w:val="auto"/>
              </w:rPr>
            </w:pPr>
            <w:r>
              <w:rPr>
                <w:rFonts w:ascii="Arial" w:cs="Arial" w:eastAsia="Arial" w:hAnsi="Arial"/>
                <w:sz w:val="16"/>
                <w:szCs w:val="16"/>
                <w:b w:val="1"/>
                <w:bCs w:val="1"/>
                <w:color w:val="205BA8"/>
              </w:rPr>
              <w:t xml:space="preserve">BOARD OF DIRECTORS / </w:t>
            </w:r>
            <w:r>
              <w:rPr>
                <w:rFonts w:ascii="Arial" w:cs="Arial" w:eastAsia="Arial" w:hAnsi="Arial"/>
                <w:sz w:val="16"/>
                <w:szCs w:val="16"/>
                <w:b w:val="1"/>
                <w:bCs w:val="1"/>
                <w:color w:val="C44E5E"/>
              </w:rPr>
              <w:t>BOARD COMMITTEES</w:t>
            </w:r>
          </w:p>
        </w:tc>
        <w:tc>
          <w:tcPr>
            <w:tcW w:w="0" w:type="dxa"/>
            <w:vAlign w:val="bottom"/>
          </w:tcPr>
          <w:p>
            <w:pPr>
              <w:spacing w:after="0"/>
              <w:rPr>
                <w:sz w:val="1"/>
                <w:szCs w:val="1"/>
                <w:color w:val="auto"/>
              </w:rPr>
            </w:pPr>
          </w:p>
        </w:tc>
      </w:tr>
      <w:tr>
        <w:trPr>
          <w:trHeight w:val="412"/>
        </w:trPr>
        <w:tc>
          <w:tcPr>
            <w:tcW w:w="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 w:type="dxa"/>
            <w:vAlign w:val="bottom"/>
          </w:tcPr>
          <w:p>
            <w:pPr>
              <w:spacing w:after="0"/>
              <w:rPr>
                <w:sz w:val="24"/>
                <w:szCs w:val="24"/>
                <w:color w:val="auto"/>
              </w:rPr>
            </w:pPr>
          </w:p>
        </w:tc>
        <w:tc>
          <w:tcPr>
            <w:tcW w:w="3740" w:type="dxa"/>
            <w:vAlign w:val="bottom"/>
            <w:shd w:val="clear" w:color="auto" w:fill="205BA8"/>
          </w:tcPr>
          <w:p>
            <w:pPr>
              <w:ind w:left="40"/>
              <w:spacing w:after="0"/>
              <w:rPr>
                <w:sz w:val="20"/>
                <w:szCs w:val="20"/>
                <w:color w:val="auto"/>
              </w:rPr>
            </w:pPr>
            <w:r>
              <w:rPr>
                <w:rFonts w:ascii="Arial" w:cs="Arial" w:eastAsia="Arial" w:hAnsi="Arial"/>
                <w:sz w:val="25"/>
                <w:szCs w:val="25"/>
                <w:b w:val="1"/>
                <w:bCs w:val="1"/>
                <w:color w:val="FFFFFF"/>
              </w:rPr>
              <w:t>COMPENSATION COMMITTEE</w:t>
            </w:r>
          </w:p>
        </w:tc>
        <w:tc>
          <w:tcPr>
            <w:tcW w:w="6320" w:type="dxa"/>
            <w:vAlign w:val="bottom"/>
            <w:shd w:val="clear" w:color="auto" w:fill="205BA8"/>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380" w:type="dxa"/>
            <w:vAlign w:val="bottom"/>
            <w:gridSpan w:val="2"/>
          </w:tcPr>
          <w:p>
            <w:pPr>
              <w:ind w:left="640"/>
              <w:spacing w:after="0"/>
              <w:rPr>
                <w:sz w:val="20"/>
                <w:szCs w:val="20"/>
                <w:color w:val="auto"/>
              </w:rPr>
            </w:pPr>
            <w:r>
              <w:rPr>
                <w:rFonts w:ascii="Arial" w:cs="Arial" w:eastAsia="Arial" w:hAnsi="Arial"/>
                <w:sz w:val="14"/>
                <w:szCs w:val="14"/>
                <w:b w:val="1"/>
                <w:bCs w:val="1"/>
                <w:color w:val="C44E5E"/>
              </w:rPr>
              <w:t>Members</w:t>
            </w:r>
          </w:p>
        </w:tc>
        <w:tc>
          <w:tcPr>
            <w:tcW w:w="6860" w:type="dxa"/>
            <w:vAlign w:val="bottom"/>
            <w:gridSpan w:val="2"/>
          </w:tcPr>
          <w:p>
            <w:pPr>
              <w:ind w:left="100"/>
              <w:spacing w:after="0"/>
              <w:rPr>
                <w:sz w:val="20"/>
                <w:szCs w:val="20"/>
                <w:color w:val="auto"/>
              </w:rPr>
            </w:pPr>
            <w:r>
              <w:rPr>
                <w:rFonts w:ascii="Arial" w:cs="Arial" w:eastAsia="Arial" w:hAnsi="Arial"/>
                <w:sz w:val="15"/>
                <w:szCs w:val="15"/>
                <w:b w:val="1"/>
                <w:bCs w:val="1"/>
                <w:color w:val="C44E5E"/>
              </w:rPr>
              <w:t>Key Functions</w:t>
            </w:r>
          </w:p>
        </w:tc>
        <w:tc>
          <w:tcPr>
            <w:tcW w:w="0" w:type="dxa"/>
            <w:vAlign w:val="bottom"/>
          </w:tcPr>
          <w:p>
            <w:pPr>
              <w:spacing w:after="0"/>
              <w:rPr>
                <w:sz w:val="1"/>
                <w:szCs w:val="1"/>
                <w:color w:val="auto"/>
              </w:rPr>
            </w:pPr>
          </w:p>
        </w:tc>
      </w:tr>
      <w:tr>
        <w:trPr>
          <w:trHeight w:val="227"/>
        </w:trPr>
        <w:tc>
          <w:tcPr>
            <w:tcW w:w="4380" w:type="dxa"/>
            <w:vAlign w:val="bottom"/>
            <w:gridSpan w:val="2"/>
          </w:tcPr>
          <w:p>
            <w:pPr>
              <w:ind w:left="640"/>
              <w:spacing w:after="0"/>
              <w:rPr>
                <w:sz w:val="20"/>
                <w:szCs w:val="20"/>
                <w:color w:val="auto"/>
              </w:rPr>
            </w:pPr>
            <w:r>
              <w:rPr>
                <w:rFonts w:ascii="Arial" w:cs="Arial" w:eastAsia="Arial" w:hAnsi="Arial"/>
                <w:sz w:val="14"/>
                <w:szCs w:val="14"/>
                <w:color w:val="205BA8"/>
              </w:rPr>
              <w:t xml:space="preserve">Christine A. Poon, </w:t>
            </w:r>
            <w:r>
              <w:rPr>
                <w:rFonts w:ascii="Arial" w:cs="Arial" w:eastAsia="Arial" w:hAnsi="Arial"/>
                <w:sz w:val="14"/>
                <w:szCs w:val="14"/>
                <w:i w:val="1"/>
                <w:iCs w:val="1"/>
                <w:color w:val="205BA8"/>
              </w:rPr>
              <w:t>Chairperson</w:t>
            </w:r>
          </w:p>
        </w:tc>
        <w:tc>
          <w:tcPr>
            <w:tcW w:w="6860" w:type="dxa"/>
            <w:vAlign w:val="bottom"/>
            <w:gridSpan w:val="2"/>
          </w:tcPr>
          <w:p>
            <w:pPr>
              <w:ind w:left="1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Evaluate the performance of the Chief Executive Officer and other executive officers of the</w:t>
            </w:r>
          </w:p>
        </w:tc>
        <w:tc>
          <w:tcPr>
            <w:tcW w:w="0" w:type="dxa"/>
            <w:vAlign w:val="bottom"/>
          </w:tcPr>
          <w:p>
            <w:pPr>
              <w:spacing w:after="0"/>
              <w:rPr>
                <w:sz w:val="1"/>
                <w:szCs w:val="1"/>
                <w:color w:val="auto"/>
              </w:rPr>
            </w:pPr>
          </w:p>
        </w:tc>
      </w:tr>
      <w:tr>
        <w:trPr>
          <w:trHeight w:val="166"/>
        </w:trPr>
        <w:tc>
          <w:tcPr>
            <w:tcW w:w="4380" w:type="dxa"/>
            <w:vAlign w:val="bottom"/>
            <w:gridSpan w:val="2"/>
          </w:tcPr>
          <w:p>
            <w:pPr>
              <w:ind w:left="640"/>
              <w:spacing w:after="0"/>
              <w:rPr>
                <w:sz w:val="20"/>
                <w:szCs w:val="20"/>
                <w:color w:val="auto"/>
              </w:rPr>
            </w:pPr>
            <w:r>
              <w:rPr>
                <w:rFonts w:ascii="Arial" w:cs="Arial" w:eastAsia="Arial" w:hAnsi="Arial"/>
                <w:sz w:val="14"/>
                <w:szCs w:val="14"/>
                <w:color w:val="205BA8"/>
              </w:rPr>
              <w:t>George L. Sing</w:t>
            </w:r>
          </w:p>
        </w:tc>
        <w:tc>
          <w:tcPr>
            <w:tcW w:w="6860" w:type="dxa"/>
            <w:vAlign w:val="bottom"/>
            <w:gridSpan w:val="2"/>
          </w:tcPr>
          <w:p>
            <w:pPr>
              <w:ind w:left="280"/>
              <w:spacing w:after="0" w:line="167" w:lineRule="exact"/>
              <w:rPr>
                <w:sz w:val="20"/>
                <w:szCs w:val="20"/>
                <w:color w:val="auto"/>
              </w:rPr>
            </w:pPr>
            <w:r>
              <w:rPr>
                <w:rFonts w:ascii="Arial" w:cs="Arial" w:eastAsia="Arial" w:hAnsi="Arial"/>
                <w:sz w:val="15"/>
                <w:szCs w:val="15"/>
                <w:color w:val="auto"/>
              </w:rPr>
              <w:t>Company.</w:t>
            </w:r>
          </w:p>
        </w:tc>
        <w:tc>
          <w:tcPr>
            <w:tcW w:w="0" w:type="dxa"/>
            <w:vAlign w:val="bottom"/>
          </w:tcPr>
          <w:p>
            <w:pPr>
              <w:spacing w:after="0"/>
              <w:rPr>
                <w:sz w:val="1"/>
                <w:szCs w:val="1"/>
                <w:color w:val="auto"/>
              </w:rPr>
            </w:pPr>
          </w:p>
        </w:tc>
      </w:tr>
      <w:tr>
        <w:trPr>
          <w:trHeight w:val="172"/>
        </w:trPr>
        <w:tc>
          <w:tcPr>
            <w:tcW w:w="4380" w:type="dxa"/>
            <w:vAlign w:val="bottom"/>
            <w:gridSpan w:val="2"/>
          </w:tcPr>
          <w:p>
            <w:pPr>
              <w:ind w:left="640"/>
              <w:spacing w:after="0"/>
              <w:rPr>
                <w:sz w:val="20"/>
                <w:szCs w:val="20"/>
                <w:color w:val="auto"/>
              </w:rPr>
            </w:pPr>
            <w:r>
              <w:rPr>
                <w:rFonts w:ascii="Arial" w:cs="Arial" w:eastAsia="Arial" w:hAnsi="Arial"/>
                <w:sz w:val="14"/>
                <w:szCs w:val="14"/>
                <w:color w:val="205BA8"/>
              </w:rPr>
              <w:t>Huda Y. Zoghbi, M.D.</w:t>
            </w:r>
          </w:p>
        </w:tc>
        <w:tc>
          <w:tcPr>
            <w:tcW w:w="6860" w:type="dxa"/>
            <w:vAlign w:val="bottom"/>
            <w:gridSpan w:val="2"/>
            <w:vMerge w:val="restart"/>
          </w:tcPr>
          <w:p>
            <w:pPr>
              <w:ind w:left="1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Recommend compensation for the Chief Executive Officer for approval by the non-</w:t>
            </w:r>
          </w:p>
        </w:tc>
        <w:tc>
          <w:tcPr>
            <w:tcW w:w="0" w:type="dxa"/>
            <w:vAlign w:val="bottom"/>
          </w:tcPr>
          <w:p>
            <w:pPr>
              <w:spacing w:after="0"/>
              <w:rPr>
                <w:sz w:val="1"/>
                <w:szCs w:val="1"/>
                <w:color w:val="auto"/>
              </w:rPr>
            </w:pPr>
          </w:p>
        </w:tc>
      </w:tr>
      <w:tr>
        <w:trPr>
          <w:trHeight w:val="53"/>
        </w:trPr>
        <w:tc>
          <w:tcPr>
            <w:tcW w:w="438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C44E5E"/>
              </w:rPr>
              <w:t>Number of Meetings Held in 2020</w:t>
            </w:r>
          </w:p>
        </w:tc>
        <w:tc>
          <w:tcPr>
            <w:tcW w:w="6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4380" w:type="dxa"/>
            <w:vAlign w:val="bottom"/>
            <w:gridSpan w:val="2"/>
            <w:vMerge w:val="continue"/>
          </w:tcPr>
          <w:p>
            <w:pPr>
              <w:spacing w:after="0"/>
              <w:rPr>
                <w:sz w:val="15"/>
                <w:szCs w:val="15"/>
                <w:color w:val="auto"/>
              </w:rPr>
            </w:pPr>
          </w:p>
        </w:tc>
        <w:tc>
          <w:tcPr>
            <w:tcW w:w="6860" w:type="dxa"/>
            <w:vAlign w:val="bottom"/>
            <w:gridSpan w:val="2"/>
          </w:tcPr>
          <w:p>
            <w:pPr>
              <w:ind w:left="280"/>
              <w:spacing w:after="0"/>
              <w:rPr>
                <w:sz w:val="20"/>
                <w:szCs w:val="20"/>
                <w:color w:val="auto"/>
              </w:rPr>
            </w:pPr>
            <w:r>
              <w:rPr>
                <w:rFonts w:ascii="Arial" w:cs="Arial" w:eastAsia="Arial" w:hAnsi="Arial"/>
                <w:sz w:val="15"/>
                <w:szCs w:val="15"/>
                <w:color w:val="auto"/>
              </w:rPr>
              <w:t>employee members of the board of directors.</w:t>
            </w:r>
          </w:p>
        </w:tc>
        <w:tc>
          <w:tcPr>
            <w:tcW w:w="0" w:type="dxa"/>
            <w:vAlign w:val="bottom"/>
          </w:tcPr>
          <w:p>
            <w:pPr>
              <w:spacing w:after="0"/>
              <w:rPr>
                <w:sz w:val="1"/>
                <w:szCs w:val="1"/>
                <w:color w:val="auto"/>
              </w:rPr>
            </w:pPr>
          </w:p>
        </w:tc>
      </w:tr>
      <w:tr>
        <w:trPr>
          <w:trHeight w:val="229"/>
        </w:trPr>
        <w:tc>
          <w:tcPr>
            <w:tcW w:w="4380" w:type="dxa"/>
            <w:vAlign w:val="bottom"/>
            <w:gridSpan w:val="2"/>
          </w:tcPr>
          <w:p>
            <w:pPr>
              <w:ind w:left="640"/>
              <w:spacing w:after="0"/>
              <w:rPr>
                <w:sz w:val="20"/>
                <w:szCs w:val="20"/>
                <w:color w:val="auto"/>
              </w:rPr>
            </w:pPr>
            <w:r>
              <w:rPr>
                <w:rFonts w:ascii="Arial" w:cs="Arial" w:eastAsia="Arial" w:hAnsi="Arial"/>
                <w:sz w:val="14"/>
                <w:szCs w:val="14"/>
                <w:color w:val="205BA8"/>
              </w:rPr>
              <w:t>13</w:t>
            </w:r>
          </w:p>
        </w:tc>
        <w:tc>
          <w:tcPr>
            <w:tcW w:w="6860" w:type="dxa"/>
            <w:vAlign w:val="bottom"/>
            <w:gridSpan w:val="2"/>
          </w:tcPr>
          <w:p>
            <w:pPr>
              <w:ind w:left="1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Approve compensation for other executive officers.</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6860" w:type="dxa"/>
            <w:vAlign w:val="bottom"/>
            <w:gridSpan w:val="2"/>
          </w:tcPr>
          <w:p>
            <w:pPr>
              <w:ind w:left="1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Approve the total compensation budget for all Company employees.</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6860" w:type="dxa"/>
            <w:vAlign w:val="bottom"/>
            <w:gridSpan w:val="2"/>
          </w:tcPr>
          <w:p>
            <w:pPr>
              <w:ind w:left="1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Oversee the Company’s compensation and benefit philosophy and programs generally.</w:t>
            </w: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860" w:type="dxa"/>
            <w:vAlign w:val="bottom"/>
            <w:gridSpan w:val="2"/>
          </w:tcPr>
          <w:p>
            <w:pPr>
              <w:ind w:left="1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Review and approve annually the corporate goals and objectives applicable to the</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86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compensation of the Chief Executive Officer and the goals and objectives of the Company’s</w:t>
            </w:r>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860" w:type="dxa"/>
            <w:vAlign w:val="bottom"/>
            <w:gridSpan w:val="2"/>
          </w:tcPr>
          <w:p>
            <w:pPr>
              <w:ind w:left="280"/>
              <w:spacing w:after="0"/>
              <w:rPr>
                <w:sz w:val="20"/>
                <w:szCs w:val="20"/>
                <w:color w:val="auto"/>
              </w:rPr>
            </w:pPr>
            <w:r>
              <w:rPr>
                <w:rFonts w:ascii="Arial" w:cs="Arial" w:eastAsia="Arial" w:hAnsi="Arial"/>
                <w:sz w:val="15"/>
                <w:szCs w:val="15"/>
                <w:color w:val="auto"/>
              </w:rPr>
              <w:t>executive compensation programs.</w:t>
            </w: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860" w:type="dxa"/>
            <w:vAlign w:val="bottom"/>
            <w:gridSpan w:val="2"/>
          </w:tcPr>
          <w:p>
            <w:pPr>
              <w:ind w:left="1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Review and approve the Compensation Discussion and Analysis to be included in the</w:t>
            </w:r>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860" w:type="dxa"/>
            <w:vAlign w:val="bottom"/>
            <w:gridSpan w:val="2"/>
          </w:tcPr>
          <w:p>
            <w:pPr>
              <w:ind w:left="280"/>
              <w:spacing w:after="0"/>
              <w:rPr>
                <w:sz w:val="20"/>
                <w:szCs w:val="20"/>
                <w:color w:val="auto"/>
              </w:rPr>
            </w:pPr>
            <w:r>
              <w:rPr>
                <w:rFonts w:ascii="Arial" w:cs="Arial" w:eastAsia="Arial" w:hAnsi="Arial"/>
                <w:sz w:val="15"/>
                <w:szCs w:val="15"/>
                <w:color w:val="auto"/>
              </w:rPr>
              <w:t>Company’s proxy statement.</w:t>
            </w: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860" w:type="dxa"/>
            <w:vAlign w:val="bottom"/>
            <w:gridSpan w:val="2"/>
          </w:tcPr>
          <w:p>
            <w:pPr>
              <w:ind w:left="10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Prepare an annual report of the Compensation Committee for inclusion in the Company’s</w:t>
            </w:r>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860" w:type="dxa"/>
            <w:vAlign w:val="bottom"/>
            <w:gridSpan w:val="2"/>
          </w:tcPr>
          <w:p>
            <w:pPr>
              <w:ind w:left="280"/>
              <w:spacing w:after="0"/>
              <w:rPr>
                <w:sz w:val="20"/>
                <w:szCs w:val="20"/>
                <w:color w:val="auto"/>
              </w:rPr>
            </w:pPr>
            <w:r>
              <w:rPr>
                <w:rFonts w:ascii="Arial" w:cs="Arial" w:eastAsia="Arial" w:hAnsi="Arial"/>
                <w:sz w:val="15"/>
                <w:szCs w:val="15"/>
                <w:color w:val="auto"/>
              </w:rPr>
              <w:t>proxy statement.</w:t>
            </w:r>
          </w:p>
        </w:tc>
        <w:tc>
          <w:tcPr>
            <w:tcW w:w="0" w:type="dxa"/>
            <w:vAlign w:val="bottom"/>
          </w:tcPr>
          <w:p>
            <w:pPr>
              <w:spacing w:after="0"/>
              <w:rPr>
                <w:sz w:val="1"/>
                <w:szCs w:val="1"/>
                <w:color w:val="auto"/>
              </w:rPr>
            </w:pPr>
          </w:p>
        </w:tc>
      </w:tr>
      <w:tr>
        <w:trPr>
          <w:trHeight w:val="37"/>
        </w:trPr>
        <w:tc>
          <w:tcPr>
            <w:tcW w:w="640" w:type="dxa"/>
            <w:vAlign w:val="bottom"/>
          </w:tcPr>
          <w:p>
            <w:pPr>
              <w:spacing w:after="0"/>
              <w:rPr>
                <w:sz w:val="3"/>
                <w:szCs w:val="3"/>
                <w:color w:val="auto"/>
              </w:rPr>
            </w:pPr>
          </w:p>
        </w:tc>
        <w:tc>
          <w:tcPr>
            <w:tcW w:w="3740" w:type="dxa"/>
            <w:vAlign w:val="bottom"/>
            <w:tcBorders>
              <w:bottom w:val="single" w:sz="8" w:color="1F5AA8"/>
            </w:tcBorders>
          </w:tcPr>
          <w:p>
            <w:pPr>
              <w:spacing w:after="0"/>
              <w:rPr>
                <w:sz w:val="3"/>
                <w:szCs w:val="3"/>
                <w:color w:val="auto"/>
              </w:rPr>
            </w:pPr>
          </w:p>
        </w:tc>
        <w:tc>
          <w:tcPr>
            <w:tcW w:w="6320" w:type="dxa"/>
            <w:vAlign w:val="bottom"/>
            <w:tcBorders>
              <w:bottom w:val="single" w:sz="8" w:color="1F5AA8"/>
            </w:tcBorders>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680"/>
        <w:spacing w:after="0"/>
        <w:rPr>
          <w:sz w:val="20"/>
          <w:szCs w:val="20"/>
          <w:color w:val="auto"/>
        </w:rPr>
      </w:pPr>
      <w:r>
        <w:rPr>
          <w:rFonts w:ascii="Arial" w:cs="Arial" w:eastAsia="Arial" w:hAnsi="Arial"/>
          <w:sz w:val="25"/>
          <w:szCs w:val="25"/>
          <w:b w:val="1"/>
          <w:bCs w:val="1"/>
          <w:color w:val="FFFFFF"/>
        </w:rPr>
        <w:t>CORPORATE GOVERNANCE AND COMPLIANCE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-179705</wp:posOffset>
            </wp:positionV>
            <wp:extent cx="6386195" cy="2228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86195" cy="22288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1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C44E5E"/>
        </w:rPr>
        <w:t>Members</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4"/>
          <w:szCs w:val="14"/>
          <w:color w:val="205BA8"/>
        </w:rPr>
        <w:t xml:space="preserve">Arthur F. Ryan, </w:t>
      </w:r>
      <w:r>
        <w:rPr>
          <w:rFonts w:ascii="Arial" w:cs="Arial" w:eastAsia="Arial" w:hAnsi="Arial"/>
          <w:sz w:val="14"/>
          <w:szCs w:val="14"/>
          <w:i w:val="1"/>
          <w:iCs w:val="1"/>
          <w:color w:val="205BA8"/>
        </w:rPr>
        <w:t>Chairman</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4"/>
          <w:szCs w:val="14"/>
          <w:color w:val="205BA8"/>
        </w:rPr>
        <w:t>Bonnie L. Bassler, Ph.D.</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205BA8"/>
        </w:rPr>
        <w:t>Michael S. Brown, M.D.</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205BA8"/>
        </w:rPr>
        <w:t>Joseph L. Goldstein, M.D.</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205BA8"/>
        </w:rPr>
        <w:t>Christine A. Poon</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C44E5E"/>
        </w:rPr>
        <w:t>Number of Meetings Held in 2020</w:t>
      </w:r>
    </w:p>
    <w:p>
      <w:pPr>
        <w:spacing w:after="0" w:line="87" w:lineRule="exact"/>
        <w:rPr>
          <w:sz w:val="20"/>
          <w:szCs w:val="20"/>
          <w:color w:val="auto"/>
        </w:rPr>
      </w:pPr>
    </w:p>
    <w:p>
      <w:pPr>
        <w:ind w:left="640"/>
        <w:spacing w:after="0"/>
        <w:rPr>
          <w:sz w:val="20"/>
          <w:szCs w:val="20"/>
          <w:color w:val="auto"/>
        </w:rPr>
      </w:pPr>
      <w:r>
        <w:rPr>
          <w:rFonts w:ascii="Arial" w:cs="Arial" w:eastAsia="Arial" w:hAnsi="Arial"/>
          <w:sz w:val="14"/>
          <w:szCs w:val="14"/>
          <w:color w:val="205BA8"/>
        </w:rPr>
        <w:t>5</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C44E5E"/>
        </w:rPr>
        <w:t>Key Functions</w:t>
      </w:r>
    </w:p>
    <w:p>
      <w:pPr>
        <w:spacing w:after="0" w:line="89" w:lineRule="exact"/>
        <w:rPr>
          <w:sz w:val="20"/>
          <w:szCs w:val="20"/>
          <w:color w:val="auto"/>
        </w:rPr>
      </w:pPr>
    </w:p>
    <w:p>
      <w:pPr>
        <w:ind w:left="186" w:right="1080" w:hanging="186"/>
        <w:spacing w:after="0" w:line="236" w:lineRule="auto"/>
        <w:tabs>
          <w:tab w:leader="none" w:pos="181" w:val="left"/>
        </w:tabs>
        <w:numPr>
          <w:ilvl w:val="0"/>
          <w:numId w:val="29"/>
        </w:numPr>
        <w:rPr>
          <w:rFonts w:ascii="Arial" w:cs="Arial" w:eastAsia="Arial" w:hAnsi="Arial"/>
          <w:sz w:val="15"/>
          <w:szCs w:val="15"/>
          <w:color w:val="205BA8"/>
        </w:rPr>
      </w:pPr>
      <w:r>
        <w:rPr>
          <w:rFonts w:ascii="Arial" w:cs="Arial" w:eastAsia="Arial" w:hAnsi="Arial"/>
          <w:sz w:val="15"/>
          <w:szCs w:val="15"/>
          <w:color w:val="auto"/>
        </w:rPr>
        <w:t>Identify qualified individuals to become members of the board and recommend such candidates to the board.</w:t>
      </w:r>
    </w:p>
    <w:p>
      <w:pPr>
        <w:spacing w:after="0" w:line="52" w:lineRule="exact"/>
        <w:rPr>
          <w:rFonts w:ascii="Arial" w:cs="Arial" w:eastAsia="Arial" w:hAnsi="Arial"/>
          <w:sz w:val="15"/>
          <w:szCs w:val="15"/>
          <w:color w:val="205BA8"/>
        </w:rPr>
      </w:pPr>
    </w:p>
    <w:p>
      <w:pPr>
        <w:ind w:left="186" w:right="660" w:hanging="186"/>
        <w:spacing w:after="0" w:line="236" w:lineRule="auto"/>
        <w:tabs>
          <w:tab w:leader="none" w:pos="181" w:val="left"/>
        </w:tabs>
        <w:numPr>
          <w:ilvl w:val="0"/>
          <w:numId w:val="29"/>
        </w:numPr>
        <w:rPr>
          <w:rFonts w:ascii="Arial" w:cs="Arial" w:eastAsia="Arial" w:hAnsi="Arial"/>
          <w:sz w:val="15"/>
          <w:szCs w:val="15"/>
          <w:color w:val="205BA8"/>
        </w:rPr>
      </w:pPr>
      <w:r>
        <w:rPr>
          <w:rFonts w:ascii="Arial" w:cs="Arial" w:eastAsia="Arial" w:hAnsi="Arial"/>
          <w:sz w:val="15"/>
          <w:szCs w:val="15"/>
          <w:color w:val="auto"/>
        </w:rPr>
        <w:t>Assess the functioning of the board and its committees and make recommendations to the board concerning the appropriate size, function, and needs of the board.</w:t>
      </w:r>
    </w:p>
    <w:p>
      <w:pPr>
        <w:spacing w:after="0" w:line="52" w:lineRule="exact"/>
        <w:rPr>
          <w:rFonts w:ascii="Arial" w:cs="Arial" w:eastAsia="Arial" w:hAnsi="Arial"/>
          <w:sz w:val="15"/>
          <w:szCs w:val="15"/>
          <w:color w:val="205BA8"/>
        </w:rPr>
      </w:pPr>
    </w:p>
    <w:p>
      <w:pPr>
        <w:ind w:left="186" w:right="1100" w:hanging="186"/>
        <w:spacing w:after="0" w:line="236" w:lineRule="auto"/>
        <w:tabs>
          <w:tab w:leader="none" w:pos="181" w:val="left"/>
        </w:tabs>
        <w:numPr>
          <w:ilvl w:val="0"/>
          <w:numId w:val="29"/>
        </w:numPr>
        <w:rPr>
          <w:rFonts w:ascii="Arial" w:cs="Arial" w:eastAsia="Arial" w:hAnsi="Arial"/>
          <w:sz w:val="15"/>
          <w:szCs w:val="15"/>
          <w:color w:val="205BA8"/>
        </w:rPr>
      </w:pPr>
      <w:r>
        <w:rPr>
          <w:rFonts w:ascii="Arial" w:cs="Arial" w:eastAsia="Arial" w:hAnsi="Arial"/>
          <w:sz w:val="15"/>
          <w:szCs w:val="15"/>
          <w:color w:val="auto"/>
        </w:rPr>
        <w:t>Review, and make recommendations to the board regarding, non-employee director compensation.</w:t>
      </w:r>
    </w:p>
    <w:p>
      <w:pPr>
        <w:spacing w:after="0" w:line="52" w:lineRule="exact"/>
        <w:rPr>
          <w:rFonts w:ascii="Arial" w:cs="Arial" w:eastAsia="Arial" w:hAnsi="Arial"/>
          <w:sz w:val="15"/>
          <w:szCs w:val="15"/>
          <w:color w:val="205BA8"/>
        </w:rPr>
      </w:pPr>
    </w:p>
    <w:p>
      <w:pPr>
        <w:ind w:left="186" w:right="1200" w:hanging="186"/>
        <w:spacing w:after="0" w:line="236" w:lineRule="auto"/>
        <w:tabs>
          <w:tab w:leader="none" w:pos="181" w:val="left"/>
        </w:tabs>
        <w:numPr>
          <w:ilvl w:val="0"/>
          <w:numId w:val="29"/>
        </w:numPr>
        <w:rPr>
          <w:rFonts w:ascii="Arial" w:cs="Arial" w:eastAsia="Arial" w:hAnsi="Arial"/>
          <w:sz w:val="15"/>
          <w:szCs w:val="15"/>
          <w:color w:val="205BA8"/>
        </w:rPr>
      </w:pPr>
      <w:r>
        <w:rPr>
          <w:rFonts w:ascii="Arial" w:cs="Arial" w:eastAsia="Arial" w:hAnsi="Arial"/>
          <w:sz w:val="15"/>
          <w:szCs w:val="15"/>
          <w:color w:val="auto"/>
        </w:rPr>
        <w:t>Make recommendations to the board regarding corporate governance matters and practices.</w:t>
      </w:r>
    </w:p>
    <w:p>
      <w:pPr>
        <w:spacing w:after="0" w:line="52" w:lineRule="exact"/>
        <w:rPr>
          <w:rFonts w:ascii="Arial" w:cs="Arial" w:eastAsia="Arial" w:hAnsi="Arial"/>
          <w:sz w:val="15"/>
          <w:szCs w:val="15"/>
          <w:color w:val="205BA8"/>
        </w:rPr>
      </w:pPr>
    </w:p>
    <w:p>
      <w:pPr>
        <w:ind w:left="186" w:right="940" w:hanging="186"/>
        <w:spacing w:after="0" w:line="236" w:lineRule="auto"/>
        <w:tabs>
          <w:tab w:leader="none" w:pos="181" w:val="left"/>
        </w:tabs>
        <w:numPr>
          <w:ilvl w:val="0"/>
          <w:numId w:val="29"/>
        </w:numPr>
        <w:rPr>
          <w:rFonts w:ascii="Arial" w:cs="Arial" w:eastAsia="Arial" w:hAnsi="Arial"/>
          <w:sz w:val="15"/>
          <w:szCs w:val="15"/>
          <w:color w:val="205BA8"/>
        </w:rPr>
      </w:pPr>
      <w:r>
        <w:rPr>
          <w:rFonts w:ascii="Arial" w:cs="Arial" w:eastAsia="Arial" w:hAnsi="Arial"/>
          <w:sz w:val="15"/>
          <w:szCs w:val="15"/>
          <w:color w:val="auto"/>
        </w:rPr>
        <w:t>Oversee all aspects of the Company’s comprehensive compliance program other than financial compliance.</w:t>
      </w:r>
    </w:p>
    <w:p>
      <w:pPr>
        <w:spacing w:after="0" w:line="52" w:lineRule="exact"/>
        <w:rPr>
          <w:rFonts w:ascii="Arial" w:cs="Arial" w:eastAsia="Arial" w:hAnsi="Arial"/>
          <w:sz w:val="15"/>
          <w:szCs w:val="15"/>
          <w:color w:val="205BA8"/>
        </w:rPr>
      </w:pPr>
    </w:p>
    <w:p>
      <w:pPr>
        <w:ind w:left="186" w:right="980" w:hanging="186"/>
        <w:spacing w:after="0" w:line="236" w:lineRule="auto"/>
        <w:tabs>
          <w:tab w:leader="none" w:pos="181" w:val="left"/>
        </w:tabs>
        <w:numPr>
          <w:ilvl w:val="0"/>
          <w:numId w:val="29"/>
        </w:numPr>
        <w:rPr>
          <w:rFonts w:ascii="Arial" w:cs="Arial" w:eastAsia="Arial" w:hAnsi="Arial"/>
          <w:sz w:val="15"/>
          <w:szCs w:val="15"/>
          <w:color w:val="205BA8"/>
        </w:rPr>
      </w:pPr>
      <w:r>
        <w:rPr>
          <w:rFonts w:ascii="Arial" w:cs="Arial" w:eastAsia="Arial" w:hAnsi="Arial"/>
          <w:sz w:val="15"/>
          <w:szCs w:val="15"/>
          <w:color w:val="auto"/>
        </w:rPr>
        <w:t>Oversee the Company’s key corporate responsibility initiatives and conduct a periodic review of environmental, social,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24130</wp:posOffset>
            </wp:positionV>
            <wp:extent cx="63861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54" w:space="720"/>
            <w:col w:w="6766"/>
          </w:cols>
          <w:pgMar w:left="320" w:top="405" w:right="339" w:bottom="1440" w:gutter="0" w:footer="0" w:header="0"/>
          <w:type w:val="continuous"/>
        </w:sectPr>
      </w:pPr>
    </w:p>
    <w:p>
      <w:pPr>
        <w:spacing w:after="0" w:line="10" w:lineRule="exact"/>
        <w:rPr>
          <w:sz w:val="20"/>
          <w:szCs w:val="20"/>
          <w:color w:val="auto"/>
        </w:rPr>
      </w:pPr>
    </w:p>
    <w:p>
      <w:pPr>
        <w:ind w:left="680"/>
        <w:spacing w:after="0"/>
        <w:rPr>
          <w:sz w:val="20"/>
          <w:szCs w:val="20"/>
          <w:color w:val="auto"/>
        </w:rPr>
      </w:pPr>
      <w:r>
        <w:rPr>
          <w:rFonts w:ascii="Arial" w:cs="Arial" w:eastAsia="Arial" w:hAnsi="Arial"/>
          <w:sz w:val="25"/>
          <w:szCs w:val="25"/>
          <w:b w:val="1"/>
          <w:bCs w:val="1"/>
          <w:color w:val="FFFFFF"/>
        </w:rPr>
        <w:t>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-179705</wp:posOffset>
            </wp:positionV>
            <wp:extent cx="6386195" cy="2228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86195" cy="22288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4"/>
                <w:szCs w:val="14"/>
                <w:b w:val="1"/>
                <w:bCs w:val="1"/>
                <w:color w:val="C44E5E"/>
              </w:rPr>
              <w:t>Members</w:t>
            </w:r>
          </w:p>
        </w:tc>
        <w:tc>
          <w:tcPr>
            <w:tcW w:w="6940" w:type="dxa"/>
            <w:vAlign w:val="bottom"/>
          </w:tcPr>
          <w:p>
            <w:pPr>
              <w:ind w:left="720"/>
              <w:spacing w:after="0"/>
              <w:rPr>
                <w:sz w:val="20"/>
                <w:szCs w:val="20"/>
                <w:color w:val="auto"/>
              </w:rPr>
            </w:pPr>
            <w:r>
              <w:rPr>
                <w:rFonts w:ascii="Arial" w:cs="Arial" w:eastAsia="Arial" w:hAnsi="Arial"/>
                <w:sz w:val="15"/>
                <w:szCs w:val="15"/>
                <w:b w:val="1"/>
                <w:bCs w:val="1"/>
                <w:color w:val="C44E5E"/>
              </w:rPr>
              <w:t>Key Functions</w:t>
            </w:r>
          </w:p>
        </w:tc>
        <w:tc>
          <w:tcPr>
            <w:tcW w:w="540" w:type="dxa"/>
            <w:vAlign w:val="bottom"/>
          </w:tcPr>
          <w:p>
            <w:pPr>
              <w:spacing w:after="0"/>
              <w:rPr>
                <w:sz w:val="17"/>
                <w:szCs w:val="17"/>
                <w:color w:val="auto"/>
              </w:rPr>
            </w:pPr>
          </w:p>
        </w:tc>
      </w:tr>
      <w:tr>
        <w:trPr>
          <w:trHeight w:val="227"/>
        </w:trPr>
        <w:tc>
          <w:tcPr>
            <w:tcW w:w="64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4"/>
                <w:szCs w:val="14"/>
                <w:color w:val="205BA8"/>
              </w:rPr>
              <w:t xml:space="preserve">Michael S. Brown, M.D., </w:t>
            </w:r>
            <w:r>
              <w:rPr>
                <w:rFonts w:ascii="Arial" w:cs="Arial" w:eastAsia="Arial" w:hAnsi="Arial"/>
                <w:sz w:val="14"/>
                <w:szCs w:val="14"/>
                <w:i w:val="1"/>
                <w:iCs w:val="1"/>
                <w:color w:val="205BA8"/>
              </w:rPr>
              <w:t>Chairman</w:t>
            </w:r>
          </w:p>
        </w:tc>
        <w:tc>
          <w:tcPr>
            <w:tcW w:w="6940" w:type="dxa"/>
            <w:vAlign w:val="bottom"/>
          </w:tcPr>
          <w:p>
            <w:pPr>
              <w:ind w:left="720"/>
              <w:spacing w:after="0"/>
              <w:rPr>
                <w:sz w:val="20"/>
                <w:szCs w:val="20"/>
                <w:color w:val="auto"/>
              </w:rPr>
            </w:pPr>
            <w:r>
              <w:rPr>
                <w:rFonts w:ascii="Arial" w:cs="Arial" w:eastAsia="Arial" w:hAnsi="Arial"/>
                <w:sz w:val="15"/>
                <w:szCs w:val="15"/>
                <w:color w:val="205BA8"/>
              </w:rPr>
              <w:t xml:space="preserve">•  </w:t>
            </w:r>
            <w:r>
              <w:rPr>
                <w:rFonts w:ascii="Arial" w:cs="Arial" w:eastAsia="Arial" w:hAnsi="Arial"/>
                <w:sz w:val="15"/>
                <w:szCs w:val="15"/>
                <w:color w:val="000000"/>
              </w:rPr>
              <w:t>Review and evaluate the Company’s research and clinical development programs, plans,</w:t>
            </w:r>
          </w:p>
        </w:tc>
        <w:tc>
          <w:tcPr>
            <w:tcW w:w="540" w:type="dxa"/>
            <w:vAlign w:val="bottom"/>
          </w:tcPr>
          <w:p>
            <w:pPr>
              <w:spacing w:after="0"/>
              <w:rPr>
                <w:sz w:val="19"/>
                <w:szCs w:val="19"/>
                <w:color w:val="auto"/>
              </w:rPr>
            </w:pPr>
          </w:p>
        </w:tc>
      </w:tr>
      <w:tr>
        <w:trPr>
          <w:trHeight w:val="166"/>
        </w:trPr>
        <w:tc>
          <w:tcPr>
            <w:tcW w:w="64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205BA8"/>
              </w:rPr>
              <w:t>Bonnie L. Bassler, Ph.D.</w:t>
            </w:r>
          </w:p>
        </w:tc>
        <w:tc>
          <w:tcPr>
            <w:tcW w:w="6940" w:type="dxa"/>
            <w:vAlign w:val="bottom"/>
          </w:tcPr>
          <w:p>
            <w:pPr>
              <w:ind w:left="900"/>
              <w:spacing w:after="0" w:line="167" w:lineRule="exact"/>
              <w:rPr>
                <w:sz w:val="20"/>
                <w:szCs w:val="20"/>
                <w:color w:val="auto"/>
              </w:rPr>
            </w:pPr>
            <w:r>
              <w:rPr>
                <w:rFonts w:ascii="Arial" w:cs="Arial" w:eastAsia="Arial" w:hAnsi="Arial"/>
                <w:sz w:val="15"/>
                <w:szCs w:val="15"/>
                <w:color w:val="auto"/>
              </w:rPr>
              <w:t>and policies.</w:t>
            </w:r>
          </w:p>
        </w:tc>
        <w:tc>
          <w:tcPr>
            <w:tcW w:w="540" w:type="dxa"/>
            <w:vAlign w:val="bottom"/>
          </w:tcPr>
          <w:p>
            <w:pPr>
              <w:spacing w:after="0"/>
              <w:rPr>
                <w:sz w:val="14"/>
                <w:szCs w:val="14"/>
                <w:color w:val="auto"/>
              </w:rPr>
            </w:pPr>
          </w:p>
        </w:tc>
      </w:tr>
      <w:tr>
        <w:trPr>
          <w:trHeight w:val="162"/>
        </w:trPr>
        <w:tc>
          <w:tcPr>
            <w:tcW w:w="64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205BA8"/>
              </w:rPr>
              <w:t>Joseph L. Goldstein, M.D.</w:t>
            </w:r>
          </w:p>
        </w:tc>
        <w:tc>
          <w:tcPr>
            <w:tcW w:w="69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64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205BA8"/>
              </w:rPr>
              <w:t>Marc Tessier-Lavigne, Ph.D.</w:t>
            </w:r>
          </w:p>
        </w:tc>
        <w:tc>
          <w:tcPr>
            <w:tcW w:w="69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64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color w:val="205BA8"/>
              </w:rPr>
              <w:t>P. Roy Vagelos, M.D.</w:t>
            </w:r>
          </w:p>
        </w:tc>
        <w:tc>
          <w:tcPr>
            <w:tcW w:w="69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57"/>
        </w:trPr>
        <w:tc>
          <w:tcPr>
            <w:tcW w:w="640" w:type="dxa"/>
            <w:vAlign w:val="bottom"/>
          </w:tcPr>
          <w:p>
            <w:pPr>
              <w:spacing w:after="0"/>
              <w:rPr>
                <w:sz w:val="13"/>
                <w:szCs w:val="13"/>
                <w:color w:val="auto"/>
              </w:rPr>
            </w:pPr>
          </w:p>
        </w:tc>
        <w:tc>
          <w:tcPr>
            <w:tcW w:w="3120" w:type="dxa"/>
            <w:vAlign w:val="bottom"/>
          </w:tcPr>
          <w:p>
            <w:pPr>
              <w:spacing w:after="0" w:line="157" w:lineRule="exact"/>
              <w:rPr>
                <w:sz w:val="20"/>
                <w:szCs w:val="20"/>
                <w:color w:val="auto"/>
              </w:rPr>
            </w:pPr>
            <w:r>
              <w:rPr>
                <w:rFonts w:ascii="Arial" w:cs="Arial" w:eastAsia="Arial" w:hAnsi="Arial"/>
                <w:sz w:val="14"/>
                <w:szCs w:val="14"/>
                <w:color w:val="205BA8"/>
              </w:rPr>
              <w:t>Huda Y. Zoghbi, M.D.</w:t>
            </w:r>
          </w:p>
        </w:tc>
        <w:tc>
          <w:tcPr>
            <w:tcW w:w="69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89"/>
        </w:trPr>
        <w:tc>
          <w:tcPr>
            <w:tcW w:w="640" w:type="dxa"/>
            <w:vAlign w:val="bottom"/>
          </w:tcPr>
          <w:p>
            <w:pPr>
              <w:spacing w:after="0"/>
              <w:rPr>
                <w:sz w:val="16"/>
                <w:szCs w:val="16"/>
                <w:color w:val="auto"/>
              </w:rPr>
            </w:pPr>
          </w:p>
        </w:tc>
        <w:tc>
          <w:tcPr>
            <w:tcW w:w="3120" w:type="dxa"/>
            <w:vAlign w:val="bottom"/>
          </w:tcPr>
          <w:p>
            <w:pPr>
              <w:spacing w:after="0" w:line="189" w:lineRule="exact"/>
              <w:rPr>
                <w:sz w:val="20"/>
                <w:szCs w:val="20"/>
                <w:color w:val="auto"/>
              </w:rPr>
            </w:pPr>
            <w:r>
              <w:rPr>
                <w:rFonts w:ascii="Arial" w:cs="Arial" w:eastAsia="Arial" w:hAnsi="Arial"/>
                <w:sz w:val="13"/>
                <w:szCs w:val="13"/>
                <w:color w:val="205BA8"/>
              </w:rPr>
              <w:t>Leonard S. Schleifer, M.D., Ph.D.</w:t>
            </w:r>
            <w:r>
              <w:rPr>
                <w:rFonts w:ascii="Arial" w:cs="Arial" w:eastAsia="Arial" w:hAnsi="Arial"/>
                <w:sz w:val="21"/>
                <w:szCs w:val="21"/>
                <w:color w:val="205BA8"/>
                <w:vertAlign w:val="superscript"/>
              </w:rPr>
              <w:t>+</w:t>
            </w:r>
          </w:p>
        </w:tc>
        <w:tc>
          <w:tcPr>
            <w:tcW w:w="69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44"/>
        </w:trPr>
        <w:tc>
          <w:tcPr>
            <w:tcW w:w="640" w:type="dxa"/>
            <w:vAlign w:val="bottom"/>
          </w:tcPr>
          <w:p>
            <w:pPr>
              <w:spacing w:after="0"/>
              <w:rPr>
                <w:sz w:val="21"/>
                <w:szCs w:val="21"/>
                <w:color w:val="auto"/>
              </w:rPr>
            </w:pPr>
          </w:p>
        </w:tc>
        <w:tc>
          <w:tcPr>
            <w:tcW w:w="3120" w:type="dxa"/>
            <w:vAlign w:val="bottom"/>
          </w:tcPr>
          <w:p>
            <w:pPr>
              <w:spacing w:after="0" w:line="244" w:lineRule="exact"/>
              <w:rPr>
                <w:sz w:val="20"/>
                <w:szCs w:val="20"/>
                <w:color w:val="auto"/>
              </w:rPr>
            </w:pPr>
            <w:r>
              <w:rPr>
                <w:rFonts w:ascii="Arial" w:cs="Arial" w:eastAsia="Arial" w:hAnsi="Arial"/>
                <w:sz w:val="14"/>
                <w:szCs w:val="14"/>
                <w:color w:val="205BA8"/>
              </w:rPr>
              <w:t>George D. Yancopoulos, M.D., Ph.D.</w:t>
            </w:r>
            <w:r>
              <w:rPr>
                <w:rFonts w:ascii="Arial" w:cs="Arial" w:eastAsia="Arial" w:hAnsi="Arial"/>
                <w:sz w:val="23"/>
                <w:szCs w:val="23"/>
                <w:color w:val="205BA8"/>
                <w:vertAlign w:val="superscript"/>
              </w:rPr>
              <w:t>+</w:t>
            </w:r>
          </w:p>
        </w:tc>
        <w:tc>
          <w:tcPr>
            <w:tcW w:w="69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190"/>
        </w:trPr>
        <w:tc>
          <w:tcPr>
            <w:tcW w:w="64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4"/>
                <w:szCs w:val="14"/>
                <w:b w:val="1"/>
                <w:bCs w:val="1"/>
                <w:color w:val="C44E5E"/>
              </w:rPr>
              <w:t>Number of Meetings Held in 2020</w:t>
            </w:r>
          </w:p>
        </w:tc>
        <w:tc>
          <w:tcPr>
            <w:tcW w:w="69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30"/>
        </w:trPr>
        <w:tc>
          <w:tcPr>
            <w:tcW w:w="3760" w:type="dxa"/>
            <w:vAlign w:val="bottom"/>
            <w:gridSpan w:val="2"/>
          </w:tcPr>
          <w:p>
            <w:pPr>
              <w:ind w:left="640"/>
              <w:spacing w:after="0"/>
              <w:rPr>
                <w:sz w:val="20"/>
                <w:szCs w:val="20"/>
                <w:color w:val="auto"/>
              </w:rPr>
            </w:pPr>
            <w:r>
              <w:rPr>
                <w:rFonts w:ascii="Arial" w:cs="Arial" w:eastAsia="Arial" w:hAnsi="Arial"/>
                <w:sz w:val="14"/>
                <w:szCs w:val="14"/>
                <w:color w:val="205BA8"/>
              </w:rPr>
              <w:t>3</w:t>
            </w:r>
          </w:p>
        </w:tc>
        <w:tc>
          <w:tcPr>
            <w:tcW w:w="69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79"/>
        </w:trPr>
        <w:tc>
          <w:tcPr>
            <w:tcW w:w="640" w:type="dxa"/>
            <w:vAlign w:val="bottom"/>
          </w:tcPr>
          <w:p>
            <w:pPr>
              <w:spacing w:after="0"/>
              <w:rPr>
                <w:sz w:val="6"/>
                <w:szCs w:val="6"/>
                <w:color w:val="auto"/>
              </w:rPr>
            </w:pPr>
          </w:p>
        </w:tc>
        <w:tc>
          <w:tcPr>
            <w:tcW w:w="3120" w:type="dxa"/>
            <w:vAlign w:val="bottom"/>
            <w:tcBorders>
              <w:bottom w:val="single" w:sz="8" w:color="1F5AA8"/>
            </w:tcBorders>
          </w:tcPr>
          <w:p>
            <w:pPr>
              <w:spacing w:after="0"/>
              <w:rPr>
                <w:sz w:val="6"/>
                <w:szCs w:val="6"/>
                <w:color w:val="auto"/>
              </w:rPr>
            </w:pPr>
          </w:p>
        </w:tc>
        <w:tc>
          <w:tcPr>
            <w:tcW w:w="6940" w:type="dxa"/>
            <w:vAlign w:val="bottom"/>
            <w:tcBorders>
              <w:bottom w:val="single" w:sz="8" w:color="1F5AA8"/>
            </w:tcBorders>
          </w:tcPr>
          <w:p>
            <w:pPr>
              <w:spacing w:after="0"/>
              <w:rPr>
                <w:sz w:val="6"/>
                <w:szCs w:val="6"/>
                <w:color w:val="auto"/>
              </w:rPr>
            </w:pPr>
          </w:p>
        </w:tc>
        <w:tc>
          <w:tcPr>
            <w:tcW w:w="540" w:type="dxa"/>
            <w:vAlign w:val="bottom"/>
          </w:tcPr>
          <w:p>
            <w:pPr>
              <w:spacing w:after="0"/>
              <w:rPr>
                <w:sz w:val="6"/>
                <w:szCs w:val="6"/>
                <w:color w:val="auto"/>
              </w:rPr>
            </w:pPr>
          </w:p>
        </w:tc>
      </w:tr>
      <w:tr>
        <w:trPr>
          <w:trHeight w:val="238"/>
        </w:trPr>
        <w:tc>
          <w:tcPr>
            <w:tcW w:w="3760" w:type="dxa"/>
            <w:vAlign w:val="bottom"/>
            <w:gridSpan w:val="2"/>
          </w:tcPr>
          <w:p>
            <w:pPr>
              <w:ind w:left="6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Ex Officio</w:t>
            </w:r>
            <w:r>
              <w:rPr>
                <w:rFonts w:ascii="Arial" w:cs="Arial" w:eastAsia="Arial" w:hAnsi="Arial"/>
                <w:sz w:val="14"/>
                <w:szCs w:val="14"/>
                <w:color w:val="auto"/>
              </w:rPr>
              <w:t xml:space="preserve"> Member.</w:t>
            </w:r>
          </w:p>
        </w:tc>
        <w:tc>
          <w:tcPr>
            <w:tcW w:w="69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90"/>
        </w:trPr>
        <w:tc>
          <w:tcPr>
            <w:tcW w:w="10700" w:type="dxa"/>
            <w:vAlign w:val="bottom"/>
            <w:gridSpan w:val="3"/>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54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23</w:t>
            </w:r>
          </w:p>
        </w:tc>
      </w:tr>
      <w:tr>
        <w:trPr>
          <w:trHeight w:val="258"/>
        </w:trPr>
        <w:tc>
          <w:tcPr>
            <w:tcW w:w="640" w:type="dxa"/>
            <w:vAlign w:val="bottom"/>
            <w:tcBorders>
              <w:bottom w:val="single" w:sz="8" w:color="C0C0C0"/>
            </w:tcBorders>
          </w:tcPr>
          <w:p>
            <w:pPr>
              <w:spacing w:after="0"/>
              <w:rPr>
                <w:sz w:val="22"/>
                <w:szCs w:val="22"/>
                <w:color w:val="auto"/>
              </w:rPr>
            </w:pPr>
          </w:p>
        </w:tc>
        <w:tc>
          <w:tcPr>
            <w:tcW w:w="3120" w:type="dxa"/>
            <w:vAlign w:val="bottom"/>
            <w:tcBorders>
              <w:bottom w:val="single" w:sz="8" w:color="C0C0C0"/>
            </w:tcBorders>
          </w:tcPr>
          <w:p>
            <w:pPr>
              <w:spacing w:after="0"/>
              <w:rPr>
                <w:sz w:val="22"/>
                <w:szCs w:val="22"/>
                <w:color w:val="auto"/>
              </w:rPr>
            </w:pPr>
          </w:p>
        </w:tc>
        <w:tc>
          <w:tcPr>
            <w:tcW w:w="6940" w:type="dxa"/>
            <w:vAlign w:val="bottom"/>
            <w:tcBorders>
              <w:bottom w:val="single" w:sz="8" w:color="C0C0C0"/>
            </w:tcBorders>
          </w:tcPr>
          <w:p>
            <w:pPr>
              <w:spacing w:after="0"/>
              <w:rPr>
                <w:sz w:val="22"/>
                <w:szCs w:val="22"/>
                <w:color w:val="auto"/>
              </w:rPr>
            </w:pPr>
          </w:p>
        </w:tc>
        <w:tc>
          <w:tcPr>
            <w:tcW w:w="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34" w:name="page35"/>
    <w:bookmarkEnd w:id="34"/>
    <w:p>
      <w:pPr>
        <w:ind w:left="540"/>
        <w:spacing w:after="0"/>
        <w:rPr>
          <w:sz w:val="20"/>
          <w:szCs w:val="20"/>
          <w:color w:val="auto"/>
        </w:rPr>
      </w:pPr>
      <w:r>
        <w:rPr>
          <w:rFonts w:ascii="Arial" w:cs="Arial" w:eastAsia="Arial" w:hAnsi="Arial"/>
          <w:sz w:val="68"/>
          <w:szCs w:val="68"/>
          <w:b w:val="1"/>
          <w:bCs w:val="1"/>
          <w:color w:val="205BA8"/>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131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11910"/>
                    </a:xfrm>
                    <a:prstGeom prst="rect">
                      <a:avLst/>
                    </a:prstGeom>
                    <a:noFill/>
                  </pic:spPr>
                </pic:pic>
              </a:graphicData>
            </a:graphic>
          </wp:anchor>
        </w:drawing>
        <w:t>BOARD GOVERNANCE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29"/>
          <w:szCs w:val="29"/>
          <w:b w:val="1"/>
          <w:bCs w:val="1"/>
          <w:color w:val="C44E5E"/>
        </w:rPr>
        <w:t>BOARD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27940</wp:posOffset>
            </wp:positionV>
            <wp:extent cx="63861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372" w:lineRule="exact"/>
        <w:rPr>
          <w:sz w:val="20"/>
          <w:szCs w:val="20"/>
          <w:color w:val="auto"/>
        </w:rPr>
      </w:pPr>
    </w:p>
    <w:p>
      <w:pPr>
        <w:ind w:left="640" w:right="640"/>
        <w:spacing w:after="0" w:line="233" w:lineRule="auto"/>
        <w:rPr>
          <w:sz w:val="20"/>
          <w:szCs w:val="20"/>
          <w:color w:val="auto"/>
        </w:rPr>
      </w:pPr>
      <w:r>
        <w:rPr>
          <w:rFonts w:ascii="Arial" w:cs="Arial" w:eastAsia="Arial" w:hAnsi="Arial"/>
          <w:sz w:val="15"/>
          <w:szCs w:val="15"/>
          <w:color w:val="auto"/>
        </w:rPr>
        <w:t>Pursuant to the Company’s Certificate of Incorporation, the board of directors is divided into three classes, denominated Class I, Class II, and Class III, with members of each class holding office for staggered three-year terms. There are currently four members in each of Class I, Class II, and Class III. The respective terms of the directors expire (in all cases, subject to the election and qualification of their successors and to their earlier death, resignation, or removal) as follows:</w:t>
      </w:r>
    </w:p>
    <w:p>
      <w:pPr>
        <w:spacing w:after="0" w:line="140" w:lineRule="exact"/>
        <w:rPr>
          <w:sz w:val="20"/>
          <w:szCs w:val="20"/>
          <w:color w:val="auto"/>
        </w:rPr>
      </w:pPr>
    </w:p>
    <w:p>
      <w:pPr>
        <w:ind w:left="820" w:hanging="182"/>
        <w:spacing w:after="0"/>
        <w:tabs>
          <w:tab w:leader="none" w:pos="820" w:val="left"/>
        </w:tabs>
        <w:numPr>
          <w:ilvl w:val="0"/>
          <w:numId w:val="30"/>
        </w:numPr>
        <w:rPr>
          <w:rFonts w:ascii="Arial" w:cs="Arial" w:eastAsia="Arial" w:hAnsi="Arial"/>
          <w:sz w:val="15"/>
          <w:szCs w:val="15"/>
          <w:color w:val="205BA8"/>
        </w:rPr>
      </w:pPr>
      <w:r>
        <w:rPr>
          <w:rFonts w:ascii="Arial" w:cs="Arial" w:eastAsia="Arial" w:hAnsi="Arial"/>
          <w:sz w:val="15"/>
          <w:szCs w:val="15"/>
          <w:color w:val="auto"/>
        </w:rPr>
        <w:t>The terms of the Class I Directors expire at the 2022 Annual Meeting;</w:t>
      </w:r>
    </w:p>
    <w:p>
      <w:pPr>
        <w:spacing w:after="0" w:line="151" w:lineRule="exact"/>
        <w:rPr>
          <w:rFonts w:ascii="Arial" w:cs="Arial" w:eastAsia="Arial" w:hAnsi="Arial"/>
          <w:sz w:val="15"/>
          <w:szCs w:val="15"/>
          <w:color w:val="205BA8"/>
        </w:rPr>
      </w:pPr>
    </w:p>
    <w:p>
      <w:pPr>
        <w:ind w:left="820" w:hanging="182"/>
        <w:spacing w:after="0"/>
        <w:tabs>
          <w:tab w:leader="none" w:pos="820" w:val="left"/>
        </w:tabs>
        <w:numPr>
          <w:ilvl w:val="0"/>
          <w:numId w:val="30"/>
        </w:numPr>
        <w:rPr>
          <w:rFonts w:ascii="Arial" w:cs="Arial" w:eastAsia="Arial" w:hAnsi="Arial"/>
          <w:sz w:val="15"/>
          <w:szCs w:val="15"/>
          <w:color w:val="205BA8"/>
        </w:rPr>
      </w:pPr>
      <w:r>
        <w:rPr>
          <w:rFonts w:ascii="Arial" w:cs="Arial" w:eastAsia="Arial" w:hAnsi="Arial"/>
          <w:sz w:val="15"/>
          <w:szCs w:val="15"/>
          <w:color w:val="auto"/>
        </w:rPr>
        <w:t>The terms of the Class II Directors expire at the 2023 Annual Meeting; and</w:t>
      </w:r>
    </w:p>
    <w:p>
      <w:pPr>
        <w:spacing w:after="0" w:line="151" w:lineRule="exact"/>
        <w:rPr>
          <w:rFonts w:ascii="Arial" w:cs="Arial" w:eastAsia="Arial" w:hAnsi="Arial"/>
          <w:sz w:val="15"/>
          <w:szCs w:val="15"/>
          <w:color w:val="205BA8"/>
        </w:rPr>
      </w:pPr>
    </w:p>
    <w:p>
      <w:pPr>
        <w:ind w:left="820" w:hanging="182"/>
        <w:spacing w:after="0"/>
        <w:tabs>
          <w:tab w:leader="none" w:pos="820" w:val="left"/>
        </w:tabs>
        <w:numPr>
          <w:ilvl w:val="0"/>
          <w:numId w:val="30"/>
        </w:numPr>
        <w:rPr>
          <w:rFonts w:ascii="Arial" w:cs="Arial" w:eastAsia="Arial" w:hAnsi="Arial"/>
          <w:sz w:val="15"/>
          <w:szCs w:val="15"/>
          <w:color w:val="205BA8"/>
        </w:rPr>
      </w:pPr>
      <w:r>
        <w:rPr>
          <w:rFonts w:ascii="Arial" w:cs="Arial" w:eastAsia="Arial" w:hAnsi="Arial"/>
          <w:sz w:val="15"/>
          <w:szCs w:val="15"/>
          <w:color w:val="auto"/>
        </w:rPr>
        <w:t>The terms of the Class III Directors expire at the 2021 Annual Meeting.</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29"/>
          <w:szCs w:val="29"/>
          <w:b w:val="1"/>
          <w:bCs w:val="1"/>
          <w:color w:val="C44E5E"/>
        </w:rPr>
        <w:t>BOARD MEETINGS AND ATTENDANCE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27940</wp:posOffset>
            </wp:positionV>
            <wp:extent cx="63861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129" w:lineRule="exact"/>
        <w:rPr>
          <w:sz w:val="20"/>
          <w:szCs w:val="20"/>
          <w:color w:val="auto"/>
        </w:rPr>
      </w:pPr>
    </w:p>
    <w:p>
      <w:pPr>
        <w:ind w:left="640" w:right="580"/>
        <w:spacing w:after="0" w:line="229" w:lineRule="auto"/>
        <w:rPr>
          <w:sz w:val="20"/>
          <w:szCs w:val="20"/>
          <w:color w:val="auto"/>
        </w:rPr>
      </w:pPr>
      <w:r>
        <w:rPr>
          <w:rFonts w:ascii="Arial" w:cs="Arial" w:eastAsia="Arial" w:hAnsi="Arial"/>
          <w:sz w:val="15"/>
          <w:szCs w:val="15"/>
          <w:color w:val="auto"/>
        </w:rPr>
        <w:t>The board held 11 meetings in 2020, of which five were regular and six were special meetings. The Regeneron Board of Directors Corporate Governance Guidelines provide that directors are expected to attend all or substantially all meetings of the board and the committees on which they serve. All directors attended at least 75% of the total number of meetings of the board and committees of the board on which they served, except for Dr. Tessier-Lavigne, who, while attending all of the regularly scheduled board and applicable committee meetings, was unable to attend certain special board meetings called on short notice due in large part to the fact that these meetings had been scheduled without sufficient regard for time zone differences, resulting in his attendance falling below 75% by one meeting. In 2021 to date, Dr. Tessier-Lavigne has attended 100% of the board and applicable committee meetings.</w:t>
      </w:r>
    </w:p>
    <w:p>
      <w:pPr>
        <w:spacing w:after="0" w:line="144" w:lineRule="exact"/>
        <w:rPr>
          <w:sz w:val="20"/>
          <w:szCs w:val="20"/>
          <w:color w:val="auto"/>
        </w:rPr>
      </w:pPr>
    </w:p>
    <w:p>
      <w:pPr>
        <w:ind w:left="640" w:right="540"/>
        <w:spacing w:after="0" w:line="228" w:lineRule="auto"/>
        <w:rPr>
          <w:sz w:val="20"/>
          <w:szCs w:val="20"/>
          <w:color w:val="auto"/>
        </w:rPr>
      </w:pPr>
      <w:r>
        <w:rPr>
          <w:rFonts w:ascii="Arial" w:cs="Arial" w:eastAsia="Arial" w:hAnsi="Arial"/>
          <w:sz w:val="15"/>
          <w:szCs w:val="15"/>
          <w:color w:val="auto"/>
        </w:rPr>
        <w:t>In considering whether to recommend Dr. Tessier-Lavigne for reelection to the board at the 2021 Annual Meeting of Shareholders, the Corporate Governance and Compliance Committee took into account that Dr. Tessier-Lavigne attended all of the regularly scheduled board and applicable committee meetings in 2020 and 100% of the board and applicable committee meetings in 2021 to date; that a number of the 2020 meetings that he was unable to attend were called on short notice, without sufficient regard to the fact that Dr. Tessier-Lavigne was the only director based in the Pacific Time Zone; that appropriate steps had been taken to ensure that all future meetings would be scheduled so as not to disadvantage Dr. Tessier-Lavigne because of his location; and that Dr. Tessier-Lavigne has a long history of good meeting attendance. In light of these factors, the Corporate Governance and Compliance Committee believes that Dr. Tessier-Lavigne’s attendance will not be a future concern and, having taken into consideration his distinguished scientific and academic career and his significant industry experience, recommended to the board that Dr. Tessier-Lavigne should be nominated for reelection to the board.</w:t>
      </w:r>
    </w:p>
    <w:p>
      <w:pPr>
        <w:spacing w:after="0" w:line="145" w:lineRule="exact"/>
        <w:rPr>
          <w:sz w:val="20"/>
          <w:szCs w:val="20"/>
          <w:color w:val="auto"/>
        </w:rPr>
      </w:pPr>
    </w:p>
    <w:p>
      <w:pPr>
        <w:ind w:left="640" w:right="760"/>
        <w:spacing w:after="0" w:line="242" w:lineRule="auto"/>
        <w:rPr>
          <w:sz w:val="20"/>
          <w:szCs w:val="20"/>
          <w:color w:val="auto"/>
        </w:rPr>
      </w:pPr>
      <w:r>
        <w:rPr>
          <w:rFonts w:ascii="Arial" w:cs="Arial" w:eastAsia="Arial" w:hAnsi="Arial"/>
          <w:sz w:val="15"/>
          <w:szCs w:val="15"/>
          <w:color w:val="auto"/>
        </w:rPr>
        <w:t>According to the Regeneron Board of Directors Corporate Governance Guidelines, board members are expected to attend the Company’s Annual Meeting of Shareholders. All of the directors attended our 2020 Annual Meeting of Shareholders.</w:t>
      </w:r>
    </w:p>
    <w:p>
      <w:pPr>
        <w:spacing w:after="0" w:line="101" w:lineRule="exact"/>
        <w:rPr>
          <w:sz w:val="20"/>
          <w:szCs w:val="20"/>
          <w:color w:val="auto"/>
        </w:rPr>
      </w:pPr>
    </w:p>
    <w:p>
      <w:pPr>
        <w:ind w:left="640" w:right="1740"/>
        <w:spacing w:after="0" w:line="278" w:lineRule="auto"/>
        <w:rPr>
          <w:sz w:val="20"/>
          <w:szCs w:val="20"/>
          <w:color w:val="auto"/>
        </w:rPr>
      </w:pPr>
      <w:r>
        <w:rPr>
          <w:rFonts w:ascii="Arial" w:cs="Arial" w:eastAsia="Arial" w:hAnsi="Arial"/>
          <w:sz w:val="29"/>
          <w:szCs w:val="29"/>
          <w:b w:val="1"/>
          <w:bCs w:val="1"/>
          <w:color w:val="C44E5E"/>
        </w:rPr>
        <w:t>PROCEDURES RELATING TO NOMINEES; BOARD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-35560</wp:posOffset>
            </wp:positionV>
            <wp:extent cx="63861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86195" cy="8890"/>
                    </a:xfrm>
                    <a:prstGeom prst="rect">
                      <a:avLst/>
                    </a:prstGeom>
                    <a:noFill/>
                  </pic:spPr>
                </pic:pic>
              </a:graphicData>
            </a:graphic>
          </wp:anchor>
        </w:drawing>
      </w:r>
    </w:p>
    <w:p>
      <w:pPr>
        <w:spacing w:after="0" w:line="27" w:lineRule="exact"/>
        <w:rPr>
          <w:sz w:val="20"/>
          <w:szCs w:val="20"/>
          <w:color w:val="auto"/>
        </w:rPr>
      </w:pPr>
    </w:p>
    <w:p>
      <w:pPr>
        <w:ind w:left="640" w:right="800"/>
        <w:spacing w:after="0" w:line="233" w:lineRule="auto"/>
        <w:rPr>
          <w:sz w:val="20"/>
          <w:szCs w:val="20"/>
          <w:color w:val="auto"/>
        </w:rPr>
      </w:pPr>
      <w:r>
        <w:rPr>
          <w:rFonts w:ascii="Arial" w:cs="Arial" w:eastAsia="Arial" w:hAnsi="Arial"/>
          <w:sz w:val="15"/>
          <w:szCs w:val="15"/>
          <w:color w:val="auto"/>
        </w:rPr>
        <w:t xml:space="preserve">The Corporate Governance and Compliance Committee will consider a nominee for election to the board of directors recommended by a shareholder of record if the shareholder submits the recommendation in compliance with the requirements of our Guidelines Regarding Director Nominations, which are available on our website at </w:t>
      </w:r>
      <w:r>
        <w:rPr>
          <w:rFonts w:ascii="Arial" w:cs="Arial" w:eastAsia="Arial" w:hAnsi="Arial"/>
          <w:sz w:val="15"/>
          <w:szCs w:val="15"/>
          <w:b w:val="1"/>
          <w:bCs w:val="1"/>
          <w:color w:val="auto"/>
        </w:rPr>
        <w:t>www.regeneron.com</w:t>
      </w:r>
      <w:r>
        <w:rPr>
          <w:rFonts w:ascii="Arial" w:cs="Arial" w:eastAsia="Arial" w:hAnsi="Arial"/>
          <w:sz w:val="15"/>
          <w:szCs w:val="15"/>
          <w:color w:val="auto"/>
        </w:rPr>
        <w:t xml:space="preserve"> under the “Corporate Governance” heading on the “Investors &amp; Media” page.</w:t>
      </w:r>
    </w:p>
    <w:p>
      <w:pPr>
        <w:spacing w:after="0" w:line="140" w:lineRule="exact"/>
        <w:rPr>
          <w:sz w:val="20"/>
          <w:szCs w:val="20"/>
          <w:color w:val="auto"/>
        </w:rPr>
      </w:pPr>
    </w:p>
    <w:p>
      <w:pPr>
        <w:ind w:left="640" w:right="620"/>
        <w:spacing w:after="0" w:line="233" w:lineRule="auto"/>
        <w:rPr>
          <w:sz w:val="20"/>
          <w:szCs w:val="20"/>
          <w:color w:val="auto"/>
        </w:rPr>
      </w:pPr>
      <w:r>
        <w:rPr>
          <w:rFonts w:ascii="Arial" w:cs="Arial" w:eastAsia="Arial" w:hAnsi="Arial"/>
          <w:sz w:val="15"/>
          <w:szCs w:val="15"/>
          <w:color w:val="auto"/>
        </w:rPr>
        <w:t>In considering potential candidates for the board of directors, the Corporate Governance and Compliance Committee considers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 (5) has the ability to exercise sound business</w:t>
      </w:r>
    </w:p>
    <w:p>
      <w:pPr>
        <w:spacing w:after="0" w:line="284"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24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25" w:right="339" w:bottom="1440" w:gutter="0" w:footer="0" w:header="0"/>
        </w:sectPr>
      </w:pPr>
    </w:p>
    <w:bookmarkStart w:id="35" w:name="page36"/>
    <w:bookmarkEnd w:id="35"/>
    <w:p>
      <w:pPr>
        <w:ind w:left="6900"/>
        <w:spacing w:after="0"/>
        <w:rPr>
          <w:sz w:val="20"/>
          <w:szCs w:val="20"/>
          <w:color w:val="auto"/>
        </w:rPr>
      </w:pPr>
      <w:r>
        <w:rPr>
          <w:rFonts w:ascii="Arial" w:cs="Arial" w:eastAsia="Arial" w:hAnsi="Arial"/>
          <w:sz w:val="16"/>
          <w:szCs w:val="16"/>
          <w:b w:val="1"/>
          <w:bCs w:val="1"/>
          <w:color w:val="205BA8"/>
        </w:rPr>
        <w:t xml:space="preserve">BOARD OF DIRECTORS / </w:t>
      </w:r>
      <w:r>
        <w:rPr>
          <w:rFonts w:ascii="Arial" w:cs="Arial" w:eastAsia="Arial" w:hAnsi="Arial"/>
          <w:sz w:val="16"/>
          <w:szCs w:val="16"/>
          <w:b w:val="1"/>
          <w:bCs w:val="1"/>
          <w:color w:val="C44E5E"/>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jc w:val="both"/>
        <w:ind w:left="540" w:right="540"/>
        <w:spacing w:after="0" w:line="235" w:lineRule="auto"/>
        <w:rPr>
          <w:sz w:val="20"/>
          <w:szCs w:val="20"/>
          <w:color w:val="auto"/>
        </w:rPr>
      </w:pPr>
      <w:r>
        <w:rPr>
          <w:rFonts w:ascii="Arial" w:cs="Arial" w:eastAsia="Arial" w:hAnsi="Arial"/>
          <w:sz w:val="15"/>
          <w:szCs w:val="15"/>
          <w:color w:val="auto"/>
        </w:rPr>
        <w:t>judgment; (6) has the commitment to rigorously represent the long-term interests of the Company’s shareholders; (7) possesses a diverse background and experience, including with respect to race, age, and gender; and (8) such other factors as the Corporate Governance and Compliance Committee may determine from time to time.</w:t>
      </w:r>
    </w:p>
    <w:p>
      <w:pPr>
        <w:spacing w:after="0" w:line="141" w:lineRule="exact"/>
        <w:rPr>
          <w:sz w:val="20"/>
          <w:szCs w:val="20"/>
          <w:color w:val="auto"/>
        </w:rPr>
      </w:pPr>
    </w:p>
    <w:p>
      <w:pPr>
        <w:ind w:left="540" w:right="540"/>
        <w:spacing w:after="0" w:line="229" w:lineRule="auto"/>
        <w:rPr>
          <w:sz w:val="20"/>
          <w:szCs w:val="20"/>
          <w:color w:val="auto"/>
        </w:rPr>
      </w:pPr>
      <w:r>
        <w:rPr>
          <w:rFonts w:ascii="Arial" w:cs="Arial" w:eastAsia="Arial" w:hAnsi="Arial"/>
          <w:sz w:val="15"/>
          <w:szCs w:val="15"/>
          <w:color w:val="auto"/>
        </w:rPr>
        <w:t>Candidates for director are reviewed in the context of the current composition of the board of directors, the operating requirements of the Company, and the long-term interests of shareholders. In conducting the assessment, the Committee considers the individual’s independence, experience, skills, background, and diversity, including with respect to race, age, and gender, along with such other factors as it deems appropriate, given the current needs of the board and the Company to maintain a balance of knowledge, experience, and capabilities. When recommending a slate of director nominees each year, the Corporate Governance and Compliance Committee reviews the current composition of the board of directors in order to recommend a slate of directors who, with the continuing directors, will provide the board with the requisite diversity of skills, expertise, experience, and viewpoints necessary to effectively fulfill its duties and responsibilities.</w:t>
      </w:r>
    </w:p>
    <w:p>
      <w:pPr>
        <w:spacing w:after="0" w:line="144" w:lineRule="exact"/>
        <w:rPr>
          <w:sz w:val="20"/>
          <w:szCs w:val="20"/>
          <w:color w:val="auto"/>
        </w:rPr>
      </w:pPr>
    </w:p>
    <w:p>
      <w:pPr>
        <w:ind w:left="540" w:right="560"/>
        <w:spacing w:after="0" w:line="231" w:lineRule="auto"/>
        <w:rPr>
          <w:sz w:val="20"/>
          <w:szCs w:val="20"/>
          <w:color w:val="auto"/>
        </w:rPr>
      </w:pPr>
      <w:r>
        <w:rPr>
          <w:rFonts w:ascii="Arial" w:cs="Arial" w:eastAsia="Arial" w:hAnsi="Arial"/>
          <w:sz w:val="15"/>
          <w:szCs w:val="15"/>
          <w:color w:val="auto"/>
        </w:rPr>
        <w:t>In the case of an incumbent director whose term of office is set to expire, the Corporate Governance and Compliance Committee reviews such director’s overall service to the Company during the director’s term and also considers the director’s interest in continuing as a member of the board. In the case of a new director candidate, the Corporate Governance and Compliance Committee also reviews whether the nominee is “independent,” based on our Corporate Governance Guidelines, applicable listing standards of the Nasdaq Stock Market LLC, and applicable SEC and other relevant rules and regulations, if necessary.</w:t>
      </w:r>
    </w:p>
    <w:p>
      <w:pPr>
        <w:spacing w:after="0" w:line="142" w:lineRule="exact"/>
        <w:rPr>
          <w:sz w:val="20"/>
          <w:szCs w:val="20"/>
          <w:color w:val="auto"/>
        </w:rPr>
      </w:pPr>
    </w:p>
    <w:p>
      <w:pPr>
        <w:ind w:left="540" w:right="560"/>
        <w:spacing w:after="0" w:line="229" w:lineRule="auto"/>
        <w:rPr>
          <w:sz w:val="20"/>
          <w:szCs w:val="20"/>
          <w:color w:val="auto"/>
        </w:rPr>
      </w:pPr>
      <w:r>
        <w:rPr>
          <w:rFonts w:ascii="Arial" w:cs="Arial" w:eastAsia="Arial" w:hAnsi="Arial"/>
          <w:sz w:val="15"/>
          <w:szCs w:val="15"/>
          <w:color w:val="auto"/>
        </w:rPr>
        <w:t>The Corporate Governance and Compliance Committee may employ a variety of methods for identifying and evaluating nominees for the board of directors. In addition, the Corporate Governance and Compliance Committee may consider candidates recommended by other directors, management, search firms, shareholders, or other sources. When conducting searches for new directors, the Corporate Governance and Compliance Committee will take reasonable steps to include diverse candidates in the pool of nominees and any search firm will affirmatively be instructed to seek to include diverse candidates. Candidates recommended by shareholders will be evaluated on the same basis as candidates recommended by our directors or management or by third-party search firms or other sources. Candidates may be evaluated at regular or special meetings of the Corporate Governance and Compliance Committee.</w:t>
      </w:r>
    </w:p>
    <w:p>
      <w:pPr>
        <w:spacing w:after="0" w:line="144" w:lineRule="exact"/>
        <w:rPr>
          <w:sz w:val="20"/>
          <w:szCs w:val="20"/>
          <w:color w:val="auto"/>
        </w:rPr>
      </w:pPr>
    </w:p>
    <w:p>
      <w:pPr>
        <w:ind w:left="540" w:right="660"/>
        <w:spacing w:after="0" w:line="235" w:lineRule="auto"/>
        <w:rPr>
          <w:sz w:val="20"/>
          <w:szCs w:val="20"/>
          <w:color w:val="auto"/>
        </w:rPr>
      </w:pPr>
      <w:r>
        <w:rPr>
          <w:rFonts w:ascii="Arial" w:cs="Arial" w:eastAsia="Arial" w:hAnsi="Arial"/>
          <w:sz w:val="15"/>
          <w:szCs w:val="15"/>
          <w:color w:val="auto"/>
        </w:rPr>
        <w:t>The Corporate Governance and Compliance Committee seeks to ensure that our board of directors as a whole possesses the mix of skills and experiences to provide effective oversight and guidance to management to execute on the Company’s long-term strategy. The Committee also considers succession planning for board and committee chairs for purposes of continuity and to maintain relevant expertise and depth of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92075</wp:posOffset>
            </wp:positionV>
            <wp:extent cx="6172200" cy="14573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7220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BOARD AND COMMITTEE SELF-ASSESSMENTS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372" w:lineRule="exact"/>
        <w:rPr>
          <w:sz w:val="20"/>
          <w:szCs w:val="20"/>
          <w:color w:val="auto"/>
        </w:rPr>
      </w:pPr>
    </w:p>
    <w:p>
      <w:pPr>
        <w:ind w:left="540" w:right="580"/>
        <w:spacing w:after="0" w:line="230" w:lineRule="auto"/>
        <w:rPr>
          <w:sz w:val="20"/>
          <w:szCs w:val="20"/>
          <w:color w:val="auto"/>
        </w:rPr>
      </w:pPr>
      <w:r>
        <w:rPr>
          <w:rFonts w:ascii="Arial" w:cs="Arial" w:eastAsia="Arial" w:hAnsi="Arial"/>
          <w:sz w:val="15"/>
          <w:szCs w:val="15"/>
          <w:color w:val="auto"/>
        </w:rPr>
        <w:t>On an annual basis, the board of directors, the Audit Committee, the Compensation Committee, and the Corporate Governance and Compliance Committee conduct self-assessments to ensure effective performance and to identify opportunities for improvement. As the first step in the self-assessment process, directors complete a comprehensive questionnaire, which asks them to consider various topics related to board and committee composition, structure, effectiveness, and responsibilities, as well as satisfaction with the schedule, materials, and discussion topics. Each committee, as well as the board as a whole, then reviews and assesses the responses and presents its findings and recommendations to the board of directors. The results of the assessments are then discussed by the board of</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25</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36" w:name="page37"/>
    <w:bookmarkEnd w:id="36"/>
    <w:p>
      <w:pPr>
        <w:ind w:left="540"/>
        <w:spacing w:after="0"/>
        <w:rPr>
          <w:sz w:val="20"/>
          <w:szCs w:val="20"/>
          <w:color w:val="auto"/>
        </w:rPr>
      </w:pPr>
      <w:r>
        <w:rPr>
          <w:rFonts w:ascii="Arial" w:cs="Arial" w:eastAsia="Arial" w:hAnsi="Arial"/>
          <w:sz w:val="16"/>
          <w:szCs w:val="16"/>
          <w:b w:val="1"/>
          <w:bCs w:val="1"/>
          <w:color w:val="205BA8"/>
        </w:rPr>
        <w:t xml:space="preserve">BOARD OF DIRECTORS / </w:t>
      </w:r>
      <w:r>
        <w:rPr>
          <w:rFonts w:ascii="Arial" w:cs="Arial" w:eastAsia="Arial" w:hAnsi="Arial"/>
          <w:sz w:val="16"/>
          <w:szCs w:val="16"/>
          <w:b w:val="1"/>
          <w:bCs w:val="1"/>
          <w:color w:val="C44E5E"/>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ind w:left="540" w:right="860"/>
        <w:spacing w:after="0" w:line="242" w:lineRule="auto"/>
        <w:rPr>
          <w:sz w:val="20"/>
          <w:szCs w:val="20"/>
          <w:color w:val="auto"/>
        </w:rPr>
      </w:pPr>
      <w:r>
        <w:rPr>
          <w:rFonts w:ascii="Arial" w:cs="Arial" w:eastAsia="Arial" w:hAnsi="Arial"/>
          <w:sz w:val="15"/>
          <w:szCs w:val="15"/>
          <w:color w:val="auto"/>
        </w:rPr>
        <w:t>directors and the respective committees in executive session, with a view toward taking action to address any issues presented. Results requiring additional consideration are addressed at subsequent board and committee meetings, where appropriate.</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C44E5E"/>
        </w:rPr>
        <w:t>Annual Self-Assessment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12700</wp:posOffset>
            </wp:positionV>
            <wp:extent cx="6172200" cy="127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7220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0" w:right="680"/>
        <w:spacing w:after="0" w:line="242" w:lineRule="auto"/>
        <w:rPr>
          <w:sz w:val="20"/>
          <w:szCs w:val="20"/>
          <w:color w:val="auto"/>
        </w:rPr>
      </w:pPr>
      <w:r>
        <w:rPr>
          <w:rFonts w:ascii="Arial" w:cs="Arial" w:eastAsia="Arial" w:hAnsi="Arial"/>
          <w:sz w:val="15"/>
          <w:szCs w:val="15"/>
          <w:color w:val="auto"/>
        </w:rPr>
        <w:t>While this formal self-assessment is conducted on an annual basis, directors share perspectives, feedback, and suggestions year-round, both inside and outside the boardroom.</w:t>
      </w:r>
    </w:p>
    <w:p>
      <w:pPr>
        <w:spacing w:after="0" w:line="101" w:lineRule="exact"/>
        <w:rPr>
          <w:sz w:val="20"/>
          <w:szCs w:val="20"/>
          <w:color w:val="auto"/>
        </w:rPr>
      </w:pPr>
    </w:p>
    <w:p>
      <w:pPr>
        <w:ind w:left="540" w:right="780"/>
        <w:spacing w:after="0" w:line="278" w:lineRule="auto"/>
        <w:rPr>
          <w:sz w:val="20"/>
          <w:szCs w:val="20"/>
          <w:color w:val="auto"/>
        </w:rPr>
      </w:pPr>
      <w:r>
        <w:rPr>
          <w:rFonts w:ascii="Arial" w:cs="Arial" w:eastAsia="Arial" w:hAnsi="Arial"/>
          <w:sz w:val="29"/>
          <w:szCs w:val="29"/>
          <w:b w:val="1"/>
          <w:bCs w:val="1"/>
          <w:color w:val="C44E5E"/>
        </w:rPr>
        <w:t>SHAREHOLDER RIGHTS TO REMOVE DIRECTORS FOR CAUSE AND TO CALL SPECIAL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-35560</wp:posOffset>
            </wp:positionV>
            <wp:extent cx="64465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7" w:lineRule="exact"/>
        <w:rPr>
          <w:sz w:val="20"/>
          <w:szCs w:val="20"/>
          <w:color w:val="auto"/>
        </w:rPr>
      </w:pPr>
    </w:p>
    <w:p>
      <w:pPr>
        <w:jc w:val="both"/>
        <w:ind w:left="540" w:right="560"/>
        <w:spacing w:after="0" w:line="235" w:lineRule="auto"/>
        <w:rPr>
          <w:sz w:val="20"/>
          <w:szCs w:val="20"/>
          <w:color w:val="auto"/>
        </w:rPr>
      </w:pPr>
      <w:r>
        <w:rPr>
          <w:rFonts w:ascii="Arial" w:cs="Arial" w:eastAsia="Arial" w:hAnsi="Arial"/>
          <w:sz w:val="15"/>
          <w:szCs w:val="15"/>
          <w:color w:val="auto"/>
        </w:rPr>
        <w:t>Regeneron’s charter documents give shareholders the rights to (i) remove directors for cause by an affirmative vote of at least 80% of the outstanding shares of all classes of capital stock entitled to vote for directors; and (ii) call a special shareholder meeting upon the written request of at least 25% of the total number of votes entitled to be cast by shareholders.</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29" w:lineRule="exact"/>
        <w:rPr>
          <w:sz w:val="20"/>
          <w:szCs w:val="20"/>
          <w:color w:val="auto"/>
        </w:rPr>
      </w:pPr>
    </w:p>
    <w:p>
      <w:pPr>
        <w:ind w:left="540" w:right="680"/>
        <w:spacing w:after="0" w:line="229" w:lineRule="auto"/>
        <w:rPr>
          <w:sz w:val="20"/>
          <w:szCs w:val="20"/>
          <w:color w:val="auto"/>
        </w:rPr>
      </w:pPr>
      <w:r>
        <w:rPr>
          <w:rFonts w:ascii="Arial" w:cs="Arial" w:eastAsia="Arial" w:hAnsi="Arial"/>
          <w:sz w:val="15"/>
          <w:szCs w:val="15"/>
          <w:color w:val="auto"/>
        </w:rPr>
        <w:t>The board of directors has determined that each of the following currently serving directors is independent as defined in the listing standards of The Nasdaq Stock Market LLC and our Corporate Governance Guidelines: Bonnie L. Bassler, Ph.D., Michael S. Brown, M.D., N. Anthony Coles, M.D., Joseph L. Goldstein, M.D., Christine A. Poon, Arthur F. Ryan, George L. Sing, Marc Tessier-Lavigne, Ph.D., and Huda Y. Zoghbi, M.D. These individuals are affiliated with numerous educational institutions, hospitals, charities, and corporations, as well as civic organizations and professional associations. The board of directors considered each of these relationships and determined that none of these relationships conflicted with the interests of the Company or would impair their independence or judgment. In accordance with our Corporate Governance Guidelines, the board conducts executive sessions of independent directors presided by the Chairman of the Corporate Governance and Compliance Committee following each regularly scheduled board meeting.</w:t>
      </w:r>
    </w:p>
    <w:p>
      <w:pPr>
        <w:spacing w:after="0" w:line="141" w:lineRule="exact"/>
        <w:rPr>
          <w:sz w:val="20"/>
          <w:szCs w:val="20"/>
          <w:color w:val="auto"/>
        </w:rPr>
      </w:pPr>
    </w:p>
    <w:p>
      <w:pPr>
        <w:jc w:val="both"/>
        <w:ind w:left="540" w:right="720"/>
        <w:spacing w:after="0" w:line="235" w:lineRule="auto"/>
        <w:rPr>
          <w:sz w:val="20"/>
          <w:szCs w:val="20"/>
          <w:color w:val="auto"/>
        </w:rPr>
      </w:pPr>
      <w:r>
        <w:rPr>
          <w:rFonts w:ascii="Arial" w:cs="Arial" w:eastAsia="Arial" w:hAnsi="Arial"/>
          <w:sz w:val="15"/>
          <w:szCs w:val="15"/>
          <w:color w:val="auto"/>
        </w:rPr>
        <w:t>The board of directors has determined that each of the current members of the Audit Committee, Messrs. Ryan and Sing and Dr. Coles, qualifies as an “audit committee financial expert” as that term is defined by SEC rules, and is independent as defined for audit committee members in the listing standards of The Nasdaq Stock Market LLC and SEC rules.</w:t>
      </w:r>
    </w:p>
    <w:p>
      <w:pPr>
        <w:spacing w:after="0" w:line="141" w:lineRule="exact"/>
        <w:rPr>
          <w:sz w:val="20"/>
          <w:szCs w:val="20"/>
          <w:color w:val="auto"/>
        </w:rPr>
      </w:pPr>
    </w:p>
    <w:p>
      <w:pPr>
        <w:ind w:left="540" w:right="640"/>
        <w:spacing w:after="0" w:line="233" w:lineRule="auto"/>
        <w:rPr>
          <w:sz w:val="20"/>
          <w:szCs w:val="20"/>
          <w:color w:val="auto"/>
        </w:rPr>
      </w:pPr>
      <w:r>
        <w:rPr>
          <w:rFonts w:ascii="Arial" w:cs="Arial" w:eastAsia="Arial" w:hAnsi="Arial"/>
          <w:sz w:val="15"/>
          <w:szCs w:val="15"/>
          <w:color w:val="auto"/>
        </w:rPr>
        <w:t>In addition, the board of directors has determined that each of the current members of the Compensation Committee, Ms. Poon, Mr. Sing, and Dr. Zoghbi, meets the additional independence criteria applicable to compensation committee members under the listing standards of The Nasdaq Stock Market LLC and qualifies as a “Non-Employee Director” pursuant to Rule 16b-3 under the Securities Exchange Act of 1934, as amended (the “Exchange Act”).</w:t>
      </w:r>
    </w:p>
    <w:p>
      <w:pPr>
        <w:spacing w:after="0" w:line="284"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26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7" w:name="page38"/>
    <w:bookmarkEnd w:id="37"/>
    <w:p>
      <w:pPr>
        <w:jc w:val="right"/>
        <w:ind w:right="540"/>
        <w:spacing w:after="0"/>
        <w:rPr>
          <w:sz w:val="20"/>
          <w:szCs w:val="20"/>
          <w:color w:val="auto"/>
        </w:rPr>
      </w:pPr>
      <w:r>
        <w:rPr>
          <w:rFonts w:ascii="Arial" w:cs="Arial" w:eastAsia="Arial" w:hAnsi="Arial"/>
          <w:sz w:val="16"/>
          <w:szCs w:val="16"/>
          <w:b w:val="1"/>
          <w:bCs w:val="1"/>
          <w:color w:val="205BA8"/>
        </w:rPr>
        <w:t xml:space="preserve">BOARD OF DIRECTORS / </w:t>
      </w:r>
      <w:r>
        <w:rPr>
          <w:rFonts w:ascii="Arial" w:cs="Arial" w:eastAsia="Arial" w:hAnsi="Arial"/>
          <w:sz w:val="16"/>
          <w:szCs w:val="16"/>
          <w:b w:val="1"/>
          <w:bCs w:val="1"/>
          <w:color w:val="C44E5E"/>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4"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BOARD LEADERSHIP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129" w:lineRule="exact"/>
        <w:rPr>
          <w:sz w:val="20"/>
          <w:szCs w:val="20"/>
          <w:color w:val="auto"/>
        </w:rPr>
      </w:pPr>
    </w:p>
    <w:p>
      <w:pPr>
        <w:ind w:left="540" w:right="720"/>
        <w:spacing w:after="0" w:line="230" w:lineRule="auto"/>
        <w:rPr>
          <w:sz w:val="20"/>
          <w:szCs w:val="20"/>
          <w:color w:val="auto"/>
        </w:rPr>
      </w:pPr>
      <w:r>
        <w:rPr>
          <w:rFonts w:ascii="Arial" w:cs="Arial" w:eastAsia="Arial" w:hAnsi="Arial"/>
          <w:sz w:val="15"/>
          <w:szCs w:val="15"/>
          <w:color w:val="auto"/>
        </w:rPr>
        <w:t>The board of directors recognizes that one of its key responsibilities is to establish and evaluate an appropriate leadership structure for the board so as to provide effective oversight of management. Since 1995, the board has separated the roles of the Chief Executive Officer and the Chairman of the Board, with Dr. Vagelos serving as Chairman and Dr. Schleifer serving as President and Chief Executive Officer. The board has determined that this leadership structure is appropriate for the Company at this time. This determination was based in part on Dr. Vagelos’s extensive leadership experience, business acumen, and deep understanding of the healthcare industry, which the board believes have made Dr. Vagelos an invaluable resource to both the board and Dr. Schleifer.</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board executes its oversight responsibility for risk management directly and through its committees, as follows:</w:t>
      </w:r>
    </w:p>
    <w:p>
      <w:pPr>
        <w:spacing w:after="0" w:line="152" w:lineRule="exact"/>
        <w:rPr>
          <w:sz w:val="20"/>
          <w:szCs w:val="20"/>
          <w:color w:val="auto"/>
        </w:rPr>
      </w:pPr>
    </w:p>
    <w:p>
      <w:pPr>
        <w:ind w:left="760" w:right="560" w:hanging="212"/>
        <w:spacing w:after="0" w:line="233" w:lineRule="auto"/>
        <w:tabs>
          <w:tab w:leader="none" w:pos="760" w:val="left"/>
        </w:tabs>
        <w:numPr>
          <w:ilvl w:val="0"/>
          <w:numId w:val="31"/>
        </w:numPr>
        <w:rPr>
          <w:rFonts w:ascii="Arial" w:cs="Arial" w:eastAsia="Arial" w:hAnsi="Arial"/>
          <w:sz w:val="15"/>
          <w:szCs w:val="15"/>
          <w:color w:val="205BA8"/>
        </w:rPr>
      </w:pPr>
      <w:r>
        <w:rPr>
          <w:rFonts w:ascii="Arial" w:cs="Arial" w:eastAsia="Arial" w:hAnsi="Arial"/>
          <w:sz w:val="15"/>
          <w:szCs w:val="15"/>
          <w:color w:val="auto"/>
        </w:rPr>
        <w:t>The Audit Committee oversees the Company’s risk management program. The risk management program focuses on the most significant risks the Company faces. The Company’s Chief Audit Executive, who reports independently to the Committee, facilitates the risk management program. Audit Committee meetings include discussions of specific risk areas throughout the year, including, among others, those relating to cybersecurity, and reports from the Chief Audit Executive on the Company’s enterprise risk profile on an annual basis.</w:t>
      </w:r>
    </w:p>
    <w:p>
      <w:pPr>
        <w:spacing w:after="0" w:line="59" w:lineRule="exact"/>
        <w:rPr>
          <w:rFonts w:ascii="Arial" w:cs="Arial" w:eastAsia="Arial" w:hAnsi="Arial"/>
          <w:sz w:val="15"/>
          <w:szCs w:val="15"/>
          <w:color w:val="205BA8"/>
        </w:rPr>
      </w:pPr>
    </w:p>
    <w:p>
      <w:pPr>
        <w:ind w:left="760" w:right="680" w:hanging="212"/>
        <w:spacing w:after="0" w:line="231" w:lineRule="auto"/>
        <w:tabs>
          <w:tab w:leader="none" w:pos="760" w:val="left"/>
        </w:tabs>
        <w:numPr>
          <w:ilvl w:val="0"/>
          <w:numId w:val="31"/>
        </w:numPr>
        <w:rPr>
          <w:rFonts w:ascii="Arial" w:cs="Arial" w:eastAsia="Arial" w:hAnsi="Arial"/>
          <w:sz w:val="15"/>
          <w:szCs w:val="15"/>
          <w:color w:val="205BA8"/>
        </w:rPr>
      </w:pPr>
      <w:r>
        <w:rPr>
          <w:rFonts w:ascii="Arial" w:cs="Arial" w:eastAsia="Arial" w:hAnsi="Arial"/>
          <w:sz w:val="15"/>
          <w:szCs w:val="15"/>
          <w:color w:val="auto"/>
        </w:rPr>
        <w:t>The Compensation, Corporate Governance and Compliance, and Technology Committees oversee risks associated with their respective areas of responsibility. As part of its overall review of the Company’s compensation policies and practices, the Compensation Committee generally considers the risks associated with these policies and practices. The Corporate Governance and Compliance Committee oversees all aspects of the Company’s comprehensive compliance program other than financial compliance and considers legal and regulatory compliance risks. The Technology Committee considers risks associated with our research and development programs.</w:t>
      </w:r>
    </w:p>
    <w:p>
      <w:pPr>
        <w:spacing w:after="0" w:line="60" w:lineRule="exact"/>
        <w:rPr>
          <w:rFonts w:ascii="Arial" w:cs="Arial" w:eastAsia="Arial" w:hAnsi="Arial"/>
          <w:sz w:val="15"/>
          <w:szCs w:val="15"/>
          <w:color w:val="205BA8"/>
        </w:rPr>
      </w:pPr>
    </w:p>
    <w:p>
      <w:pPr>
        <w:ind w:left="760" w:right="540" w:hanging="212"/>
        <w:spacing w:after="0" w:line="231" w:lineRule="auto"/>
        <w:tabs>
          <w:tab w:leader="none" w:pos="760" w:val="left"/>
        </w:tabs>
        <w:numPr>
          <w:ilvl w:val="0"/>
          <w:numId w:val="31"/>
        </w:numPr>
        <w:rPr>
          <w:rFonts w:ascii="Arial" w:cs="Arial" w:eastAsia="Arial" w:hAnsi="Arial"/>
          <w:sz w:val="15"/>
          <w:szCs w:val="15"/>
          <w:color w:val="205BA8"/>
        </w:rPr>
      </w:pPr>
      <w:r>
        <w:rPr>
          <w:rFonts w:ascii="Arial" w:cs="Arial" w:eastAsia="Arial" w:hAnsi="Arial"/>
          <w:sz w:val="15"/>
          <w:szCs w:val="15"/>
          <w:color w:val="auto"/>
        </w:rPr>
        <w:t>The board is kept abreast of its committees’ risk oversight and other activities via reports of the committee chairpersons to the full board at regular board meetings. The board considers specific risk topics, including risks associated with our strategic plan, our finances, and our development activities. In addition, the board receives detailed regular reports from members of our senior management that include discussions of the risks and exposures involved in their respective areas of responsibility. Further, the board is routinely informed by the appropriate members of senior management of developments internal and external to the Company that could affect our risk profile.</w:t>
      </w:r>
    </w:p>
    <w:p>
      <w:pPr>
        <w:spacing w:after="0" w:line="281" w:lineRule="exact"/>
        <w:rPr>
          <w:sz w:val="20"/>
          <w:szCs w:val="20"/>
          <w:color w:val="auto"/>
        </w:rPr>
      </w:pPr>
    </w:p>
    <w:p>
      <w:pPr>
        <w:ind w:left="540" w:right="980"/>
        <w:spacing w:after="0" w:line="278" w:lineRule="auto"/>
        <w:rPr>
          <w:sz w:val="20"/>
          <w:szCs w:val="20"/>
          <w:color w:val="auto"/>
        </w:rPr>
      </w:pPr>
      <w:r>
        <w:rPr>
          <w:rFonts w:ascii="Arial" w:cs="Arial" w:eastAsia="Arial" w:hAnsi="Arial"/>
          <w:sz w:val="29"/>
          <w:szCs w:val="29"/>
          <w:b w:val="1"/>
          <w:bCs w:val="1"/>
          <w:color w:val="C44E5E"/>
        </w:rPr>
        <w:t>EXECUTIVE COMPENSATION PROCESSES AND PROCEDURES; ROLE OF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-35560</wp:posOffset>
            </wp:positionV>
            <wp:extent cx="64465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7" w:lineRule="exact"/>
        <w:rPr>
          <w:sz w:val="20"/>
          <w:szCs w:val="20"/>
          <w:color w:val="auto"/>
        </w:rPr>
      </w:pPr>
    </w:p>
    <w:p>
      <w:pPr>
        <w:ind w:left="540" w:right="940"/>
        <w:spacing w:after="0" w:line="233" w:lineRule="auto"/>
        <w:rPr>
          <w:sz w:val="20"/>
          <w:szCs w:val="20"/>
          <w:color w:val="auto"/>
        </w:rPr>
      </w:pPr>
      <w:r>
        <w:rPr>
          <w:rFonts w:ascii="Arial" w:cs="Arial" w:eastAsia="Arial" w:hAnsi="Arial"/>
          <w:sz w:val="15"/>
          <w:szCs w:val="15"/>
          <w:color w:val="auto"/>
        </w:rPr>
        <w:t>The Compensation Committee is responsible for overseeing the Company’s general compensation objectives and programs. We describe below under “Compensation-Related Matters—Compensation Discussion and Analysis—Compensation Processes” the role of the Compensation Committee, as well as the role of our executive officers, in decisions regarding executive compensation (particularly with respect to our Named Executive Officers (as defined below under “Compensation-Related Matters—Compensation Discussion and Analysis”)).</w:t>
      </w:r>
    </w:p>
    <w:p>
      <w:pPr>
        <w:spacing w:after="0" w:line="140" w:lineRule="exact"/>
        <w:rPr>
          <w:sz w:val="20"/>
          <w:szCs w:val="20"/>
          <w:color w:val="auto"/>
        </w:rPr>
      </w:pPr>
    </w:p>
    <w:p>
      <w:pPr>
        <w:ind w:left="540" w:right="680"/>
        <w:spacing w:after="0" w:line="230" w:lineRule="auto"/>
        <w:rPr>
          <w:sz w:val="20"/>
          <w:szCs w:val="20"/>
          <w:color w:val="auto"/>
        </w:rPr>
      </w:pPr>
      <w:r>
        <w:rPr>
          <w:rFonts w:ascii="Arial" w:cs="Arial" w:eastAsia="Arial" w:hAnsi="Arial"/>
          <w:sz w:val="15"/>
          <w:szCs w:val="15"/>
          <w:color w:val="auto"/>
        </w:rPr>
        <w:t>The Compensation Committee has the sole authority to retain its own third-party compensation consultants, and in 2020 utilized the services of Frederic W. Cook &amp; Co., Inc. (“Frederic W. Cook &amp; Co.”), an independent compensation consultant. Advice and recommendations provided by Frederic W. Cook &amp; Co. relate to both executive compensation (discussed in the section “Compensation-Related Matters” below) and director compensation matters (discussed in the subsection “Compensation of Directors” below). As discussed further below, the Corporate Governance and Compliance Committee has adopted a policy requiring the annual review of non-employee director compensation by an independent compensation consultant and separately engaged Frederic W. Cook &amp; Co. for that purpose.</w:t>
      </w:r>
    </w:p>
    <w:p>
      <w:pPr>
        <w:spacing w:after="0" w:line="142" w:lineRule="exact"/>
        <w:rPr>
          <w:sz w:val="20"/>
          <w:szCs w:val="20"/>
          <w:color w:val="auto"/>
        </w:rPr>
      </w:pPr>
    </w:p>
    <w:p>
      <w:pPr>
        <w:ind w:left="540" w:right="720"/>
        <w:spacing w:after="0" w:line="231" w:lineRule="auto"/>
        <w:rPr>
          <w:sz w:val="20"/>
          <w:szCs w:val="20"/>
          <w:color w:val="auto"/>
        </w:rPr>
      </w:pPr>
      <w:r>
        <w:rPr>
          <w:rFonts w:ascii="Arial" w:cs="Arial" w:eastAsia="Arial" w:hAnsi="Arial"/>
          <w:sz w:val="15"/>
          <w:szCs w:val="15"/>
          <w:color w:val="auto"/>
        </w:rPr>
        <w:t>Management also retains another compensation consultant for its own use. In 2020, management used the services of Radford, a compensation consultant focused on the technology and life sciences sectors. Radford provided various consulting services to us, including analyzing the competitiveness of specific compensation programs; preparing surveys of competitive pay practices; and assisting management in the development and analysis of executive compensation recommendations. Reports prepared by Radford that relate to executive compensation may also be shared with the Compensation Committee, the full board, or another committee of the board.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27</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38" w:name="page39"/>
    <w:bookmarkEnd w:id="38"/>
    <w:p>
      <w:pPr>
        <w:ind w:left="540" w:right="4020"/>
        <w:spacing w:after="0" w:line="284" w:lineRule="auto"/>
        <w:rPr>
          <w:sz w:val="20"/>
          <w:szCs w:val="20"/>
          <w:color w:val="auto"/>
        </w:rPr>
      </w:pPr>
      <w:r>
        <w:rPr>
          <w:rFonts w:ascii="Arial" w:cs="Arial" w:eastAsia="Arial" w:hAnsi="Arial"/>
          <w:sz w:val="68"/>
          <w:szCs w:val="68"/>
          <w:b w:val="1"/>
          <w:bCs w:val="1"/>
          <w:color w:val="205BA8"/>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817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t>COMPENSATION OF DIRECTORS</w:t>
      </w: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29" w:lineRule="exact"/>
        <w:rPr>
          <w:sz w:val="20"/>
          <w:szCs w:val="20"/>
          <w:color w:val="auto"/>
        </w:rPr>
      </w:pPr>
    </w:p>
    <w:p>
      <w:pPr>
        <w:ind w:left="540" w:right="680"/>
        <w:spacing w:after="0" w:line="233" w:lineRule="auto"/>
        <w:rPr>
          <w:sz w:val="20"/>
          <w:szCs w:val="20"/>
          <w:color w:val="auto"/>
        </w:rPr>
      </w:pPr>
      <w:r>
        <w:rPr>
          <w:rFonts w:ascii="Arial" w:cs="Arial" w:eastAsia="Arial" w:hAnsi="Arial"/>
          <w:sz w:val="15"/>
          <w:szCs w:val="15"/>
          <w:color w:val="auto"/>
        </w:rPr>
        <w:t>The general philosophy we have applied to compensation of our non-employee directors and the Chairman of the Board is similar to the executive compensation philosophy outlined in the “Compensation-Related Matters” section of this proxy statement. This philosophy, including its emphasis on equity compensation, is consistent with the Company’s long-term business orientation and has helped ensure alignment of directors’ interests with those of Regeneron shareholders.</w:t>
      </w:r>
    </w:p>
    <w:p>
      <w:pPr>
        <w:spacing w:after="0" w:line="140" w:lineRule="exact"/>
        <w:rPr>
          <w:sz w:val="20"/>
          <w:szCs w:val="20"/>
          <w:color w:val="auto"/>
        </w:rPr>
      </w:pPr>
    </w:p>
    <w:p>
      <w:pPr>
        <w:ind w:left="540" w:right="560"/>
        <w:spacing w:after="0" w:line="227" w:lineRule="auto"/>
        <w:rPr>
          <w:sz w:val="20"/>
          <w:szCs w:val="20"/>
          <w:color w:val="auto"/>
        </w:rPr>
      </w:pPr>
      <w:r>
        <w:rPr>
          <w:rFonts w:ascii="Arial" w:cs="Arial" w:eastAsia="Arial" w:hAnsi="Arial"/>
          <w:sz w:val="15"/>
          <w:szCs w:val="15"/>
          <w:color w:val="auto"/>
        </w:rPr>
        <w:t>Non-employee director compensation matters are subject to annual review. The Corporate Governance and Compliance Committee makes recommendations to the board of directors regarding, and the board of directors determines, the compensation of non-employee directors. The Corporate Governance and Compliance Committee evaluates the appropriate level and form of compensation for non-employee directors and recommends changes to such compensation to the board of directors when appropriate. Directors who are Company employees receive no additional compensation for serving on our board of directors or its committees. In determining compensation recommendations for the non-employee directors, the Corporate Governance and Compliance Committee considers, among other things, the qualifications, expertise, and demands on our directors,</w:t>
      </w:r>
    </w:p>
    <w:p>
      <w:pPr>
        <w:spacing w:after="0" w:line="3" w:lineRule="exact"/>
        <w:rPr>
          <w:sz w:val="20"/>
          <w:szCs w:val="20"/>
          <w:color w:val="auto"/>
        </w:rPr>
      </w:pPr>
    </w:p>
    <w:p>
      <w:pPr>
        <w:ind w:left="540" w:right="720"/>
        <w:spacing w:after="0" w:line="209" w:lineRule="auto"/>
        <w:rPr>
          <w:sz w:val="20"/>
          <w:szCs w:val="20"/>
          <w:color w:val="auto"/>
        </w:rPr>
      </w:pPr>
      <w:r>
        <w:rPr>
          <w:rFonts w:ascii="Arial" w:cs="Arial" w:eastAsia="Arial" w:hAnsi="Arial"/>
          <w:sz w:val="15"/>
          <w:szCs w:val="15"/>
          <w:color w:val="auto"/>
        </w:rPr>
        <w:t>practices of similar companies in the biotechnology industry (including the Peer Group</w:t>
      </w:r>
      <w:r>
        <w:rPr>
          <w:rFonts w:ascii="Arial" w:cs="Arial" w:eastAsia="Arial" w:hAnsi="Arial"/>
          <w:sz w:val="25"/>
          <w:szCs w:val="25"/>
          <w:color w:val="auto"/>
          <w:vertAlign w:val="superscript"/>
        </w:rPr>
        <w:t>2</w:t>
      </w:r>
      <w:r>
        <w:rPr>
          <w:rFonts w:ascii="Arial" w:cs="Arial" w:eastAsia="Arial" w:hAnsi="Arial"/>
          <w:sz w:val="15"/>
          <w:szCs w:val="15"/>
          <w:color w:val="auto"/>
        </w:rPr>
        <w:t>), and any comparative information provided by Frederic W. Cook &amp; Co. In addition, since November 2018, the Corporate Governance and Compliance Committee has required the annual review of non-employee director compensation by an independent compensation consultant, and has engaged Frederic W. Cook &amp; Co. for this purpose in each of the last three years.</w:t>
      </w:r>
    </w:p>
    <w:p>
      <w:pPr>
        <w:spacing w:after="0" w:line="140" w:lineRule="exact"/>
        <w:rPr>
          <w:sz w:val="20"/>
          <w:szCs w:val="20"/>
          <w:color w:val="auto"/>
        </w:rPr>
      </w:pPr>
    </w:p>
    <w:p>
      <w:pPr>
        <w:ind w:left="540" w:right="1100"/>
        <w:spacing w:after="0" w:line="242" w:lineRule="auto"/>
        <w:rPr>
          <w:sz w:val="20"/>
          <w:szCs w:val="20"/>
          <w:color w:val="auto"/>
        </w:rPr>
      </w:pPr>
      <w:r>
        <w:rPr>
          <w:rFonts w:ascii="Arial" w:cs="Arial" w:eastAsia="Arial" w:hAnsi="Arial"/>
          <w:sz w:val="15"/>
          <w:szCs w:val="15"/>
          <w:color w:val="auto"/>
        </w:rPr>
        <w:t>The process governing the compensation arrangements of the Chairman of the Board is described under “Compensation Arrangements of the Chairman of the Board of Directors” below.</w:t>
      </w:r>
    </w:p>
    <w:p>
      <w:pPr>
        <w:spacing w:after="0" w:line="138" w:lineRule="exact"/>
        <w:rPr>
          <w:sz w:val="20"/>
          <w:szCs w:val="20"/>
          <w:color w:val="auto"/>
        </w:rPr>
      </w:pPr>
    </w:p>
    <w:p>
      <w:pPr>
        <w:ind w:left="540" w:right="780"/>
        <w:spacing w:after="0" w:line="232" w:lineRule="auto"/>
        <w:rPr>
          <w:sz w:val="20"/>
          <w:szCs w:val="20"/>
          <w:color w:val="auto"/>
        </w:rPr>
      </w:pPr>
      <w:r>
        <w:rPr>
          <w:rFonts w:ascii="Arial" w:cs="Arial" w:eastAsia="Arial" w:hAnsi="Arial"/>
          <w:sz w:val="15"/>
          <w:szCs w:val="15"/>
          <w:color w:val="auto"/>
        </w:rPr>
        <w:t>The current compensation program for our non-employee directors and the Chairman of the Board (which has been effective for our non-employee directors and the Chairman of the Board since January 2019 and December 2018, respectively, and is further described below) is referred to in this</w:t>
      </w:r>
    </w:p>
    <w:p>
      <w:pPr>
        <w:ind w:left="540"/>
        <w:spacing w:after="0"/>
        <w:rPr>
          <w:sz w:val="20"/>
          <w:szCs w:val="20"/>
          <w:color w:val="auto"/>
        </w:rPr>
      </w:pPr>
      <w:r>
        <w:rPr>
          <w:rFonts w:ascii="Arial" w:cs="Arial" w:eastAsia="Arial" w:hAnsi="Arial"/>
          <w:sz w:val="15"/>
          <w:szCs w:val="15"/>
          <w:color w:val="auto"/>
        </w:rPr>
        <w:t>section as the “Current Compensation Program.”</w:t>
      </w:r>
      <w:r>
        <w:rPr>
          <w:rFonts w:ascii="Arial" w:cs="Arial" w:eastAsia="Arial" w:hAnsi="Arial"/>
          <w:sz w:val="25"/>
          <w:szCs w:val="25"/>
          <w:color w:val="auto"/>
          <w:vertAlign w:val="superscript"/>
        </w:rPr>
        <w:t>3</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NON-EMPLOYEE DIRECTOR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22860</wp:posOffset>
            </wp:positionV>
            <wp:extent cx="64465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121" w:lineRule="exact"/>
        <w:rPr>
          <w:sz w:val="20"/>
          <w:szCs w:val="20"/>
          <w:color w:val="auto"/>
        </w:rPr>
      </w:pPr>
    </w:p>
    <w:p>
      <w:pPr>
        <w:ind w:left="540" w:right="580"/>
        <w:spacing w:after="0"/>
        <w:rPr>
          <w:sz w:val="20"/>
          <w:szCs w:val="20"/>
          <w:color w:val="auto"/>
        </w:rPr>
      </w:pPr>
      <w:r>
        <w:rPr>
          <w:rFonts w:ascii="Arial" w:cs="Arial" w:eastAsia="Arial" w:hAnsi="Arial"/>
          <w:sz w:val="15"/>
          <w:szCs w:val="15"/>
          <w:color w:val="auto"/>
        </w:rPr>
        <w:t>Our philosophy for non-employee director compensation is simple: to attract the most highly qualified directors with a diverse skillset who will serve as stewards of the Company’s long-term prospects and scientific focus. With this in mind, our non-employee director compensation program emphasizes equity compensation primarily in the form of stock options, which reward increases in stock price, over cash fees. The board of directors believes that this emphasis is consistent with the Company’s long-term business orientation and has helped ensure alignment of directors’ interests with those of Regeneron shareholders. Under the Current Compensation Program, we have utilized value-denominated equity compensation awards (granted in the form of stock options and a relatively small percentage of RSUs) for our non-employee directors. This feature of the Current Compensation Program is meant to, among other things, ensure greater stability in reported non-employee director compensation on a year-over-year basis. The board of directors believes that the Current Compensation Program is consistent with Regeneron’s philosophy for 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154940</wp:posOffset>
            </wp:positionV>
            <wp:extent cx="64465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42" w:lineRule="exact"/>
        <w:rPr>
          <w:sz w:val="20"/>
          <w:szCs w:val="20"/>
          <w:color w:val="auto"/>
        </w:rPr>
      </w:pPr>
    </w:p>
    <w:p>
      <w:pPr>
        <w:ind w:left="760" w:right="760" w:hanging="212"/>
        <w:spacing w:after="0" w:line="258" w:lineRule="auto"/>
        <w:tabs>
          <w:tab w:leader="none" w:pos="760" w:val="left"/>
        </w:tabs>
        <w:numPr>
          <w:ilvl w:val="0"/>
          <w:numId w:val="32"/>
        </w:numPr>
        <w:rPr>
          <w:rFonts w:ascii="Arial" w:cs="Arial" w:eastAsia="Arial" w:hAnsi="Arial"/>
          <w:sz w:val="14"/>
          <w:szCs w:val="14"/>
          <w:b w:val="1"/>
          <w:bCs w:val="1"/>
          <w:color w:val="205BA8"/>
        </w:rPr>
      </w:pPr>
      <w:r>
        <w:rPr>
          <w:rFonts w:ascii="Arial" w:cs="Arial" w:eastAsia="Arial" w:hAnsi="Arial"/>
          <w:sz w:val="14"/>
          <w:szCs w:val="14"/>
          <w:color w:val="auto"/>
        </w:rPr>
        <w:t>See “Compensation-Related Matters—Compensation Discussion and Analysis—Compensation Processes—Peer Data” below for a list of the companies included in our Peer Group.</w:t>
      </w:r>
    </w:p>
    <w:p>
      <w:pPr>
        <w:spacing w:after="0" w:line="32" w:lineRule="exact"/>
        <w:rPr>
          <w:sz w:val="20"/>
          <w:szCs w:val="20"/>
          <w:color w:val="auto"/>
        </w:rPr>
      </w:pPr>
    </w:p>
    <w:p>
      <w:pPr>
        <w:ind w:left="760" w:right="580" w:hanging="212"/>
        <w:spacing w:after="0" w:line="258" w:lineRule="auto"/>
        <w:tabs>
          <w:tab w:leader="none" w:pos="760" w:val="left"/>
        </w:tabs>
        <w:numPr>
          <w:ilvl w:val="0"/>
          <w:numId w:val="33"/>
        </w:numPr>
        <w:rPr>
          <w:rFonts w:ascii="Arial" w:cs="Arial" w:eastAsia="Arial" w:hAnsi="Arial"/>
          <w:sz w:val="14"/>
          <w:szCs w:val="14"/>
          <w:b w:val="1"/>
          <w:bCs w:val="1"/>
          <w:color w:val="205BA8"/>
        </w:rPr>
      </w:pPr>
      <w:r>
        <w:rPr>
          <w:rFonts w:ascii="Arial" w:cs="Arial" w:eastAsia="Arial" w:hAnsi="Arial"/>
          <w:sz w:val="14"/>
          <w:szCs w:val="14"/>
          <w:color w:val="auto"/>
        </w:rPr>
        <w:t>The Current Compensation Program was implemented following the previously disclosed settlement of two shareholder derivative actions (the “Settlement”) and complies with the terms of the Settlement.</w:t>
      </w:r>
    </w:p>
    <w:p>
      <w:pPr>
        <w:spacing w:after="0" w:line="276"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28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25" w:right="339" w:bottom="1440" w:gutter="0" w:footer="0" w:header="0"/>
        </w:sectPr>
      </w:pPr>
    </w:p>
    <w:bookmarkStart w:id="39" w:name="page40"/>
    <w:bookmarkEnd w:id="39"/>
    <w:p>
      <w:pPr>
        <w:ind w:left="6120"/>
        <w:spacing w:after="0"/>
        <w:rPr>
          <w:sz w:val="20"/>
          <w:szCs w:val="20"/>
          <w:color w:val="auto"/>
        </w:rPr>
      </w:pPr>
      <w:r>
        <w:rPr>
          <w:rFonts w:ascii="Arial" w:cs="Arial" w:eastAsia="Arial" w:hAnsi="Arial"/>
          <w:sz w:val="16"/>
          <w:szCs w:val="16"/>
          <w:b w:val="1"/>
          <w:bCs w:val="1"/>
          <w:color w:val="205BA8"/>
        </w:rPr>
        <w:t xml:space="preserve">BOARD OF DIRECTORS / </w:t>
      </w:r>
      <w:r>
        <w:rPr>
          <w:rFonts w:ascii="Arial" w:cs="Arial" w:eastAsia="Arial" w:hAnsi="Arial"/>
          <w:sz w:val="16"/>
          <w:szCs w:val="16"/>
          <w:b w:val="1"/>
          <w:bCs w:val="1"/>
          <w:color w:val="C44E5E"/>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CASH FEES AND MATCHING GIFT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372" w:lineRule="exact"/>
        <w:rPr>
          <w:sz w:val="20"/>
          <w:szCs w:val="20"/>
          <w:color w:val="auto"/>
        </w:rPr>
      </w:pPr>
    </w:p>
    <w:p>
      <w:pPr>
        <w:ind w:left="540" w:right="780"/>
        <w:spacing w:after="0" w:line="229" w:lineRule="auto"/>
        <w:rPr>
          <w:sz w:val="20"/>
          <w:szCs w:val="20"/>
          <w:color w:val="auto"/>
        </w:rPr>
      </w:pPr>
      <w:r>
        <w:rPr>
          <w:rFonts w:ascii="Arial" w:cs="Arial" w:eastAsia="Arial" w:hAnsi="Arial"/>
          <w:sz w:val="15"/>
          <w:szCs w:val="15"/>
          <w:color w:val="auto"/>
        </w:rPr>
        <w:t>In 2020, each non-employee director received an annual retainer of $90,000 and an annual committee retainer of $10,000 for each standing committee of the Company’s board of directors on which the director served. In addition, each chairperson of each standing committee received an additional annual retainer of $10,000. Compared to cash compensation of non-employee directors in our Peer Group, the 2020 annual retainer for</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board service and the additional retainers provided to our committee chairpersons were each below the median.</w:t>
      </w:r>
      <w:r>
        <w:rPr>
          <w:rFonts w:ascii="Arial" w:cs="Arial" w:eastAsia="Arial" w:hAnsi="Arial"/>
          <w:sz w:val="25"/>
          <w:szCs w:val="25"/>
          <w:color w:val="auto"/>
          <w:vertAlign w:val="superscript"/>
        </w:rPr>
        <w:t>4</w:t>
      </w:r>
    </w:p>
    <w:p>
      <w:pPr>
        <w:spacing w:after="0" w:line="67" w:lineRule="exact"/>
        <w:rPr>
          <w:sz w:val="20"/>
          <w:szCs w:val="20"/>
          <w:color w:val="auto"/>
        </w:rPr>
      </w:pPr>
    </w:p>
    <w:p>
      <w:pPr>
        <w:ind w:left="540" w:right="660"/>
        <w:spacing w:after="0" w:line="235" w:lineRule="auto"/>
        <w:rPr>
          <w:sz w:val="20"/>
          <w:szCs w:val="20"/>
          <w:color w:val="auto"/>
        </w:rPr>
      </w:pPr>
      <w:r>
        <w:rPr>
          <w:rFonts w:ascii="Arial" w:cs="Arial" w:eastAsia="Arial" w:hAnsi="Arial"/>
          <w:sz w:val="15"/>
          <w:szCs w:val="15"/>
          <w:color w:val="auto"/>
        </w:rPr>
        <w:t>In addition, as permitted under the Settlement in respect of the annual retainer awarded in 2021 through 2023, the board of directors (upon the recommendation of the Corporate Governance and Compliance Committee) determined in November 2020 to increase by 5% the limit on the annual retainer. However, the board did not utilize this limit increase for purposes of setting the 2021 annual retainer and kept it unchanged at $90,000.</w:t>
      </w:r>
    </w:p>
    <w:p>
      <w:pPr>
        <w:spacing w:after="0" w:line="141" w:lineRule="exact"/>
        <w:rPr>
          <w:sz w:val="20"/>
          <w:szCs w:val="20"/>
          <w:color w:val="auto"/>
        </w:rPr>
      </w:pPr>
    </w:p>
    <w:p>
      <w:pPr>
        <w:ind w:left="540" w:right="660"/>
        <w:spacing w:after="0" w:line="233" w:lineRule="auto"/>
        <w:rPr>
          <w:sz w:val="20"/>
          <w:szCs w:val="20"/>
          <w:color w:val="auto"/>
        </w:rPr>
      </w:pPr>
      <w:r>
        <w:rPr>
          <w:rFonts w:ascii="Arial" w:cs="Arial" w:eastAsia="Arial" w:hAnsi="Arial"/>
          <w:sz w:val="15"/>
          <w:szCs w:val="15"/>
          <w:color w:val="auto"/>
        </w:rPr>
        <w:t>Non-employee directors are reimbursed for their actual expenses incurred in connection with their activities as directors, which include travel, hotel, and food and entertainment expenses (as applicable). In addition, directors are eligible to participate in the Regeneron Matching Gift Program, which is also available to eligible employees. Under this program, the Company matches contributions made by directors and employees to eligible tax-exempt organizations up to an annual maximum amount of $5,000 per director or employee.</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35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05BA8"/>
        </w:rPr>
        <w:t>2020 and 2021 Equity Awards</w:t>
      </w:r>
    </w:p>
    <w:p>
      <w:pPr>
        <w:spacing w:after="0" w:line="217" w:lineRule="exact"/>
        <w:rPr>
          <w:sz w:val="20"/>
          <w:szCs w:val="20"/>
          <w:color w:val="auto"/>
        </w:rPr>
      </w:pPr>
    </w:p>
    <w:p>
      <w:pPr>
        <w:jc w:val="both"/>
        <w:ind w:left="540" w:right="680"/>
        <w:spacing w:after="0" w:line="235" w:lineRule="auto"/>
        <w:rPr>
          <w:sz w:val="20"/>
          <w:szCs w:val="20"/>
          <w:color w:val="auto"/>
        </w:rPr>
      </w:pPr>
      <w:r>
        <w:rPr>
          <w:rFonts w:ascii="Arial" w:cs="Arial" w:eastAsia="Arial" w:hAnsi="Arial"/>
          <w:sz w:val="15"/>
          <w:szCs w:val="15"/>
          <w:color w:val="auto"/>
        </w:rPr>
        <w:t>The January 2020 and January 2021 annual equity awards to our non-employee directors were made in accordance with the Current Compensation Program and complied with the respective limits imposed by the Second Amended and Restated Regeneron Pharmaceuticals, Inc. 2014 Long-Term Incentive Plan (as well as its predecessor) and the Settlement.</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With respect to each of the January 2020 and January 2021 annual equity awards, the board of directors (upon the recommendation of the Corporate</w:t>
      </w:r>
    </w:p>
    <w:p>
      <w:pPr>
        <w:ind w:left="540"/>
        <w:spacing w:after="0" w:line="225" w:lineRule="auto"/>
        <w:rPr>
          <w:sz w:val="20"/>
          <w:szCs w:val="20"/>
          <w:color w:val="auto"/>
        </w:rPr>
      </w:pPr>
      <w:r>
        <w:rPr>
          <w:rFonts w:ascii="Arial" w:cs="Arial" w:eastAsia="Arial" w:hAnsi="Arial"/>
          <w:sz w:val="15"/>
          <w:szCs w:val="15"/>
          <w:color w:val="auto"/>
        </w:rPr>
        <w:t>Governance and Compliance Committee) determined that the targeted aggregate grant date fair value of such equity awards would be set at</w:t>
      </w:r>
    </w:p>
    <w:p>
      <w:pPr>
        <w:ind w:left="540"/>
        <w:spacing w:after="0" w:line="225" w:lineRule="auto"/>
        <w:rPr>
          <w:sz w:val="20"/>
          <w:szCs w:val="20"/>
          <w:color w:val="auto"/>
        </w:rPr>
      </w:pPr>
      <w:r>
        <w:rPr>
          <w:rFonts w:ascii="Arial" w:cs="Arial" w:eastAsia="Arial" w:hAnsi="Arial"/>
          <w:sz w:val="15"/>
          <w:szCs w:val="15"/>
          <w:color w:val="auto"/>
        </w:rPr>
        <w:t>$600,000 per non-employee director and consist of stock options with a grant date fair value of $480,000 (or 80% thereof) and RSUs with a grant date</w:t>
      </w:r>
    </w:p>
    <w:p>
      <w:pPr>
        <w:ind w:left="540"/>
        <w:spacing w:after="0" w:line="226" w:lineRule="auto"/>
        <w:rPr>
          <w:sz w:val="20"/>
          <w:szCs w:val="20"/>
          <w:color w:val="auto"/>
        </w:rPr>
      </w:pPr>
      <w:r>
        <w:rPr>
          <w:rFonts w:ascii="Arial" w:cs="Arial" w:eastAsia="Arial" w:hAnsi="Arial"/>
          <w:sz w:val="15"/>
          <w:szCs w:val="15"/>
          <w:color w:val="auto"/>
        </w:rPr>
        <w:t>fair value of $120,000 (or 20% thereof). The January 2020 annual equity awards to our non-employee directors are shown in the table below. On</w:t>
      </w:r>
    </w:p>
    <w:p>
      <w:pPr>
        <w:ind w:left="540"/>
        <w:spacing w:after="0" w:line="225" w:lineRule="auto"/>
        <w:rPr>
          <w:sz w:val="20"/>
          <w:szCs w:val="20"/>
          <w:color w:val="auto"/>
        </w:rPr>
      </w:pPr>
      <w:r>
        <w:rPr>
          <w:rFonts w:ascii="Arial" w:cs="Arial" w:eastAsia="Arial" w:hAnsi="Arial"/>
          <w:sz w:val="15"/>
          <w:szCs w:val="15"/>
          <w:color w:val="auto"/>
        </w:rPr>
        <w:t>January 4, 2021, each of the then-serving nine non-employee directors received an equity award comprised of stock options representing 3,613</w:t>
      </w:r>
    </w:p>
    <w:p>
      <w:pPr>
        <w:ind w:left="540"/>
        <w:spacing w:after="0" w:line="226" w:lineRule="auto"/>
        <w:rPr>
          <w:sz w:val="20"/>
          <w:szCs w:val="20"/>
          <w:color w:val="auto"/>
        </w:rPr>
      </w:pPr>
      <w:r>
        <w:rPr>
          <w:rFonts w:ascii="Arial" w:cs="Arial" w:eastAsia="Arial" w:hAnsi="Arial"/>
          <w:sz w:val="15"/>
          <w:szCs w:val="15"/>
          <w:color w:val="auto"/>
        </w:rPr>
        <w:t>shares of common stock (with a grant date fair value of $480,390) and 248 RSUs (with a grant date fair value of $119,705). The aggregate grant date</w:t>
      </w:r>
    </w:p>
    <w:p>
      <w:pPr>
        <w:ind w:left="540"/>
        <w:spacing w:after="0"/>
        <w:rPr>
          <w:sz w:val="20"/>
          <w:szCs w:val="20"/>
          <w:color w:val="auto"/>
        </w:rPr>
      </w:pPr>
      <w:r>
        <w:rPr>
          <w:rFonts w:ascii="Arial" w:cs="Arial" w:eastAsia="Arial" w:hAnsi="Arial"/>
          <w:sz w:val="15"/>
          <w:szCs w:val="15"/>
          <w:color w:val="auto"/>
        </w:rPr>
        <w:t>fair value of the January 2021 equity awards was $600,094 per non-employee director.</w:t>
      </w:r>
    </w:p>
    <w:p>
      <w:pPr>
        <w:spacing w:after="0" w:line="152" w:lineRule="exact"/>
        <w:rPr>
          <w:sz w:val="20"/>
          <w:szCs w:val="20"/>
          <w:color w:val="auto"/>
        </w:rPr>
      </w:pPr>
    </w:p>
    <w:p>
      <w:pPr>
        <w:ind w:left="540" w:right="560"/>
        <w:spacing w:after="0" w:line="231" w:lineRule="auto"/>
        <w:rPr>
          <w:sz w:val="20"/>
          <w:szCs w:val="20"/>
          <w:color w:val="auto"/>
        </w:rPr>
      </w:pPr>
      <w:r>
        <w:rPr>
          <w:rFonts w:ascii="Arial" w:cs="Arial" w:eastAsia="Arial" w:hAnsi="Arial"/>
          <w:sz w:val="15"/>
          <w:szCs w:val="15"/>
          <w:color w:val="auto"/>
        </w:rPr>
        <w:t>Similar to the limit increase described under “Cash Fees and Matching Gift Program” above, the board of directors (upon the recommendation of the Corporate Governance and Compliance Committee) determined in November 2020 to increase by 5% the annual limit on annual equity compensation per non-employee director set forth in the Settlement as permitted under the Settlement in respect of compensation awarded in 2021 through 2023. However, the board of directors did not utilize this limit increase for purposes of the January 2021 annual equity awards to the non-employee directors discussed above.</w:t>
      </w:r>
    </w:p>
    <w:p>
      <w:pPr>
        <w:spacing w:after="0" w:line="142" w:lineRule="exact"/>
        <w:rPr>
          <w:sz w:val="20"/>
          <w:szCs w:val="20"/>
          <w:color w:val="auto"/>
        </w:rPr>
      </w:pPr>
    </w:p>
    <w:p>
      <w:pPr>
        <w:ind w:left="540" w:right="600"/>
        <w:spacing w:after="0" w:line="231" w:lineRule="auto"/>
        <w:rPr>
          <w:sz w:val="20"/>
          <w:szCs w:val="20"/>
          <w:color w:val="auto"/>
        </w:rPr>
      </w:pPr>
      <w:r>
        <w:rPr>
          <w:rFonts w:ascii="Arial" w:cs="Arial" w:eastAsia="Arial" w:hAnsi="Arial"/>
          <w:sz w:val="15"/>
          <w:szCs w:val="15"/>
          <w:color w:val="auto"/>
        </w:rPr>
        <w:t>Similar to the process undertaken in respect of the January 2020 annual equity awards, the Corporate Governance and Compliance Committee recommended the approval of, and the board of directors approved, the terms of the January 2021 annual equity awards (as well as the limit increase discussed above) after consideration of the review, analysis, and recommendations of Frederic W. Cook &amp; Co. Such analysis focused on, among other matters, the market practices of companies in our Peer Group, other relevant industry and market data points, Regeneron’s non-employee director compensation philosophy (including its emphasis on long-term incentives), and the terms of the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92075</wp:posOffset>
            </wp:positionV>
            <wp:extent cx="64465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306" w:lineRule="exact"/>
        <w:rPr>
          <w:sz w:val="20"/>
          <w:szCs w:val="20"/>
          <w:color w:val="auto"/>
        </w:rPr>
      </w:pPr>
    </w:p>
    <w:p>
      <w:pPr>
        <w:ind w:left="1260" w:hanging="712"/>
        <w:spacing w:after="0"/>
        <w:tabs>
          <w:tab w:leader="none" w:pos="1260" w:val="left"/>
        </w:tabs>
        <w:numPr>
          <w:ilvl w:val="0"/>
          <w:numId w:val="34"/>
        </w:numPr>
        <w:rPr>
          <w:rFonts w:ascii="Arial" w:cs="Arial" w:eastAsia="Arial" w:hAnsi="Arial"/>
          <w:sz w:val="14"/>
          <w:szCs w:val="14"/>
          <w:b w:val="1"/>
          <w:bCs w:val="1"/>
          <w:color w:val="205BA8"/>
        </w:rPr>
      </w:pPr>
      <w:r>
        <w:rPr>
          <w:rFonts w:ascii="Arial" w:cs="Arial" w:eastAsia="Arial" w:hAnsi="Arial"/>
          <w:sz w:val="14"/>
          <w:szCs w:val="14"/>
          <w:color w:val="auto"/>
        </w:rPr>
        <w:t>Based on information reported by our Peer Group companies in 2020.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29</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40" w:name="page41"/>
    <w:bookmarkEnd w:id="40"/>
    <w:p>
      <w:pPr>
        <w:ind w:left="540"/>
        <w:spacing w:after="0"/>
        <w:rPr>
          <w:sz w:val="20"/>
          <w:szCs w:val="20"/>
          <w:color w:val="auto"/>
        </w:rPr>
      </w:pPr>
      <w:r>
        <w:rPr>
          <w:rFonts w:ascii="Arial" w:cs="Arial" w:eastAsia="Arial" w:hAnsi="Arial"/>
          <w:sz w:val="16"/>
          <w:szCs w:val="16"/>
          <w:b w:val="1"/>
          <w:bCs w:val="1"/>
          <w:color w:val="205BA8"/>
        </w:rPr>
        <w:t xml:space="preserve">BOARD OF DIRECTORS / </w:t>
      </w:r>
      <w:r>
        <w:rPr>
          <w:rFonts w:ascii="Arial" w:cs="Arial" w:eastAsia="Arial" w:hAnsi="Arial"/>
          <w:sz w:val="16"/>
          <w:szCs w:val="16"/>
          <w:b w:val="1"/>
          <w:bCs w:val="1"/>
          <w:color w:val="C44E5E"/>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05BA8"/>
        </w:rPr>
        <w:t>Terms of Equity Awards</w:t>
      </w:r>
    </w:p>
    <w:p>
      <w:pPr>
        <w:spacing w:after="0" w:line="217" w:lineRule="exact"/>
        <w:rPr>
          <w:sz w:val="20"/>
          <w:szCs w:val="20"/>
          <w:color w:val="auto"/>
        </w:rPr>
      </w:pPr>
    </w:p>
    <w:p>
      <w:pPr>
        <w:ind w:left="540" w:right="640"/>
        <w:spacing w:after="0" w:line="233" w:lineRule="auto"/>
        <w:rPr>
          <w:sz w:val="20"/>
          <w:szCs w:val="20"/>
          <w:color w:val="auto"/>
        </w:rPr>
      </w:pPr>
      <w:r>
        <w:rPr>
          <w:rFonts w:ascii="Arial" w:cs="Arial" w:eastAsia="Arial" w:hAnsi="Arial"/>
          <w:sz w:val="15"/>
          <w:szCs w:val="15"/>
          <w:color w:val="auto"/>
        </w:rPr>
        <w:t>The exercise price of a non-employee director stock option is equal to the fair market value of a share of common stock on the date of grant (determined as the average of the high and low sales price per share of common stock on the Nasdaq Global Select Market on the date of grant or, if such date is not a trading day, on the last preceding date on which there was a sale of the Company’s common stock on the Nasdaq Global Select Market).</w:t>
      </w:r>
    </w:p>
    <w:p>
      <w:pPr>
        <w:spacing w:after="0" w:line="124" w:lineRule="exact"/>
        <w:rPr>
          <w:sz w:val="20"/>
          <w:szCs w:val="20"/>
          <w:color w:val="auto"/>
        </w:rPr>
      </w:pPr>
    </w:p>
    <w:p>
      <w:pPr>
        <w:ind w:left="540" w:right="540"/>
        <w:spacing w:after="0" w:line="231" w:lineRule="auto"/>
        <w:rPr>
          <w:sz w:val="20"/>
          <w:szCs w:val="20"/>
          <w:color w:val="auto"/>
        </w:rPr>
      </w:pPr>
      <w:r>
        <w:rPr>
          <w:rFonts w:ascii="Arial" w:cs="Arial" w:eastAsia="Arial" w:hAnsi="Arial"/>
          <w:sz w:val="15"/>
          <w:szCs w:val="15"/>
          <w:color w:val="auto"/>
        </w:rPr>
        <w:t>Under the Current Compensation Program, a pro-rata portion of each equity award (</w:t>
      </w:r>
      <w:r>
        <w:rPr>
          <w:rFonts w:ascii="Arial" w:cs="Arial" w:eastAsia="Arial" w:hAnsi="Arial"/>
          <w:sz w:val="15"/>
          <w:szCs w:val="15"/>
          <w:i w:val="1"/>
          <w:iCs w:val="1"/>
          <w:color w:val="auto"/>
        </w:rPr>
        <w:t>i.e.,</w:t>
      </w:r>
      <w:r>
        <w:rPr>
          <w:rFonts w:ascii="Arial" w:cs="Arial" w:eastAsia="Arial" w:hAnsi="Arial"/>
          <w:sz w:val="15"/>
          <w:szCs w:val="15"/>
          <w:color w:val="auto"/>
        </w:rPr>
        <w:t xml:space="preserve"> each stock option and RSU award) equal to the portion of one year that has passed from its date of grant vests on the date of the Company’s first annual shareholder meeting following the date of grant, and the remaining portion vests on the first anniversary of the date of grant. The RSU awards contain mandatory deferral provisions, according to which the shares underlying the RSUs will generally not be delivered to the non-employee director until the earliest of (i) the termination of the non-employee director’s service as a member of the board, (ii) the seventh anniversary of the RSU grant date, and (iii) the date of a change in control (as defined in the Second Amended and Restated Regeneron Pharmaceuticals, Inc. 2014 Long-Term Incentive Plan (or its predecessor)). A non-employee director may, subject to compliance with applicable tax rules, elect in writing a maximum deferral period longer than the seventh anniversary of the grant date. Other than as discussed below, the vesting of equity awards is generally subject to continued service on the board, and stock option awards generally expire ten years following the date of grant.</w:t>
      </w:r>
    </w:p>
    <w:p>
      <w:pPr>
        <w:spacing w:after="0" w:line="142" w:lineRule="exact"/>
        <w:rPr>
          <w:sz w:val="20"/>
          <w:szCs w:val="20"/>
          <w:color w:val="auto"/>
        </w:rPr>
      </w:pPr>
    </w:p>
    <w:p>
      <w:pPr>
        <w:ind w:left="540" w:right="620"/>
        <w:spacing w:after="0" w:line="235" w:lineRule="auto"/>
        <w:rPr>
          <w:sz w:val="20"/>
          <w:szCs w:val="20"/>
          <w:color w:val="auto"/>
        </w:rPr>
      </w:pPr>
      <w:r>
        <w:rPr>
          <w:rFonts w:ascii="Arial" w:cs="Arial" w:eastAsia="Arial" w:hAnsi="Arial"/>
          <w:sz w:val="15"/>
          <w:szCs w:val="15"/>
          <w:color w:val="auto"/>
        </w:rPr>
        <w:t>To the extent they remain unvested and outstanding, equity awards granted to a non-employee director continue to vest following the retirement of that director provided applicable conditions relating to the length of the director’s service and the director’s age have been met. If a non-employee director’s service as a member of the board is terminated as a result of his or her death, all of the director’s equity awards will immediately vest in full.</w:t>
      </w:r>
    </w:p>
    <w:p>
      <w:pPr>
        <w:spacing w:after="0" w:line="141" w:lineRule="exact"/>
        <w:rPr>
          <w:sz w:val="20"/>
          <w:szCs w:val="20"/>
          <w:color w:val="auto"/>
        </w:rPr>
      </w:pPr>
    </w:p>
    <w:p>
      <w:pPr>
        <w:ind w:left="540" w:right="620"/>
        <w:spacing w:after="0" w:line="235" w:lineRule="auto"/>
        <w:rPr>
          <w:sz w:val="20"/>
          <w:szCs w:val="20"/>
          <w:color w:val="auto"/>
        </w:rPr>
      </w:pPr>
      <w:r>
        <w:rPr>
          <w:rFonts w:ascii="Arial" w:cs="Arial" w:eastAsia="Arial" w:hAnsi="Arial"/>
          <w:sz w:val="15"/>
          <w:szCs w:val="15"/>
          <w:color w:val="auto"/>
        </w:rPr>
        <w:t>To the extent they remain unvested and outstanding, equity awards granted to non-employee directors become fully vested automatically upon a change in control of the Company. Each non-employee director has the right to nullify this acceleration of vesting, in whole or in part, if it would cause the director to pay excise taxes under the requirements of the Internal Revenue Code.</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EQUITY AWARDS TO NEW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29" w:lineRule="exact"/>
        <w:rPr>
          <w:sz w:val="20"/>
          <w:szCs w:val="20"/>
          <w:color w:val="auto"/>
        </w:rPr>
      </w:pPr>
    </w:p>
    <w:p>
      <w:pPr>
        <w:ind w:left="540" w:right="660"/>
        <w:spacing w:after="0" w:line="233" w:lineRule="auto"/>
        <w:rPr>
          <w:sz w:val="20"/>
          <w:szCs w:val="20"/>
          <w:color w:val="auto"/>
        </w:rPr>
      </w:pPr>
      <w:r>
        <w:rPr>
          <w:rFonts w:ascii="Arial" w:cs="Arial" w:eastAsia="Arial" w:hAnsi="Arial"/>
          <w:sz w:val="15"/>
          <w:szCs w:val="15"/>
          <w:color w:val="auto"/>
        </w:rPr>
        <w:t>Under the Current Compensation Program, any newly elected non-employee director will receive an initial equity award with an aggregate grant date fair value equal to 5/3rds of the aggregate grant date fair value of the most recent annual equity award to a non-employee director; and, with respect to the annual equity award to a non-employee director in respect of the first year of his or her service, the aggregate grant date fair value of such annual award will be prorated based on the date as of which the non-employee director first becomes a member of the board of directors.</w:t>
      </w:r>
    </w:p>
    <w:p>
      <w:pPr>
        <w:spacing w:after="0" w:line="104" w:lineRule="exact"/>
        <w:rPr>
          <w:sz w:val="20"/>
          <w:szCs w:val="20"/>
          <w:color w:val="auto"/>
        </w:rPr>
      </w:pPr>
    </w:p>
    <w:p>
      <w:pPr>
        <w:ind w:left="540" w:right="760"/>
        <w:spacing w:after="0" w:line="278" w:lineRule="auto"/>
        <w:rPr>
          <w:sz w:val="20"/>
          <w:szCs w:val="20"/>
          <w:color w:val="auto"/>
        </w:rPr>
      </w:pPr>
      <w:r>
        <w:rPr>
          <w:rFonts w:ascii="Arial" w:cs="Arial" w:eastAsia="Arial" w:hAnsi="Arial"/>
          <w:sz w:val="29"/>
          <w:szCs w:val="29"/>
          <w:b w:val="1"/>
          <w:bCs w:val="1"/>
          <w:color w:val="C44E5E"/>
        </w:rPr>
        <w:t>COMPENSATION ARRANGEMENTS OF THE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-35560</wp:posOffset>
            </wp:positionV>
            <wp:extent cx="64465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7" w:lineRule="exact"/>
        <w:rPr>
          <w:sz w:val="20"/>
          <w:szCs w:val="20"/>
          <w:color w:val="auto"/>
        </w:rPr>
      </w:pPr>
    </w:p>
    <w:p>
      <w:pPr>
        <w:ind w:left="540" w:right="600"/>
        <w:spacing w:after="0" w:line="242" w:lineRule="auto"/>
        <w:rPr>
          <w:sz w:val="20"/>
          <w:szCs w:val="20"/>
          <w:color w:val="auto"/>
        </w:rPr>
      </w:pPr>
      <w:r>
        <w:rPr>
          <w:rFonts w:ascii="Arial" w:cs="Arial" w:eastAsia="Arial" w:hAnsi="Arial"/>
          <w:sz w:val="15"/>
          <w:szCs w:val="15"/>
          <w:color w:val="auto"/>
        </w:rPr>
        <w:t>On December 31, 1998, we entered into an employment agreement with the Chairman of the board of directors, Dr. Vagelos. Pursuant to the terms of his employment agreement, Dr. Vagelos receives an annual salary of $100,000 as a non-officer employee.</w:t>
      </w:r>
    </w:p>
    <w:p>
      <w:pPr>
        <w:spacing w:after="0" w:line="138" w:lineRule="exact"/>
        <w:rPr>
          <w:sz w:val="20"/>
          <w:szCs w:val="20"/>
          <w:color w:val="auto"/>
        </w:rPr>
      </w:pPr>
    </w:p>
    <w:p>
      <w:pPr>
        <w:ind w:left="540" w:right="560"/>
        <w:spacing w:after="0" w:line="229" w:lineRule="auto"/>
        <w:rPr>
          <w:sz w:val="20"/>
          <w:szCs w:val="20"/>
          <w:color w:val="auto"/>
        </w:rPr>
      </w:pPr>
      <w:r>
        <w:rPr>
          <w:rFonts w:ascii="Arial" w:cs="Arial" w:eastAsia="Arial" w:hAnsi="Arial"/>
          <w:sz w:val="15"/>
          <w:szCs w:val="15"/>
          <w:color w:val="auto"/>
        </w:rPr>
        <w:t>Under the Current Compensation Program, Dr. Vagelos receives an annual equity award with an aggregate grant date fair value equal to 10 times the aggregate grant date fair value of the corresponding non-employee director annual award. In December 2020, the Compensation Committee determined that stock options and RSUs would comprise 80% and 20% of the 2020 annual equity award to Dr. Vagelos, respectively, and set the targeted aggregate grant date fair value of such award at (but no more than) ten times the aggregate grant date fair value of the corresponding annual equity award for our non-employee directors. As in prior years, Dr. Vagelos’s 2020 annual equity award reflects, among other things, the key contributions that Dr. Vagelos makes as the Company continues to gain momentum as a fully integrated biotech company with multiple class-leading products, as well as Dr. Vagelos's crucial role as a trusted advisor to the CEO, other senior managers, and the non-employee directors. It is also designed to incentivize further contributions and ensure Dr. Vagelos's continued service to the Company in the future.</w:t>
      </w:r>
    </w:p>
    <w:p>
      <w:pPr>
        <w:spacing w:after="0" w:line="285"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30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1" w:name="page42"/>
    <w:bookmarkEnd w:id="41"/>
    <w:p>
      <w:pPr>
        <w:ind w:left="6120"/>
        <w:spacing w:after="0"/>
        <w:rPr>
          <w:sz w:val="20"/>
          <w:szCs w:val="20"/>
          <w:color w:val="auto"/>
        </w:rPr>
      </w:pPr>
      <w:r>
        <w:rPr>
          <w:rFonts w:ascii="Arial" w:cs="Arial" w:eastAsia="Arial" w:hAnsi="Arial"/>
          <w:sz w:val="16"/>
          <w:szCs w:val="16"/>
          <w:b w:val="1"/>
          <w:bCs w:val="1"/>
          <w:color w:val="205BA8"/>
        </w:rPr>
        <w:t xml:space="preserve">BOARD OF DIRECTORS / </w:t>
      </w:r>
      <w:r>
        <w:rPr>
          <w:rFonts w:ascii="Arial" w:cs="Arial" w:eastAsia="Arial" w:hAnsi="Arial"/>
          <w:sz w:val="16"/>
          <w:szCs w:val="16"/>
          <w:b w:val="1"/>
          <w:bCs w:val="1"/>
          <w:color w:val="C44E5E"/>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0"/>
          <w:szCs w:val="20"/>
          <w:color w:val="auto"/>
        </w:rPr>
      </w:pPr>
    </w:p>
    <w:p>
      <w:pPr>
        <w:ind w:left="540" w:right="580"/>
        <w:spacing w:after="0" w:line="230" w:lineRule="auto"/>
        <w:rPr>
          <w:sz w:val="20"/>
          <w:szCs w:val="20"/>
          <w:color w:val="auto"/>
        </w:rPr>
      </w:pPr>
      <w:r>
        <w:rPr>
          <w:rFonts w:ascii="Arial" w:cs="Arial" w:eastAsia="Arial" w:hAnsi="Arial"/>
          <w:sz w:val="15"/>
          <w:szCs w:val="15"/>
          <w:color w:val="auto"/>
        </w:rPr>
        <w:t>The 2020 stock option award granted to Dr. Vagelos vests ratably over four years subject to his continued service and contains change-of-control provisions consistent with those described above for equity grants to non-employee directors. The 2020 RSU award granted to Dr. Vagelos vests 50% on the second anniversary of the date of grant and 50% of the fourth anniversary of the date of grant and contains change-of-control provisions consistent with those described above for equity grants to non-employee directors. In addition, the award agreements relating to Dr. Vagelos’s equity awards granted in 2018-2020 provide that each such award will continue to vest in accordance with the terms of the applicable award agreement following his qualified retirement (as defined in the applicable Company policy; Dr. Vagelos currently meets the policy requirement).</w:t>
      </w:r>
    </w:p>
    <w:p>
      <w:pPr>
        <w:spacing w:after="0" w:line="142" w:lineRule="exact"/>
        <w:rPr>
          <w:sz w:val="20"/>
          <w:szCs w:val="20"/>
          <w:color w:val="auto"/>
        </w:rPr>
      </w:pPr>
    </w:p>
    <w:p>
      <w:pPr>
        <w:ind w:left="540" w:right="680"/>
        <w:spacing w:after="0" w:line="242" w:lineRule="auto"/>
        <w:rPr>
          <w:sz w:val="20"/>
          <w:szCs w:val="20"/>
          <w:color w:val="auto"/>
        </w:rPr>
      </w:pPr>
      <w:r>
        <w:rPr>
          <w:rFonts w:ascii="Arial" w:cs="Arial" w:eastAsia="Arial" w:hAnsi="Arial"/>
          <w:sz w:val="15"/>
          <w:szCs w:val="15"/>
          <w:color w:val="auto"/>
        </w:rPr>
        <w:t>The following table and explanatory footnotes provide information with respect to compensation paid to Dr. Vagelos and each non-employee director for their service in 2020 in accordance with the policies, plans, and employment agreement described above:</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C44E5E"/>
        </w:rPr>
        <w:t>Director Compensation</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2200" w:type="dxa"/>
            <w:vAlign w:val="bottom"/>
            <w:tcBorders>
              <w:top w:val="single" w:sz="8" w:color="1F5AA8"/>
              <w:bottom w:val="single" w:sz="8" w:color="1F5AA8"/>
            </w:tcBorders>
          </w:tcPr>
          <w:p>
            <w:pPr>
              <w:ind w:left="1200"/>
              <w:spacing w:after="0"/>
              <w:rPr>
                <w:sz w:val="20"/>
                <w:szCs w:val="20"/>
                <w:color w:val="auto"/>
              </w:rPr>
            </w:pPr>
            <w:r>
              <w:rPr>
                <w:rFonts w:ascii="Arial" w:cs="Arial" w:eastAsia="Arial" w:hAnsi="Arial"/>
                <w:sz w:val="12"/>
                <w:szCs w:val="12"/>
                <w:b w:val="1"/>
                <w:bCs w:val="1"/>
                <w:color w:val="205BA8"/>
              </w:rPr>
              <w:t>A</w:t>
            </w:r>
          </w:p>
        </w:tc>
        <w:tc>
          <w:tcPr>
            <w:tcW w:w="1500" w:type="dxa"/>
            <w:vAlign w:val="bottom"/>
            <w:tcBorders>
              <w:top w:val="single" w:sz="8" w:color="1F5AA8"/>
              <w:bottom w:val="single" w:sz="8" w:color="1F5AA8"/>
            </w:tcBorders>
          </w:tcPr>
          <w:p>
            <w:pPr>
              <w:jc w:val="center"/>
              <w:ind w:left="318"/>
              <w:spacing w:after="0"/>
              <w:rPr>
                <w:sz w:val="20"/>
                <w:szCs w:val="20"/>
                <w:color w:val="auto"/>
              </w:rPr>
            </w:pPr>
            <w:r>
              <w:rPr>
                <w:rFonts w:ascii="Arial" w:cs="Arial" w:eastAsia="Arial" w:hAnsi="Arial"/>
                <w:sz w:val="12"/>
                <w:szCs w:val="12"/>
                <w:color w:val="205BA8"/>
                <w:w w:val="99"/>
              </w:rPr>
              <w:t>B</w:t>
            </w:r>
          </w:p>
        </w:tc>
        <w:tc>
          <w:tcPr>
            <w:tcW w:w="1060" w:type="dxa"/>
            <w:vAlign w:val="bottom"/>
            <w:tcBorders>
              <w:top w:val="single" w:sz="8" w:color="1F5AA8"/>
              <w:bottom w:val="single" w:sz="8" w:color="1F5AA8"/>
            </w:tcBorders>
          </w:tcPr>
          <w:p>
            <w:pPr>
              <w:jc w:val="center"/>
              <w:spacing w:after="0"/>
              <w:rPr>
                <w:sz w:val="20"/>
                <w:szCs w:val="20"/>
                <w:color w:val="auto"/>
              </w:rPr>
            </w:pPr>
            <w:r>
              <w:rPr>
                <w:rFonts w:ascii="Arial" w:cs="Arial" w:eastAsia="Arial" w:hAnsi="Arial"/>
                <w:sz w:val="12"/>
                <w:szCs w:val="12"/>
                <w:color w:val="205BA8"/>
                <w:w w:val="91"/>
              </w:rPr>
              <w:t>C</w:t>
            </w:r>
          </w:p>
        </w:tc>
        <w:tc>
          <w:tcPr>
            <w:tcW w:w="840" w:type="dxa"/>
            <w:vAlign w:val="bottom"/>
            <w:tcBorders>
              <w:top w:val="single" w:sz="8" w:color="1F5AA8"/>
              <w:bottom w:val="single" w:sz="8" w:color="1F5AA8"/>
            </w:tcBorders>
          </w:tcPr>
          <w:p>
            <w:pPr>
              <w:jc w:val="center"/>
              <w:spacing w:after="0"/>
              <w:rPr>
                <w:sz w:val="20"/>
                <w:szCs w:val="20"/>
                <w:color w:val="auto"/>
              </w:rPr>
            </w:pPr>
            <w:r>
              <w:rPr>
                <w:rFonts w:ascii="Arial" w:cs="Arial" w:eastAsia="Arial" w:hAnsi="Arial"/>
                <w:sz w:val="12"/>
                <w:szCs w:val="12"/>
                <w:color w:val="205BA8"/>
                <w:w w:val="91"/>
              </w:rPr>
              <w:t>D</w:t>
            </w:r>
          </w:p>
        </w:tc>
        <w:tc>
          <w:tcPr>
            <w:tcW w:w="1040" w:type="dxa"/>
            <w:vAlign w:val="bottom"/>
            <w:tcBorders>
              <w:top w:val="single" w:sz="8" w:color="1F5AA8"/>
              <w:bottom w:val="single" w:sz="8" w:color="1F5AA8"/>
            </w:tcBorders>
          </w:tcPr>
          <w:p>
            <w:pPr>
              <w:jc w:val="center"/>
              <w:spacing w:after="0"/>
              <w:rPr>
                <w:sz w:val="20"/>
                <w:szCs w:val="20"/>
                <w:color w:val="auto"/>
              </w:rPr>
            </w:pPr>
            <w:r>
              <w:rPr>
                <w:rFonts w:ascii="Arial" w:cs="Arial" w:eastAsia="Arial" w:hAnsi="Arial"/>
                <w:sz w:val="12"/>
                <w:szCs w:val="12"/>
                <w:color w:val="205BA8"/>
                <w:w w:val="99"/>
              </w:rPr>
              <w:t>E</w:t>
            </w:r>
          </w:p>
        </w:tc>
        <w:tc>
          <w:tcPr>
            <w:tcW w:w="1660" w:type="dxa"/>
            <w:vAlign w:val="bottom"/>
            <w:tcBorders>
              <w:top w:val="single" w:sz="8" w:color="1F5AA8"/>
              <w:bottom w:val="single" w:sz="8" w:color="1F5AA8"/>
            </w:tcBorders>
          </w:tcPr>
          <w:p>
            <w:pPr>
              <w:jc w:val="center"/>
              <w:spacing w:after="0"/>
              <w:rPr>
                <w:sz w:val="20"/>
                <w:szCs w:val="20"/>
                <w:color w:val="auto"/>
              </w:rPr>
            </w:pPr>
            <w:r>
              <w:rPr>
                <w:rFonts w:ascii="Arial" w:cs="Arial" w:eastAsia="Arial" w:hAnsi="Arial"/>
                <w:sz w:val="12"/>
                <w:szCs w:val="12"/>
                <w:color w:val="205BA8"/>
                <w:w w:val="81"/>
              </w:rPr>
              <w:t>F</w:t>
            </w:r>
          </w:p>
        </w:tc>
        <w:tc>
          <w:tcPr>
            <w:tcW w:w="1080" w:type="dxa"/>
            <w:vAlign w:val="bottom"/>
            <w:tcBorders>
              <w:top w:val="single" w:sz="8" w:color="1F5AA8"/>
              <w:bottom w:val="single" w:sz="8" w:color="1F5AA8"/>
            </w:tcBorders>
          </w:tcPr>
          <w:p>
            <w:pPr>
              <w:jc w:val="center"/>
              <w:ind w:right="18"/>
              <w:spacing w:after="0"/>
              <w:rPr>
                <w:sz w:val="20"/>
                <w:szCs w:val="20"/>
                <w:color w:val="auto"/>
              </w:rPr>
            </w:pPr>
            <w:r>
              <w:rPr>
                <w:rFonts w:ascii="Arial" w:cs="Arial" w:eastAsia="Arial" w:hAnsi="Arial"/>
                <w:sz w:val="12"/>
                <w:szCs w:val="12"/>
                <w:color w:val="205BA8"/>
                <w:w w:val="85"/>
              </w:rPr>
              <w:t>G</w:t>
            </w:r>
          </w:p>
        </w:tc>
        <w:tc>
          <w:tcPr>
            <w:tcW w:w="780" w:type="dxa"/>
            <w:vAlign w:val="bottom"/>
            <w:tcBorders>
              <w:top w:val="single" w:sz="8" w:color="1F5AA8"/>
              <w:bottom w:val="single" w:sz="8" w:color="1F5AA8"/>
            </w:tcBorders>
          </w:tcPr>
          <w:p>
            <w:pPr>
              <w:jc w:val="center"/>
              <w:spacing w:after="0"/>
              <w:rPr>
                <w:sz w:val="20"/>
                <w:szCs w:val="20"/>
                <w:color w:val="auto"/>
              </w:rPr>
            </w:pPr>
            <w:r>
              <w:rPr>
                <w:rFonts w:ascii="Arial" w:cs="Arial" w:eastAsia="Arial" w:hAnsi="Arial"/>
                <w:sz w:val="12"/>
                <w:szCs w:val="12"/>
                <w:color w:val="205BA8"/>
                <w:w w:val="91"/>
              </w:rPr>
              <w:t>H</w:t>
            </w:r>
          </w:p>
        </w:tc>
        <w:tc>
          <w:tcPr>
            <w:tcW w:w="0" w:type="dxa"/>
            <w:vAlign w:val="bottom"/>
          </w:tcPr>
          <w:p>
            <w:pPr>
              <w:spacing w:after="0"/>
              <w:rPr>
                <w:sz w:val="1"/>
                <w:szCs w:val="1"/>
                <w:color w:val="auto"/>
              </w:rPr>
            </w:pPr>
          </w:p>
        </w:tc>
      </w:tr>
      <w:tr>
        <w:trPr>
          <w:trHeight w:val="117"/>
        </w:trPr>
        <w:tc>
          <w:tcPr>
            <w:tcW w:w="22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205BA8"/>
                <w:w w:val="92"/>
              </w:rPr>
              <w:t>Option</w:t>
            </w:r>
          </w:p>
        </w:tc>
        <w:tc>
          <w:tcPr>
            <w:tcW w:w="1040" w:type="dxa"/>
            <w:vAlign w:val="bottom"/>
          </w:tcPr>
          <w:p>
            <w:pPr>
              <w:jc w:val="right"/>
              <w:ind w:right="139"/>
              <w:spacing w:after="0" w:line="117" w:lineRule="exact"/>
              <w:rPr>
                <w:sz w:val="20"/>
                <w:szCs w:val="20"/>
                <w:color w:val="auto"/>
              </w:rPr>
            </w:pPr>
            <w:r>
              <w:rPr>
                <w:rFonts w:ascii="Arial" w:cs="Arial" w:eastAsia="Arial" w:hAnsi="Arial"/>
                <w:sz w:val="12"/>
                <w:szCs w:val="12"/>
                <w:b w:val="1"/>
                <w:bCs w:val="1"/>
                <w:color w:val="205BA8"/>
              </w:rPr>
              <w:t>Non-equity</w:t>
            </w:r>
          </w:p>
        </w:tc>
        <w:tc>
          <w:tcPr>
            <w:tcW w:w="1660" w:type="dxa"/>
            <w:vAlign w:val="bottom"/>
          </w:tcPr>
          <w:p>
            <w:pPr>
              <w:spacing w:after="0"/>
              <w:rPr>
                <w:sz w:val="10"/>
                <w:szCs w:val="10"/>
                <w:color w:val="auto"/>
              </w:rPr>
            </w:pPr>
          </w:p>
        </w:tc>
        <w:tc>
          <w:tcPr>
            <w:tcW w:w="108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205BA8"/>
                <w:w w:val="98"/>
              </w:rPr>
              <w:t>All other</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200" w:type="dxa"/>
            <w:vAlign w:val="bottom"/>
          </w:tcPr>
          <w:p>
            <w:pPr>
              <w:spacing w:after="0"/>
              <w:rPr>
                <w:sz w:val="8"/>
                <w:szCs w:val="8"/>
                <w:color w:val="auto"/>
              </w:rPr>
            </w:pPr>
          </w:p>
        </w:tc>
        <w:tc>
          <w:tcPr>
            <w:tcW w:w="1500" w:type="dxa"/>
            <w:vAlign w:val="bottom"/>
            <w:vMerge w:val="restart"/>
          </w:tcPr>
          <w:p>
            <w:pPr>
              <w:jc w:val="center"/>
              <w:ind w:left="318"/>
              <w:spacing w:after="0" w:line="135" w:lineRule="exact"/>
              <w:rPr>
                <w:sz w:val="20"/>
                <w:szCs w:val="20"/>
                <w:color w:val="auto"/>
              </w:rPr>
            </w:pPr>
            <w:r>
              <w:rPr>
                <w:rFonts w:ascii="Arial" w:cs="Arial" w:eastAsia="Arial" w:hAnsi="Arial"/>
                <w:sz w:val="12"/>
                <w:szCs w:val="12"/>
                <w:b w:val="1"/>
                <w:bCs w:val="1"/>
                <w:color w:val="205BA8"/>
                <w:w w:val="97"/>
              </w:rPr>
              <w:t>Fees earned</w:t>
            </w:r>
          </w:p>
        </w:tc>
        <w:tc>
          <w:tcPr>
            <w:tcW w:w="10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4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205BA8"/>
                <w:w w:val="97"/>
              </w:rPr>
              <w:t>incentive plan</w:t>
            </w:r>
          </w:p>
        </w:tc>
        <w:tc>
          <w:tcPr>
            <w:tcW w:w="166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205BA8"/>
                <w:w w:val="97"/>
              </w:rPr>
              <w:t>Change in pension value</w:t>
            </w:r>
          </w:p>
        </w:tc>
        <w:tc>
          <w:tcPr>
            <w:tcW w:w="10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060" w:type="dxa"/>
            <w:vAlign w:val="bottom"/>
            <w:vMerge w:val="restart"/>
          </w:tcPr>
          <w:p>
            <w:pPr>
              <w:jc w:val="center"/>
              <w:spacing w:after="0" w:line="170" w:lineRule="exact"/>
              <w:rPr>
                <w:sz w:val="20"/>
                <w:szCs w:val="20"/>
                <w:color w:val="auto"/>
              </w:rPr>
            </w:pPr>
            <w:r>
              <w:rPr>
                <w:rFonts w:ascii="Arial" w:cs="Arial" w:eastAsia="Arial" w:hAnsi="Arial"/>
                <w:sz w:val="12"/>
                <w:szCs w:val="12"/>
                <w:b w:val="1"/>
                <w:bCs w:val="1"/>
                <w:color w:val="205BA8"/>
                <w:w w:val="97"/>
              </w:rPr>
              <w:t>Stock awards</w:t>
            </w:r>
            <w:r>
              <w:rPr>
                <w:rFonts w:ascii="Arial" w:cs="Arial" w:eastAsia="Arial" w:hAnsi="Arial"/>
                <w:sz w:val="19"/>
                <w:szCs w:val="19"/>
                <w:b w:val="1"/>
                <w:bCs w:val="1"/>
                <w:color w:val="205BA8"/>
                <w:w w:val="97"/>
                <w:vertAlign w:val="superscript"/>
              </w:rPr>
              <w:t>1</w:t>
            </w:r>
          </w:p>
        </w:tc>
        <w:tc>
          <w:tcPr>
            <w:tcW w:w="840" w:type="dxa"/>
            <w:vAlign w:val="bottom"/>
            <w:vMerge w:val="restart"/>
          </w:tcPr>
          <w:p>
            <w:pPr>
              <w:jc w:val="center"/>
              <w:spacing w:after="0" w:line="170" w:lineRule="exact"/>
              <w:rPr>
                <w:sz w:val="20"/>
                <w:szCs w:val="20"/>
                <w:color w:val="auto"/>
              </w:rPr>
            </w:pPr>
            <w:r>
              <w:rPr>
                <w:rFonts w:ascii="Arial" w:cs="Arial" w:eastAsia="Arial" w:hAnsi="Arial"/>
                <w:sz w:val="12"/>
                <w:szCs w:val="12"/>
                <w:b w:val="1"/>
                <w:bCs w:val="1"/>
                <w:color w:val="205BA8"/>
                <w:w w:val="91"/>
              </w:rPr>
              <w:t>awards</w:t>
            </w:r>
            <w:r>
              <w:rPr>
                <w:rFonts w:ascii="Arial" w:cs="Arial" w:eastAsia="Arial" w:hAnsi="Arial"/>
                <w:sz w:val="19"/>
                <w:szCs w:val="19"/>
                <w:b w:val="1"/>
                <w:bCs w:val="1"/>
                <w:color w:val="205BA8"/>
                <w:w w:val="91"/>
                <w:vertAlign w:val="superscript"/>
              </w:rPr>
              <w:t>1,2</w:t>
            </w:r>
          </w:p>
        </w:tc>
        <w:tc>
          <w:tcPr>
            <w:tcW w:w="1040" w:type="dxa"/>
            <w:vAlign w:val="bottom"/>
            <w:vMerge w:val="continue"/>
          </w:tcPr>
          <w:p>
            <w:pPr>
              <w:spacing w:after="0"/>
              <w:rPr>
                <w:sz w:val="2"/>
                <w:szCs w:val="2"/>
                <w:color w:val="auto"/>
              </w:rPr>
            </w:pPr>
          </w:p>
        </w:tc>
        <w:tc>
          <w:tcPr>
            <w:tcW w:w="1660" w:type="dxa"/>
            <w:vAlign w:val="bottom"/>
            <w:vMerge w:val="continue"/>
          </w:tcPr>
          <w:p>
            <w:pPr>
              <w:spacing w:after="0"/>
              <w:rPr>
                <w:sz w:val="2"/>
                <w:szCs w:val="2"/>
                <w:color w:val="auto"/>
              </w:rPr>
            </w:pPr>
          </w:p>
        </w:tc>
        <w:tc>
          <w:tcPr>
            <w:tcW w:w="1080" w:type="dxa"/>
            <w:vAlign w:val="bottom"/>
            <w:vMerge w:val="restart"/>
          </w:tcPr>
          <w:p>
            <w:pPr>
              <w:jc w:val="center"/>
              <w:spacing w:after="0" w:line="170" w:lineRule="exact"/>
              <w:rPr>
                <w:sz w:val="20"/>
                <w:szCs w:val="20"/>
                <w:color w:val="auto"/>
              </w:rPr>
            </w:pPr>
            <w:r>
              <w:rPr>
                <w:rFonts w:ascii="Arial" w:cs="Arial" w:eastAsia="Arial" w:hAnsi="Arial"/>
                <w:sz w:val="12"/>
                <w:szCs w:val="12"/>
                <w:b w:val="1"/>
                <w:bCs w:val="1"/>
                <w:color w:val="205BA8"/>
                <w:w w:val="94"/>
              </w:rPr>
              <w:t>compensation</w:t>
            </w:r>
            <w:r>
              <w:rPr>
                <w:rFonts w:ascii="Arial" w:cs="Arial" w:eastAsia="Arial" w:hAnsi="Arial"/>
                <w:sz w:val="19"/>
                <w:szCs w:val="19"/>
                <w:b w:val="1"/>
                <w:bCs w:val="1"/>
                <w:color w:val="205BA8"/>
                <w:w w:val="94"/>
                <w:vertAlign w:val="superscript"/>
              </w:rPr>
              <w:t>3</w:t>
            </w: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200" w:type="dxa"/>
            <w:vAlign w:val="bottom"/>
          </w:tcPr>
          <w:p>
            <w:pPr>
              <w:spacing w:after="0"/>
              <w:rPr>
                <w:sz w:val="11"/>
                <w:szCs w:val="11"/>
                <w:color w:val="auto"/>
              </w:rPr>
            </w:pPr>
          </w:p>
        </w:tc>
        <w:tc>
          <w:tcPr>
            <w:tcW w:w="1500" w:type="dxa"/>
            <w:vAlign w:val="bottom"/>
          </w:tcPr>
          <w:p>
            <w:pPr>
              <w:jc w:val="center"/>
              <w:ind w:left="338"/>
              <w:spacing w:after="0" w:line="135" w:lineRule="exact"/>
              <w:rPr>
                <w:sz w:val="20"/>
                <w:szCs w:val="20"/>
                <w:color w:val="auto"/>
              </w:rPr>
            </w:pPr>
            <w:r>
              <w:rPr>
                <w:rFonts w:ascii="Arial" w:cs="Arial" w:eastAsia="Arial" w:hAnsi="Arial"/>
                <w:sz w:val="12"/>
                <w:szCs w:val="12"/>
                <w:b w:val="1"/>
                <w:bCs w:val="1"/>
                <w:color w:val="205BA8"/>
                <w:w w:val="96"/>
              </w:rPr>
              <w:t>or paid in cash</w:t>
            </w:r>
          </w:p>
        </w:tc>
        <w:tc>
          <w:tcPr>
            <w:tcW w:w="10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8"/>
              </w:rPr>
              <w:t>compensation</w:t>
            </w:r>
          </w:p>
        </w:tc>
        <w:tc>
          <w:tcPr>
            <w:tcW w:w="166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6"/>
              </w:rPr>
              <w:t>and non-qualified deferred</w:t>
            </w:r>
          </w:p>
        </w:tc>
        <w:tc>
          <w:tcPr>
            <w:tcW w:w="1080" w:type="dxa"/>
            <w:vAlign w:val="bottom"/>
            <w:vMerge w:val="continue"/>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7"/>
              </w:rPr>
              <w:t>Total</w:t>
            </w:r>
          </w:p>
        </w:tc>
        <w:tc>
          <w:tcPr>
            <w:tcW w:w="0" w:type="dxa"/>
            <w:vAlign w:val="bottom"/>
          </w:tcPr>
          <w:p>
            <w:pPr>
              <w:spacing w:after="0"/>
              <w:rPr>
                <w:sz w:val="1"/>
                <w:szCs w:val="1"/>
                <w:color w:val="auto"/>
              </w:rPr>
            </w:pPr>
          </w:p>
        </w:tc>
      </w:tr>
      <w:tr>
        <w:trPr>
          <w:trHeight w:val="147"/>
        </w:trPr>
        <w:tc>
          <w:tcPr>
            <w:tcW w:w="2200" w:type="dxa"/>
            <w:vAlign w:val="bottom"/>
            <w:tcBorders>
              <w:bottom w:val="single" w:sz="8" w:color="1F5AA8"/>
            </w:tcBorders>
          </w:tcPr>
          <w:p>
            <w:pPr>
              <w:ind w:left="1080"/>
              <w:spacing w:after="0"/>
              <w:rPr>
                <w:sz w:val="20"/>
                <w:szCs w:val="20"/>
                <w:color w:val="auto"/>
              </w:rPr>
            </w:pPr>
            <w:r>
              <w:rPr>
                <w:rFonts w:ascii="Arial" w:cs="Arial" w:eastAsia="Arial" w:hAnsi="Arial"/>
                <w:sz w:val="12"/>
                <w:szCs w:val="12"/>
                <w:b w:val="1"/>
                <w:bCs w:val="1"/>
                <w:color w:val="205BA8"/>
              </w:rPr>
              <w:t>Name</w:t>
            </w:r>
          </w:p>
        </w:tc>
        <w:tc>
          <w:tcPr>
            <w:tcW w:w="1500" w:type="dxa"/>
            <w:vAlign w:val="bottom"/>
            <w:tcBorders>
              <w:bottom w:val="single" w:sz="8" w:color="1F5AA8"/>
            </w:tcBorders>
          </w:tcPr>
          <w:p>
            <w:pPr>
              <w:jc w:val="center"/>
              <w:ind w:left="338"/>
              <w:spacing w:after="0"/>
              <w:rPr>
                <w:sz w:val="20"/>
                <w:szCs w:val="20"/>
                <w:color w:val="auto"/>
              </w:rPr>
            </w:pPr>
            <w:r>
              <w:rPr>
                <w:rFonts w:ascii="Arial" w:cs="Arial" w:eastAsia="Arial" w:hAnsi="Arial"/>
                <w:sz w:val="12"/>
                <w:szCs w:val="12"/>
                <w:b w:val="1"/>
                <w:bCs w:val="1"/>
                <w:color w:val="205BA8"/>
                <w:w w:val="95"/>
              </w:rPr>
              <w:t>($)</w:t>
            </w:r>
          </w:p>
        </w:tc>
        <w:tc>
          <w:tcPr>
            <w:tcW w:w="106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205BA8"/>
              </w:rPr>
              <w:t>($)</w:t>
            </w:r>
          </w:p>
        </w:tc>
        <w:tc>
          <w:tcPr>
            <w:tcW w:w="84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205BA8"/>
                <w:w w:val="95"/>
              </w:rPr>
              <w:t>($)</w:t>
            </w:r>
          </w:p>
        </w:tc>
        <w:tc>
          <w:tcPr>
            <w:tcW w:w="104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205BA8"/>
                <w:w w:val="95"/>
              </w:rPr>
              <w:t>($)</w:t>
            </w:r>
          </w:p>
        </w:tc>
        <w:tc>
          <w:tcPr>
            <w:tcW w:w="166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205BA8"/>
                <w:w w:val="96"/>
              </w:rPr>
              <w:t>compensation earnings</w:t>
            </w:r>
          </w:p>
        </w:tc>
        <w:tc>
          <w:tcPr>
            <w:tcW w:w="108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205BA8"/>
                <w:w w:val="95"/>
              </w:rPr>
              <w:t>($)</w:t>
            </w:r>
          </w:p>
        </w:tc>
        <w:tc>
          <w:tcPr>
            <w:tcW w:w="78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205BA8"/>
                <w:w w:val="95"/>
              </w:rPr>
              <w:t>($)</w:t>
            </w:r>
          </w:p>
        </w:tc>
        <w:tc>
          <w:tcPr>
            <w:tcW w:w="0" w:type="dxa"/>
            <w:vAlign w:val="bottom"/>
          </w:tcPr>
          <w:p>
            <w:pPr>
              <w:spacing w:after="0"/>
              <w:rPr>
                <w:sz w:val="1"/>
                <w:szCs w:val="1"/>
                <w:color w:val="auto"/>
              </w:rPr>
            </w:pPr>
          </w:p>
        </w:tc>
      </w:tr>
      <w:tr>
        <w:trPr>
          <w:trHeight w:val="128"/>
        </w:trPr>
        <w:tc>
          <w:tcPr>
            <w:tcW w:w="2200" w:type="dxa"/>
            <w:vAlign w:val="bottom"/>
            <w:tcBorders>
              <w:bottom w:val="single" w:sz="8" w:color="58585A"/>
            </w:tcBorders>
            <w:shd w:val="clear" w:color="auto" w:fill="ECEDED"/>
          </w:tcPr>
          <w:p>
            <w:pPr>
              <w:spacing w:after="0" w:line="129" w:lineRule="exact"/>
              <w:rPr>
                <w:sz w:val="20"/>
                <w:szCs w:val="20"/>
                <w:color w:val="auto"/>
              </w:rPr>
            </w:pPr>
            <w:r>
              <w:rPr>
                <w:rFonts w:ascii="Arial" w:cs="Arial" w:eastAsia="Arial" w:hAnsi="Arial"/>
                <w:sz w:val="13"/>
                <w:szCs w:val="13"/>
                <w:b w:val="1"/>
                <w:bCs w:val="1"/>
                <w:color w:val="C44E5E"/>
              </w:rPr>
              <w:t>Bonnie L. Bassler, Ph.D.</w:t>
            </w:r>
          </w:p>
        </w:tc>
        <w:tc>
          <w:tcPr>
            <w:tcW w:w="1500" w:type="dxa"/>
            <w:vAlign w:val="bottom"/>
            <w:tcBorders>
              <w:bottom w:val="single" w:sz="8" w:color="58585A"/>
            </w:tcBorders>
            <w:shd w:val="clear" w:color="auto" w:fill="ECEDED"/>
          </w:tcPr>
          <w:p>
            <w:pPr>
              <w:jc w:val="right"/>
              <w:ind w:right="98"/>
              <w:spacing w:after="0" w:line="129" w:lineRule="exact"/>
              <w:rPr>
                <w:sz w:val="20"/>
                <w:szCs w:val="20"/>
                <w:color w:val="auto"/>
              </w:rPr>
            </w:pPr>
            <w:r>
              <w:rPr>
                <w:rFonts w:ascii="Arial" w:cs="Arial" w:eastAsia="Arial" w:hAnsi="Arial"/>
                <w:sz w:val="13"/>
                <w:szCs w:val="13"/>
                <w:color w:val="auto"/>
              </w:rPr>
              <w:t>110,000</w:t>
            </w:r>
          </w:p>
        </w:tc>
        <w:tc>
          <w:tcPr>
            <w:tcW w:w="1060" w:type="dxa"/>
            <w:vAlign w:val="bottom"/>
            <w:tcBorders>
              <w:bottom w:val="single" w:sz="8" w:color="58585A"/>
            </w:tcBorders>
            <w:shd w:val="clear" w:color="auto" w:fill="ECEDED"/>
          </w:tcPr>
          <w:p>
            <w:pPr>
              <w:jc w:val="right"/>
              <w:ind w:right="198"/>
              <w:spacing w:after="0" w:line="129" w:lineRule="exact"/>
              <w:rPr>
                <w:sz w:val="20"/>
                <w:szCs w:val="20"/>
                <w:color w:val="auto"/>
              </w:rPr>
            </w:pPr>
            <w:r>
              <w:rPr>
                <w:rFonts w:ascii="Arial" w:cs="Arial" w:eastAsia="Arial" w:hAnsi="Arial"/>
                <w:sz w:val="13"/>
                <w:szCs w:val="13"/>
                <w:color w:val="auto"/>
              </w:rPr>
              <w:t>119,718</w:t>
            </w:r>
          </w:p>
        </w:tc>
        <w:tc>
          <w:tcPr>
            <w:tcW w:w="840" w:type="dxa"/>
            <w:vAlign w:val="bottom"/>
            <w:tcBorders>
              <w:bottom w:val="single" w:sz="8" w:color="58585A"/>
            </w:tcBorders>
            <w:shd w:val="clear" w:color="auto" w:fill="ECEDED"/>
          </w:tcPr>
          <w:p>
            <w:pPr>
              <w:jc w:val="right"/>
              <w:ind w:right="78"/>
              <w:spacing w:after="0" w:line="129" w:lineRule="exact"/>
              <w:rPr>
                <w:sz w:val="20"/>
                <w:szCs w:val="20"/>
                <w:color w:val="auto"/>
              </w:rPr>
            </w:pPr>
            <w:r>
              <w:rPr>
                <w:rFonts w:ascii="Arial" w:cs="Arial" w:eastAsia="Arial" w:hAnsi="Arial"/>
                <w:sz w:val="13"/>
                <w:szCs w:val="13"/>
                <w:color w:val="auto"/>
              </w:rPr>
              <w:t>480,281</w:t>
            </w:r>
          </w:p>
        </w:tc>
        <w:tc>
          <w:tcPr>
            <w:tcW w:w="1040" w:type="dxa"/>
            <w:vAlign w:val="bottom"/>
            <w:tcBorders>
              <w:bottom w:val="single" w:sz="8" w:color="58585A"/>
            </w:tcBorders>
            <w:shd w:val="clear" w:color="auto" w:fill="ECEDED"/>
          </w:tcPr>
          <w:p>
            <w:pPr>
              <w:jc w:val="right"/>
              <w:ind w:right="139"/>
              <w:spacing w:after="0" w:line="129" w:lineRule="exact"/>
              <w:rPr>
                <w:sz w:val="20"/>
                <w:szCs w:val="20"/>
                <w:color w:val="auto"/>
              </w:rPr>
            </w:pPr>
            <w:r>
              <w:rPr>
                <w:rFonts w:ascii="Arial" w:cs="Arial" w:eastAsia="Arial" w:hAnsi="Arial"/>
                <w:sz w:val="13"/>
                <w:szCs w:val="13"/>
                <w:color w:val="auto"/>
              </w:rPr>
              <w:t>—</w:t>
            </w:r>
          </w:p>
        </w:tc>
        <w:tc>
          <w:tcPr>
            <w:tcW w:w="1660" w:type="dxa"/>
            <w:vAlign w:val="bottom"/>
            <w:tcBorders>
              <w:bottom w:val="single" w:sz="8" w:color="58585A"/>
            </w:tcBorders>
            <w:shd w:val="clear" w:color="auto" w:fill="ECEDED"/>
          </w:tcPr>
          <w:p>
            <w:pPr>
              <w:ind w:left="1320"/>
              <w:spacing w:after="0" w:line="129"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shd w:val="clear" w:color="auto" w:fill="ECEDED"/>
          </w:tcPr>
          <w:p>
            <w:pPr>
              <w:jc w:val="right"/>
              <w:ind w:right="198"/>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58585A"/>
            </w:tcBorders>
            <w:shd w:val="clear" w:color="auto" w:fill="ECEDED"/>
          </w:tcPr>
          <w:p>
            <w:pPr>
              <w:jc w:val="right"/>
              <w:ind w:right="38"/>
              <w:spacing w:after="0" w:line="129" w:lineRule="exact"/>
              <w:rPr>
                <w:sz w:val="20"/>
                <w:szCs w:val="20"/>
                <w:color w:val="auto"/>
              </w:rPr>
            </w:pPr>
            <w:r>
              <w:rPr>
                <w:rFonts w:ascii="Arial" w:cs="Arial" w:eastAsia="Arial" w:hAnsi="Arial"/>
                <w:sz w:val="13"/>
                <w:szCs w:val="13"/>
                <w:color w:val="auto"/>
              </w:rPr>
              <w:t>709,999</w:t>
            </w:r>
          </w:p>
        </w:tc>
        <w:tc>
          <w:tcPr>
            <w:tcW w:w="0" w:type="dxa"/>
            <w:vAlign w:val="bottom"/>
          </w:tcPr>
          <w:p>
            <w:pPr>
              <w:spacing w:after="0"/>
              <w:rPr>
                <w:sz w:val="1"/>
                <w:szCs w:val="1"/>
                <w:color w:val="auto"/>
              </w:rPr>
            </w:pPr>
          </w:p>
        </w:tc>
      </w:tr>
      <w:tr>
        <w:trPr>
          <w:trHeight w:val="128"/>
        </w:trPr>
        <w:tc>
          <w:tcPr>
            <w:tcW w:w="2200" w:type="dxa"/>
            <w:vAlign w:val="bottom"/>
            <w:tcBorders>
              <w:bottom w:val="single" w:sz="8" w:color="58585A"/>
            </w:tcBorders>
          </w:tcPr>
          <w:p>
            <w:pPr>
              <w:spacing w:after="0" w:line="129" w:lineRule="exact"/>
              <w:rPr>
                <w:sz w:val="20"/>
                <w:szCs w:val="20"/>
                <w:color w:val="auto"/>
              </w:rPr>
            </w:pPr>
            <w:r>
              <w:rPr>
                <w:rFonts w:ascii="Arial" w:cs="Arial" w:eastAsia="Arial" w:hAnsi="Arial"/>
                <w:sz w:val="13"/>
                <w:szCs w:val="13"/>
                <w:b w:val="1"/>
                <w:bCs w:val="1"/>
                <w:color w:val="C44E5E"/>
              </w:rPr>
              <w:t>Michael S. Brown, M.D.</w:t>
            </w:r>
          </w:p>
        </w:tc>
        <w:tc>
          <w:tcPr>
            <w:tcW w:w="1500" w:type="dxa"/>
            <w:vAlign w:val="bottom"/>
            <w:tcBorders>
              <w:bottom w:val="single" w:sz="8" w:color="58585A"/>
            </w:tcBorders>
          </w:tcPr>
          <w:p>
            <w:pPr>
              <w:jc w:val="right"/>
              <w:ind w:right="98"/>
              <w:spacing w:after="0" w:line="129" w:lineRule="exact"/>
              <w:rPr>
                <w:sz w:val="20"/>
                <w:szCs w:val="20"/>
                <w:color w:val="auto"/>
              </w:rPr>
            </w:pPr>
            <w:r>
              <w:rPr>
                <w:rFonts w:ascii="Arial" w:cs="Arial" w:eastAsia="Arial" w:hAnsi="Arial"/>
                <w:sz w:val="13"/>
                <w:szCs w:val="13"/>
                <w:color w:val="auto"/>
              </w:rPr>
              <w:t>120,000</w:t>
            </w:r>
          </w:p>
        </w:tc>
        <w:tc>
          <w:tcPr>
            <w:tcW w:w="1060" w:type="dxa"/>
            <w:vAlign w:val="bottom"/>
            <w:tcBorders>
              <w:bottom w:val="single" w:sz="8" w:color="58585A"/>
            </w:tcBorders>
          </w:tcPr>
          <w:p>
            <w:pPr>
              <w:jc w:val="right"/>
              <w:ind w:right="198"/>
              <w:spacing w:after="0" w:line="129" w:lineRule="exact"/>
              <w:rPr>
                <w:sz w:val="20"/>
                <w:szCs w:val="20"/>
                <w:color w:val="auto"/>
              </w:rPr>
            </w:pPr>
            <w:r>
              <w:rPr>
                <w:rFonts w:ascii="Arial" w:cs="Arial" w:eastAsia="Arial" w:hAnsi="Arial"/>
                <w:sz w:val="13"/>
                <w:szCs w:val="13"/>
                <w:color w:val="auto"/>
              </w:rPr>
              <w:t>119,718</w:t>
            </w:r>
          </w:p>
        </w:tc>
        <w:tc>
          <w:tcPr>
            <w:tcW w:w="840" w:type="dxa"/>
            <w:vAlign w:val="bottom"/>
            <w:tcBorders>
              <w:bottom w:val="single" w:sz="8" w:color="58585A"/>
            </w:tcBorders>
          </w:tcPr>
          <w:p>
            <w:pPr>
              <w:jc w:val="right"/>
              <w:ind w:right="78"/>
              <w:spacing w:after="0" w:line="129" w:lineRule="exact"/>
              <w:rPr>
                <w:sz w:val="20"/>
                <w:szCs w:val="20"/>
                <w:color w:val="auto"/>
              </w:rPr>
            </w:pPr>
            <w:r>
              <w:rPr>
                <w:rFonts w:ascii="Arial" w:cs="Arial" w:eastAsia="Arial" w:hAnsi="Arial"/>
                <w:sz w:val="13"/>
                <w:szCs w:val="13"/>
                <w:color w:val="auto"/>
              </w:rPr>
              <w:t>480,281</w:t>
            </w:r>
          </w:p>
        </w:tc>
        <w:tc>
          <w:tcPr>
            <w:tcW w:w="1040" w:type="dxa"/>
            <w:vAlign w:val="bottom"/>
            <w:tcBorders>
              <w:bottom w:val="single" w:sz="8" w:color="58585A"/>
            </w:tcBorders>
          </w:tcPr>
          <w:p>
            <w:pPr>
              <w:jc w:val="right"/>
              <w:ind w:right="139"/>
              <w:spacing w:after="0" w:line="129" w:lineRule="exact"/>
              <w:rPr>
                <w:sz w:val="20"/>
                <w:szCs w:val="20"/>
                <w:color w:val="auto"/>
              </w:rPr>
            </w:pPr>
            <w:r>
              <w:rPr>
                <w:rFonts w:ascii="Arial" w:cs="Arial" w:eastAsia="Arial" w:hAnsi="Arial"/>
                <w:sz w:val="13"/>
                <w:szCs w:val="13"/>
                <w:color w:val="auto"/>
              </w:rPr>
              <w:t>—</w:t>
            </w:r>
          </w:p>
        </w:tc>
        <w:tc>
          <w:tcPr>
            <w:tcW w:w="1660" w:type="dxa"/>
            <w:vAlign w:val="bottom"/>
            <w:tcBorders>
              <w:bottom w:val="single" w:sz="8" w:color="58585A"/>
            </w:tcBorders>
          </w:tcPr>
          <w:p>
            <w:pPr>
              <w:ind w:left="1320"/>
              <w:spacing w:after="0" w:line="129"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tcPr>
          <w:p>
            <w:pPr>
              <w:jc w:val="right"/>
              <w:ind w:right="198"/>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58585A"/>
            </w:tcBorders>
          </w:tcPr>
          <w:p>
            <w:pPr>
              <w:jc w:val="right"/>
              <w:ind w:right="38"/>
              <w:spacing w:after="0" w:line="129" w:lineRule="exact"/>
              <w:rPr>
                <w:sz w:val="20"/>
                <w:szCs w:val="20"/>
                <w:color w:val="auto"/>
              </w:rPr>
            </w:pPr>
            <w:r>
              <w:rPr>
                <w:rFonts w:ascii="Arial" w:cs="Arial" w:eastAsia="Arial" w:hAnsi="Arial"/>
                <w:sz w:val="13"/>
                <w:szCs w:val="13"/>
                <w:color w:val="auto"/>
              </w:rPr>
              <w:t>719,999</w:t>
            </w:r>
          </w:p>
        </w:tc>
        <w:tc>
          <w:tcPr>
            <w:tcW w:w="0" w:type="dxa"/>
            <w:vAlign w:val="bottom"/>
          </w:tcPr>
          <w:p>
            <w:pPr>
              <w:spacing w:after="0"/>
              <w:rPr>
                <w:sz w:val="1"/>
                <w:szCs w:val="1"/>
                <w:color w:val="auto"/>
              </w:rPr>
            </w:pPr>
          </w:p>
        </w:tc>
      </w:tr>
      <w:tr>
        <w:trPr>
          <w:trHeight w:val="128"/>
        </w:trPr>
        <w:tc>
          <w:tcPr>
            <w:tcW w:w="2200" w:type="dxa"/>
            <w:vAlign w:val="bottom"/>
            <w:tcBorders>
              <w:bottom w:val="single" w:sz="8" w:color="58585A"/>
            </w:tcBorders>
            <w:shd w:val="clear" w:color="auto" w:fill="ECEDED"/>
          </w:tcPr>
          <w:p>
            <w:pPr>
              <w:spacing w:after="0" w:line="129" w:lineRule="exact"/>
              <w:rPr>
                <w:sz w:val="20"/>
                <w:szCs w:val="20"/>
                <w:color w:val="auto"/>
              </w:rPr>
            </w:pPr>
            <w:r>
              <w:rPr>
                <w:rFonts w:ascii="Arial" w:cs="Arial" w:eastAsia="Arial" w:hAnsi="Arial"/>
                <w:sz w:val="13"/>
                <w:szCs w:val="13"/>
                <w:b w:val="1"/>
                <w:bCs w:val="1"/>
                <w:color w:val="C44E5E"/>
              </w:rPr>
              <w:t>N. Anthony Coles, M.D.</w:t>
            </w:r>
          </w:p>
        </w:tc>
        <w:tc>
          <w:tcPr>
            <w:tcW w:w="1500" w:type="dxa"/>
            <w:vAlign w:val="bottom"/>
            <w:tcBorders>
              <w:bottom w:val="single" w:sz="8" w:color="58585A"/>
            </w:tcBorders>
            <w:shd w:val="clear" w:color="auto" w:fill="ECEDED"/>
          </w:tcPr>
          <w:p>
            <w:pPr>
              <w:jc w:val="right"/>
              <w:ind w:right="98"/>
              <w:spacing w:after="0" w:line="129" w:lineRule="exact"/>
              <w:rPr>
                <w:sz w:val="20"/>
                <w:szCs w:val="20"/>
                <w:color w:val="auto"/>
              </w:rPr>
            </w:pPr>
            <w:r>
              <w:rPr>
                <w:rFonts w:ascii="Arial" w:cs="Arial" w:eastAsia="Arial" w:hAnsi="Arial"/>
                <w:sz w:val="13"/>
                <w:szCs w:val="13"/>
                <w:color w:val="auto"/>
              </w:rPr>
              <w:t>100,000</w:t>
            </w:r>
          </w:p>
        </w:tc>
        <w:tc>
          <w:tcPr>
            <w:tcW w:w="1060" w:type="dxa"/>
            <w:vAlign w:val="bottom"/>
            <w:tcBorders>
              <w:bottom w:val="single" w:sz="8" w:color="58585A"/>
            </w:tcBorders>
            <w:shd w:val="clear" w:color="auto" w:fill="ECEDED"/>
          </w:tcPr>
          <w:p>
            <w:pPr>
              <w:jc w:val="right"/>
              <w:ind w:right="198"/>
              <w:spacing w:after="0" w:line="129" w:lineRule="exact"/>
              <w:rPr>
                <w:sz w:val="20"/>
                <w:szCs w:val="20"/>
                <w:color w:val="auto"/>
              </w:rPr>
            </w:pPr>
            <w:r>
              <w:rPr>
                <w:rFonts w:ascii="Arial" w:cs="Arial" w:eastAsia="Arial" w:hAnsi="Arial"/>
                <w:sz w:val="13"/>
                <w:szCs w:val="13"/>
                <w:color w:val="auto"/>
              </w:rPr>
              <w:t>119,718</w:t>
            </w:r>
          </w:p>
        </w:tc>
        <w:tc>
          <w:tcPr>
            <w:tcW w:w="840" w:type="dxa"/>
            <w:vAlign w:val="bottom"/>
            <w:tcBorders>
              <w:bottom w:val="single" w:sz="8" w:color="58585A"/>
            </w:tcBorders>
            <w:shd w:val="clear" w:color="auto" w:fill="ECEDED"/>
          </w:tcPr>
          <w:p>
            <w:pPr>
              <w:jc w:val="right"/>
              <w:ind w:right="78"/>
              <w:spacing w:after="0" w:line="129" w:lineRule="exact"/>
              <w:rPr>
                <w:sz w:val="20"/>
                <w:szCs w:val="20"/>
                <w:color w:val="auto"/>
              </w:rPr>
            </w:pPr>
            <w:r>
              <w:rPr>
                <w:rFonts w:ascii="Arial" w:cs="Arial" w:eastAsia="Arial" w:hAnsi="Arial"/>
                <w:sz w:val="13"/>
                <w:szCs w:val="13"/>
                <w:color w:val="auto"/>
              </w:rPr>
              <w:t>480,281</w:t>
            </w:r>
          </w:p>
        </w:tc>
        <w:tc>
          <w:tcPr>
            <w:tcW w:w="1040" w:type="dxa"/>
            <w:vAlign w:val="bottom"/>
            <w:tcBorders>
              <w:bottom w:val="single" w:sz="8" w:color="58585A"/>
            </w:tcBorders>
            <w:shd w:val="clear" w:color="auto" w:fill="ECEDED"/>
          </w:tcPr>
          <w:p>
            <w:pPr>
              <w:jc w:val="right"/>
              <w:ind w:right="139"/>
              <w:spacing w:after="0" w:line="129" w:lineRule="exact"/>
              <w:rPr>
                <w:sz w:val="20"/>
                <w:szCs w:val="20"/>
                <w:color w:val="auto"/>
              </w:rPr>
            </w:pPr>
            <w:r>
              <w:rPr>
                <w:rFonts w:ascii="Arial" w:cs="Arial" w:eastAsia="Arial" w:hAnsi="Arial"/>
                <w:sz w:val="13"/>
                <w:szCs w:val="13"/>
                <w:color w:val="auto"/>
              </w:rPr>
              <w:t>—</w:t>
            </w:r>
          </w:p>
        </w:tc>
        <w:tc>
          <w:tcPr>
            <w:tcW w:w="1660" w:type="dxa"/>
            <w:vAlign w:val="bottom"/>
            <w:tcBorders>
              <w:bottom w:val="single" w:sz="8" w:color="58585A"/>
            </w:tcBorders>
            <w:shd w:val="clear" w:color="auto" w:fill="ECEDED"/>
          </w:tcPr>
          <w:p>
            <w:pPr>
              <w:ind w:left="1320"/>
              <w:spacing w:after="0" w:line="129"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shd w:val="clear" w:color="auto" w:fill="ECEDED"/>
          </w:tcPr>
          <w:p>
            <w:pPr>
              <w:jc w:val="right"/>
              <w:ind w:right="198"/>
              <w:spacing w:after="0" w:line="129" w:lineRule="exact"/>
              <w:rPr>
                <w:sz w:val="20"/>
                <w:szCs w:val="20"/>
                <w:color w:val="auto"/>
              </w:rPr>
            </w:pPr>
            <w:r>
              <w:rPr>
                <w:rFonts w:ascii="Arial" w:cs="Arial" w:eastAsia="Arial" w:hAnsi="Arial"/>
                <w:sz w:val="13"/>
                <w:szCs w:val="13"/>
                <w:color w:val="auto"/>
              </w:rPr>
              <w:t>5,0004</w:t>
            </w:r>
          </w:p>
        </w:tc>
        <w:tc>
          <w:tcPr>
            <w:tcW w:w="780" w:type="dxa"/>
            <w:vAlign w:val="bottom"/>
            <w:tcBorders>
              <w:bottom w:val="single" w:sz="8" w:color="58585A"/>
            </w:tcBorders>
            <w:shd w:val="clear" w:color="auto" w:fill="ECEDED"/>
          </w:tcPr>
          <w:p>
            <w:pPr>
              <w:jc w:val="right"/>
              <w:ind w:right="38"/>
              <w:spacing w:after="0" w:line="129" w:lineRule="exact"/>
              <w:rPr>
                <w:sz w:val="20"/>
                <w:szCs w:val="20"/>
                <w:color w:val="auto"/>
              </w:rPr>
            </w:pPr>
            <w:r>
              <w:rPr>
                <w:rFonts w:ascii="Arial" w:cs="Arial" w:eastAsia="Arial" w:hAnsi="Arial"/>
                <w:sz w:val="13"/>
                <w:szCs w:val="13"/>
                <w:color w:val="auto"/>
              </w:rPr>
              <w:t>704,999</w:t>
            </w:r>
          </w:p>
        </w:tc>
        <w:tc>
          <w:tcPr>
            <w:tcW w:w="0" w:type="dxa"/>
            <w:vAlign w:val="bottom"/>
          </w:tcPr>
          <w:p>
            <w:pPr>
              <w:spacing w:after="0"/>
              <w:rPr>
                <w:sz w:val="1"/>
                <w:szCs w:val="1"/>
                <w:color w:val="auto"/>
              </w:rPr>
            </w:pPr>
          </w:p>
        </w:tc>
      </w:tr>
      <w:tr>
        <w:trPr>
          <w:trHeight w:val="128"/>
        </w:trPr>
        <w:tc>
          <w:tcPr>
            <w:tcW w:w="2200" w:type="dxa"/>
            <w:vAlign w:val="bottom"/>
            <w:tcBorders>
              <w:bottom w:val="single" w:sz="8" w:color="58585A"/>
            </w:tcBorders>
          </w:tcPr>
          <w:p>
            <w:pPr>
              <w:spacing w:after="0" w:line="129" w:lineRule="exact"/>
              <w:rPr>
                <w:sz w:val="20"/>
                <w:szCs w:val="20"/>
                <w:color w:val="auto"/>
              </w:rPr>
            </w:pPr>
            <w:r>
              <w:rPr>
                <w:rFonts w:ascii="Arial" w:cs="Arial" w:eastAsia="Arial" w:hAnsi="Arial"/>
                <w:sz w:val="13"/>
                <w:szCs w:val="13"/>
                <w:b w:val="1"/>
                <w:bCs w:val="1"/>
                <w:color w:val="C44E5E"/>
              </w:rPr>
              <w:t>Joseph L. Goldstein, M.D.</w:t>
            </w:r>
          </w:p>
        </w:tc>
        <w:tc>
          <w:tcPr>
            <w:tcW w:w="1500" w:type="dxa"/>
            <w:vAlign w:val="bottom"/>
            <w:tcBorders>
              <w:bottom w:val="single" w:sz="8" w:color="58585A"/>
            </w:tcBorders>
          </w:tcPr>
          <w:p>
            <w:pPr>
              <w:jc w:val="right"/>
              <w:ind w:right="98"/>
              <w:spacing w:after="0" w:line="129" w:lineRule="exact"/>
              <w:rPr>
                <w:sz w:val="20"/>
                <w:szCs w:val="20"/>
                <w:color w:val="auto"/>
              </w:rPr>
            </w:pPr>
            <w:r>
              <w:rPr>
                <w:rFonts w:ascii="Arial" w:cs="Arial" w:eastAsia="Arial" w:hAnsi="Arial"/>
                <w:sz w:val="13"/>
                <w:szCs w:val="13"/>
                <w:color w:val="auto"/>
              </w:rPr>
              <w:t>110,000</w:t>
            </w:r>
          </w:p>
        </w:tc>
        <w:tc>
          <w:tcPr>
            <w:tcW w:w="1060" w:type="dxa"/>
            <w:vAlign w:val="bottom"/>
            <w:tcBorders>
              <w:bottom w:val="single" w:sz="8" w:color="58585A"/>
            </w:tcBorders>
          </w:tcPr>
          <w:p>
            <w:pPr>
              <w:jc w:val="right"/>
              <w:ind w:right="198"/>
              <w:spacing w:after="0" w:line="129" w:lineRule="exact"/>
              <w:rPr>
                <w:sz w:val="20"/>
                <w:szCs w:val="20"/>
                <w:color w:val="auto"/>
              </w:rPr>
            </w:pPr>
            <w:r>
              <w:rPr>
                <w:rFonts w:ascii="Arial" w:cs="Arial" w:eastAsia="Arial" w:hAnsi="Arial"/>
                <w:sz w:val="13"/>
                <w:szCs w:val="13"/>
                <w:color w:val="auto"/>
              </w:rPr>
              <w:t>119,718</w:t>
            </w:r>
          </w:p>
        </w:tc>
        <w:tc>
          <w:tcPr>
            <w:tcW w:w="840" w:type="dxa"/>
            <w:vAlign w:val="bottom"/>
            <w:tcBorders>
              <w:bottom w:val="single" w:sz="8" w:color="58585A"/>
            </w:tcBorders>
          </w:tcPr>
          <w:p>
            <w:pPr>
              <w:jc w:val="right"/>
              <w:ind w:right="78"/>
              <w:spacing w:after="0" w:line="129" w:lineRule="exact"/>
              <w:rPr>
                <w:sz w:val="20"/>
                <w:szCs w:val="20"/>
                <w:color w:val="auto"/>
              </w:rPr>
            </w:pPr>
            <w:r>
              <w:rPr>
                <w:rFonts w:ascii="Arial" w:cs="Arial" w:eastAsia="Arial" w:hAnsi="Arial"/>
                <w:sz w:val="13"/>
                <w:szCs w:val="13"/>
                <w:color w:val="auto"/>
              </w:rPr>
              <w:t>480,281</w:t>
            </w:r>
          </w:p>
        </w:tc>
        <w:tc>
          <w:tcPr>
            <w:tcW w:w="1040" w:type="dxa"/>
            <w:vAlign w:val="bottom"/>
            <w:tcBorders>
              <w:bottom w:val="single" w:sz="8" w:color="58585A"/>
            </w:tcBorders>
          </w:tcPr>
          <w:p>
            <w:pPr>
              <w:jc w:val="right"/>
              <w:ind w:right="139"/>
              <w:spacing w:after="0" w:line="129" w:lineRule="exact"/>
              <w:rPr>
                <w:sz w:val="20"/>
                <w:szCs w:val="20"/>
                <w:color w:val="auto"/>
              </w:rPr>
            </w:pPr>
            <w:r>
              <w:rPr>
                <w:rFonts w:ascii="Arial" w:cs="Arial" w:eastAsia="Arial" w:hAnsi="Arial"/>
                <w:sz w:val="13"/>
                <w:szCs w:val="13"/>
                <w:color w:val="auto"/>
              </w:rPr>
              <w:t>—</w:t>
            </w:r>
          </w:p>
        </w:tc>
        <w:tc>
          <w:tcPr>
            <w:tcW w:w="1660" w:type="dxa"/>
            <w:vAlign w:val="bottom"/>
            <w:tcBorders>
              <w:bottom w:val="single" w:sz="8" w:color="58585A"/>
            </w:tcBorders>
          </w:tcPr>
          <w:p>
            <w:pPr>
              <w:ind w:left="1320"/>
              <w:spacing w:after="0" w:line="129"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tcPr>
          <w:p>
            <w:pPr>
              <w:jc w:val="right"/>
              <w:ind w:right="198"/>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58585A"/>
            </w:tcBorders>
          </w:tcPr>
          <w:p>
            <w:pPr>
              <w:jc w:val="right"/>
              <w:ind w:right="38"/>
              <w:spacing w:after="0" w:line="129" w:lineRule="exact"/>
              <w:rPr>
                <w:sz w:val="20"/>
                <w:szCs w:val="20"/>
                <w:color w:val="auto"/>
              </w:rPr>
            </w:pPr>
            <w:r>
              <w:rPr>
                <w:rFonts w:ascii="Arial" w:cs="Arial" w:eastAsia="Arial" w:hAnsi="Arial"/>
                <w:sz w:val="13"/>
                <w:szCs w:val="13"/>
                <w:color w:val="auto"/>
              </w:rPr>
              <w:t>709,999</w:t>
            </w:r>
          </w:p>
        </w:tc>
        <w:tc>
          <w:tcPr>
            <w:tcW w:w="0" w:type="dxa"/>
            <w:vAlign w:val="bottom"/>
          </w:tcPr>
          <w:p>
            <w:pPr>
              <w:spacing w:after="0"/>
              <w:rPr>
                <w:sz w:val="1"/>
                <w:szCs w:val="1"/>
                <w:color w:val="auto"/>
              </w:rPr>
            </w:pPr>
          </w:p>
        </w:tc>
      </w:tr>
      <w:tr>
        <w:trPr>
          <w:trHeight w:val="129"/>
        </w:trPr>
        <w:tc>
          <w:tcPr>
            <w:tcW w:w="2200" w:type="dxa"/>
            <w:vAlign w:val="bottom"/>
            <w:tcBorders>
              <w:bottom w:val="single" w:sz="8" w:color="58585A"/>
            </w:tcBorders>
            <w:shd w:val="clear" w:color="auto" w:fill="ECEDED"/>
          </w:tcPr>
          <w:p>
            <w:pPr>
              <w:spacing w:after="0" w:line="129" w:lineRule="exact"/>
              <w:rPr>
                <w:sz w:val="20"/>
                <w:szCs w:val="20"/>
                <w:color w:val="auto"/>
              </w:rPr>
            </w:pPr>
            <w:r>
              <w:rPr>
                <w:rFonts w:ascii="Arial" w:cs="Arial" w:eastAsia="Arial" w:hAnsi="Arial"/>
                <w:sz w:val="13"/>
                <w:szCs w:val="13"/>
                <w:b w:val="1"/>
                <w:bCs w:val="1"/>
                <w:color w:val="C44E5E"/>
              </w:rPr>
              <w:t>Christine A. Poon</w:t>
            </w:r>
          </w:p>
        </w:tc>
        <w:tc>
          <w:tcPr>
            <w:tcW w:w="1500" w:type="dxa"/>
            <w:vAlign w:val="bottom"/>
            <w:tcBorders>
              <w:bottom w:val="single" w:sz="8" w:color="58585A"/>
            </w:tcBorders>
            <w:shd w:val="clear" w:color="auto" w:fill="ECEDED"/>
          </w:tcPr>
          <w:p>
            <w:pPr>
              <w:jc w:val="right"/>
              <w:ind w:right="98"/>
              <w:spacing w:after="0" w:line="129" w:lineRule="exact"/>
              <w:rPr>
                <w:sz w:val="20"/>
                <w:szCs w:val="20"/>
                <w:color w:val="auto"/>
              </w:rPr>
            </w:pPr>
            <w:r>
              <w:rPr>
                <w:rFonts w:ascii="Arial" w:cs="Arial" w:eastAsia="Arial" w:hAnsi="Arial"/>
                <w:sz w:val="13"/>
                <w:szCs w:val="13"/>
                <w:color w:val="auto"/>
              </w:rPr>
              <w:t>120,000</w:t>
            </w:r>
          </w:p>
        </w:tc>
        <w:tc>
          <w:tcPr>
            <w:tcW w:w="1060" w:type="dxa"/>
            <w:vAlign w:val="bottom"/>
            <w:tcBorders>
              <w:bottom w:val="single" w:sz="8" w:color="58585A"/>
            </w:tcBorders>
            <w:shd w:val="clear" w:color="auto" w:fill="ECEDED"/>
          </w:tcPr>
          <w:p>
            <w:pPr>
              <w:jc w:val="right"/>
              <w:ind w:right="198"/>
              <w:spacing w:after="0" w:line="129" w:lineRule="exact"/>
              <w:rPr>
                <w:sz w:val="20"/>
                <w:szCs w:val="20"/>
                <w:color w:val="auto"/>
              </w:rPr>
            </w:pPr>
            <w:r>
              <w:rPr>
                <w:rFonts w:ascii="Arial" w:cs="Arial" w:eastAsia="Arial" w:hAnsi="Arial"/>
                <w:sz w:val="13"/>
                <w:szCs w:val="13"/>
                <w:color w:val="auto"/>
              </w:rPr>
              <w:t>119,718</w:t>
            </w:r>
          </w:p>
        </w:tc>
        <w:tc>
          <w:tcPr>
            <w:tcW w:w="840" w:type="dxa"/>
            <w:vAlign w:val="bottom"/>
            <w:tcBorders>
              <w:bottom w:val="single" w:sz="8" w:color="58585A"/>
            </w:tcBorders>
            <w:shd w:val="clear" w:color="auto" w:fill="ECEDED"/>
          </w:tcPr>
          <w:p>
            <w:pPr>
              <w:jc w:val="right"/>
              <w:ind w:right="78"/>
              <w:spacing w:after="0" w:line="129" w:lineRule="exact"/>
              <w:rPr>
                <w:sz w:val="20"/>
                <w:szCs w:val="20"/>
                <w:color w:val="auto"/>
              </w:rPr>
            </w:pPr>
            <w:r>
              <w:rPr>
                <w:rFonts w:ascii="Arial" w:cs="Arial" w:eastAsia="Arial" w:hAnsi="Arial"/>
                <w:sz w:val="13"/>
                <w:szCs w:val="13"/>
                <w:color w:val="auto"/>
              </w:rPr>
              <w:t>480,281</w:t>
            </w:r>
          </w:p>
        </w:tc>
        <w:tc>
          <w:tcPr>
            <w:tcW w:w="1040" w:type="dxa"/>
            <w:vAlign w:val="bottom"/>
            <w:tcBorders>
              <w:bottom w:val="single" w:sz="8" w:color="58585A"/>
            </w:tcBorders>
            <w:shd w:val="clear" w:color="auto" w:fill="ECEDED"/>
          </w:tcPr>
          <w:p>
            <w:pPr>
              <w:jc w:val="right"/>
              <w:ind w:right="139"/>
              <w:spacing w:after="0" w:line="129" w:lineRule="exact"/>
              <w:rPr>
                <w:sz w:val="20"/>
                <w:szCs w:val="20"/>
                <w:color w:val="auto"/>
              </w:rPr>
            </w:pPr>
            <w:r>
              <w:rPr>
                <w:rFonts w:ascii="Arial" w:cs="Arial" w:eastAsia="Arial" w:hAnsi="Arial"/>
                <w:sz w:val="13"/>
                <w:szCs w:val="13"/>
                <w:color w:val="auto"/>
              </w:rPr>
              <w:t>—</w:t>
            </w:r>
          </w:p>
        </w:tc>
        <w:tc>
          <w:tcPr>
            <w:tcW w:w="1660" w:type="dxa"/>
            <w:vAlign w:val="bottom"/>
            <w:tcBorders>
              <w:bottom w:val="single" w:sz="8" w:color="58585A"/>
            </w:tcBorders>
            <w:shd w:val="clear" w:color="auto" w:fill="ECEDED"/>
          </w:tcPr>
          <w:p>
            <w:pPr>
              <w:ind w:left="1320"/>
              <w:spacing w:after="0" w:line="129"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shd w:val="clear" w:color="auto" w:fill="ECEDED"/>
          </w:tcPr>
          <w:p>
            <w:pPr>
              <w:jc w:val="right"/>
              <w:ind w:right="198"/>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58585A"/>
            </w:tcBorders>
            <w:shd w:val="clear" w:color="auto" w:fill="ECEDED"/>
          </w:tcPr>
          <w:p>
            <w:pPr>
              <w:jc w:val="right"/>
              <w:ind w:right="38"/>
              <w:spacing w:after="0" w:line="129" w:lineRule="exact"/>
              <w:rPr>
                <w:sz w:val="20"/>
                <w:szCs w:val="20"/>
                <w:color w:val="auto"/>
              </w:rPr>
            </w:pPr>
            <w:r>
              <w:rPr>
                <w:rFonts w:ascii="Arial" w:cs="Arial" w:eastAsia="Arial" w:hAnsi="Arial"/>
                <w:sz w:val="13"/>
                <w:szCs w:val="13"/>
                <w:color w:val="auto"/>
              </w:rPr>
              <w:t>719,999</w:t>
            </w:r>
          </w:p>
        </w:tc>
        <w:tc>
          <w:tcPr>
            <w:tcW w:w="0" w:type="dxa"/>
            <w:vAlign w:val="bottom"/>
          </w:tcPr>
          <w:p>
            <w:pPr>
              <w:spacing w:after="0"/>
              <w:rPr>
                <w:sz w:val="1"/>
                <w:szCs w:val="1"/>
                <w:color w:val="auto"/>
              </w:rPr>
            </w:pPr>
          </w:p>
        </w:tc>
      </w:tr>
      <w:tr>
        <w:trPr>
          <w:trHeight w:val="128"/>
        </w:trPr>
        <w:tc>
          <w:tcPr>
            <w:tcW w:w="2200" w:type="dxa"/>
            <w:vAlign w:val="bottom"/>
            <w:tcBorders>
              <w:bottom w:val="single" w:sz="8" w:color="58585A"/>
            </w:tcBorders>
          </w:tcPr>
          <w:p>
            <w:pPr>
              <w:spacing w:after="0" w:line="129" w:lineRule="exact"/>
              <w:rPr>
                <w:sz w:val="20"/>
                <w:szCs w:val="20"/>
                <w:color w:val="auto"/>
              </w:rPr>
            </w:pPr>
            <w:r>
              <w:rPr>
                <w:rFonts w:ascii="Arial" w:cs="Arial" w:eastAsia="Arial" w:hAnsi="Arial"/>
                <w:sz w:val="13"/>
                <w:szCs w:val="13"/>
                <w:b w:val="1"/>
                <w:bCs w:val="1"/>
                <w:color w:val="C44E5E"/>
              </w:rPr>
              <w:t>Arthur F. Ryan</w:t>
            </w:r>
          </w:p>
        </w:tc>
        <w:tc>
          <w:tcPr>
            <w:tcW w:w="1500" w:type="dxa"/>
            <w:vAlign w:val="bottom"/>
            <w:tcBorders>
              <w:bottom w:val="single" w:sz="8" w:color="58585A"/>
            </w:tcBorders>
          </w:tcPr>
          <w:p>
            <w:pPr>
              <w:jc w:val="right"/>
              <w:ind w:right="98"/>
              <w:spacing w:after="0" w:line="129" w:lineRule="exact"/>
              <w:rPr>
                <w:sz w:val="20"/>
                <w:szCs w:val="20"/>
                <w:color w:val="auto"/>
              </w:rPr>
            </w:pPr>
            <w:r>
              <w:rPr>
                <w:rFonts w:ascii="Arial" w:cs="Arial" w:eastAsia="Arial" w:hAnsi="Arial"/>
                <w:sz w:val="13"/>
                <w:szCs w:val="13"/>
                <w:color w:val="auto"/>
              </w:rPr>
              <w:t>120,000</w:t>
            </w:r>
          </w:p>
        </w:tc>
        <w:tc>
          <w:tcPr>
            <w:tcW w:w="1060" w:type="dxa"/>
            <w:vAlign w:val="bottom"/>
            <w:tcBorders>
              <w:bottom w:val="single" w:sz="8" w:color="58585A"/>
            </w:tcBorders>
          </w:tcPr>
          <w:p>
            <w:pPr>
              <w:jc w:val="right"/>
              <w:ind w:right="198"/>
              <w:spacing w:after="0" w:line="129" w:lineRule="exact"/>
              <w:rPr>
                <w:sz w:val="20"/>
                <w:szCs w:val="20"/>
                <w:color w:val="auto"/>
              </w:rPr>
            </w:pPr>
            <w:r>
              <w:rPr>
                <w:rFonts w:ascii="Arial" w:cs="Arial" w:eastAsia="Arial" w:hAnsi="Arial"/>
                <w:sz w:val="13"/>
                <w:szCs w:val="13"/>
                <w:color w:val="auto"/>
              </w:rPr>
              <w:t>119,718</w:t>
            </w:r>
          </w:p>
        </w:tc>
        <w:tc>
          <w:tcPr>
            <w:tcW w:w="840" w:type="dxa"/>
            <w:vAlign w:val="bottom"/>
            <w:tcBorders>
              <w:bottom w:val="single" w:sz="8" w:color="58585A"/>
            </w:tcBorders>
          </w:tcPr>
          <w:p>
            <w:pPr>
              <w:jc w:val="right"/>
              <w:ind w:right="78"/>
              <w:spacing w:after="0" w:line="129" w:lineRule="exact"/>
              <w:rPr>
                <w:sz w:val="20"/>
                <w:szCs w:val="20"/>
                <w:color w:val="auto"/>
              </w:rPr>
            </w:pPr>
            <w:r>
              <w:rPr>
                <w:rFonts w:ascii="Arial" w:cs="Arial" w:eastAsia="Arial" w:hAnsi="Arial"/>
                <w:sz w:val="13"/>
                <w:szCs w:val="13"/>
                <w:color w:val="auto"/>
              </w:rPr>
              <w:t>480,281</w:t>
            </w:r>
          </w:p>
        </w:tc>
        <w:tc>
          <w:tcPr>
            <w:tcW w:w="1040" w:type="dxa"/>
            <w:vAlign w:val="bottom"/>
            <w:tcBorders>
              <w:bottom w:val="single" w:sz="8" w:color="58585A"/>
            </w:tcBorders>
          </w:tcPr>
          <w:p>
            <w:pPr>
              <w:jc w:val="right"/>
              <w:ind w:right="139"/>
              <w:spacing w:after="0" w:line="129" w:lineRule="exact"/>
              <w:rPr>
                <w:sz w:val="20"/>
                <w:szCs w:val="20"/>
                <w:color w:val="auto"/>
              </w:rPr>
            </w:pPr>
            <w:r>
              <w:rPr>
                <w:rFonts w:ascii="Arial" w:cs="Arial" w:eastAsia="Arial" w:hAnsi="Arial"/>
                <w:sz w:val="13"/>
                <w:szCs w:val="13"/>
                <w:color w:val="auto"/>
              </w:rPr>
              <w:t>—</w:t>
            </w:r>
          </w:p>
        </w:tc>
        <w:tc>
          <w:tcPr>
            <w:tcW w:w="1660" w:type="dxa"/>
            <w:vAlign w:val="bottom"/>
            <w:tcBorders>
              <w:bottom w:val="single" w:sz="8" w:color="58585A"/>
            </w:tcBorders>
          </w:tcPr>
          <w:p>
            <w:pPr>
              <w:ind w:left="1320"/>
              <w:spacing w:after="0" w:line="129"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tcPr>
          <w:p>
            <w:pPr>
              <w:jc w:val="right"/>
              <w:ind w:right="198"/>
              <w:spacing w:after="0" w:line="129" w:lineRule="exact"/>
              <w:rPr>
                <w:sz w:val="20"/>
                <w:szCs w:val="20"/>
                <w:color w:val="auto"/>
              </w:rPr>
            </w:pPr>
            <w:r>
              <w:rPr>
                <w:rFonts w:ascii="Arial" w:cs="Arial" w:eastAsia="Arial" w:hAnsi="Arial"/>
                <w:sz w:val="13"/>
                <w:szCs w:val="13"/>
                <w:color w:val="auto"/>
              </w:rPr>
              <w:t>5,0004</w:t>
            </w:r>
          </w:p>
        </w:tc>
        <w:tc>
          <w:tcPr>
            <w:tcW w:w="780" w:type="dxa"/>
            <w:vAlign w:val="bottom"/>
            <w:tcBorders>
              <w:bottom w:val="single" w:sz="8" w:color="58585A"/>
            </w:tcBorders>
          </w:tcPr>
          <w:p>
            <w:pPr>
              <w:jc w:val="right"/>
              <w:ind w:right="38"/>
              <w:spacing w:after="0" w:line="129" w:lineRule="exact"/>
              <w:rPr>
                <w:sz w:val="20"/>
                <w:szCs w:val="20"/>
                <w:color w:val="auto"/>
              </w:rPr>
            </w:pPr>
            <w:r>
              <w:rPr>
                <w:rFonts w:ascii="Arial" w:cs="Arial" w:eastAsia="Arial" w:hAnsi="Arial"/>
                <w:sz w:val="13"/>
                <w:szCs w:val="13"/>
                <w:color w:val="auto"/>
              </w:rPr>
              <w:t>724,999</w:t>
            </w:r>
          </w:p>
        </w:tc>
        <w:tc>
          <w:tcPr>
            <w:tcW w:w="0" w:type="dxa"/>
            <w:vAlign w:val="bottom"/>
          </w:tcPr>
          <w:p>
            <w:pPr>
              <w:spacing w:after="0"/>
              <w:rPr>
                <w:sz w:val="1"/>
                <w:szCs w:val="1"/>
                <w:color w:val="auto"/>
              </w:rPr>
            </w:pPr>
          </w:p>
        </w:tc>
      </w:tr>
      <w:tr>
        <w:trPr>
          <w:trHeight w:val="128"/>
        </w:trPr>
        <w:tc>
          <w:tcPr>
            <w:tcW w:w="2200" w:type="dxa"/>
            <w:vAlign w:val="bottom"/>
            <w:tcBorders>
              <w:bottom w:val="single" w:sz="8" w:color="58585A"/>
            </w:tcBorders>
            <w:shd w:val="clear" w:color="auto" w:fill="ECEDED"/>
          </w:tcPr>
          <w:p>
            <w:pPr>
              <w:spacing w:after="0" w:line="129" w:lineRule="exact"/>
              <w:rPr>
                <w:sz w:val="20"/>
                <w:szCs w:val="20"/>
                <w:color w:val="auto"/>
              </w:rPr>
            </w:pPr>
            <w:r>
              <w:rPr>
                <w:rFonts w:ascii="Arial" w:cs="Arial" w:eastAsia="Arial" w:hAnsi="Arial"/>
                <w:sz w:val="13"/>
                <w:szCs w:val="13"/>
                <w:b w:val="1"/>
                <w:bCs w:val="1"/>
                <w:color w:val="C44E5E"/>
              </w:rPr>
              <w:t>George L. Sing</w:t>
            </w:r>
          </w:p>
        </w:tc>
        <w:tc>
          <w:tcPr>
            <w:tcW w:w="1500" w:type="dxa"/>
            <w:vAlign w:val="bottom"/>
            <w:tcBorders>
              <w:bottom w:val="single" w:sz="8" w:color="58585A"/>
            </w:tcBorders>
            <w:shd w:val="clear" w:color="auto" w:fill="ECEDED"/>
          </w:tcPr>
          <w:p>
            <w:pPr>
              <w:jc w:val="right"/>
              <w:ind w:right="98"/>
              <w:spacing w:after="0" w:line="129" w:lineRule="exact"/>
              <w:rPr>
                <w:sz w:val="20"/>
                <w:szCs w:val="20"/>
                <w:color w:val="auto"/>
              </w:rPr>
            </w:pPr>
            <w:r>
              <w:rPr>
                <w:rFonts w:ascii="Arial" w:cs="Arial" w:eastAsia="Arial" w:hAnsi="Arial"/>
                <w:sz w:val="13"/>
                <w:szCs w:val="13"/>
                <w:color w:val="auto"/>
              </w:rPr>
              <w:t>120,000</w:t>
            </w:r>
          </w:p>
        </w:tc>
        <w:tc>
          <w:tcPr>
            <w:tcW w:w="1060" w:type="dxa"/>
            <w:vAlign w:val="bottom"/>
            <w:tcBorders>
              <w:bottom w:val="single" w:sz="8" w:color="58585A"/>
            </w:tcBorders>
            <w:shd w:val="clear" w:color="auto" w:fill="ECEDED"/>
          </w:tcPr>
          <w:p>
            <w:pPr>
              <w:jc w:val="right"/>
              <w:ind w:right="198"/>
              <w:spacing w:after="0" w:line="129" w:lineRule="exact"/>
              <w:rPr>
                <w:sz w:val="20"/>
                <w:szCs w:val="20"/>
                <w:color w:val="auto"/>
              </w:rPr>
            </w:pPr>
            <w:r>
              <w:rPr>
                <w:rFonts w:ascii="Arial" w:cs="Arial" w:eastAsia="Arial" w:hAnsi="Arial"/>
                <w:sz w:val="13"/>
                <w:szCs w:val="13"/>
                <w:color w:val="auto"/>
              </w:rPr>
              <w:t>119,718</w:t>
            </w:r>
          </w:p>
        </w:tc>
        <w:tc>
          <w:tcPr>
            <w:tcW w:w="840" w:type="dxa"/>
            <w:vAlign w:val="bottom"/>
            <w:tcBorders>
              <w:bottom w:val="single" w:sz="8" w:color="58585A"/>
            </w:tcBorders>
            <w:shd w:val="clear" w:color="auto" w:fill="ECEDED"/>
          </w:tcPr>
          <w:p>
            <w:pPr>
              <w:jc w:val="right"/>
              <w:ind w:right="78"/>
              <w:spacing w:after="0" w:line="129" w:lineRule="exact"/>
              <w:rPr>
                <w:sz w:val="20"/>
                <w:szCs w:val="20"/>
                <w:color w:val="auto"/>
              </w:rPr>
            </w:pPr>
            <w:r>
              <w:rPr>
                <w:rFonts w:ascii="Arial" w:cs="Arial" w:eastAsia="Arial" w:hAnsi="Arial"/>
                <w:sz w:val="13"/>
                <w:szCs w:val="13"/>
                <w:color w:val="auto"/>
              </w:rPr>
              <w:t>480,281</w:t>
            </w:r>
          </w:p>
        </w:tc>
        <w:tc>
          <w:tcPr>
            <w:tcW w:w="1040" w:type="dxa"/>
            <w:vAlign w:val="bottom"/>
            <w:tcBorders>
              <w:bottom w:val="single" w:sz="8" w:color="58585A"/>
            </w:tcBorders>
            <w:shd w:val="clear" w:color="auto" w:fill="ECEDED"/>
          </w:tcPr>
          <w:p>
            <w:pPr>
              <w:jc w:val="right"/>
              <w:ind w:right="139"/>
              <w:spacing w:after="0" w:line="129" w:lineRule="exact"/>
              <w:rPr>
                <w:sz w:val="20"/>
                <w:szCs w:val="20"/>
                <w:color w:val="auto"/>
              </w:rPr>
            </w:pPr>
            <w:r>
              <w:rPr>
                <w:rFonts w:ascii="Arial" w:cs="Arial" w:eastAsia="Arial" w:hAnsi="Arial"/>
                <w:sz w:val="13"/>
                <w:szCs w:val="13"/>
                <w:color w:val="auto"/>
              </w:rPr>
              <w:t>—</w:t>
            </w:r>
          </w:p>
        </w:tc>
        <w:tc>
          <w:tcPr>
            <w:tcW w:w="1660" w:type="dxa"/>
            <w:vAlign w:val="bottom"/>
            <w:tcBorders>
              <w:bottom w:val="single" w:sz="8" w:color="58585A"/>
            </w:tcBorders>
            <w:shd w:val="clear" w:color="auto" w:fill="ECEDED"/>
          </w:tcPr>
          <w:p>
            <w:pPr>
              <w:ind w:left="1320"/>
              <w:spacing w:after="0" w:line="129"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shd w:val="clear" w:color="auto" w:fill="ECEDED"/>
          </w:tcPr>
          <w:p>
            <w:pPr>
              <w:jc w:val="right"/>
              <w:ind w:right="198"/>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58585A"/>
            </w:tcBorders>
            <w:shd w:val="clear" w:color="auto" w:fill="ECEDED"/>
          </w:tcPr>
          <w:p>
            <w:pPr>
              <w:jc w:val="right"/>
              <w:ind w:right="38"/>
              <w:spacing w:after="0" w:line="129" w:lineRule="exact"/>
              <w:rPr>
                <w:sz w:val="20"/>
                <w:szCs w:val="20"/>
                <w:color w:val="auto"/>
              </w:rPr>
            </w:pPr>
            <w:r>
              <w:rPr>
                <w:rFonts w:ascii="Arial" w:cs="Arial" w:eastAsia="Arial" w:hAnsi="Arial"/>
                <w:sz w:val="13"/>
                <w:szCs w:val="13"/>
                <w:color w:val="auto"/>
              </w:rPr>
              <w:t>719,999</w:t>
            </w:r>
          </w:p>
        </w:tc>
        <w:tc>
          <w:tcPr>
            <w:tcW w:w="0" w:type="dxa"/>
            <w:vAlign w:val="bottom"/>
          </w:tcPr>
          <w:p>
            <w:pPr>
              <w:spacing w:after="0"/>
              <w:rPr>
                <w:sz w:val="1"/>
                <w:szCs w:val="1"/>
                <w:color w:val="auto"/>
              </w:rPr>
            </w:pPr>
          </w:p>
        </w:tc>
      </w:tr>
      <w:tr>
        <w:trPr>
          <w:trHeight w:val="128"/>
        </w:trPr>
        <w:tc>
          <w:tcPr>
            <w:tcW w:w="2200" w:type="dxa"/>
            <w:vAlign w:val="bottom"/>
            <w:tcBorders>
              <w:bottom w:val="single" w:sz="8" w:color="58585A"/>
            </w:tcBorders>
          </w:tcPr>
          <w:p>
            <w:pPr>
              <w:spacing w:after="0" w:line="129" w:lineRule="exact"/>
              <w:rPr>
                <w:sz w:val="20"/>
                <w:szCs w:val="20"/>
                <w:color w:val="auto"/>
              </w:rPr>
            </w:pPr>
            <w:r>
              <w:rPr>
                <w:rFonts w:ascii="Arial" w:cs="Arial" w:eastAsia="Arial" w:hAnsi="Arial"/>
                <w:sz w:val="13"/>
                <w:szCs w:val="13"/>
                <w:b w:val="1"/>
                <w:bCs w:val="1"/>
                <w:color w:val="C44E5E"/>
              </w:rPr>
              <w:t>Marc Tessier-Lavigne, Ph.D.</w:t>
            </w:r>
          </w:p>
        </w:tc>
        <w:tc>
          <w:tcPr>
            <w:tcW w:w="1500" w:type="dxa"/>
            <w:vAlign w:val="bottom"/>
            <w:tcBorders>
              <w:bottom w:val="single" w:sz="8" w:color="58585A"/>
            </w:tcBorders>
          </w:tcPr>
          <w:p>
            <w:pPr>
              <w:jc w:val="right"/>
              <w:ind w:right="98"/>
              <w:spacing w:after="0" w:line="129" w:lineRule="exact"/>
              <w:rPr>
                <w:sz w:val="20"/>
                <w:szCs w:val="20"/>
                <w:color w:val="auto"/>
              </w:rPr>
            </w:pPr>
            <w:r>
              <w:rPr>
                <w:rFonts w:ascii="Arial" w:cs="Arial" w:eastAsia="Arial" w:hAnsi="Arial"/>
                <w:sz w:val="13"/>
                <w:szCs w:val="13"/>
                <w:color w:val="auto"/>
              </w:rPr>
              <w:t>100,000</w:t>
            </w:r>
          </w:p>
        </w:tc>
        <w:tc>
          <w:tcPr>
            <w:tcW w:w="1060" w:type="dxa"/>
            <w:vAlign w:val="bottom"/>
            <w:tcBorders>
              <w:bottom w:val="single" w:sz="8" w:color="58585A"/>
            </w:tcBorders>
          </w:tcPr>
          <w:p>
            <w:pPr>
              <w:jc w:val="right"/>
              <w:ind w:right="198"/>
              <w:spacing w:after="0" w:line="129" w:lineRule="exact"/>
              <w:rPr>
                <w:sz w:val="20"/>
                <w:szCs w:val="20"/>
                <w:color w:val="auto"/>
              </w:rPr>
            </w:pPr>
            <w:r>
              <w:rPr>
                <w:rFonts w:ascii="Arial" w:cs="Arial" w:eastAsia="Arial" w:hAnsi="Arial"/>
                <w:sz w:val="13"/>
                <w:szCs w:val="13"/>
                <w:color w:val="auto"/>
              </w:rPr>
              <w:t>119,718</w:t>
            </w:r>
          </w:p>
        </w:tc>
        <w:tc>
          <w:tcPr>
            <w:tcW w:w="840" w:type="dxa"/>
            <w:vAlign w:val="bottom"/>
            <w:tcBorders>
              <w:bottom w:val="single" w:sz="8" w:color="58585A"/>
            </w:tcBorders>
          </w:tcPr>
          <w:p>
            <w:pPr>
              <w:jc w:val="right"/>
              <w:ind w:right="78"/>
              <w:spacing w:after="0" w:line="129" w:lineRule="exact"/>
              <w:rPr>
                <w:sz w:val="20"/>
                <w:szCs w:val="20"/>
                <w:color w:val="auto"/>
              </w:rPr>
            </w:pPr>
            <w:r>
              <w:rPr>
                <w:rFonts w:ascii="Arial" w:cs="Arial" w:eastAsia="Arial" w:hAnsi="Arial"/>
                <w:sz w:val="13"/>
                <w:szCs w:val="13"/>
                <w:color w:val="auto"/>
              </w:rPr>
              <w:t>480,281</w:t>
            </w:r>
          </w:p>
        </w:tc>
        <w:tc>
          <w:tcPr>
            <w:tcW w:w="1040" w:type="dxa"/>
            <w:vAlign w:val="bottom"/>
            <w:tcBorders>
              <w:bottom w:val="single" w:sz="8" w:color="58585A"/>
            </w:tcBorders>
          </w:tcPr>
          <w:p>
            <w:pPr>
              <w:jc w:val="right"/>
              <w:ind w:right="139"/>
              <w:spacing w:after="0" w:line="129" w:lineRule="exact"/>
              <w:rPr>
                <w:sz w:val="20"/>
                <w:szCs w:val="20"/>
                <w:color w:val="auto"/>
              </w:rPr>
            </w:pPr>
            <w:r>
              <w:rPr>
                <w:rFonts w:ascii="Arial" w:cs="Arial" w:eastAsia="Arial" w:hAnsi="Arial"/>
                <w:sz w:val="13"/>
                <w:szCs w:val="13"/>
                <w:color w:val="auto"/>
              </w:rPr>
              <w:t>—</w:t>
            </w:r>
          </w:p>
        </w:tc>
        <w:tc>
          <w:tcPr>
            <w:tcW w:w="1660" w:type="dxa"/>
            <w:vAlign w:val="bottom"/>
            <w:tcBorders>
              <w:bottom w:val="single" w:sz="8" w:color="58585A"/>
            </w:tcBorders>
          </w:tcPr>
          <w:p>
            <w:pPr>
              <w:ind w:left="1320"/>
              <w:spacing w:after="0" w:line="129"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tcPr>
          <w:p>
            <w:pPr>
              <w:jc w:val="right"/>
              <w:ind w:right="198"/>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58585A"/>
            </w:tcBorders>
          </w:tcPr>
          <w:p>
            <w:pPr>
              <w:jc w:val="right"/>
              <w:ind w:right="38"/>
              <w:spacing w:after="0" w:line="129" w:lineRule="exact"/>
              <w:rPr>
                <w:sz w:val="20"/>
                <w:szCs w:val="20"/>
                <w:color w:val="auto"/>
              </w:rPr>
            </w:pPr>
            <w:r>
              <w:rPr>
                <w:rFonts w:ascii="Arial" w:cs="Arial" w:eastAsia="Arial" w:hAnsi="Arial"/>
                <w:sz w:val="13"/>
                <w:szCs w:val="13"/>
                <w:color w:val="auto"/>
              </w:rPr>
              <w:t>699,999</w:t>
            </w:r>
          </w:p>
        </w:tc>
        <w:tc>
          <w:tcPr>
            <w:tcW w:w="0" w:type="dxa"/>
            <w:vAlign w:val="bottom"/>
          </w:tcPr>
          <w:p>
            <w:pPr>
              <w:spacing w:after="0"/>
              <w:rPr>
                <w:sz w:val="1"/>
                <w:szCs w:val="1"/>
                <w:color w:val="auto"/>
              </w:rPr>
            </w:pPr>
          </w:p>
        </w:tc>
      </w:tr>
      <w:tr>
        <w:trPr>
          <w:trHeight w:val="128"/>
        </w:trPr>
        <w:tc>
          <w:tcPr>
            <w:tcW w:w="2200" w:type="dxa"/>
            <w:vAlign w:val="bottom"/>
            <w:tcBorders>
              <w:bottom w:val="single" w:sz="8" w:color="58585A"/>
            </w:tcBorders>
            <w:shd w:val="clear" w:color="auto" w:fill="ECEDED"/>
          </w:tcPr>
          <w:p>
            <w:pPr>
              <w:spacing w:after="0" w:line="129" w:lineRule="exact"/>
              <w:rPr>
                <w:sz w:val="20"/>
                <w:szCs w:val="20"/>
                <w:color w:val="auto"/>
              </w:rPr>
            </w:pPr>
            <w:r>
              <w:rPr>
                <w:rFonts w:ascii="Arial" w:cs="Arial" w:eastAsia="Arial" w:hAnsi="Arial"/>
                <w:sz w:val="13"/>
                <w:szCs w:val="13"/>
                <w:b w:val="1"/>
                <w:bCs w:val="1"/>
                <w:color w:val="C44E5E"/>
              </w:rPr>
              <w:t>P. Roy Vagelos, M.D.</w:t>
            </w:r>
          </w:p>
        </w:tc>
        <w:tc>
          <w:tcPr>
            <w:tcW w:w="1500" w:type="dxa"/>
            <w:vAlign w:val="bottom"/>
            <w:tcBorders>
              <w:bottom w:val="single" w:sz="8" w:color="58585A"/>
            </w:tcBorders>
            <w:shd w:val="clear" w:color="auto" w:fill="ECEDED"/>
          </w:tcPr>
          <w:p>
            <w:pPr>
              <w:jc w:val="right"/>
              <w:ind w:right="98"/>
              <w:spacing w:after="0" w:line="129"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58585A"/>
            </w:tcBorders>
            <w:shd w:val="clear" w:color="auto" w:fill="ECEDED"/>
          </w:tcPr>
          <w:p>
            <w:pPr>
              <w:jc w:val="right"/>
              <w:ind w:right="198"/>
              <w:spacing w:after="0" w:line="129" w:lineRule="exact"/>
              <w:rPr>
                <w:sz w:val="20"/>
                <w:szCs w:val="20"/>
                <w:color w:val="auto"/>
              </w:rPr>
            </w:pPr>
            <w:r>
              <w:rPr>
                <w:rFonts w:ascii="Arial" w:cs="Arial" w:eastAsia="Arial" w:hAnsi="Arial"/>
                <w:sz w:val="13"/>
                <w:szCs w:val="13"/>
                <w:color w:val="auto"/>
              </w:rPr>
              <w:t>1,199,988</w:t>
            </w:r>
          </w:p>
        </w:tc>
        <w:tc>
          <w:tcPr>
            <w:tcW w:w="840" w:type="dxa"/>
            <w:vAlign w:val="bottom"/>
            <w:tcBorders>
              <w:bottom w:val="single" w:sz="8" w:color="58585A"/>
            </w:tcBorders>
            <w:shd w:val="clear" w:color="auto" w:fill="ECEDED"/>
          </w:tcPr>
          <w:p>
            <w:pPr>
              <w:jc w:val="right"/>
              <w:ind w:right="78"/>
              <w:spacing w:after="0" w:line="129" w:lineRule="exact"/>
              <w:rPr>
                <w:sz w:val="20"/>
                <w:szCs w:val="20"/>
                <w:color w:val="auto"/>
              </w:rPr>
            </w:pPr>
            <w:r>
              <w:rPr>
                <w:rFonts w:ascii="Arial" w:cs="Arial" w:eastAsia="Arial" w:hAnsi="Arial"/>
                <w:sz w:val="13"/>
                <w:szCs w:val="13"/>
                <w:color w:val="auto"/>
              </w:rPr>
              <w:t>4,799,997</w:t>
            </w:r>
          </w:p>
        </w:tc>
        <w:tc>
          <w:tcPr>
            <w:tcW w:w="1040" w:type="dxa"/>
            <w:vAlign w:val="bottom"/>
            <w:tcBorders>
              <w:bottom w:val="single" w:sz="8" w:color="58585A"/>
            </w:tcBorders>
            <w:shd w:val="clear" w:color="auto" w:fill="ECEDED"/>
          </w:tcPr>
          <w:p>
            <w:pPr>
              <w:jc w:val="right"/>
              <w:ind w:right="139"/>
              <w:spacing w:after="0" w:line="129" w:lineRule="exact"/>
              <w:rPr>
                <w:sz w:val="20"/>
                <w:szCs w:val="20"/>
                <w:color w:val="auto"/>
              </w:rPr>
            </w:pPr>
            <w:r>
              <w:rPr>
                <w:rFonts w:ascii="Arial" w:cs="Arial" w:eastAsia="Arial" w:hAnsi="Arial"/>
                <w:sz w:val="13"/>
                <w:szCs w:val="13"/>
                <w:color w:val="auto"/>
              </w:rPr>
              <w:t>—</w:t>
            </w:r>
          </w:p>
        </w:tc>
        <w:tc>
          <w:tcPr>
            <w:tcW w:w="1660" w:type="dxa"/>
            <w:vAlign w:val="bottom"/>
            <w:tcBorders>
              <w:bottom w:val="single" w:sz="8" w:color="58585A"/>
            </w:tcBorders>
            <w:shd w:val="clear" w:color="auto" w:fill="ECEDED"/>
          </w:tcPr>
          <w:p>
            <w:pPr>
              <w:ind w:left="1320"/>
              <w:spacing w:after="0" w:line="129"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58585A"/>
            </w:tcBorders>
            <w:shd w:val="clear" w:color="auto" w:fill="ECEDED"/>
          </w:tcPr>
          <w:p>
            <w:pPr>
              <w:jc w:val="right"/>
              <w:ind w:right="198"/>
              <w:spacing w:after="0" w:line="129" w:lineRule="exact"/>
              <w:rPr>
                <w:sz w:val="20"/>
                <w:szCs w:val="20"/>
                <w:color w:val="auto"/>
              </w:rPr>
            </w:pPr>
            <w:r>
              <w:rPr>
                <w:rFonts w:ascii="Arial" w:cs="Arial" w:eastAsia="Arial" w:hAnsi="Arial"/>
                <w:sz w:val="13"/>
                <w:szCs w:val="13"/>
                <w:color w:val="auto"/>
              </w:rPr>
              <w:t>109,0395</w:t>
            </w:r>
          </w:p>
        </w:tc>
        <w:tc>
          <w:tcPr>
            <w:tcW w:w="780" w:type="dxa"/>
            <w:vAlign w:val="bottom"/>
            <w:tcBorders>
              <w:bottom w:val="single" w:sz="8" w:color="58585A"/>
            </w:tcBorders>
            <w:shd w:val="clear" w:color="auto" w:fill="ECEDED"/>
          </w:tcPr>
          <w:p>
            <w:pPr>
              <w:jc w:val="right"/>
              <w:ind w:right="38"/>
              <w:spacing w:after="0" w:line="129" w:lineRule="exact"/>
              <w:rPr>
                <w:sz w:val="20"/>
                <w:szCs w:val="20"/>
                <w:color w:val="auto"/>
              </w:rPr>
            </w:pPr>
            <w:r>
              <w:rPr>
                <w:rFonts w:ascii="Arial" w:cs="Arial" w:eastAsia="Arial" w:hAnsi="Arial"/>
                <w:sz w:val="13"/>
                <w:szCs w:val="13"/>
                <w:color w:val="auto"/>
              </w:rPr>
              <w:t>6,109,024</w:t>
            </w:r>
          </w:p>
        </w:tc>
        <w:tc>
          <w:tcPr>
            <w:tcW w:w="0" w:type="dxa"/>
            <w:vAlign w:val="bottom"/>
          </w:tcPr>
          <w:p>
            <w:pPr>
              <w:spacing w:after="0"/>
              <w:rPr>
                <w:sz w:val="1"/>
                <w:szCs w:val="1"/>
                <w:color w:val="auto"/>
              </w:rPr>
            </w:pPr>
          </w:p>
        </w:tc>
      </w:tr>
      <w:tr>
        <w:trPr>
          <w:trHeight w:val="129"/>
        </w:trPr>
        <w:tc>
          <w:tcPr>
            <w:tcW w:w="2200" w:type="dxa"/>
            <w:vAlign w:val="bottom"/>
            <w:tcBorders>
              <w:bottom w:val="single" w:sz="8" w:color="1F5AA8"/>
            </w:tcBorders>
          </w:tcPr>
          <w:p>
            <w:pPr>
              <w:spacing w:after="0" w:line="129" w:lineRule="exact"/>
              <w:rPr>
                <w:sz w:val="20"/>
                <w:szCs w:val="20"/>
                <w:color w:val="auto"/>
              </w:rPr>
            </w:pPr>
            <w:r>
              <w:rPr>
                <w:rFonts w:ascii="Arial" w:cs="Arial" w:eastAsia="Arial" w:hAnsi="Arial"/>
                <w:sz w:val="13"/>
                <w:szCs w:val="13"/>
                <w:b w:val="1"/>
                <w:bCs w:val="1"/>
                <w:color w:val="C44E5E"/>
              </w:rPr>
              <w:t>Huda Y. Zoghbi, M.D.</w:t>
            </w:r>
          </w:p>
        </w:tc>
        <w:tc>
          <w:tcPr>
            <w:tcW w:w="1500" w:type="dxa"/>
            <w:vAlign w:val="bottom"/>
            <w:tcBorders>
              <w:bottom w:val="single" w:sz="8" w:color="1F5AA8"/>
            </w:tcBorders>
          </w:tcPr>
          <w:p>
            <w:pPr>
              <w:jc w:val="right"/>
              <w:ind w:right="98"/>
              <w:spacing w:after="0" w:line="129" w:lineRule="exact"/>
              <w:rPr>
                <w:sz w:val="20"/>
                <w:szCs w:val="20"/>
                <w:color w:val="auto"/>
              </w:rPr>
            </w:pPr>
            <w:r>
              <w:rPr>
                <w:rFonts w:ascii="Arial" w:cs="Arial" w:eastAsia="Arial" w:hAnsi="Arial"/>
                <w:sz w:val="13"/>
                <w:szCs w:val="13"/>
                <w:color w:val="auto"/>
              </w:rPr>
              <w:t>110,000</w:t>
            </w:r>
          </w:p>
        </w:tc>
        <w:tc>
          <w:tcPr>
            <w:tcW w:w="1060" w:type="dxa"/>
            <w:vAlign w:val="bottom"/>
            <w:tcBorders>
              <w:bottom w:val="single" w:sz="8" w:color="1F5AA8"/>
            </w:tcBorders>
          </w:tcPr>
          <w:p>
            <w:pPr>
              <w:jc w:val="right"/>
              <w:ind w:right="198"/>
              <w:spacing w:after="0" w:line="129" w:lineRule="exact"/>
              <w:rPr>
                <w:sz w:val="20"/>
                <w:szCs w:val="20"/>
                <w:color w:val="auto"/>
              </w:rPr>
            </w:pPr>
            <w:r>
              <w:rPr>
                <w:rFonts w:ascii="Arial" w:cs="Arial" w:eastAsia="Arial" w:hAnsi="Arial"/>
                <w:sz w:val="13"/>
                <w:szCs w:val="13"/>
                <w:color w:val="auto"/>
              </w:rPr>
              <w:t>119,718</w:t>
            </w:r>
          </w:p>
        </w:tc>
        <w:tc>
          <w:tcPr>
            <w:tcW w:w="840" w:type="dxa"/>
            <w:vAlign w:val="bottom"/>
            <w:tcBorders>
              <w:bottom w:val="single" w:sz="8" w:color="1F5AA8"/>
            </w:tcBorders>
          </w:tcPr>
          <w:p>
            <w:pPr>
              <w:jc w:val="right"/>
              <w:ind w:right="78"/>
              <w:spacing w:after="0" w:line="129" w:lineRule="exact"/>
              <w:rPr>
                <w:sz w:val="20"/>
                <w:szCs w:val="20"/>
                <w:color w:val="auto"/>
              </w:rPr>
            </w:pPr>
            <w:r>
              <w:rPr>
                <w:rFonts w:ascii="Arial" w:cs="Arial" w:eastAsia="Arial" w:hAnsi="Arial"/>
                <w:sz w:val="13"/>
                <w:szCs w:val="13"/>
                <w:color w:val="auto"/>
              </w:rPr>
              <w:t>480,281</w:t>
            </w:r>
          </w:p>
        </w:tc>
        <w:tc>
          <w:tcPr>
            <w:tcW w:w="1040" w:type="dxa"/>
            <w:vAlign w:val="bottom"/>
            <w:tcBorders>
              <w:bottom w:val="single" w:sz="8" w:color="1F5AA8"/>
            </w:tcBorders>
          </w:tcPr>
          <w:p>
            <w:pPr>
              <w:jc w:val="right"/>
              <w:ind w:right="139"/>
              <w:spacing w:after="0" w:line="129" w:lineRule="exact"/>
              <w:rPr>
                <w:sz w:val="20"/>
                <w:szCs w:val="20"/>
                <w:color w:val="auto"/>
              </w:rPr>
            </w:pPr>
            <w:r>
              <w:rPr>
                <w:rFonts w:ascii="Arial" w:cs="Arial" w:eastAsia="Arial" w:hAnsi="Arial"/>
                <w:sz w:val="13"/>
                <w:szCs w:val="13"/>
                <w:color w:val="auto"/>
              </w:rPr>
              <w:t>—</w:t>
            </w:r>
          </w:p>
        </w:tc>
        <w:tc>
          <w:tcPr>
            <w:tcW w:w="1660" w:type="dxa"/>
            <w:vAlign w:val="bottom"/>
            <w:tcBorders>
              <w:bottom w:val="single" w:sz="8" w:color="1F5AA8"/>
            </w:tcBorders>
          </w:tcPr>
          <w:p>
            <w:pPr>
              <w:ind w:left="1320"/>
              <w:spacing w:after="0" w:line="129"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1F5AA8"/>
            </w:tcBorders>
          </w:tcPr>
          <w:p>
            <w:pPr>
              <w:jc w:val="right"/>
              <w:ind w:right="198"/>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1F5AA8"/>
            </w:tcBorders>
          </w:tcPr>
          <w:p>
            <w:pPr>
              <w:jc w:val="right"/>
              <w:ind w:right="38"/>
              <w:spacing w:after="0" w:line="129" w:lineRule="exact"/>
              <w:rPr>
                <w:sz w:val="20"/>
                <w:szCs w:val="20"/>
                <w:color w:val="auto"/>
              </w:rPr>
            </w:pPr>
            <w:r>
              <w:rPr>
                <w:rFonts w:ascii="Arial" w:cs="Arial" w:eastAsia="Arial" w:hAnsi="Arial"/>
                <w:sz w:val="13"/>
                <w:szCs w:val="13"/>
                <w:color w:val="auto"/>
              </w:rPr>
              <w:t>709,999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860" w:right="720" w:hanging="312"/>
        <w:spacing w:after="0" w:line="246" w:lineRule="auto"/>
        <w:tabs>
          <w:tab w:leader="none" w:pos="860" w:val="left"/>
        </w:tabs>
        <w:numPr>
          <w:ilvl w:val="0"/>
          <w:numId w:val="35"/>
        </w:numPr>
        <w:rPr>
          <w:rFonts w:ascii="Arial" w:cs="Arial" w:eastAsia="Arial" w:hAnsi="Arial"/>
          <w:sz w:val="14"/>
          <w:szCs w:val="14"/>
          <w:b w:val="1"/>
          <w:bCs w:val="1"/>
          <w:color w:val="205BA8"/>
        </w:rPr>
      </w:pPr>
      <w:r>
        <w:rPr>
          <w:rFonts w:ascii="Arial" w:cs="Arial" w:eastAsia="Arial" w:hAnsi="Arial"/>
          <w:sz w:val="14"/>
          <w:szCs w:val="14"/>
          <w:color w:val="auto"/>
        </w:rPr>
        <w:t>The amounts in columns C and D reflect the respective aggregate grant date fair values of RSUs and options awarded during the year ended December 31, 2020 pursuant to the Second Amended and Restated Regeneron Pharmaceuticals, Inc. 2014 Long-Term Incentive Plan or its predecessor (as applicable). Valuation assumptions and methodologies used in the calculation of these amounts do not take into account expected forfeitures and are otherwise described in Note 12 to the Company’s audited financial statements for the fiscal year ended December 31, 2020 included in the 2020 Annual Report.</w:t>
      </w:r>
    </w:p>
    <w:p>
      <w:pPr>
        <w:spacing w:after="0" w:line="204" w:lineRule="exact"/>
        <w:rPr>
          <w:sz w:val="20"/>
          <w:szCs w:val="20"/>
          <w:color w:val="auto"/>
        </w:rPr>
      </w:pPr>
    </w:p>
    <w:p>
      <w:pPr>
        <w:ind w:left="860" w:hanging="312"/>
        <w:spacing w:after="0"/>
        <w:tabs>
          <w:tab w:leader="none" w:pos="860" w:val="left"/>
        </w:tabs>
        <w:numPr>
          <w:ilvl w:val="0"/>
          <w:numId w:val="36"/>
        </w:numPr>
        <w:rPr>
          <w:rFonts w:ascii="Arial" w:cs="Arial" w:eastAsia="Arial" w:hAnsi="Arial"/>
          <w:sz w:val="14"/>
          <w:szCs w:val="14"/>
          <w:b w:val="1"/>
          <w:bCs w:val="1"/>
          <w:color w:val="205BA8"/>
        </w:rPr>
      </w:pPr>
      <w:r>
        <w:rPr>
          <w:rFonts w:ascii="Arial" w:cs="Arial" w:eastAsia="Arial" w:hAnsi="Arial"/>
          <w:sz w:val="14"/>
          <w:szCs w:val="14"/>
          <w:color w:val="auto"/>
        </w:rPr>
        <w:t>At December 31, 2020, the non-employee directors and Dr. Vagelos had the following aggregate number of stock option awards outstanding: Dr. Bassler:</w:t>
      </w:r>
    </w:p>
    <w:p>
      <w:pPr>
        <w:spacing w:after="0" w:line="1" w:lineRule="exact"/>
        <w:rPr>
          <w:rFonts w:ascii="Arial" w:cs="Arial" w:eastAsia="Arial" w:hAnsi="Arial"/>
          <w:sz w:val="14"/>
          <w:szCs w:val="14"/>
          <w:b w:val="1"/>
          <w:bCs w:val="1"/>
          <w:color w:val="205BA8"/>
        </w:rPr>
      </w:pPr>
    </w:p>
    <w:p>
      <w:pPr>
        <w:ind w:left="860"/>
        <w:spacing w:after="0"/>
        <w:rPr>
          <w:rFonts w:ascii="Arial" w:cs="Arial" w:eastAsia="Arial" w:hAnsi="Arial"/>
          <w:sz w:val="14"/>
          <w:szCs w:val="14"/>
          <w:b w:val="1"/>
          <w:bCs w:val="1"/>
          <w:color w:val="205BA8"/>
        </w:rPr>
      </w:pPr>
      <w:r>
        <w:rPr>
          <w:rFonts w:ascii="Arial" w:cs="Arial" w:eastAsia="Arial" w:hAnsi="Arial"/>
          <w:sz w:val="14"/>
          <w:szCs w:val="14"/>
          <w:color w:val="auto"/>
        </w:rPr>
        <w:t>28,257; Dr. Brown: 29,541; Dr. Coles: 28,093; Dr. Goldstein: 6,840; Ms. Poon: 85,744; Mr. Ryan: 6,840; Mr. Sing: 43,464; Dr. Tessier-Lavigne: 56,214; Dr.</w:t>
      </w:r>
    </w:p>
    <w:p>
      <w:pPr>
        <w:spacing w:after="0" w:line="1" w:lineRule="exact"/>
        <w:rPr>
          <w:rFonts w:ascii="Arial" w:cs="Arial" w:eastAsia="Arial" w:hAnsi="Arial"/>
          <w:sz w:val="14"/>
          <w:szCs w:val="14"/>
          <w:b w:val="1"/>
          <w:bCs w:val="1"/>
          <w:color w:val="205BA8"/>
        </w:rPr>
      </w:pPr>
    </w:p>
    <w:p>
      <w:pPr>
        <w:ind w:left="860"/>
        <w:spacing w:after="0"/>
        <w:rPr>
          <w:rFonts w:ascii="Arial" w:cs="Arial" w:eastAsia="Arial" w:hAnsi="Arial"/>
          <w:sz w:val="14"/>
          <w:szCs w:val="14"/>
          <w:b w:val="1"/>
          <w:bCs w:val="1"/>
          <w:color w:val="205BA8"/>
        </w:rPr>
      </w:pPr>
      <w:r>
        <w:rPr>
          <w:rFonts w:ascii="Arial" w:cs="Arial" w:eastAsia="Arial" w:hAnsi="Arial"/>
          <w:sz w:val="14"/>
          <w:szCs w:val="14"/>
          <w:color w:val="auto"/>
        </w:rPr>
        <w:t>Vagelos: 973,825; and Dr. Zoghbi: 23,139.</w:t>
      </w:r>
    </w:p>
    <w:p>
      <w:pPr>
        <w:spacing w:after="0" w:line="55" w:lineRule="exact"/>
        <w:rPr>
          <w:sz w:val="20"/>
          <w:szCs w:val="20"/>
          <w:color w:val="auto"/>
        </w:rPr>
      </w:pPr>
    </w:p>
    <w:p>
      <w:pPr>
        <w:ind w:left="860" w:right="1020" w:hanging="312"/>
        <w:spacing w:after="0" w:line="258" w:lineRule="auto"/>
        <w:tabs>
          <w:tab w:leader="none" w:pos="860" w:val="left"/>
        </w:tabs>
        <w:numPr>
          <w:ilvl w:val="0"/>
          <w:numId w:val="37"/>
        </w:numPr>
        <w:rPr>
          <w:rFonts w:ascii="Arial" w:cs="Arial" w:eastAsia="Arial" w:hAnsi="Arial"/>
          <w:sz w:val="14"/>
          <w:szCs w:val="14"/>
          <w:b w:val="1"/>
          <w:bCs w:val="1"/>
          <w:color w:val="205BA8"/>
        </w:rPr>
      </w:pPr>
      <w:r>
        <w:rPr>
          <w:rFonts w:ascii="Arial" w:cs="Arial" w:eastAsia="Arial" w:hAnsi="Arial"/>
          <w:sz w:val="14"/>
          <w:szCs w:val="14"/>
          <w:color w:val="auto"/>
        </w:rPr>
        <w:t>See the subsection "Compensation-Related Matters—Compensation Dashboard—Additional Compensation Information—Perquisites and Personal Benefits" for information regarding director air transportation in accordance with guidelines approved by our board of directors.</w:t>
      </w:r>
    </w:p>
    <w:p>
      <w:pPr>
        <w:spacing w:after="0" w:line="32" w:lineRule="exact"/>
        <w:rPr>
          <w:sz w:val="20"/>
          <w:szCs w:val="20"/>
          <w:color w:val="auto"/>
        </w:rPr>
      </w:pPr>
    </w:p>
    <w:p>
      <w:pPr>
        <w:ind w:left="860" w:right="680" w:hanging="312"/>
        <w:spacing w:after="0" w:line="258" w:lineRule="auto"/>
        <w:tabs>
          <w:tab w:leader="none" w:pos="860" w:val="left"/>
        </w:tabs>
        <w:numPr>
          <w:ilvl w:val="0"/>
          <w:numId w:val="38"/>
        </w:numPr>
        <w:rPr>
          <w:rFonts w:ascii="Arial" w:cs="Arial" w:eastAsia="Arial" w:hAnsi="Arial"/>
          <w:sz w:val="14"/>
          <w:szCs w:val="14"/>
          <w:b w:val="1"/>
          <w:bCs w:val="1"/>
          <w:color w:val="205BA8"/>
        </w:rPr>
      </w:pPr>
      <w:r>
        <w:rPr>
          <w:rFonts w:ascii="Arial" w:cs="Arial" w:eastAsia="Arial" w:hAnsi="Arial"/>
          <w:sz w:val="14"/>
          <w:szCs w:val="14"/>
          <w:color w:val="auto"/>
        </w:rPr>
        <w:t>Consists of a Company contribution paid or payable on or before April 13, 2021 under the Regeneron Matching Gift Program in respect of charitable gifts made in 2020.</w:t>
      </w:r>
    </w:p>
    <w:p>
      <w:pPr>
        <w:spacing w:after="0" w:line="32" w:lineRule="exact"/>
        <w:rPr>
          <w:sz w:val="20"/>
          <w:szCs w:val="20"/>
          <w:color w:val="auto"/>
        </w:rPr>
      </w:pPr>
    </w:p>
    <w:p>
      <w:pPr>
        <w:ind w:left="860" w:right="680" w:hanging="312"/>
        <w:spacing w:after="0" w:line="247" w:lineRule="auto"/>
        <w:tabs>
          <w:tab w:leader="none" w:pos="860" w:val="left"/>
        </w:tabs>
        <w:numPr>
          <w:ilvl w:val="0"/>
          <w:numId w:val="39"/>
        </w:numPr>
        <w:rPr>
          <w:rFonts w:ascii="Arial" w:cs="Arial" w:eastAsia="Arial" w:hAnsi="Arial"/>
          <w:sz w:val="14"/>
          <w:szCs w:val="14"/>
          <w:b w:val="1"/>
          <w:bCs w:val="1"/>
          <w:color w:val="205BA8"/>
        </w:rPr>
      </w:pPr>
      <w:r>
        <w:rPr>
          <w:rFonts w:ascii="Arial" w:cs="Arial" w:eastAsia="Arial" w:hAnsi="Arial"/>
          <w:sz w:val="14"/>
          <w:szCs w:val="14"/>
          <w:color w:val="auto"/>
        </w:rPr>
        <w:t>Consists of (i) $103,846 for the salary paid pursuant to the terms of our employment agreement with Dr. Vagelos and (ii) $5,193 for 401(k) Savings Plan matching contributions in respect of 2020. The reported salary gives effect to a 27th pay period in 2020 as a result of the Company’s payroll schedule, which was accelerated to avoid a delayed funds disbursement. This resulted in Dr. Vagelos receiving one additional paycheck in 2020 based on his base salary of $100,000 then in effect.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31</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88722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20"/>
        <w:spacing w:after="0"/>
        <w:rPr>
          <w:sz w:val="20"/>
          <w:szCs w:val="20"/>
          <w:color w:val="auto"/>
        </w:rPr>
      </w:pPr>
      <w:r>
        <w:rPr>
          <w:rFonts w:ascii="Arial" w:cs="Arial" w:eastAsia="Arial" w:hAnsi="Arial"/>
          <w:sz w:val="68"/>
          <w:szCs w:val="68"/>
          <w:b w:val="1"/>
          <w:bCs w:val="1"/>
          <w:color w:val="C44E5E"/>
        </w:rPr>
        <w:t>PROPOSAL 1</w:t>
      </w:r>
    </w:p>
    <w:p>
      <w:pPr>
        <w:spacing w:after="0" w:line="99" w:lineRule="exact"/>
        <w:rPr>
          <w:sz w:val="20"/>
          <w:szCs w:val="20"/>
          <w:color w:val="auto"/>
        </w:rPr>
      </w:pPr>
    </w:p>
    <w:p>
      <w:pPr>
        <w:ind w:left="2020" w:right="2200"/>
        <w:spacing w:after="0" w:line="253" w:lineRule="auto"/>
        <w:rPr>
          <w:sz w:val="20"/>
          <w:szCs w:val="20"/>
          <w:color w:val="auto"/>
        </w:rPr>
      </w:pPr>
      <w:r>
        <w:rPr>
          <w:rFonts w:ascii="Arial" w:cs="Arial" w:eastAsia="Arial" w:hAnsi="Arial"/>
          <w:sz w:val="104"/>
          <w:szCs w:val="104"/>
          <w:b w:val="1"/>
          <w:bCs w:val="1"/>
          <w:color w:val="205BA8"/>
        </w:rPr>
        <w:t>ELECTION OF DIRECTORS</w:t>
      </w:r>
    </w:p>
    <w:p>
      <w:pPr>
        <w:spacing w:after="0" w:line="69" w:lineRule="exact"/>
        <w:rPr>
          <w:sz w:val="20"/>
          <w:szCs w:val="20"/>
          <w:color w:val="auto"/>
        </w:rPr>
      </w:pPr>
    </w:p>
    <w:p>
      <w:pPr>
        <w:ind w:left="2020" w:right="1960"/>
        <w:spacing w:after="0" w:line="238" w:lineRule="auto"/>
        <w:rPr>
          <w:sz w:val="20"/>
          <w:szCs w:val="20"/>
          <w:color w:val="auto"/>
        </w:rPr>
      </w:pPr>
      <w:r>
        <w:rPr>
          <w:rFonts w:ascii="Arial" w:cs="Arial" w:eastAsia="Arial" w:hAnsi="Arial"/>
          <w:sz w:val="18"/>
          <w:szCs w:val="18"/>
          <w:color w:val="205BA8"/>
        </w:rPr>
        <w:t>The board of directors, upon the recommendation of the Corporate Governance and Compliance Committee, has nominated for election at the 2021 Annual Meeting N. Anthony Coles, M.D., Arthur F. Ryan, George L. Sing, and Marc Tessier-Lavigne, Ph.D. as Class III Directors for a three-year term expiring at the 2024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20" w:right="1920"/>
        <w:spacing w:after="0" w:line="298" w:lineRule="auto"/>
        <w:rPr>
          <w:sz w:val="20"/>
          <w:szCs w:val="20"/>
          <w:color w:val="auto"/>
        </w:rPr>
      </w:pPr>
      <w:r>
        <w:rPr>
          <w:rFonts w:ascii="Arial" w:cs="Arial" w:eastAsia="Arial" w:hAnsi="Arial"/>
          <w:sz w:val="22"/>
          <w:szCs w:val="22"/>
          <w:color w:val="auto"/>
        </w:rPr>
        <w:t xml:space="preserve">The board of directors unanimously recommends a vote </w:t>
      </w:r>
      <w:r>
        <w:rPr>
          <w:rFonts w:ascii="Arial" w:cs="Arial" w:eastAsia="Arial" w:hAnsi="Arial"/>
          <w:sz w:val="22"/>
          <w:szCs w:val="22"/>
          <w:b w:val="1"/>
          <w:bCs w:val="1"/>
          <w:color w:val="auto"/>
        </w:rPr>
        <w:t>FOR</w:t>
      </w:r>
      <w:r>
        <w:rPr>
          <w:rFonts w:ascii="Arial" w:cs="Arial" w:eastAsia="Arial" w:hAnsi="Arial"/>
          <w:sz w:val="22"/>
          <w:szCs w:val="22"/>
          <w:color w:val="auto"/>
        </w:rPr>
        <w:t xml:space="preserve"> the election of each of these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32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1912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191260"/>
                    </a:xfrm>
                    <a:prstGeom prst="rect">
                      <a:avLst/>
                    </a:prstGeom>
                    <a:noFill/>
                  </pic:spPr>
                </pic:pic>
              </a:graphicData>
            </a:graphic>
          </wp:anchor>
        </w:drawing>
        <w:drawing>
          <wp:inline distT="0" distB="0" distL="0" distR="0">
            <wp:extent cx="342900" cy="11912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0" cy="1191260"/>
                    </a:xfrm>
                    <a:prstGeom prst="rect">
                      <a:avLst/>
                    </a:prstGeom>
                    <a:noFill/>
                    <a:ln>
                      <a:noFill/>
                    </a:ln>
                  </pic:spPr>
                </pic:pic>
              </a:graphicData>
            </a:graphic>
          </wp:inline>
        </w:drawing>
      </w:r>
      <w:r>
        <w:rPr>
          <w:rFonts w:ascii="Arial" w:cs="Arial" w:eastAsia="Arial" w:hAnsi="Arial"/>
          <w:sz w:val="68"/>
          <w:szCs w:val="68"/>
          <w:b w:val="1"/>
          <w:bCs w:val="1"/>
          <w:color w:val="FFFFFF"/>
        </w:rPr>
        <w:t>THE COMPANY</w:t>
      </w:r>
    </w:p>
    <w:p>
      <w:pPr>
        <w:spacing w:after="0" w:line="345" w:lineRule="exact"/>
        <w:rPr>
          <w:sz w:val="20"/>
          <w:szCs w:val="20"/>
          <w:color w:val="auto"/>
        </w:rPr>
      </w:pPr>
    </w:p>
    <w:p>
      <w:pPr>
        <w:ind w:left="540" w:right="1820"/>
        <w:spacing w:after="0" w:line="278" w:lineRule="auto"/>
        <w:rPr>
          <w:sz w:val="20"/>
          <w:szCs w:val="20"/>
          <w:color w:val="auto"/>
        </w:rPr>
      </w:pPr>
      <w:r>
        <w:rPr>
          <w:rFonts w:ascii="Arial" w:cs="Arial" w:eastAsia="Arial" w:hAnsi="Arial"/>
          <w:sz w:val="59"/>
          <w:szCs w:val="59"/>
          <w:b w:val="1"/>
          <w:bCs w:val="1"/>
          <w:color w:val="205BA8"/>
        </w:rPr>
        <w:t>EXECUTIVE OFFICERS OF THE COMPANY</w:t>
      </w:r>
    </w:p>
    <w:p>
      <w:pPr>
        <w:spacing w:after="0" w:line="10" w:lineRule="exact"/>
        <w:rPr>
          <w:sz w:val="20"/>
          <w:szCs w:val="20"/>
          <w:color w:val="auto"/>
        </w:rPr>
      </w:pPr>
    </w:p>
    <w:p>
      <w:pPr>
        <w:ind w:left="540" w:right="540"/>
        <w:spacing w:after="0" w:line="233" w:lineRule="auto"/>
        <w:rPr>
          <w:sz w:val="20"/>
          <w:szCs w:val="20"/>
          <w:color w:val="auto"/>
        </w:rPr>
      </w:pPr>
      <w:r>
        <w:rPr>
          <w:rFonts w:ascii="Arial" w:cs="Arial" w:eastAsia="Arial" w:hAnsi="Arial"/>
          <w:sz w:val="15"/>
          <w:szCs w:val="15"/>
          <w:color w:val="auto"/>
        </w:rPr>
        <w:t>All officers of the Company are appointed annually and serve at the pleasure of the board of directors. The names, positions, ages, and background of the Company’s executive officers as of April 13, 2021 are set forth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91440</wp:posOffset>
            </wp:positionV>
            <wp:extent cx="64465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0" w:lineRule="exact"/>
        <w:rPr>
          <w:sz w:val="20"/>
          <w:szCs w:val="20"/>
          <w:color w:val="auto"/>
        </w:rPr>
      </w:pPr>
    </w:p>
    <w:p>
      <w:pPr>
        <w:ind w:left="2240" w:right="740"/>
        <w:spacing w:after="0" w:line="236" w:lineRule="auto"/>
        <w:rPr>
          <w:sz w:val="20"/>
          <w:szCs w:val="20"/>
          <w:color w:val="auto"/>
        </w:rPr>
      </w:pPr>
      <w:r>
        <w:rPr>
          <w:rFonts w:ascii="Arial" w:cs="Arial" w:eastAsia="Arial" w:hAnsi="Arial"/>
          <w:sz w:val="15"/>
          <w:szCs w:val="15"/>
          <w:b w:val="1"/>
          <w:bCs w:val="1"/>
          <w:color w:val="C44E5E"/>
        </w:rPr>
        <w:t xml:space="preserve">Leonard S. Schleifer, M.D., Ph.D., </w:t>
      </w:r>
      <w:r>
        <w:rPr>
          <w:rFonts w:ascii="Arial" w:cs="Arial" w:eastAsia="Arial" w:hAnsi="Arial"/>
          <w:sz w:val="15"/>
          <w:szCs w:val="15"/>
          <w:color w:val="000000"/>
        </w:rPr>
        <w:t>68, founded the Company in 1988, has been a director and its President and Chief</w:t>
      </w:r>
      <w:r>
        <w:rPr>
          <w:rFonts w:ascii="Arial" w:cs="Arial" w:eastAsia="Arial" w:hAnsi="Arial"/>
          <w:sz w:val="15"/>
          <w:szCs w:val="15"/>
          <w:b w:val="1"/>
          <w:bCs w:val="1"/>
          <w:color w:val="C44E5E"/>
        </w:rPr>
        <w:t xml:space="preserve"> </w:t>
      </w:r>
      <w:r>
        <w:rPr>
          <w:rFonts w:ascii="Arial" w:cs="Arial" w:eastAsia="Arial" w:hAnsi="Arial"/>
          <w:sz w:val="15"/>
          <w:szCs w:val="15"/>
          <w:color w:val="000000"/>
        </w:rPr>
        <w:t>Executive Officer since its inception, and served as Chairman of the Board from 1990 through 1994. Dr. Schleifer, together with Regeneron’s founding scientist, Dr. Yancopoulos, built and has managed the Company over the past 33 years. Dr. Schleifer received his M.D. and Ph.D. in Pharmacology from the University of Virginia. Dr. Schleifer is a licensed physician and is certified in Neurology by the American Board of Psychiatry and Neurology.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-524510</wp:posOffset>
            </wp:positionV>
            <wp:extent cx="6446520" cy="9690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4652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40" w:right="740"/>
        <w:spacing w:after="0" w:line="231" w:lineRule="auto"/>
        <w:rPr>
          <w:sz w:val="20"/>
          <w:szCs w:val="20"/>
          <w:color w:val="auto"/>
        </w:rPr>
      </w:pPr>
      <w:r>
        <w:rPr>
          <w:rFonts w:ascii="Arial" w:cs="Arial" w:eastAsia="Arial" w:hAnsi="Arial"/>
          <w:sz w:val="15"/>
          <w:szCs w:val="15"/>
          <w:b w:val="1"/>
          <w:bCs w:val="1"/>
          <w:color w:val="C44E5E"/>
        </w:rPr>
        <w:t xml:space="preserve">George D. Yancopoulos, M.D., Ph.D., </w:t>
      </w:r>
      <w:r>
        <w:rPr>
          <w:rFonts w:ascii="Arial" w:cs="Arial" w:eastAsia="Arial" w:hAnsi="Arial"/>
          <w:sz w:val="15"/>
          <w:szCs w:val="15"/>
          <w:color w:val="000000"/>
        </w:rPr>
        <w:t>61, joined Dr. Schleifer in 1989 as founding scientist of the Company, and together</w:t>
      </w:r>
      <w:r>
        <w:rPr>
          <w:rFonts w:ascii="Arial" w:cs="Arial" w:eastAsia="Arial" w:hAnsi="Arial"/>
          <w:sz w:val="15"/>
          <w:szCs w:val="15"/>
          <w:b w:val="1"/>
          <w:bCs w:val="1"/>
          <w:color w:val="C44E5E"/>
        </w:rPr>
        <w:t xml:space="preserve"> </w:t>
      </w:r>
      <w:r>
        <w:rPr>
          <w:rFonts w:ascii="Arial" w:cs="Arial" w:eastAsia="Arial" w:hAnsi="Arial"/>
          <w:sz w:val="15"/>
          <w:szCs w:val="15"/>
          <w:color w:val="000000"/>
        </w:rPr>
        <w:t>they built and have managed the Company since then. Dr. Yancopoulos is currently President and Chief Scientific Officer, and has served on the board since 2001. 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and/or developer of the nine FDA-approved drugs the Company has developed, EYLEA, Praluent, Dupixent, Kevzara, Libtayo, Evkeeza,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-618490</wp:posOffset>
            </wp:positionV>
            <wp:extent cx="891540" cy="8915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ind w:left="2240" w:right="540"/>
        <w:spacing w:after="0" w:line="220" w:lineRule="auto"/>
        <w:rPr>
          <w:sz w:val="20"/>
          <w:szCs w:val="20"/>
          <w:color w:val="auto"/>
        </w:rPr>
      </w:pPr>
      <w:r>
        <w:rPr>
          <w:rFonts w:ascii="Arial" w:cs="Arial" w:eastAsia="Arial" w:hAnsi="Arial"/>
          <w:sz w:val="15"/>
          <w:szCs w:val="15"/>
          <w:color w:val="auto"/>
        </w:rPr>
        <w:t xml:space="preserve">Inmazeb, ZALTRAP, and ARCALYST, as well as of its foundation technologies, including the TRAP technology, </w:t>
      </w:r>
      <w:r>
        <w:rPr>
          <w:rFonts w:ascii="Arial" w:cs="Arial" w:eastAsia="Arial" w:hAnsi="Arial"/>
          <w:sz w:val="15"/>
          <w:szCs w:val="15"/>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5"/>
          <w:szCs w:val="15"/>
          <w:color w:val="auto"/>
        </w:rPr>
        <w:t xml:space="preserve">, and </w:t>
      </w:r>
      <w:r>
        <w:rPr>
          <w:rFonts w:ascii="Arial" w:cs="Arial" w:eastAsia="Arial" w:hAnsi="Arial"/>
          <w:sz w:val="15"/>
          <w:szCs w:val="15"/>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-3810</wp:posOffset>
            </wp:positionV>
            <wp:extent cx="64465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60" w:lineRule="exact"/>
        <w:rPr>
          <w:sz w:val="20"/>
          <w:szCs w:val="20"/>
          <w:color w:val="auto"/>
        </w:rPr>
      </w:pPr>
    </w:p>
    <w:p>
      <w:pPr>
        <w:ind w:left="2240" w:right="600"/>
        <w:spacing w:after="0" w:line="232" w:lineRule="auto"/>
        <w:rPr>
          <w:sz w:val="20"/>
          <w:szCs w:val="20"/>
          <w:color w:val="auto"/>
        </w:rPr>
      </w:pPr>
      <w:r>
        <w:rPr>
          <w:rFonts w:ascii="Arial" w:cs="Arial" w:eastAsia="Arial" w:hAnsi="Arial"/>
          <w:sz w:val="15"/>
          <w:szCs w:val="15"/>
          <w:b w:val="1"/>
          <w:bCs w:val="1"/>
          <w:color w:val="C44E5E"/>
        </w:rPr>
        <w:t xml:space="preserve">Christopher Fenimore, </w:t>
      </w:r>
      <w:r>
        <w:rPr>
          <w:rFonts w:ascii="Arial" w:cs="Arial" w:eastAsia="Arial" w:hAnsi="Arial"/>
          <w:sz w:val="15"/>
          <w:szCs w:val="15"/>
          <w:color w:val="000000"/>
        </w:rPr>
        <w:t>50, has been Senior Vice President, Controller since January 2021. He previously served as Vice</w:t>
      </w:r>
      <w:r>
        <w:rPr>
          <w:rFonts w:ascii="Arial" w:cs="Arial" w:eastAsia="Arial" w:hAnsi="Arial"/>
          <w:sz w:val="15"/>
          <w:szCs w:val="15"/>
          <w:b w:val="1"/>
          <w:bCs w:val="1"/>
          <w:color w:val="C44E5E"/>
        </w:rPr>
        <w:t xml:space="preserve"> </w:t>
      </w:r>
      <w:r>
        <w:rPr>
          <w:rFonts w:ascii="Arial" w:cs="Arial" w:eastAsia="Arial" w:hAnsi="Arial"/>
          <w:sz w:val="15"/>
          <w:szCs w:val="15"/>
          <w:color w:val="000000"/>
        </w:rPr>
        <w:t>President, Controller from March 2017 to December 2020, as Vice President, Deputy Controller from January 2017 to March 2017, and as Vice President, Financial Planning from January 2012 to December 2016. Prior to joining the Company in 2003, he was Vice President, Finance at Mojave Therapeutics, Inc. Mr. Fenimore’s prior experience includes working as a supervising senior accountant at KPMG, as well as healthcare industry-focused venture capital and investment banking roles. Mr. Fenimore holds an M.A. in Biotechnology from Columbia University, an M.B.A. in Professional Accounting from Rutgers Business School, and a B.A. in Economics from Rutgers University. Mr. Fenimore is a Certified Public Accountant in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-832485</wp:posOffset>
            </wp:positionV>
            <wp:extent cx="6446520" cy="9601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46520" cy="960120"/>
                    </a:xfrm>
                    <a:prstGeom prst="rect">
                      <a:avLst/>
                    </a:prstGeom>
                    <a:noFill/>
                  </pic:spPr>
                </pic:pic>
              </a:graphicData>
            </a:graphic>
          </wp:anchor>
        </w:drawing>
      </w:r>
    </w:p>
    <w:p>
      <w:pPr>
        <w:spacing w:after="0" w:line="253" w:lineRule="exact"/>
        <w:rPr>
          <w:sz w:val="20"/>
          <w:szCs w:val="20"/>
          <w:color w:val="auto"/>
        </w:rPr>
      </w:pPr>
    </w:p>
    <w:p>
      <w:pPr>
        <w:ind w:left="2240" w:right="620"/>
        <w:spacing w:after="0" w:line="232" w:lineRule="auto"/>
        <w:rPr>
          <w:sz w:val="20"/>
          <w:szCs w:val="20"/>
          <w:color w:val="auto"/>
        </w:rPr>
      </w:pPr>
      <w:r>
        <w:rPr>
          <w:rFonts w:ascii="Arial" w:cs="Arial" w:eastAsia="Arial" w:hAnsi="Arial"/>
          <w:sz w:val="15"/>
          <w:szCs w:val="15"/>
          <w:b w:val="1"/>
          <w:bCs w:val="1"/>
          <w:color w:val="C44E5E"/>
        </w:rPr>
        <w:t xml:space="preserve">Robert E. Landry, </w:t>
      </w:r>
      <w:r>
        <w:rPr>
          <w:rFonts w:ascii="Arial" w:cs="Arial" w:eastAsia="Arial" w:hAnsi="Arial"/>
          <w:sz w:val="15"/>
          <w:szCs w:val="15"/>
          <w:color w:val="000000"/>
        </w:rPr>
        <w:t>57, has been Executive Vice President, Finance since January 2019 and Chief Financial Officer since</w:t>
      </w:r>
      <w:r>
        <w:rPr>
          <w:rFonts w:ascii="Arial" w:cs="Arial" w:eastAsia="Arial" w:hAnsi="Arial"/>
          <w:sz w:val="15"/>
          <w:szCs w:val="15"/>
          <w:b w:val="1"/>
          <w:bCs w:val="1"/>
          <w:color w:val="C44E5E"/>
        </w:rPr>
        <w:t xml:space="preserve"> </w:t>
      </w:r>
      <w:r>
        <w:rPr>
          <w:rFonts w:ascii="Arial" w:cs="Arial" w:eastAsia="Arial" w:hAnsi="Arial"/>
          <w:sz w:val="15"/>
          <w:szCs w:val="15"/>
          <w:color w:val="000000"/>
        </w:rPr>
        <w:t>October 2013. From September 2013 to December 2018, he served as Senior Vice President, Finance. Previously, Mr. Landry served as Senior Vice President, Treasurer, at Pfizer Inc. from October 2012 to August 2013 and Senior Vice President – Finance, Pfizer’s Diversified Business, from October 2009 to October 2012. Prior to those roles, Mr. Landry held a number of positions at Wyeth, which was acquired by Pfizer Inc. in October 2009, including Treasurer and Principal Corporate Officer from 2007 to 2009, Director of Pharmaceutical Marketing and Sales of Wyeth’s Australian affiliate from 2006 to 2007, and Chief Financial Officer of Wyeth’s Australian and New Zealand affiliates from 2004 to 2006. Mr. Landry holds a B.B.A. in Accounting from the University of Notre Dame.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-832485</wp:posOffset>
            </wp:positionV>
            <wp:extent cx="6446520" cy="9601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46520" cy="9601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33</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279" w:right="339" w:bottom="1440" w:gutter="0" w:footer="0" w:header="0"/>
        </w:sectPr>
      </w:pPr>
    </w:p>
    <w:bookmarkStart w:id="44" w:name="page45"/>
    <w:bookmarkEnd w:id="44"/>
    <w:p>
      <w:pPr>
        <w:ind w:left="540"/>
        <w:spacing w:after="0"/>
        <w:rPr>
          <w:sz w:val="20"/>
          <w:szCs w:val="20"/>
          <w:color w:val="auto"/>
        </w:rPr>
      </w:pPr>
      <w:r>
        <w:rPr>
          <w:rFonts w:ascii="Arial" w:cs="Arial" w:eastAsia="Arial" w:hAnsi="Arial"/>
          <w:sz w:val="16"/>
          <w:szCs w:val="16"/>
          <w:b w:val="1"/>
          <w:bCs w:val="1"/>
          <w:color w:val="205BA8"/>
        </w:rPr>
        <w:t xml:space="preserve">THE COMPANY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C44E5E"/>
        </w:rPr>
        <w:t>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288925</wp:posOffset>
            </wp:positionV>
            <wp:extent cx="64465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240" w:right="580"/>
        <w:spacing w:after="0" w:line="234" w:lineRule="auto"/>
        <w:rPr>
          <w:sz w:val="20"/>
          <w:szCs w:val="20"/>
          <w:color w:val="auto"/>
        </w:rPr>
      </w:pPr>
      <w:r>
        <w:rPr>
          <w:rFonts w:ascii="Arial" w:cs="Arial" w:eastAsia="Arial" w:hAnsi="Arial"/>
          <w:sz w:val="15"/>
          <w:szCs w:val="15"/>
          <w:b w:val="1"/>
          <w:bCs w:val="1"/>
          <w:color w:val="C44E5E"/>
        </w:rPr>
        <w:t xml:space="preserve">Joseph J. LaRosa, </w:t>
      </w:r>
      <w:r>
        <w:rPr>
          <w:rFonts w:ascii="Arial" w:cs="Arial" w:eastAsia="Arial" w:hAnsi="Arial"/>
          <w:sz w:val="15"/>
          <w:szCs w:val="15"/>
          <w:color w:val="000000"/>
        </w:rPr>
        <w:t>62, has been Executive Vice President, General Counsel and Secretary since January 2019. From</w:t>
      </w:r>
      <w:r>
        <w:rPr>
          <w:rFonts w:ascii="Arial" w:cs="Arial" w:eastAsia="Arial" w:hAnsi="Arial"/>
          <w:sz w:val="15"/>
          <w:szCs w:val="15"/>
          <w:b w:val="1"/>
          <w:bCs w:val="1"/>
          <w:color w:val="C44E5E"/>
        </w:rPr>
        <w:t xml:space="preserve"> </w:t>
      </w:r>
      <w:r>
        <w:rPr>
          <w:rFonts w:ascii="Arial" w:cs="Arial" w:eastAsia="Arial" w:hAnsi="Arial"/>
          <w:sz w:val="15"/>
          <w:szCs w:val="15"/>
          <w:color w:val="000000"/>
        </w:rPr>
        <w:t>September 2011 to December 2018, he served as Senior Vice President, General Counsel and Secretary. Before joining Regeneron, Mr. LaRosa was Senior Vice President, General Counsel, and Secretary at Nycomed US Inc. Mr. LaRosa’s prior experience includes working in a number of senior legal positions at Schering-Plough Corporation from 1993 to 2009, where he was a corporate officer and served most recently as Vice President, Legal Affairs, and a member of the Operations Management Team. Mr. LaRosa received his J.D. from New York University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-626745</wp:posOffset>
            </wp:positionV>
            <wp:extent cx="6446520" cy="9601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46520" cy="96012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both"/>
        <w:ind w:left="2240" w:right="540"/>
        <w:spacing w:after="0" w:line="233" w:lineRule="auto"/>
        <w:rPr>
          <w:sz w:val="20"/>
          <w:szCs w:val="20"/>
          <w:color w:val="auto"/>
        </w:rPr>
      </w:pPr>
      <w:r>
        <w:rPr>
          <w:rFonts w:ascii="Arial" w:cs="Arial" w:eastAsia="Arial" w:hAnsi="Arial"/>
          <w:sz w:val="15"/>
          <w:szCs w:val="15"/>
          <w:b w:val="1"/>
          <w:bCs w:val="1"/>
          <w:color w:val="C44E5E"/>
        </w:rPr>
        <w:t xml:space="preserve">Marion McCourt, </w:t>
      </w:r>
      <w:r>
        <w:rPr>
          <w:rFonts w:ascii="Arial" w:cs="Arial" w:eastAsia="Arial" w:hAnsi="Arial"/>
          <w:sz w:val="15"/>
          <w:szCs w:val="15"/>
          <w:color w:val="000000"/>
        </w:rPr>
        <w:t>61, has been Executive Vice President, Commercial since January 2021. She previously served as Senior</w:t>
      </w:r>
      <w:r>
        <w:rPr>
          <w:rFonts w:ascii="Arial" w:cs="Arial" w:eastAsia="Arial" w:hAnsi="Arial"/>
          <w:sz w:val="15"/>
          <w:szCs w:val="15"/>
          <w:b w:val="1"/>
          <w:bCs w:val="1"/>
          <w:color w:val="C44E5E"/>
        </w:rPr>
        <w:t xml:space="preserve"> </w:t>
      </w:r>
      <w:r>
        <w:rPr>
          <w:rFonts w:ascii="Arial" w:cs="Arial" w:eastAsia="Arial" w:hAnsi="Arial"/>
          <w:sz w:val="15"/>
          <w:szCs w:val="15"/>
          <w:color w:val="000000"/>
        </w:rPr>
        <w:t>Vice President, Commercial from February 2018 to December 2020. From April 2017 until joining the Company, Ms. McCourt served as the Principal Operating Officer and the Chief Operating Officer and President of Axovant Sciences, Inc. 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-304800</wp:posOffset>
            </wp:positionV>
            <wp:extent cx="891540" cy="8915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ind w:left="2240" w:right="560"/>
        <w:spacing w:after="0" w:line="228" w:lineRule="auto"/>
        <w:rPr>
          <w:sz w:val="20"/>
          <w:szCs w:val="20"/>
          <w:color w:val="auto"/>
        </w:rPr>
      </w:pPr>
      <w:r>
        <w:rPr>
          <w:rFonts w:ascii="Arial" w:cs="Arial" w:eastAsia="Arial" w:hAnsi="Arial"/>
          <w:sz w:val="15"/>
          <w:szCs w:val="15"/>
          <w:color w:val="auto"/>
        </w:rPr>
        <w:t>McCourt previously served as chief operating officer of Medivation, Inc. from February 2016 until its acquisition by Pfizer Inc. in September 2016. Previously, Ms. McCourt worked at Amgen Inc., where she most recently served as a Vice President in U.S. Commercial Operations from February 2014 to January 2016. From May 2013 to January 2014, Ms. McCourt served as Vice President and General Manager at Amgen where she was responsible for the bone health and primary care business unit. From 2012 to 2013, she was Chief Operating Officer for AstraZeneca U.S., a division of AstraZeneca plc. Her responsibilities included oversight and leadership of all U.S. commercial functions, including medical affairs, business development, finance, human resources, legal, operations, and corporate affairs. During her 12-year tenure at AstraZeneca, Ms. McCourt was President and Chief Executive Officer of AstraZeneca Canada Inc. from 2011 to 2012 and also held various other roles at AstraZeneca Pharmaceuticals LP, a subsidiary of AstraZeneca plc. Ms. McCourt received her B.S. in Biology from Lafayette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50165</wp:posOffset>
            </wp:positionV>
            <wp:extent cx="64465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146" w:lineRule="exact"/>
        <w:rPr>
          <w:sz w:val="20"/>
          <w:szCs w:val="20"/>
          <w:color w:val="auto"/>
        </w:rPr>
      </w:pPr>
    </w:p>
    <w:p>
      <w:pPr>
        <w:jc w:val="both"/>
        <w:ind w:left="2240" w:right="640"/>
        <w:spacing w:after="0" w:line="235" w:lineRule="auto"/>
        <w:rPr>
          <w:sz w:val="20"/>
          <w:szCs w:val="20"/>
          <w:color w:val="auto"/>
        </w:rPr>
      </w:pPr>
      <w:r>
        <w:rPr>
          <w:rFonts w:ascii="Arial" w:cs="Arial" w:eastAsia="Arial" w:hAnsi="Arial"/>
          <w:sz w:val="15"/>
          <w:szCs w:val="15"/>
          <w:b w:val="1"/>
          <w:bCs w:val="1"/>
          <w:color w:val="C44E5E"/>
        </w:rPr>
        <w:t xml:space="preserve">Andrew J. Murphy, Ph.D., </w:t>
      </w:r>
      <w:r>
        <w:rPr>
          <w:rFonts w:ascii="Arial" w:cs="Arial" w:eastAsia="Arial" w:hAnsi="Arial"/>
          <w:sz w:val="15"/>
          <w:szCs w:val="15"/>
          <w:color w:val="000000"/>
        </w:rPr>
        <w:t>63, has been Executive Vice President, Research since January 2019. He previously served as</w:t>
      </w:r>
      <w:r>
        <w:rPr>
          <w:rFonts w:ascii="Arial" w:cs="Arial" w:eastAsia="Arial" w:hAnsi="Arial"/>
          <w:sz w:val="15"/>
          <w:szCs w:val="15"/>
          <w:b w:val="1"/>
          <w:bCs w:val="1"/>
          <w:color w:val="C44E5E"/>
        </w:rPr>
        <w:t xml:space="preserve"> </w:t>
      </w:r>
      <w:r>
        <w:rPr>
          <w:rFonts w:ascii="Arial" w:cs="Arial" w:eastAsia="Arial" w:hAnsi="Arial"/>
          <w:sz w:val="15"/>
          <w:szCs w:val="15"/>
          <w:color w:val="000000"/>
        </w:rPr>
        <w:t>Senior Vice President, Research, Regeneron Laboratories from January 2013 to December 2018, as Vice President, Target Discovery from May 2005 to December 2012, as Vice President, Gene Discovery and Bioinformatics from January 2001 to May 2005, and Director of Genomics and Bioinformatics from May 1999 to December 2000. Dr. Murphy is a co-inventor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-414655</wp:posOffset>
            </wp:positionV>
            <wp:extent cx="891540" cy="8915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ind w:left="2240" w:right="800"/>
        <w:spacing w:after="0" w:line="204" w:lineRule="auto"/>
        <w:rPr>
          <w:sz w:val="20"/>
          <w:szCs w:val="20"/>
          <w:color w:val="auto"/>
        </w:rPr>
      </w:pPr>
      <w:r>
        <w:rPr>
          <w:rFonts w:ascii="Arial" w:cs="Arial" w:eastAsia="Arial" w:hAnsi="Arial"/>
          <w:sz w:val="15"/>
          <w:szCs w:val="15"/>
          <w:color w:val="auto"/>
        </w:rPr>
        <w:t xml:space="preserve">several of the Company’s key technologies, including </w:t>
      </w:r>
      <w:r>
        <w:rPr>
          <w:rFonts w:ascii="Arial" w:cs="Arial" w:eastAsia="Arial" w:hAnsi="Arial"/>
          <w:sz w:val="15"/>
          <w:szCs w:val="15"/>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5"/>
          <w:szCs w:val="15"/>
          <w:color w:val="auto"/>
        </w:rPr>
        <w:t xml:space="preserve"> and </w:t>
      </w:r>
      <w:r>
        <w:rPr>
          <w:rFonts w:ascii="Arial" w:cs="Arial" w:eastAsia="Arial" w:hAnsi="Arial"/>
          <w:sz w:val="15"/>
          <w:szCs w:val="15"/>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5"/>
          <w:szCs w:val="15"/>
          <w:color w:val="auto"/>
        </w:rPr>
        <w:t>, and continues to lead several technology centers and therapeutic focus areas. He received his B.S. in Molecular Biology at the University of Wisconsin, and his Ph.D. in Human Genetics from Columbia University, College of Physicians and Surgeons.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194945</wp:posOffset>
            </wp:positionV>
            <wp:extent cx="64465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373" w:lineRule="exact"/>
        <w:rPr>
          <w:sz w:val="20"/>
          <w:szCs w:val="20"/>
          <w:color w:val="auto"/>
        </w:rPr>
      </w:pPr>
    </w:p>
    <w:p>
      <w:pPr>
        <w:ind w:left="2240" w:right="740"/>
        <w:spacing w:after="0" w:line="234" w:lineRule="auto"/>
        <w:rPr>
          <w:sz w:val="20"/>
          <w:szCs w:val="20"/>
          <w:color w:val="auto"/>
        </w:rPr>
      </w:pPr>
      <w:r>
        <w:rPr>
          <w:rFonts w:ascii="Arial" w:cs="Arial" w:eastAsia="Arial" w:hAnsi="Arial"/>
          <w:sz w:val="15"/>
          <w:szCs w:val="15"/>
          <w:b w:val="1"/>
          <w:bCs w:val="1"/>
          <w:color w:val="C44E5E"/>
        </w:rPr>
        <w:t xml:space="preserve">Neil Stahl, Ph.D., </w:t>
      </w:r>
      <w:r>
        <w:rPr>
          <w:rFonts w:ascii="Arial" w:cs="Arial" w:eastAsia="Arial" w:hAnsi="Arial"/>
          <w:sz w:val="15"/>
          <w:szCs w:val="15"/>
          <w:color w:val="000000"/>
        </w:rPr>
        <w:t>64, has been Executive Vice President, Research and Development since January 2015. He previously</w:t>
      </w:r>
      <w:r>
        <w:rPr>
          <w:rFonts w:ascii="Arial" w:cs="Arial" w:eastAsia="Arial" w:hAnsi="Arial"/>
          <w:sz w:val="15"/>
          <w:szCs w:val="15"/>
          <w:b w:val="1"/>
          <w:bCs w:val="1"/>
          <w:color w:val="C44E5E"/>
        </w:rPr>
        <w:t xml:space="preserve"> </w:t>
      </w:r>
      <w:r>
        <w:rPr>
          <w:rFonts w:ascii="Arial" w:cs="Arial" w:eastAsia="Arial" w:hAnsi="Arial"/>
          <w:sz w:val="15"/>
          <w:szCs w:val="15"/>
          <w:color w:val="000000"/>
        </w:rPr>
        <w:t>served as Senior Vice President, Research and Development Sciences from January 2007 to December 2014, as Senior Vice President, Preclinical Development and Biomolecular Sciences from December 2000 to December 2007, and as Vice President, Preclinical Development and Biomolecular Sciences from January 2000 to December 2000. He joined the Company in 1991. Before becoming Vice President, Biomolecular Sciences in 1997, Dr. Stahl was Director, Cytokines and Signal Transduction. Dr. Stahl received his Ph.D. in Biochemistry from Brandeis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-626745</wp:posOffset>
            </wp:positionV>
            <wp:extent cx="6446520" cy="951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46520" cy="95186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240" w:right="580"/>
        <w:spacing w:after="0" w:line="231" w:lineRule="auto"/>
        <w:rPr>
          <w:sz w:val="20"/>
          <w:szCs w:val="20"/>
          <w:color w:val="auto"/>
        </w:rPr>
      </w:pPr>
      <w:r>
        <w:rPr>
          <w:rFonts w:ascii="Arial" w:cs="Arial" w:eastAsia="Arial" w:hAnsi="Arial"/>
          <w:sz w:val="15"/>
          <w:szCs w:val="15"/>
          <w:b w:val="1"/>
          <w:bCs w:val="1"/>
          <w:color w:val="C44E5E"/>
        </w:rPr>
        <w:t xml:space="preserve">Daniel P. Van Plew, </w:t>
      </w:r>
      <w:r>
        <w:rPr>
          <w:rFonts w:ascii="Arial" w:cs="Arial" w:eastAsia="Arial" w:hAnsi="Arial"/>
          <w:sz w:val="15"/>
          <w:szCs w:val="15"/>
          <w:color w:val="000000"/>
        </w:rPr>
        <w:t>48, has been Executive Vice President and General Manager, Industrial Operations and Product Supply</w:t>
      </w:r>
      <w:r>
        <w:rPr>
          <w:rFonts w:ascii="Arial" w:cs="Arial" w:eastAsia="Arial" w:hAnsi="Arial"/>
          <w:sz w:val="15"/>
          <w:szCs w:val="15"/>
          <w:b w:val="1"/>
          <w:bCs w:val="1"/>
          <w:color w:val="C44E5E"/>
        </w:rPr>
        <w:t xml:space="preserve"> </w:t>
      </w:r>
      <w:r>
        <w:rPr>
          <w:rFonts w:ascii="Arial" w:cs="Arial" w:eastAsia="Arial" w:hAnsi="Arial"/>
          <w:sz w:val="15"/>
          <w:szCs w:val="15"/>
          <w:color w:val="000000"/>
        </w:rPr>
        <w:t>since January 2016. From April 2008 to December 2015, Mr. Van Plew served as Senior Vice President and General Manager, Industrial Operations and Product Supply. Prior to that date, he served as Vice President and General Manager, Industrial Operations and Product Supply since joining the Company in 2007. From 2006 until 2007, Mr. Van Plew served as Executive Vice President, R&amp;D and Technical Operations of Crucell Holland B.V., a global biopharmaceutical company. 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his M.S. in Chemistry from The Pennsylvania State University and his M.B.A. from Michigan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48260</wp:posOffset>
            </wp:positionV>
            <wp:extent cx="64465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-1040130</wp:posOffset>
            </wp:positionV>
            <wp:extent cx="891540" cy="8915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372"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34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5" w:name="page46"/>
    <w:bookmarkEnd w:id="45"/>
    <w:p>
      <w:pPr>
        <w:ind w:left="540"/>
        <w:spacing w:after="0"/>
        <w:rPr>
          <w:sz w:val="20"/>
          <w:szCs w:val="20"/>
          <w:color w:val="auto"/>
        </w:rPr>
      </w:pPr>
      <w:r>
        <w:rPr>
          <w:rFonts w:ascii="Arial" w:cs="Arial" w:eastAsia="Arial" w:hAnsi="Arial"/>
          <w:sz w:val="68"/>
          <w:szCs w:val="68"/>
          <w:b w:val="1"/>
          <w:bCs w:val="1"/>
          <w:color w:val="205BA8"/>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31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1127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96" w:lineRule="exact"/>
        <w:rPr>
          <w:sz w:val="20"/>
          <w:szCs w:val="20"/>
          <w:color w:val="auto"/>
        </w:rPr>
      </w:pPr>
    </w:p>
    <w:p>
      <w:pPr>
        <w:ind w:left="540" w:right="1000"/>
        <w:spacing w:after="0" w:line="235" w:lineRule="auto"/>
        <w:rPr>
          <w:sz w:val="20"/>
          <w:szCs w:val="20"/>
          <w:color w:val="auto"/>
        </w:rPr>
      </w:pPr>
      <w:r>
        <w:rPr>
          <w:rFonts w:ascii="Arial" w:cs="Arial" w:eastAsia="Arial" w:hAnsi="Arial"/>
          <w:sz w:val="15"/>
          <w:szCs w:val="15"/>
          <w:color w:val="auto"/>
        </w:rPr>
        <w:t>Regeneron is committed to good corporate governance, which we believe promotes the long-term interests of shareholders, strengthens the accountability of the board of directors and management, and helps build trust in the Company. The following chart summarizes key information regarding our corporate governance.</w:t>
      </w:r>
    </w:p>
    <w:p>
      <w:pPr>
        <w:spacing w:after="0" w:line="133" w:lineRule="exact"/>
        <w:rPr>
          <w:sz w:val="20"/>
          <w:szCs w:val="20"/>
          <w:color w:val="auto"/>
        </w:rPr>
      </w:pPr>
    </w:p>
    <w:tbl>
      <w:tblPr>
        <w:tblLayout w:type="fixed"/>
        <w:tblInd w:w="540" w:type="dxa"/>
        <w:tblCellMar>
          <w:top w:w="0" w:type="dxa"/>
          <w:left w:w="0" w:type="dxa"/>
          <w:bottom w:w="0" w:type="dxa"/>
          <w:right w:w="0" w:type="dxa"/>
        </w:tblCellMar>
      </w:tblPr>
      <w:tr>
        <w:trPr>
          <w:trHeight w:val="154"/>
        </w:trPr>
        <w:tc>
          <w:tcPr>
            <w:tcW w:w="9300" w:type="dxa"/>
            <w:vAlign w:val="bottom"/>
            <w:tcBorders>
              <w:bottom w:val="single" w:sz="8" w:color="1F5AA8"/>
            </w:tcBorders>
          </w:tcPr>
          <w:p>
            <w:pPr>
              <w:ind w:left="60"/>
              <w:spacing w:after="0"/>
              <w:rPr>
                <w:sz w:val="20"/>
                <w:szCs w:val="20"/>
                <w:color w:val="auto"/>
              </w:rPr>
            </w:pPr>
            <w:r>
              <w:rPr>
                <w:rFonts w:ascii="Arial" w:cs="Arial" w:eastAsia="Arial" w:hAnsi="Arial"/>
                <w:sz w:val="12"/>
                <w:szCs w:val="12"/>
                <w:b w:val="1"/>
                <w:bCs w:val="1"/>
                <w:color w:val="205BA8"/>
              </w:rPr>
              <w:t>Board and Other Governance Information</w:t>
            </w:r>
          </w:p>
        </w:tc>
        <w:tc>
          <w:tcPr>
            <w:tcW w:w="860" w:type="dxa"/>
            <w:vAlign w:val="bottom"/>
            <w:tcBorders>
              <w:bottom w:val="single" w:sz="8" w:color="1F5AA8"/>
            </w:tcBorders>
          </w:tcPr>
          <w:p>
            <w:pPr>
              <w:jc w:val="center"/>
              <w:ind w:right="80"/>
              <w:spacing w:after="0"/>
              <w:rPr>
                <w:sz w:val="20"/>
                <w:szCs w:val="20"/>
                <w:color w:val="auto"/>
              </w:rPr>
            </w:pPr>
            <w:r>
              <w:rPr>
                <w:rFonts w:ascii="Arial" w:cs="Arial" w:eastAsia="Arial" w:hAnsi="Arial"/>
                <w:sz w:val="12"/>
                <w:szCs w:val="12"/>
                <w:b w:val="1"/>
                <w:bCs w:val="1"/>
                <w:color w:val="205BA8"/>
                <w:w w:val="95"/>
              </w:rPr>
              <w:t>2021*</w:t>
            </w:r>
          </w:p>
        </w:tc>
      </w:tr>
      <w:tr>
        <w:trPr>
          <w:trHeight w:val="148"/>
        </w:trPr>
        <w:tc>
          <w:tcPr>
            <w:tcW w:w="9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Size of Board</w:t>
            </w:r>
          </w:p>
        </w:tc>
        <w:tc>
          <w:tcPr>
            <w:tcW w:w="860" w:type="dxa"/>
            <w:vAlign w:val="bottom"/>
            <w:tcBorders>
              <w:bottom w:val="single" w:sz="8" w:color="auto"/>
            </w:tcBorders>
          </w:tcPr>
          <w:p>
            <w:pPr>
              <w:jc w:val="center"/>
              <w:ind w:right="80"/>
              <w:spacing w:after="0"/>
              <w:rPr>
                <w:sz w:val="20"/>
                <w:szCs w:val="20"/>
                <w:color w:val="auto"/>
              </w:rPr>
            </w:pPr>
            <w:r>
              <w:rPr>
                <w:rFonts w:ascii="Arial" w:cs="Arial" w:eastAsia="Arial" w:hAnsi="Arial"/>
                <w:sz w:val="13"/>
                <w:szCs w:val="13"/>
                <w:color w:val="auto"/>
                <w:w w:val="96"/>
              </w:rPr>
              <w:t>12</w:t>
            </w:r>
          </w:p>
        </w:tc>
      </w:tr>
      <w:tr>
        <w:trPr>
          <w:trHeight w:val="142"/>
        </w:trPr>
        <w:tc>
          <w:tcPr>
            <w:tcW w:w="9300" w:type="dxa"/>
            <w:vAlign w:val="bottom"/>
            <w:tcBorders>
              <w:bottom w:val="single" w:sz="8" w:color="auto"/>
            </w:tcBorders>
            <w:shd w:val="clear" w:color="auto" w:fill="ECEDED"/>
          </w:tcPr>
          <w:p>
            <w:pPr>
              <w:ind w:left="60"/>
              <w:spacing w:after="0" w:line="142" w:lineRule="exact"/>
              <w:rPr>
                <w:sz w:val="20"/>
                <w:szCs w:val="20"/>
                <w:color w:val="auto"/>
              </w:rPr>
            </w:pPr>
            <w:r>
              <w:rPr>
                <w:rFonts w:ascii="Arial" w:cs="Arial" w:eastAsia="Arial" w:hAnsi="Arial"/>
                <w:sz w:val="13"/>
                <w:szCs w:val="13"/>
                <w:color w:val="auto"/>
              </w:rPr>
              <w:t>Number of Independent Directors</w:t>
            </w:r>
          </w:p>
        </w:tc>
        <w:tc>
          <w:tcPr>
            <w:tcW w:w="860" w:type="dxa"/>
            <w:vAlign w:val="bottom"/>
            <w:tcBorders>
              <w:bottom w:val="single" w:sz="8" w:color="auto"/>
            </w:tcBorders>
            <w:shd w:val="clear" w:color="auto" w:fill="ECEDED"/>
          </w:tcPr>
          <w:p>
            <w:pPr>
              <w:jc w:val="center"/>
              <w:ind w:right="60"/>
              <w:spacing w:after="0" w:line="142" w:lineRule="exact"/>
              <w:rPr>
                <w:sz w:val="20"/>
                <w:szCs w:val="20"/>
                <w:color w:val="auto"/>
              </w:rPr>
            </w:pPr>
            <w:r>
              <w:rPr>
                <w:rFonts w:ascii="Arial" w:cs="Arial" w:eastAsia="Arial" w:hAnsi="Arial"/>
                <w:sz w:val="13"/>
                <w:szCs w:val="13"/>
                <w:color w:val="auto"/>
              </w:rPr>
              <w:t>9</w:t>
            </w:r>
          </w:p>
        </w:tc>
      </w:tr>
      <w:tr>
        <w:trPr>
          <w:trHeight w:val="142"/>
        </w:trPr>
        <w:tc>
          <w:tcPr>
            <w:tcW w:w="93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3"/>
                <w:szCs w:val="13"/>
                <w:color w:val="auto"/>
              </w:rPr>
              <w:t>Number of Female Directors</w:t>
            </w:r>
          </w:p>
        </w:tc>
        <w:tc>
          <w:tcPr>
            <w:tcW w:w="860" w:type="dxa"/>
            <w:vAlign w:val="bottom"/>
            <w:tcBorders>
              <w:bottom w:val="single" w:sz="8" w:color="auto"/>
            </w:tcBorders>
          </w:tcPr>
          <w:p>
            <w:pPr>
              <w:jc w:val="center"/>
              <w:ind w:right="60"/>
              <w:spacing w:after="0" w:line="142" w:lineRule="exact"/>
              <w:rPr>
                <w:sz w:val="20"/>
                <w:szCs w:val="20"/>
                <w:color w:val="auto"/>
              </w:rPr>
            </w:pPr>
            <w:r>
              <w:rPr>
                <w:rFonts w:ascii="Arial" w:cs="Arial" w:eastAsia="Arial" w:hAnsi="Arial"/>
                <w:sz w:val="13"/>
                <w:szCs w:val="13"/>
                <w:color w:val="auto"/>
              </w:rPr>
              <w:t>3</w:t>
            </w:r>
          </w:p>
        </w:tc>
      </w:tr>
      <w:tr>
        <w:trPr>
          <w:trHeight w:val="142"/>
        </w:trPr>
        <w:tc>
          <w:tcPr>
            <w:tcW w:w="9300" w:type="dxa"/>
            <w:vAlign w:val="bottom"/>
            <w:tcBorders>
              <w:bottom w:val="single" w:sz="8" w:color="auto"/>
            </w:tcBorders>
            <w:shd w:val="clear" w:color="auto" w:fill="ECEDED"/>
          </w:tcPr>
          <w:p>
            <w:pPr>
              <w:ind w:left="60"/>
              <w:spacing w:after="0" w:line="142" w:lineRule="exact"/>
              <w:rPr>
                <w:sz w:val="20"/>
                <w:szCs w:val="20"/>
                <w:color w:val="auto"/>
              </w:rPr>
            </w:pPr>
            <w:r>
              <w:rPr>
                <w:rFonts w:ascii="Arial" w:cs="Arial" w:eastAsia="Arial" w:hAnsi="Arial"/>
                <w:sz w:val="13"/>
                <w:szCs w:val="13"/>
                <w:color w:val="auto"/>
              </w:rPr>
              <w:t>Number of Directors Diverse by Race or Ethnicity</w:t>
            </w:r>
          </w:p>
        </w:tc>
        <w:tc>
          <w:tcPr>
            <w:tcW w:w="860" w:type="dxa"/>
            <w:vAlign w:val="bottom"/>
            <w:tcBorders>
              <w:bottom w:val="single" w:sz="8" w:color="auto"/>
            </w:tcBorders>
            <w:shd w:val="clear" w:color="auto" w:fill="ECEDED"/>
          </w:tcPr>
          <w:p>
            <w:pPr>
              <w:jc w:val="center"/>
              <w:ind w:right="60"/>
              <w:spacing w:after="0" w:line="142" w:lineRule="exact"/>
              <w:rPr>
                <w:sz w:val="20"/>
                <w:szCs w:val="20"/>
                <w:color w:val="auto"/>
              </w:rPr>
            </w:pPr>
            <w:r>
              <w:rPr>
                <w:rFonts w:ascii="Arial" w:cs="Arial" w:eastAsia="Arial" w:hAnsi="Arial"/>
                <w:sz w:val="13"/>
                <w:szCs w:val="13"/>
                <w:color w:val="auto"/>
              </w:rPr>
              <w:t>4</w:t>
            </w:r>
          </w:p>
        </w:tc>
      </w:tr>
      <w:tr>
        <w:trPr>
          <w:trHeight w:val="196"/>
        </w:trPr>
        <w:tc>
          <w:tcPr>
            <w:tcW w:w="9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Separate Chairman and Chief Executive Officer</w:t>
            </w:r>
          </w:p>
        </w:tc>
        <w:tc>
          <w:tcPr>
            <w:tcW w:w="860" w:type="dxa"/>
            <w:vAlign w:val="bottom"/>
            <w:tcBorders>
              <w:bottom w:val="single" w:sz="8" w:color="auto"/>
            </w:tcBorders>
          </w:tcPr>
          <w:p>
            <w:pPr>
              <w:jc w:val="center"/>
              <w:ind w:right="60"/>
              <w:spacing w:after="0" w:line="181" w:lineRule="exact"/>
              <w:rPr>
                <w:sz w:val="20"/>
                <w:szCs w:val="20"/>
                <w:color w:val="auto"/>
              </w:rPr>
            </w:pPr>
            <w:r>
              <w:rPr>
                <w:rFonts w:ascii="MS PGothic" w:cs="MS PGothic" w:eastAsia="MS PGothic" w:hAnsi="MS PGothic"/>
                <w:sz w:val="18"/>
                <w:szCs w:val="18"/>
                <w:color w:val="1F5AA8"/>
                <w:w w:val="88"/>
              </w:rPr>
              <w:t>✔</w:t>
            </w:r>
          </w:p>
        </w:tc>
      </w:tr>
      <w:tr>
        <w:trPr>
          <w:trHeight w:val="196"/>
        </w:trPr>
        <w:tc>
          <w:tcPr>
            <w:tcW w:w="9300" w:type="dxa"/>
            <w:vAlign w:val="bottom"/>
            <w:tcBorders>
              <w:bottom w:val="single" w:sz="8" w:color="auto"/>
            </w:tcBorders>
            <w:shd w:val="clear" w:color="auto" w:fill="ECEDED"/>
          </w:tcPr>
          <w:p>
            <w:pPr>
              <w:ind w:left="60"/>
              <w:spacing w:after="0"/>
              <w:rPr>
                <w:sz w:val="20"/>
                <w:szCs w:val="20"/>
                <w:color w:val="auto"/>
              </w:rPr>
            </w:pPr>
            <w:r>
              <w:rPr>
                <w:rFonts w:ascii="Arial" w:cs="Arial" w:eastAsia="Arial" w:hAnsi="Arial"/>
                <w:sz w:val="13"/>
                <w:szCs w:val="13"/>
                <w:color w:val="auto"/>
              </w:rPr>
              <w:t>Majority Voting in the Election of Directors</w:t>
            </w:r>
          </w:p>
        </w:tc>
        <w:tc>
          <w:tcPr>
            <w:tcW w:w="860" w:type="dxa"/>
            <w:vAlign w:val="bottom"/>
            <w:tcBorders>
              <w:bottom w:val="single" w:sz="8" w:color="auto"/>
            </w:tcBorders>
            <w:shd w:val="clear" w:color="auto" w:fill="ECEDED"/>
          </w:tcPr>
          <w:p>
            <w:pPr>
              <w:jc w:val="center"/>
              <w:ind w:right="60"/>
              <w:spacing w:after="0" w:line="181" w:lineRule="exact"/>
              <w:rPr>
                <w:sz w:val="20"/>
                <w:szCs w:val="20"/>
                <w:color w:val="auto"/>
              </w:rPr>
            </w:pPr>
            <w:r>
              <w:rPr>
                <w:rFonts w:ascii="MS PGothic" w:cs="MS PGothic" w:eastAsia="MS PGothic" w:hAnsi="MS PGothic"/>
                <w:sz w:val="18"/>
                <w:szCs w:val="18"/>
                <w:color w:val="1F5AA8"/>
                <w:w w:val="88"/>
              </w:rPr>
              <w:t>✔</w:t>
            </w:r>
          </w:p>
        </w:tc>
      </w:tr>
      <w:tr>
        <w:trPr>
          <w:trHeight w:val="196"/>
        </w:trPr>
        <w:tc>
          <w:tcPr>
            <w:tcW w:w="9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Director Resignation Policy</w:t>
            </w:r>
          </w:p>
        </w:tc>
        <w:tc>
          <w:tcPr>
            <w:tcW w:w="860" w:type="dxa"/>
            <w:vAlign w:val="bottom"/>
            <w:tcBorders>
              <w:bottom w:val="single" w:sz="8" w:color="auto"/>
            </w:tcBorders>
          </w:tcPr>
          <w:p>
            <w:pPr>
              <w:jc w:val="center"/>
              <w:ind w:right="60"/>
              <w:spacing w:after="0" w:line="181" w:lineRule="exact"/>
              <w:rPr>
                <w:sz w:val="20"/>
                <w:szCs w:val="20"/>
                <w:color w:val="auto"/>
              </w:rPr>
            </w:pPr>
            <w:r>
              <w:rPr>
                <w:rFonts w:ascii="MS PGothic" w:cs="MS PGothic" w:eastAsia="MS PGothic" w:hAnsi="MS PGothic"/>
                <w:sz w:val="18"/>
                <w:szCs w:val="18"/>
                <w:color w:val="1F5AA8"/>
                <w:w w:val="88"/>
              </w:rPr>
              <w:t>✔</w:t>
            </w:r>
          </w:p>
        </w:tc>
      </w:tr>
      <w:tr>
        <w:trPr>
          <w:trHeight w:val="142"/>
        </w:trPr>
        <w:tc>
          <w:tcPr>
            <w:tcW w:w="9300" w:type="dxa"/>
            <w:vAlign w:val="bottom"/>
            <w:tcBorders>
              <w:bottom w:val="single" w:sz="8" w:color="auto"/>
            </w:tcBorders>
            <w:shd w:val="clear" w:color="auto" w:fill="ECEDED"/>
          </w:tcPr>
          <w:p>
            <w:pPr>
              <w:ind w:left="60"/>
              <w:spacing w:after="0" w:line="142" w:lineRule="exact"/>
              <w:rPr>
                <w:sz w:val="20"/>
                <w:szCs w:val="20"/>
                <w:color w:val="auto"/>
              </w:rPr>
            </w:pPr>
            <w:r>
              <w:rPr>
                <w:rFonts w:ascii="Arial" w:cs="Arial" w:eastAsia="Arial" w:hAnsi="Arial"/>
                <w:sz w:val="13"/>
                <w:szCs w:val="13"/>
                <w:color w:val="auto"/>
              </w:rPr>
              <w:t>Number of Meetings of the Board of Directors Held in 2020</w:t>
            </w:r>
          </w:p>
        </w:tc>
        <w:tc>
          <w:tcPr>
            <w:tcW w:w="860" w:type="dxa"/>
            <w:vAlign w:val="bottom"/>
            <w:tcBorders>
              <w:bottom w:val="single" w:sz="8" w:color="auto"/>
            </w:tcBorders>
            <w:shd w:val="clear" w:color="auto" w:fill="ECEDED"/>
          </w:tcPr>
          <w:p>
            <w:pPr>
              <w:jc w:val="center"/>
              <w:ind w:right="80"/>
              <w:spacing w:after="0" w:line="142" w:lineRule="exact"/>
              <w:rPr>
                <w:sz w:val="20"/>
                <w:szCs w:val="20"/>
                <w:color w:val="auto"/>
              </w:rPr>
            </w:pPr>
            <w:r>
              <w:rPr>
                <w:rFonts w:ascii="Arial" w:cs="Arial" w:eastAsia="Arial" w:hAnsi="Arial"/>
                <w:sz w:val="13"/>
                <w:szCs w:val="13"/>
                <w:color w:val="auto"/>
                <w:w w:val="96"/>
              </w:rPr>
              <w:t>11</w:t>
            </w:r>
          </w:p>
        </w:tc>
      </w:tr>
      <w:tr>
        <w:trPr>
          <w:trHeight w:val="196"/>
        </w:trPr>
        <w:tc>
          <w:tcPr>
            <w:tcW w:w="9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Executive Sessions of Independent Directors Presided by Chairman of the Corporate Governance and Compliance Committee without Management Present</w:t>
            </w:r>
          </w:p>
        </w:tc>
        <w:tc>
          <w:tcPr>
            <w:tcW w:w="860" w:type="dxa"/>
            <w:vAlign w:val="bottom"/>
            <w:tcBorders>
              <w:bottom w:val="single" w:sz="8" w:color="auto"/>
            </w:tcBorders>
          </w:tcPr>
          <w:p>
            <w:pPr>
              <w:jc w:val="center"/>
              <w:ind w:right="60"/>
              <w:spacing w:after="0" w:line="181" w:lineRule="exact"/>
              <w:rPr>
                <w:sz w:val="20"/>
                <w:szCs w:val="20"/>
                <w:color w:val="auto"/>
              </w:rPr>
            </w:pPr>
            <w:r>
              <w:rPr>
                <w:rFonts w:ascii="MS PGothic" w:cs="MS PGothic" w:eastAsia="MS PGothic" w:hAnsi="MS PGothic"/>
                <w:sz w:val="18"/>
                <w:szCs w:val="18"/>
                <w:color w:val="1F5AA8"/>
                <w:w w:val="88"/>
              </w:rPr>
              <w:t>✔</w:t>
            </w:r>
          </w:p>
        </w:tc>
      </w:tr>
      <w:tr>
        <w:trPr>
          <w:trHeight w:val="196"/>
        </w:trPr>
        <w:tc>
          <w:tcPr>
            <w:tcW w:w="9300" w:type="dxa"/>
            <w:vAlign w:val="bottom"/>
            <w:tcBorders>
              <w:bottom w:val="single" w:sz="8" w:color="auto"/>
            </w:tcBorders>
            <w:shd w:val="clear" w:color="auto" w:fill="ECEDED"/>
          </w:tcPr>
          <w:p>
            <w:pPr>
              <w:ind w:left="60"/>
              <w:spacing w:after="0"/>
              <w:rPr>
                <w:sz w:val="20"/>
                <w:szCs w:val="20"/>
                <w:color w:val="auto"/>
              </w:rPr>
            </w:pPr>
            <w:r>
              <w:rPr>
                <w:rFonts w:ascii="Arial" w:cs="Arial" w:eastAsia="Arial" w:hAnsi="Arial"/>
                <w:sz w:val="13"/>
                <w:szCs w:val="13"/>
                <w:color w:val="auto"/>
              </w:rPr>
              <w:t>Code of Business Conduct and Ethics Applicable to All Employees, Officers, and Directors</w:t>
            </w:r>
          </w:p>
        </w:tc>
        <w:tc>
          <w:tcPr>
            <w:tcW w:w="860" w:type="dxa"/>
            <w:vAlign w:val="bottom"/>
            <w:tcBorders>
              <w:bottom w:val="single" w:sz="8" w:color="auto"/>
            </w:tcBorders>
            <w:shd w:val="clear" w:color="auto" w:fill="ECEDED"/>
          </w:tcPr>
          <w:p>
            <w:pPr>
              <w:jc w:val="center"/>
              <w:ind w:right="60"/>
              <w:spacing w:after="0" w:line="181" w:lineRule="exact"/>
              <w:rPr>
                <w:sz w:val="20"/>
                <w:szCs w:val="20"/>
                <w:color w:val="auto"/>
              </w:rPr>
            </w:pPr>
            <w:r>
              <w:rPr>
                <w:rFonts w:ascii="MS PGothic" w:cs="MS PGothic" w:eastAsia="MS PGothic" w:hAnsi="MS PGothic"/>
                <w:sz w:val="18"/>
                <w:szCs w:val="18"/>
                <w:color w:val="1F5AA8"/>
                <w:w w:val="88"/>
              </w:rPr>
              <w:t>✔</w:t>
            </w:r>
          </w:p>
        </w:tc>
      </w:tr>
      <w:tr>
        <w:trPr>
          <w:trHeight w:val="196"/>
        </w:trPr>
        <w:tc>
          <w:tcPr>
            <w:tcW w:w="9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Annual Board and Committee Self-Evaluations</w:t>
            </w:r>
          </w:p>
        </w:tc>
        <w:tc>
          <w:tcPr>
            <w:tcW w:w="860" w:type="dxa"/>
            <w:vAlign w:val="bottom"/>
            <w:tcBorders>
              <w:bottom w:val="single" w:sz="8" w:color="auto"/>
            </w:tcBorders>
          </w:tcPr>
          <w:p>
            <w:pPr>
              <w:jc w:val="center"/>
              <w:ind w:right="60"/>
              <w:spacing w:after="0" w:line="181" w:lineRule="exact"/>
              <w:rPr>
                <w:sz w:val="20"/>
                <w:szCs w:val="20"/>
                <w:color w:val="auto"/>
              </w:rPr>
            </w:pPr>
            <w:r>
              <w:rPr>
                <w:rFonts w:ascii="MS PGothic" w:cs="MS PGothic" w:eastAsia="MS PGothic" w:hAnsi="MS PGothic"/>
                <w:sz w:val="18"/>
                <w:szCs w:val="18"/>
                <w:color w:val="1F5AA8"/>
                <w:w w:val="88"/>
              </w:rPr>
              <w:t>✔</w:t>
            </w:r>
          </w:p>
        </w:tc>
      </w:tr>
      <w:tr>
        <w:trPr>
          <w:trHeight w:val="196"/>
        </w:trPr>
        <w:tc>
          <w:tcPr>
            <w:tcW w:w="9300" w:type="dxa"/>
            <w:vAlign w:val="bottom"/>
            <w:tcBorders>
              <w:bottom w:val="single" w:sz="8" w:color="auto"/>
            </w:tcBorders>
            <w:shd w:val="clear" w:color="auto" w:fill="ECEDED"/>
          </w:tcPr>
          <w:p>
            <w:pPr>
              <w:ind w:left="60"/>
              <w:spacing w:after="0"/>
              <w:rPr>
                <w:sz w:val="20"/>
                <w:szCs w:val="20"/>
                <w:color w:val="auto"/>
              </w:rPr>
            </w:pPr>
            <w:r>
              <w:rPr>
                <w:rFonts w:ascii="Arial" w:cs="Arial" w:eastAsia="Arial" w:hAnsi="Arial"/>
                <w:sz w:val="13"/>
                <w:szCs w:val="13"/>
                <w:color w:val="auto"/>
              </w:rPr>
              <w:t>Stock Ownership Guidelines for Directors and Senior Executives</w:t>
            </w:r>
          </w:p>
        </w:tc>
        <w:tc>
          <w:tcPr>
            <w:tcW w:w="860" w:type="dxa"/>
            <w:vAlign w:val="bottom"/>
            <w:tcBorders>
              <w:bottom w:val="single" w:sz="8" w:color="auto"/>
            </w:tcBorders>
            <w:shd w:val="clear" w:color="auto" w:fill="ECEDED"/>
          </w:tcPr>
          <w:p>
            <w:pPr>
              <w:jc w:val="center"/>
              <w:ind w:right="60"/>
              <w:spacing w:after="0" w:line="181" w:lineRule="exact"/>
              <w:rPr>
                <w:sz w:val="20"/>
                <w:szCs w:val="20"/>
                <w:color w:val="auto"/>
              </w:rPr>
            </w:pPr>
            <w:r>
              <w:rPr>
                <w:rFonts w:ascii="MS PGothic" w:cs="MS PGothic" w:eastAsia="MS PGothic" w:hAnsi="MS PGothic"/>
                <w:sz w:val="18"/>
                <w:szCs w:val="18"/>
                <w:color w:val="1F5AA8"/>
                <w:w w:val="88"/>
              </w:rPr>
              <w:t>✔</w:t>
            </w:r>
          </w:p>
        </w:tc>
      </w:tr>
      <w:tr>
        <w:trPr>
          <w:trHeight w:val="196"/>
        </w:trPr>
        <w:tc>
          <w:tcPr>
            <w:tcW w:w="93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Active Shareholder Engagement</w:t>
            </w:r>
          </w:p>
        </w:tc>
        <w:tc>
          <w:tcPr>
            <w:tcW w:w="860" w:type="dxa"/>
            <w:vAlign w:val="bottom"/>
            <w:tcBorders>
              <w:bottom w:val="single" w:sz="8" w:color="auto"/>
            </w:tcBorders>
          </w:tcPr>
          <w:p>
            <w:pPr>
              <w:jc w:val="center"/>
              <w:ind w:right="60"/>
              <w:spacing w:after="0" w:line="181" w:lineRule="exact"/>
              <w:rPr>
                <w:sz w:val="20"/>
                <w:szCs w:val="20"/>
                <w:color w:val="auto"/>
              </w:rPr>
            </w:pPr>
            <w:r>
              <w:rPr>
                <w:rFonts w:ascii="MS PGothic" w:cs="MS PGothic" w:eastAsia="MS PGothic" w:hAnsi="MS PGothic"/>
                <w:sz w:val="18"/>
                <w:szCs w:val="18"/>
                <w:color w:val="1F5AA8"/>
                <w:w w:val="88"/>
              </w:rPr>
              <w:t>✔</w:t>
            </w:r>
          </w:p>
        </w:tc>
      </w:tr>
      <w:tr>
        <w:trPr>
          <w:trHeight w:val="196"/>
        </w:trPr>
        <w:tc>
          <w:tcPr>
            <w:tcW w:w="9300" w:type="dxa"/>
            <w:vAlign w:val="bottom"/>
            <w:tcBorders>
              <w:bottom w:val="single" w:sz="8" w:color="auto"/>
            </w:tcBorders>
            <w:shd w:val="clear" w:color="auto" w:fill="ECEDED"/>
          </w:tcPr>
          <w:p>
            <w:pPr>
              <w:ind w:left="60"/>
              <w:spacing w:after="0"/>
              <w:rPr>
                <w:sz w:val="20"/>
                <w:szCs w:val="20"/>
                <w:color w:val="auto"/>
              </w:rPr>
            </w:pPr>
            <w:r>
              <w:rPr>
                <w:rFonts w:ascii="Arial" w:cs="Arial" w:eastAsia="Arial" w:hAnsi="Arial"/>
                <w:sz w:val="13"/>
                <w:szCs w:val="13"/>
                <w:color w:val="auto"/>
              </w:rPr>
              <w:t>Shareholder Right to Call Special Shareholder Meeting</w:t>
            </w:r>
          </w:p>
        </w:tc>
        <w:tc>
          <w:tcPr>
            <w:tcW w:w="860" w:type="dxa"/>
            <w:vAlign w:val="bottom"/>
            <w:tcBorders>
              <w:bottom w:val="single" w:sz="8" w:color="auto"/>
            </w:tcBorders>
            <w:shd w:val="clear" w:color="auto" w:fill="ECEDED"/>
          </w:tcPr>
          <w:p>
            <w:pPr>
              <w:jc w:val="center"/>
              <w:ind w:right="60"/>
              <w:spacing w:after="0" w:line="181" w:lineRule="exact"/>
              <w:rPr>
                <w:sz w:val="20"/>
                <w:szCs w:val="20"/>
                <w:color w:val="auto"/>
              </w:rPr>
            </w:pPr>
            <w:r>
              <w:rPr>
                <w:rFonts w:ascii="MS PGothic" w:cs="MS PGothic" w:eastAsia="MS PGothic" w:hAnsi="MS PGothic"/>
                <w:sz w:val="18"/>
                <w:szCs w:val="18"/>
                <w:color w:val="1F5AA8"/>
                <w:w w:val="88"/>
              </w:rPr>
              <w:t>✔</w:t>
            </w:r>
          </w:p>
        </w:tc>
      </w:tr>
    </w:tbl>
    <w:p>
      <w:pPr>
        <w:spacing w:after="0" w:line="153" w:lineRule="exact"/>
        <w:rPr>
          <w:sz w:val="20"/>
          <w:szCs w:val="20"/>
          <w:color w:val="auto"/>
        </w:rPr>
      </w:pPr>
    </w:p>
    <w:p>
      <w:pPr>
        <w:ind w:left="760" w:hanging="212"/>
        <w:spacing w:after="0"/>
        <w:tabs>
          <w:tab w:leader="none" w:pos="760" w:val="left"/>
        </w:tabs>
        <w:numPr>
          <w:ilvl w:val="0"/>
          <w:numId w:val="40"/>
        </w:numPr>
        <w:rPr>
          <w:rFonts w:ascii="Arial" w:cs="Arial" w:eastAsia="Arial" w:hAnsi="Arial"/>
          <w:sz w:val="14"/>
          <w:szCs w:val="14"/>
          <w:b w:val="1"/>
          <w:bCs w:val="1"/>
          <w:color w:val="205BA8"/>
        </w:rPr>
      </w:pPr>
      <w:r>
        <w:rPr>
          <w:rFonts w:ascii="Arial" w:cs="Arial" w:eastAsia="Arial" w:hAnsi="Arial"/>
          <w:sz w:val="14"/>
          <w:szCs w:val="14"/>
          <w:color w:val="auto"/>
        </w:rPr>
        <w:t>As of April 13, 2021.</w:t>
      </w:r>
    </w:p>
    <w:p>
      <w:pPr>
        <w:spacing w:after="0" w:line="155" w:lineRule="exact"/>
        <w:rPr>
          <w:sz w:val="20"/>
          <w:szCs w:val="20"/>
          <w:color w:val="auto"/>
        </w:rPr>
      </w:pPr>
    </w:p>
    <w:p>
      <w:pPr>
        <w:ind w:left="540" w:right="580"/>
        <w:spacing w:after="0" w:line="235" w:lineRule="auto"/>
        <w:rPr>
          <w:sz w:val="20"/>
          <w:szCs w:val="20"/>
          <w:color w:val="auto"/>
        </w:rPr>
      </w:pPr>
      <w:r>
        <w:rPr>
          <w:rFonts w:ascii="Arial" w:cs="Arial" w:eastAsia="Arial" w:hAnsi="Arial"/>
          <w:sz w:val="15"/>
          <w:szCs w:val="15"/>
          <w:color w:val="auto"/>
        </w:rPr>
        <w:t>While the Company has dual-class stock, no new shares of Class A stock have been issued since our initial public offering in 1991, and the number of shares of Class A stock outstanding has been steadily decreasing since that time, from 10.9 million to 1.8 million as of the record date for the 2021 Annual Meeting.</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96" w:lineRule="exact"/>
        <w:rPr>
          <w:sz w:val="20"/>
          <w:szCs w:val="20"/>
          <w:color w:val="auto"/>
        </w:rPr>
      </w:pPr>
    </w:p>
    <w:p>
      <w:pPr>
        <w:ind w:left="540" w:right="600"/>
        <w:spacing w:after="0" w:line="231" w:lineRule="auto"/>
        <w:rPr>
          <w:sz w:val="20"/>
          <w:szCs w:val="20"/>
          <w:color w:val="auto"/>
        </w:rPr>
      </w:pPr>
      <w:r>
        <w:rPr>
          <w:rFonts w:ascii="Arial" w:cs="Arial" w:eastAsia="Arial" w:hAnsi="Arial"/>
          <w:sz w:val="15"/>
          <w:szCs w:val="15"/>
          <w:color w:val="auto"/>
        </w:rPr>
        <w:t>The board of directors has adopted a code of business conduct and ethics that applies to all of our employees, officers, and directors. You can find links to this code on our website at www.regeneron.com under the “Corporate Governance” heading on the “Investors &amp; Media” page. We may satisfy the disclosure requirement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SUCCESSION PLANNING AND TALENT DEVELOPMENT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196" w:lineRule="exact"/>
        <w:rPr>
          <w:sz w:val="20"/>
          <w:szCs w:val="20"/>
          <w:color w:val="auto"/>
        </w:rPr>
      </w:pPr>
    </w:p>
    <w:p>
      <w:pPr>
        <w:jc w:val="both"/>
        <w:ind w:left="540" w:right="680"/>
        <w:spacing w:after="0" w:line="235" w:lineRule="auto"/>
        <w:rPr>
          <w:sz w:val="20"/>
          <w:szCs w:val="20"/>
          <w:color w:val="auto"/>
        </w:rPr>
      </w:pPr>
      <w:r>
        <w:rPr>
          <w:rFonts w:ascii="Arial" w:cs="Arial" w:eastAsia="Arial" w:hAnsi="Arial"/>
          <w:sz w:val="15"/>
          <w:szCs w:val="15"/>
          <w:color w:val="auto"/>
        </w:rPr>
        <w:t>Under our Corporate Governance Guidelines, the board of directors is required to periodically review with our CEO Regeneron’s plan for succession to the offices of the CEO and other senior executive positions. In 2017, the Corporate Governance and Compliance Committee, at the request of the board of directors, commenced a multi-year formal</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35</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1325" w:right="339" w:bottom="1440" w:gutter="0" w:footer="0" w:header="0"/>
        </w:sectPr>
      </w:pPr>
    </w:p>
    <w:bookmarkStart w:id="46" w:name="page47"/>
    <w:bookmarkEnd w:id="46"/>
    <w:p>
      <w:pPr>
        <w:ind w:left="540"/>
        <w:spacing w:after="0"/>
        <w:rPr>
          <w:sz w:val="20"/>
          <w:szCs w:val="20"/>
          <w:color w:val="auto"/>
        </w:rPr>
      </w:pPr>
      <w:r>
        <w:rPr>
          <w:rFonts w:ascii="Arial" w:cs="Arial" w:eastAsia="Arial" w:hAnsi="Arial"/>
          <w:sz w:val="16"/>
          <w:szCs w:val="16"/>
          <w:b w:val="1"/>
          <w:bCs w:val="1"/>
          <w:color w:val="205BA8"/>
        </w:rPr>
        <w:t xml:space="preserve">THE COMPANY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C44E5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40" w:right="580"/>
        <w:spacing w:after="0" w:line="229" w:lineRule="auto"/>
        <w:rPr>
          <w:sz w:val="20"/>
          <w:szCs w:val="20"/>
          <w:color w:val="auto"/>
        </w:rPr>
      </w:pPr>
      <w:r>
        <w:rPr>
          <w:rFonts w:ascii="Arial" w:cs="Arial" w:eastAsia="Arial" w:hAnsi="Arial"/>
          <w:sz w:val="15"/>
          <w:szCs w:val="15"/>
          <w:color w:val="auto"/>
        </w:rPr>
        <w:t>succession planning and talent review, which includes succession planning for the CEO and other senior management positions and incorporates diversity, equity, and inclusion (“DE&amp;I”) considerations as a strategic priority. From 2018 through 2020, the applicable committees of the board of directors advanced this formal review by focusing on certain assigned functions and roles within the Company. As part of this process, the Audit Committee reviewed functions and roles within the Company’s finance, information technology, and real estate &amp; facilities management organizations, while the Compensation Committee and the Technology Committee reviewed functions and roles within the Company’s commercial and certain other general and administrative organizations and the Company’s research &amp; development and global development organizations, respectively. Implementation of the succession planning and talent review plan has continued in 2021.</w:t>
      </w:r>
    </w:p>
    <w:p>
      <w:pPr>
        <w:spacing w:after="0" w:line="144" w:lineRule="exact"/>
        <w:rPr>
          <w:sz w:val="20"/>
          <w:szCs w:val="20"/>
          <w:color w:val="auto"/>
        </w:rPr>
      </w:pPr>
    </w:p>
    <w:p>
      <w:pPr>
        <w:ind w:left="540" w:right="1080"/>
        <w:spacing w:after="0" w:line="242" w:lineRule="auto"/>
        <w:rPr>
          <w:sz w:val="20"/>
          <w:szCs w:val="20"/>
          <w:color w:val="auto"/>
        </w:rPr>
      </w:pPr>
      <w:r>
        <w:rPr>
          <w:rFonts w:ascii="Arial" w:cs="Arial" w:eastAsia="Arial" w:hAnsi="Arial"/>
          <w:sz w:val="15"/>
          <w:szCs w:val="15"/>
          <w:color w:val="auto"/>
        </w:rPr>
        <w:t>In addition to formal succession planning, directors also have exposure to Regeneron leaders through board and committee presentations and discussions and informal events and interactions with key talent throughout the year, both in small-group and one-on-one settings.</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96" w:lineRule="exact"/>
        <w:rPr>
          <w:sz w:val="20"/>
          <w:szCs w:val="20"/>
          <w:color w:val="auto"/>
        </w:rPr>
      </w:pPr>
    </w:p>
    <w:p>
      <w:pPr>
        <w:ind w:left="540" w:right="700"/>
        <w:spacing w:after="0" w:line="235" w:lineRule="auto"/>
        <w:rPr>
          <w:sz w:val="20"/>
          <w:szCs w:val="20"/>
          <w:color w:val="auto"/>
        </w:rPr>
      </w:pPr>
      <w:r>
        <w:rPr>
          <w:rFonts w:ascii="Arial" w:cs="Arial" w:eastAsia="Arial" w:hAnsi="Arial"/>
          <w:sz w:val="15"/>
          <w:szCs w:val="15"/>
          <w:color w:val="auto"/>
        </w:rPr>
        <w:t>Regeneron’s mission is to use the power of science to repeatedly bring new medicines to patients. We are committed to operating responsibly, communicating transparently about our impacts, and engaging all stakeholders in our mission. We strive to “Do Well by Doing Good” and have been publicly disclosing information about significant corporate responsibility matters, including by publishing our annual responsibility reports.</w:t>
      </w:r>
    </w:p>
    <w:p>
      <w:pPr>
        <w:spacing w:after="0" w:line="141" w:lineRule="exact"/>
        <w:rPr>
          <w:sz w:val="20"/>
          <w:szCs w:val="20"/>
          <w:color w:val="auto"/>
        </w:rPr>
      </w:pPr>
    </w:p>
    <w:p>
      <w:pPr>
        <w:ind w:left="540" w:right="560"/>
        <w:spacing w:after="0" w:line="229" w:lineRule="auto"/>
        <w:rPr>
          <w:sz w:val="20"/>
          <w:szCs w:val="20"/>
          <w:color w:val="auto"/>
        </w:rPr>
      </w:pPr>
      <w:r>
        <w:rPr>
          <w:rFonts w:ascii="Arial" w:cs="Arial" w:eastAsia="Arial" w:hAnsi="Arial"/>
          <w:sz w:val="15"/>
          <w:szCs w:val="15"/>
          <w:color w:val="auto"/>
        </w:rPr>
        <w:t>Our board of directors and management team focus closely on corporate responsibility matters. The charter of the board’s Corporate Governance and Compliance Committee expressly delegates board oversight of corporate responsibility to the Committee. The Company’s policy is to take into consideration the long-term interests of the Company, its shareholders, and other stakeholders, including patients, employees, the healthcare community, regulators, partners, suppliers, and local communities. Under our Corporate Governance Guidelines, the Corporate Governance and Compliance Committee is responsible for overseeing the Company’s key corporate responsibility initiatives, including those expected to have a significant impact on the Company’s ability to deliver sustained growth. The Committee also conducts an annual review of environmental, social, and governance (“ESG”) matters. Management, who has the responsibility for formulating and implementing such initiatives and matters, has established for these purposes a Responsibility Committee comprised of cross-functional business leaders.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responsibility strategy centers on three focus areas:</w:t>
      </w:r>
    </w:p>
    <w:p>
      <w:pPr>
        <w:spacing w:after="0" w:line="152" w:lineRule="exact"/>
        <w:rPr>
          <w:sz w:val="20"/>
          <w:szCs w:val="20"/>
          <w:color w:val="auto"/>
        </w:rPr>
      </w:pPr>
    </w:p>
    <w:p>
      <w:pPr>
        <w:ind w:left="720" w:hanging="172"/>
        <w:spacing w:after="0"/>
        <w:tabs>
          <w:tab w:leader="none" w:pos="720" w:val="left"/>
        </w:tabs>
        <w:numPr>
          <w:ilvl w:val="0"/>
          <w:numId w:val="41"/>
        </w:numPr>
        <w:rPr>
          <w:rFonts w:ascii="Arial" w:cs="Arial" w:eastAsia="Arial" w:hAnsi="Arial"/>
          <w:sz w:val="15"/>
          <w:szCs w:val="15"/>
          <w:color w:val="205BA8"/>
        </w:rPr>
      </w:pPr>
      <w:r>
        <w:rPr>
          <w:rFonts w:ascii="Arial" w:cs="Arial" w:eastAsia="Arial" w:hAnsi="Arial"/>
          <w:sz w:val="15"/>
          <w:szCs w:val="15"/>
          <w:color w:val="auto"/>
        </w:rPr>
        <w:t>Improve the lives of people with serious diseases</w:t>
      </w:r>
    </w:p>
    <w:p>
      <w:pPr>
        <w:spacing w:after="0" w:line="70" w:lineRule="exact"/>
        <w:rPr>
          <w:rFonts w:ascii="Arial" w:cs="Arial" w:eastAsia="Arial" w:hAnsi="Arial"/>
          <w:sz w:val="15"/>
          <w:szCs w:val="15"/>
          <w:color w:val="205BA8"/>
        </w:rPr>
      </w:pPr>
    </w:p>
    <w:p>
      <w:pPr>
        <w:ind w:left="720" w:hanging="172"/>
        <w:spacing w:after="0"/>
        <w:tabs>
          <w:tab w:leader="none" w:pos="720" w:val="left"/>
        </w:tabs>
        <w:numPr>
          <w:ilvl w:val="0"/>
          <w:numId w:val="41"/>
        </w:numPr>
        <w:rPr>
          <w:rFonts w:ascii="Arial" w:cs="Arial" w:eastAsia="Arial" w:hAnsi="Arial"/>
          <w:sz w:val="15"/>
          <w:szCs w:val="15"/>
          <w:color w:val="205BA8"/>
        </w:rPr>
      </w:pPr>
      <w:r>
        <w:rPr>
          <w:rFonts w:ascii="Arial" w:cs="Arial" w:eastAsia="Arial" w:hAnsi="Arial"/>
          <w:sz w:val="15"/>
          <w:szCs w:val="15"/>
          <w:color w:val="auto"/>
        </w:rPr>
        <w:t>Foster a culture of integrity and excellence</w:t>
      </w:r>
    </w:p>
    <w:p>
      <w:pPr>
        <w:spacing w:after="0" w:line="70" w:lineRule="exact"/>
        <w:rPr>
          <w:rFonts w:ascii="Arial" w:cs="Arial" w:eastAsia="Arial" w:hAnsi="Arial"/>
          <w:sz w:val="15"/>
          <w:szCs w:val="15"/>
          <w:color w:val="205BA8"/>
        </w:rPr>
      </w:pPr>
    </w:p>
    <w:p>
      <w:pPr>
        <w:ind w:left="720" w:hanging="172"/>
        <w:spacing w:after="0"/>
        <w:tabs>
          <w:tab w:leader="none" w:pos="720" w:val="left"/>
        </w:tabs>
        <w:numPr>
          <w:ilvl w:val="0"/>
          <w:numId w:val="41"/>
        </w:numPr>
        <w:rPr>
          <w:rFonts w:ascii="Arial" w:cs="Arial" w:eastAsia="Arial" w:hAnsi="Arial"/>
          <w:sz w:val="15"/>
          <w:szCs w:val="15"/>
          <w:color w:val="205BA8"/>
        </w:rPr>
      </w:pPr>
      <w:r>
        <w:rPr>
          <w:rFonts w:ascii="Arial" w:cs="Arial" w:eastAsia="Arial" w:hAnsi="Arial"/>
          <w:sz w:val="15"/>
          <w:szCs w:val="15"/>
          <w:color w:val="auto"/>
        </w:rPr>
        <w:t>Build sustainable communities</w:t>
      </w:r>
    </w:p>
    <w:p>
      <w:pPr>
        <w:spacing w:after="0" w:line="152" w:lineRule="exact"/>
        <w:rPr>
          <w:sz w:val="20"/>
          <w:szCs w:val="20"/>
          <w:color w:val="auto"/>
        </w:rPr>
      </w:pPr>
    </w:p>
    <w:p>
      <w:pPr>
        <w:ind w:left="540" w:right="580"/>
        <w:spacing w:after="0" w:line="242" w:lineRule="auto"/>
        <w:rPr>
          <w:sz w:val="20"/>
          <w:szCs w:val="20"/>
          <w:color w:val="auto"/>
        </w:rPr>
      </w:pPr>
      <w:r>
        <w:rPr>
          <w:rFonts w:ascii="Arial" w:cs="Arial" w:eastAsia="Arial" w:hAnsi="Arial"/>
          <w:sz w:val="15"/>
          <w:szCs w:val="15"/>
          <w:color w:val="auto"/>
        </w:rPr>
        <w:t>As shown below, our global 2025 responsibility goals (announced in 2020 in our 2019 Responsibility Report) span across these three focus areas and the environmental and social issues that we believe are most significant to our business and stakeholders.</w:t>
      </w:r>
    </w:p>
    <w:p>
      <w:pPr>
        <w:spacing w:after="0" w:line="282"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36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7" w:name="page48"/>
    <w:bookmarkEnd w:id="47"/>
    <w:p>
      <w:pPr>
        <w:jc w:val="right"/>
        <w:ind w:right="540"/>
        <w:spacing w:after="0"/>
        <w:rPr>
          <w:sz w:val="20"/>
          <w:szCs w:val="20"/>
          <w:color w:val="auto"/>
        </w:rPr>
      </w:pPr>
      <w:r>
        <w:rPr>
          <w:rFonts w:ascii="Arial" w:cs="Arial" w:eastAsia="Arial" w:hAnsi="Arial"/>
          <w:sz w:val="16"/>
          <w:szCs w:val="16"/>
          <w:b w:val="1"/>
          <w:bCs w:val="1"/>
          <w:color w:val="205BA8"/>
        </w:rPr>
        <w:t xml:space="preserve">THE COMPANY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C44E5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2025 GLOBAL RESPONSIBILITY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4345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46520" cy="434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00"/>
        <w:spacing w:after="0"/>
        <w:rPr>
          <w:sz w:val="20"/>
          <w:szCs w:val="20"/>
          <w:color w:val="auto"/>
        </w:rPr>
      </w:pPr>
      <w:r>
        <w:rPr>
          <w:rFonts w:ascii="Arial" w:cs="Arial" w:eastAsia="Arial" w:hAnsi="Arial"/>
          <w:sz w:val="14"/>
          <w:szCs w:val="14"/>
          <w:color w:val="auto"/>
        </w:rPr>
        <w:t>* See our 2020 Responsibility Report for a discussion of our specific environmental targets and highlights of our progress achieved in 2020.</w:t>
      </w:r>
    </w:p>
    <w:p>
      <w:pPr>
        <w:spacing w:after="0" w:line="114" w:lineRule="exact"/>
        <w:rPr>
          <w:sz w:val="20"/>
          <w:szCs w:val="20"/>
          <w:color w:val="auto"/>
        </w:rPr>
      </w:pPr>
    </w:p>
    <w:p>
      <w:pPr>
        <w:ind w:left="540" w:right="680"/>
        <w:spacing w:after="0" w:line="242" w:lineRule="auto"/>
        <w:rPr>
          <w:sz w:val="20"/>
          <w:szCs w:val="20"/>
          <w:color w:val="auto"/>
        </w:rPr>
      </w:pPr>
      <w:r>
        <w:rPr>
          <w:rFonts w:ascii="Arial" w:cs="Arial" w:eastAsia="Arial" w:hAnsi="Arial"/>
          <w:sz w:val="15"/>
          <w:szCs w:val="15"/>
          <w:color w:val="auto"/>
        </w:rPr>
        <w:t>In 2020, we made significant progress toward achieving many of these responsibility goals. Select highlights within each focus area are summarized below, and a detailed discussion of our progress in 2020 is included in our 2020 Responsibility Report.</w:t>
      </w:r>
    </w:p>
    <w:p>
      <w:pPr>
        <w:spacing w:after="0" w:line="138" w:lineRule="exact"/>
        <w:rPr>
          <w:sz w:val="20"/>
          <w:szCs w:val="20"/>
          <w:color w:val="auto"/>
        </w:rPr>
      </w:pPr>
    </w:p>
    <w:p>
      <w:pPr>
        <w:ind w:left="540" w:right="580"/>
        <w:spacing w:after="0" w:line="235" w:lineRule="auto"/>
        <w:rPr>
          <w:sz w:val="20"/>
          <w:szCs w:val="20"/>
          <w:color w:val="auto"/>
        </w:rPr>
      </w:pPr>
      <w:r>
        <w:rPr>
          <w:rFonts w:ascii="Arial" w:cs="Arial" w:eastAsia="Arial" w:hAnsi="Arial"/>
          <w:sz w:val="15"/>
          <w:szCs w:val="15"/>
          <w:color w:val="auto"/>
        </w:rPr>
        <w:t>Our responsibility efforts and results across these focus areas have garnered recognitions. For example, in 2020, we were proud to have been included in the Dow Jones Sustainability World Index for the second year in a row and added to the Dow Jones Sustainability North America Index for the first time. These global and regional indices are comprised of corporate leaders in ESG practices.</w:t>
      </w:r>
    </w:p>
    <w:p>
      <w:pPr>
        <w:spacing w:after="0" w:line="141" w:lineRule="exact"/>
        <w:rPr>
          <w:sz w:val="20"/>
          <w:szCs w:val="20"/>
          <w:color w:val="auto"/>
        </w:rPr>
      </w:pPr>
    </w:p>
    <w:p>
      <w:pPr>
        <w:ind w:left="540" w:right="560"/>
        <w:spacing w:after="0" w:line="233" w:lineRule="auto"/>
        <w:rPr>
          <w:sz w:val="20"/>
          <w:szCs w:val="20"/>
          <w:color w:val="auto"/>
        </w:rPr>
      </w:pPr>
      <w:r>
        <w:rPr>
          <w:rFonts w:ascii="Arial" w:cs="Arial" w:eastAsia="Arial" w:hAnsi="Arial"/>
          <w:sz w:val="15"/>
          <w:szCs w:val="15"/>
          <w:color w:val="auto"/>
        </w:rPr>
        <w:t>We also continued to enhance our reporting of these responsibility efforts and results. In 2021, we published on our website our first report on climate-related risks and opportunities, including how we address management and oversight of these risks and opportunities, aligned with the recommendations of the Task Force on Climate-related Financial Disclosures (“TCFD”). In addition, our 2020 Responsibility Report continues to align with the Sustainability Accounting Standards Board (“SASB”) framework.</w:t>
      </w:r>
    </w:p>
    <w:p>
      <w:pPr>
        <w:spacing w:after="0" w:line="122" w:lineRule="exact"/>
        <w:rPr>
          <w:sz w:val="20"/>
          <w:szCs w:val="20"/>
          <w:color w:val="auto"/>
        </w:rPr>
      </w:pPr>
    </w:p>
    <w:p>
      <w:pPr>
        <w:ind w:left="540" w:right="600"/>
        <w:spacing w:after="0" w:line="234" w:lineRule="auto"/>
        <w:rPr>
          <w:sz w:val="20"/>
          <w:szCs w:val="20"/>
          <w:color w:val="auto"/>
        </w:rPr>
      </w:pPr>
      <w:r>
        <w:rPr>
          <w:rFonts w:ascii="Arial" w:cs="Arial" w:eastAsia="Arial" w:hAnsi="Arial"/>
          <w:sz w:val="15"/>
          <w:szCs w:val="15"/>
          <w:b w:val="1"/>
          <w:bCs w:val="1"/>
          <w:color w:val="auto"/>
        </w:rPr>
        <w:t xml:space="preserve">Improve the lives of people with serious diseases. </w:t>
      </w:r>
      <w:r>
        <w:rPr>
          <w:rFonts w:ascii="Arial" w:cs="Arial" w:eastAsia="Arial" w:hAnsi="Arial"/>
          <w:sz w:val="15"/>
          <w:szCs w:val="15"/>
          <w:color w:val="auto"/>
        </w:rPr>
        <w:t>As a science-focused company, we operate Regeneron with the long-term outlook required to</w:t>
      </w:r>
      <w:r>
        <w:rPr>
          <w:rFonts w:ascii="Arial" w:cs="Arial" w:eastAsia="Arial" w:hAnsi="Arial"/>
          <w:sz w:val="15"/>
          <w:szCs w:val="15"/>
          <w:b w:val="1"/>
          <w:bCs w:val="1"/>
          <w:color w:val="auto"/>
        </w:rPr>
        <w:t xml:space="preserve"> </w:t>
      </w:r>
      <w:r>
        <w:rPr>
          <w:rFonts w:ascii="Arial" w:cs="Arial" w:eastAsia="Arial" w:hAnsi="Arial"/>
          <w:sz w:val="15"/>
          <w:szCs w:val="15"/>
          <w:color w:val="auto"/>
        </w:rPr>
        <w:t>turn rigorous scientific research into important new medicines. All nine of our approved medicines and almost all of the product candidates in our clinical pipeline are homegrown – discovered in Regeneron’s labs using our industry-leading, proprietary technologies. Our support for patients extends beyond the labs to disease education and awareness efforts, product support services, and our commitment to drug access and responsible pricing. We strive to make thoughtful and well-informed pricing decisions with fairness and affordability in mind and are guided in this endeavor by our board of directors, which is closely involved in and provides oversight of all key pricing determinations.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37</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48" w:name="page49"/>
    <w:bookmarkEnd w:id="48"/>
    <w:p>
      <w:pPr>
        <w:ind w:left="540"/>
        <w:spacing w:after="0"/>
        <w:rPr>
          <w:sz w:val="20"/>
          <w:szCs w:val="20"/>
          <w:color w:val="auto"/>
        </w:rPr>
      </w:pPr>
      <w:r>
        <w:rPr>
          <w:rFonts w:ascii="Arial" w:cs="Arial" w:eastAsia="Arial" w:hAnsi="Arial"/>
          <w:sz w:val="16"/>
          <w:szCs w:val="16"/>
          <w:b w:val="1"/>
          <w:bCs w:val="1"/>
          <w:color w:val="205BA8"/>
        </w:rPr>
        <w:t xml:space="preserve">THE COMPANY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C44E5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40" w:right="660"/>
        <w:spacing w:after="0"/>
        <w:rPr>
          <w:sz w:val="20"/>
          <w:szCs w:val="20"/>
          <w:color w:val="auto"/>
        </w:rPr>
      </w:pPr>
      <w:r>
        <w:rPr>
          <w:rFonts w:ascii="Arial" w:cs="Arial" w:eastAsia="Arial" w:hAnsi="Arial"/>
          <w:sz w:val="15"/>
          <w:szCs w:val="15"/>
          <w:color w:val="auto"/>
        </w:rPr>
        <w:t xml:space="preserve">In 2020, our commitment to improving lives was highlighted as more than three decades of Regeneron scientific and technological expertise culminated in two breakthrough achievements: the approval of Inmazeb by the U.S. Food and Drug Administration (“FDA”) for the treatment of infection caused by </w:t>
      </w:r>
      <w:r>
        <w:rPr>
          <w:rFonts w:ascii="Arial" w:cs="Arial" w:eastAsia="Arial" w:hAnsi="Arial"/>
          <w:sz w:val="15"/>
          <w:szCs w:val="15"/>
          <w:i w:val="1"/>
          <w:iCs w:val="1"/>
          <w:color w:val="auto"/>
        </w:rPr>
        <w:t>Zaire ebolavirus</w:t>
      </w:r>
      <w:r>
        <w:rPr>
          <w:rFonts w:ascii="Arial" w:cs="Arial" w:eastAsia="Arial" w:hAnsi="Arial"/>
          <w:sz w:val="15"/>
          <w:szCs w:val="15"/>
          <w:color w:val="auto"/>
        </w:rPr>
        <w:t xml:space="preserve"> and an FDA Emergency Use Authorization for REGEN-COV™ (casirivimab with imdevimab), our investigational dual antibody cocktail to the SARS-CoV-2 virus. We are proud of these scientific accomplishments and the potentially life-saving benefits they can deliver to patients. We are dedicated to making sure these new medicines are available to everyone who needs them, including those in low- and middle-income countries.</w:t>
      </w:r>
    </w:p>
    <w:p>
      <w:pPr>
        <w:spacing w:after="0" w:line="272" w:lineRule="exact"/>
        <w:rPr>
          <w:sz w:val="20"/>
          <w:szCs w:val="20"/>
          <w:color w:val="auto"/>
        </w:rPr>
      </w:pPr>
    </w:p>
    <w:p>
      <w:pPr>
        <w:ind w:left="540" w:right="640"/>
        <w:spacing w:after="0" w:line="231" w:lineRule="auto"/>
        <w:rPr>
          <w:sz w:val="20"/>
          <w:szCs w:val="20"/>
          <w:color w:val="auto"/>
        </w:rPr>
      </w:pPr>
      <w:r>
        <w:rPr>
          <w:rFonts w:ascii="Arial" w:cs="Arial" w:eastAsia="Arial" w:hAnsi="Arial"/>
          <w:sz w:val="15"/>
          <w:szCs w:val="15"/>
          <w:color w:val="auto"/>
        </w:rPr>
        <w:t>Since 2018, we have worked with the World Health Organization, FDA, and other global organizations to offer Inmazeb under a compassionate use protocol in response to Ebola outbreaks in affected African countries. In 2020, we established an internal access working group and proactively engaged public health agencies, non-governmental agencies, and others in our industry to ensure continued access to Inmazeb in low- and middle-income countries. Similarly, we are collaborating with Roche to increase global supply of REGEN-COV and share a commitment to support access in low- and middle-income countries through drug donations made in partnership with public health organizations.</w:t>
      </w:r>
    </w:p>
    <w:p>
      <w:pPr>
        <w:spacing w:after="0" w:line="124" w:lineRule="exact"/>
        <w:rPr>
          <w:sz w:val="20"/>
          <w:szCs w:val="20"/>
          <w:color w:val="auto"/>
        </w:rPr>
      </w:pPr>
    </w:p>
    <w:p>
      <w:pPr>
        <w:ind w:left="540" w:right="600"/>
        <w:spacing w:after="0" w:line="246" w:lineRule="auto"/>
        <w:rPr>
          <w:sz w:val="20"/>
          <w:szCs w:val="20"/>
          <w:color w:val="auto"/>
        </w:rPr>
      </w:pPr>
      <w:r>
        <w:rPr>
          <w:rFonts w:ascii="Arial" w:cs="Arial" w:eastAsia="Arial" w:hAnsi="Arial"/>
          <w:sz w:val="15"/>
          <w:szCs w:val="15"/>
          <w:b w:val="1"/>
          <w:bCs w:val="1"/>
          <w:color w:val="auto"/>
        </w:rPr>
        <w:t xml:space="preserve">Foster a culture of integrity and excellence. </w:t>
      </w:r>
      <w:r>
        <w:rPr>
          <w:rFonts w:ascii="Arial" w:cs="Arial" w:eastAsia="Arial" w:hAnsi="Arial"/>
          <w:sz w:val="15"/>
          <w:szCs w:val="15"/>
          <w:color w:val="auto"/>
        </w:rPr>
        <w:t>Regeneron’s unique culture makes us who we are. Our culture includes our science-led mindset, our</w:t>
      </w:r>
      <w:r>
        <w:rPr>
          <w:rFonts w:ascii="Arial" w:cs="Arial" w:eastAsia="Arial" w:hAnsi="Arial"/>
          <w:sz w:val="15"/>
          <w:szCs w:val="15"/>
          <w:b w:val="1"/>
          <w:bCs w:val="1"/>
          <w:color w:val="auto"/>
        </w:rPr>
        <w:t xml:space="preserve"> </w:t>
      </w:r>
      <w:r>
        <w:rPr>
          <w:rFonts w:ascii="Arial" w:cs="Arial" w:eastAsia="Arial" w:hAnsi="Arial"/>
          <w:sz w:val="15"/>
          <w:szCs w:val="15"/>
          <w:color w:val="auto"/>
        </w:rPr>
        <w:t>high ethical standards, and our unbridled focus on solving big, complex problems. As we continue to grow, we remain committed to making significant investments to attract and retain top talent and promote DE&amp;I within our workforce and our community.</w:t>
      </w:r>
    </w:p>
    <w:p>
      <w:pPr>
        <w:spacing w:after="0" w:line="136" w:lineRule="exact"/>
        <w:rPr>
          <w:sz w:val="20"/>
          <w:szCs w:val="20"/>
          <w:color w:val="auto"/>
        </w:rPr>
      </w:pPr>
    </w:p>
    <w:p>
      <w:pPr>
        <w:ind w:left="540" w:right="660"/>
        <w:spacing w:after="0" w:line="233" w:lineRule="auto"/>
        <w:rPr>
          <w:sz w:val="20"/>
          <w:szCs w:val="20"/>
          <w:color w:val="auto"/>
        </w:rPr>
      </w:pPr>
      <w:r>
        <w:rPr>
          <w:rFonts w:ascii="Arial" w:cs="Arial" w:eastAsia="Arial" w:hAnsi="Arial"/>
          <w:sz w:val="15"/>
          <w:szCs w:val="15"/>
          <w:color w:val="auto"/>
        </w:rPr>
        <w:t>The well-being of our employees is a primary focus. In response to the COVID-19 pandemic, we implemented changes in our business beginning in March 2020 to protect our employees and support appropriate health and safety protocols, including regular COVID-19 testing for designated employees and contractors who remain onsite in our laboratories and manufacturing facilities and work-from-home policies for a significant portion of our employees.</w:t>
      </w:r>
    </w:p>
    <w:p>
      <w:pPr>
        <w:spacing w:after="0" w:line="140" w:lineRule="exact"/>
        <w:rPr>
          <w:sz w:val="20"/>
          <w:szCs w:val="20"/>
          <w:color w:val="auto"/>
        </w:rPr>
      </w:pPr>
    </w:p>
    <w:p>
      <w:pPr>
        <w:ind w:left="540" w:right="560"/>
        <w:spacing w:after="0" w:line="229" w:lineRule="auto"/>
        <w:rPr>
          <w:sz w:val="20"/>
          <w:szCs w:val="20"/>
          <w:color w:val="auto"/>
        </w:rPr>
      </w:pPr>
      <w:r>
        <w:rPr>
          <w:rFonts w:ascii="Arial" w:cs="Arial" w:eastAsia="Arial" w:hAnsi="Arial"/>
          <w:sz w:val="15"/>
          <w:szCs w:val="15"/>
          <w:color w:val="auto"/>
        </w:rPr>
        <w:t>We also continue to strengthen our commitment to DE&amp;I. We appointed an interim DE&amp;I leader in July 2020 and hired our permanent Chief DE&amp;I Officer in January 2021 to advance our strategy. We took important steps to build a more diverse and inclusive workforce, such as launching mandatory inclusion trainings and expanding our diversity-focused recruitment efforts in 2020 and 2021 to date. Our DE&amp;I efforts in 2020 also extended to our communities, including launching a double-matching gift campaign under the Regeneron Matching Gift Program to support racial equity and justice efforts and establishing a leadership-led taskforce focused on enhancing patient diversity in clinical trials. We also continued to enhance our DE&amp;I disclosures, including by reporting progress and metrics in our 2020 Responsibility Report and publishing consolidated EEO-1 data (data from annual reports submitted to the U.S. Equal Employment Opportunity Commission) on our website.</w:t>
      </w:r>
    </w:p>
    <w:p>
      <w:pPr>
        <w:spacing w:after="0" w:line="144" w:lineRule="exact"/>
        <w:rPr>
          <w:sz w:val="20"/>
          <w:szCs w:val="20"/>
          <w:color w:val="auto"/>
        </w:rPr>
      </w:pPr>
    </w:p>
    <w:p>
      <w:pPr>
        <w:ind w:left="540" w:right="620"/>
        <w:spacing w:after="0" w:line="235" w:lineRule="auto"/>
        <w:rPr>
          <w:sz w:val="20"/>
          <w:szCs w:val="20"/>
          <w:color w:val="auto"/>
        </w:rPr>
      </w:pPr>
      <w:r>
        <w:rPr>
          <w:rFonts w:ascii="Arial" w:cs="Arial" w:eastAsia="Arial" w:hAnsi="Arial"/>
          <w:sz w:val="15"/>
          <w:szCs w:val="15"/>
          <w:color w:val="auto"/>
        </w:rPr>
        <w:t>We are equally committed to conducting our business responsibly and ethically. This is demonstrated through the range of policies, practices, and initiatives we have implemented, encompassing areas such as compliance, responsible sales and marketing, ethical clinical trials, responsible supply chain, and product quality and safety.</w:t>
      </w:r>
    </w:p>
    <w:p>
      <w:pPr>
        <w:spacing w:after="0" w:line="123" w:lineRule="exact"/>
        <w:rPr>
          <w:sz w:val="20"/>
          <w:szCs w:val="20"/>
          <w:color w:val="auto"/>
        </w:rPr>
      </w:pPr>
    </w:p>
    <w:p>
      <w:pPr>
        <w:ind w:left="540" w:right="600"/>
        <w:spacing w:after="0" w:line="246" w:lineRule="auto"/>
        <w:rPr>
          <w:sz w:val="20"/>
          <w:szCs w:val="20"/>
          <w:color w:val="auto"/>
        </w:rPr>
      </w:pPr>
      <w:r>
        <w:rPr>
          <w:rFonts w:ascii="Arial" w:cs="Arial" w:eastAsia="Arial" w:hAnsi="Arial"/>
          <w:sz w:val="15"/>
          <w:szCs w:val="15"/>
          <w:b w:val="1"/>
          <w:bCs w:val="1"/>
          <w:color w:val="auto"/>
        </w:rPr>
        <w:t xml:space="preserve">Build sustainable communities. </w:t>
      </w:r>
      <w:r>
        <w:rPr>
          <w:rFonts w:ascii="Arial" w:cs="Arial" w:eastAsia="Arial" w:hAnsi="Arial"/>
          <w:sz w:val="15"/>
          <w:szCs w:val="15"/>
          <w:color w:val="auto"/>
        </w:rPr>
        <w:t>We believe that our role in creating a healthier world extends beyond creating life-transforming medicines to</w:t>
      </w:r>
      <w:r>
        <w:rPr>
          <w:rFonts w:ascii="Arial" w:cs="Arial" w:eastAsia="Arial" w:hAnsi="Arial"/>
          <w:sz w:val="15"/>
          <w:szCs w:val="15"/>
          <w:b w:val="1"/>
          <w:bCs w:val="1"/>
          <w:color w:val="auto"/>
        </w:rPr>
        <w:t xml:space="preserve"> </w:t>
      </w:r>
      <w:r>
        <w:rPr>
          <w:rFonts w:ascii="Arial" w:cs="Arial" w:eastAsia="Arial" w:hAnsi="Arial"/>
          <w:sz w:val="15"/>
          <w:szCs w:val="15"/>
          <w:color w:val="auto"/>
        </w:rPr>
        <w:t>building a healthy living environment. In 2019, in connection with the selection of our 2025 responsibility goals, we set ambitious medium- and longer-term environmental sustainability targets. We began reporting on our progress toward these goals and targets in our 2020 Responsibility Report.</w:t>
      </w:r>
    </w:p>
    <w:p>
      <w:pPr>
        <w:spacing w:after="0" w:line="136" w:lineRule="exact"/>
        <w:rPr>
          <w:sz w:val="20"/>
          <w:szCs w:val="20"/>
          <w:color w:val="auto"/>
        </w:rPr>
      </w:pPr>
    </w:p>
    <w:p>
      <w:pPr>
        <w:ind w:left="540" w:right="580"/>
        <w:spacing w:after="0" w:line="230" w:lineRule="auto"/>
        <w:rPr>
          <w:sz w:val="20"/>
          <w:szCs w:val="20"/>
          <w:color w:val="auto"/>
        </w:rPr>
      </w:pPr>
      <w:r>
        <w:rPr>
          <w:rFonts w:ascii="Arial" w:cs="Arial" w:eastAsia="Arial" w:hAnsi="Arial"/>
          <w:sz w:val="15"/>
          <w:szCs w:val="15"/>
          <w:color w:val="auto"/>
        </w:rPr>
        <w:t>We also strengthen our communities through strategic philanthropic investments, product donations, and the power of our employees’ talents and time. We are a long-standing supporter of science, technology, engineering and math (“STEM”) education, and make major philanthropic investments to inspire and celebrate future scientific innovators, including our ten-year, $ 100-million commitment to the Regeneron Science Talent Search, the nation’s most prestigious pre-college science and mathematics competition; and our five-year, $24-million commitment to the Regeneron International Science and Engineering Fair, the world’s largest pre-college science and engineering competition, which commenced in 2020. Overall, STEM education represented approximately 93% of our corporate philanthropy grants made in 2020, not including medical grants and matched funds.</w:t>
      </w:r>
    </w:p>
    <w:p>
      <w:pPr>
        <w:spacing w:after="0" w:line="286"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38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9" w:name="page50"/>
    <w:bookmarkEnd w:id="49"/>
    <w:p>
      <w:pPr>
        <w:jc w:val="right"/>
        <w:ind w:right="540"/>
        <w:spacing w:after="0"/>
        <w:rPr>
          <w:sz w:val="20"/>
          <w:szCs w:val="20"/>
          <w:color w:val="auto"/>
        </w:rPr>
      </w:pPr>
      <w:r>
        <w:rPr>
          <w:rFonts w:ascii="Arial" w:cs="Arial" w:eastAsia="Arial" w:hAnsi="Arial"/>
          <w:sz w:val="16"/>
          <w:szCs w:val="16"/>
          <w:b w:val="1"/>
          <w:bCs w:val="1"/>
          <w:color w:val="205BA8"/>
        </w:rPr>
        <w:t xml:space="preserve">THE COMPANY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C44E5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40" w:right="580"/>
        <w:spacing w:after="0" w:line="231" w:lineRule="auto"/>
        <w:rPr>
          <w:sz w:val="20"/>
          <w:szCs w:val="20"/>
          <w:color w:val="auto"/>
        </w:rPr>
      </w:pPr>
      <w:r>
        <w:rPr>
          <w:rFonts w:ascii="Arial" w:cs="Arial" w:eastAsia="Arial" w:hAnsi="Arial"/>
          <w:sz w:val="15"/>
          <w:szCs w:val="15"/>
          <w:color w:val="auto"/>
        </w:rPr>
        <w:t>In 2020, despite the personal challenges of the COVID-19 pandemic, our employees mobilized to give back to our communities. Nearly 3,000 Regeneron worldwide employees volunteered more than 7,600 hours to local non-profit organizations through our volunteer programs, including our annual Day for Doing Good. For the first time, this company-wide volunteer event was held virtually over the course of a week to allow greater flexibility. We also engaged employees through our Regeneron Matching Gift Program, offering two double-matching gift campaigns — one to support COVID-19 response efforts and the other to support racial equity and justice efforts.</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are proud to have been named to the Civic 50 for the fourth consecutive year and honored for the first time as the sector leader for healthcare.</w:t>
      </w:r>
    </w:p>
    <w:p>
      <w:pPr>
        <w:ind w:left="540"/>
        <w:spacing w:after="0"/>
        <w:rPr>
          <w:sz w:val="20"/>
          <w:szCs w:val="20"/>
          <w:color w:val="auto"/>
        </w:rPr>
      </w:pPr>
      <w:r>
        <w:rPr>
          <w:rFonts w:ascii="Arial" w:cs="Arial" w:eastAsia="Arial" w:hAnsi="Arial"/>
          <w:sz w:val="15"/>
          <w:szCs w:val="15"/>
          <w:color w:val="auto"/>
        </w:rPr>
        <w:t>The Civic 50 recognizes the most community-minded companies in the United States.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more information about our responsibility efforts and results, please refer to the 2020 Responsibility Report available on our website.</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PUBLIC POLICY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96" w:lineRule="exact"/>
        <w:rPr>
          <w:sz w:val="20"/>
          <w:szCs w:val="20"/>
          <w:color w:val="auto"/>
        </w:rPr>
      </w:pPr>
    </w:p>
    <w:p>
      <w:pPr>
        <w:ind w:left="540" w:right="920"/>
        <w:spacing w:after="0" w:line="231" w:lineRule="auto"/>
        <w:rPr>
          <w:sz w:val="20"/>
          <w:szCs w:val="20"/>
          <w:color w:val="auto"/>
        </w:rPr>
      </w:pPr>
      <w:r>
        <w:rPr>
          <w:rFonts w:ascii="Arial" w:cs="Arial" w:eastAsia="Arial" w:hAnsi="Arial"/>
          <w:sz w:val="15"/>
          <w:szCs w:val="15"/>
          <w:color w:val="auto"/>
        </w:rPr>
        <w:t xml:space="preserve">We are committed to adhering to the highest ethical standards when engaging in any political activities. Reflecting this commitment, the board of directors (upon the recommendation of the Corporate Governance and Compliance Committee) has adopted the Company’s Corporate Political Contributions Policy, a formal written policy that, together with our code of business conduct and ethics, sets forth our policies and procedures on political contributions and political activity. The policy is available on our website at </w:t>
      </w:r>
      <w:r>
        <w:rPr>
          <w:rFonts w:ascii="Arial" w:cs="Arial" w:eastAsia="Arial" w:hAnsi="Arial"/>
          <w:sz w:val="15"/>
          <w:szCs w:val="15"/>
          <w:b w:val="1"/>
          <w:bCs w:val="1"/>
          <w:color w:val="auto"/>
        </w:rPr>
        <w:t>www.regeneron.com</w:t>
      </w:r>
      <w:r>
        <w:rPr>
          <w:rFonts w:ascii="Arial" w:cs="Arial" w:eastAsia="Arial" w:hAnsi="Arial"/>
          <w:sz w:val="15"/>
          <w:szCs w:val="15"/>
          <w:color w:val="auto"/>
        </w:rPr>
        <w:t xml:space="preserve"> under the “Transparency &amp; Policies” heading on the “Responsibility” page.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39</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50" w:name="page51"/>
    <w:bookmarkEnd w:id="50"/>
    <w:p>
      <w:pPr>
        <w:ind w:left="540" w:right="1240"/>
        <w:spacing w:after="0" w:line="284" w:lineRule="auto"/>
        <w:rPr>
          <w:sz w:val="20"/>
          <w:szCs w:val="20"/>
          <w:color w:val="auto"/>
        </w:rPr>
      </w:pPr>
      <w:r>
        <w:rPr>
          <w:rFonts w:ascii="Arial" w:cs="Arial" w:eastAsia="Arial" w:hAnsi="Arial"/>
          <w:sz w:val="68"/>
          <w:szCs w:val="68"/>
          <w:b w:val="1"/>
          <w:bCs w:val="1"/>
          <w:color w:val="205BA8"/>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8173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t>DELINQUENT SECTION 16(a) REPORTS</w:t>
      </w:r>
    </w:p>
    <w:p>
      <w:pPr>
        <w:spacing w:after="0" w:line="200" w:lineRule="exact"/>
        <w:rPr>
          <w:sz w:val="20"/>
          <w:szCs w:val="20"/>
          <w:color w:val="auto"/>
        </w:rPr>
      </w:pPr>
    </w:p>
    <w:p>
      <w:pPr>
        <w:spacing w:after="0" w:line="325" w:lineRule="exact"/>
        <w:rPr>
          <w:sz w:val="20"/>
          <w:szCs w:val="20"/>
          <w:color w:val="auto"/>
        </w:rPr>
      </w:pPr>
    </w:p>
    <w:p>
      <w:pPr>
        <w:ind w:left="540" w:right="660"/>
        <w:spacing w:after="0" w:line="233" w:lineRule="auto"/>
        <w:rPr>
          <w:sz w:val="20"/>
          <w:szCs w:val="20"/>
          <w:color w:val="auto"/>
        </w:rPr>
      </w:pPr>
      <w:r>
        <w:rPr>
          <w:rFonts w:ascii="Arial" w:cs="Arial" w:eastAsia="Arial" w:hAnsi="Arial"/>
          <w:sz w:val="15"/>
          <w:szCs w:val="15"/>
          <w:color w:val="auto"/>
        </w:rPr>
        <w:t>Based solely upon a review of reports filed pursuant to Section 16(a) of the Exchange Act furnished to the Company during or in respect of the fiscal year ended December 31, 2020 and written representations from reporting persons, the Company is not aware of any director, executive officer, or beneficial owner of more than 10% of our common stock who has not filed on a timely basis any report required by such Section 16(a), other than as noted below.</w:t>
      </w:r>
    </w:p>
    <w:p>
      <w:pPr>
        <w:spacing w:after="0" w:line="140" w:lineRule="exact"/>
        <w:rPr>
          <w:sz w:val="20"/>
          <w:szCs w:val="20"/>
          <w:color w:val="auto"/>
        </w:rPr>
      </w:pPr>
    </w:p>
    <w:p>
      <w:pPr>
        <w:ind w:left="540" w:right="1100"/>
        <w:spacing w:after="0" w:line="233" w:lineRule="auto"/>
        <w:rPr>
          <w:sz w:val="20"/>
          <w:szCs w:val="20"/>
          <w:color w:val="auto"/>
        </w:rPr>
      </w:pPr>
      <w:r>
        <w:rPr>
          <w:rFonts w:ascii="Arial" w:cs="Arial" w:eastAsia="Arial" w:hAnsi="Arial"/>
          <w:sz w:val="15"/>
          <w:szCs w:val="15"/>
          <w:color w:val="auto"/>
        </w:rPr>
        <w:t>Due to administrative oversight, one stock option exercise and sale transaction for Ms. McCourt was not reported timely, resulting in one Form 4 not having been filed for her on a timely basis; and due to administrative oversight resulting in part from communications with the reporting person’s broker, two gifts for Mr. Ryan exempt from Section 16(b) of the Exchange Act were not reported timely, resulting in one Form 5 not having been filed for him on a timely basis.</w:t>
      </w:r>
    </w:p>
    <w:p>
      <w:pPr>
        <w:spacing w:after="0" w:line="284"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40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25" w:right="339" w:bottom="1440" w:gutter="0" w:footer="0" w:header="0"/>
        </w:sectPr>
      </w:pPr>
    </w:p>
    <w:bookmarkStart w:id="51" w:name="page52"/>
    <w:bookmarkEnd w:id="51"/>
    <w:p>
      <w:pPr>
        <w:ind w:left="540" w:right="220"/>
        <w:spacing w:after="0" w:line="284" w:lineRule="auto"/>
        <w:rPr>
          <w:sz w:val="20"/>
          <w:szCs w:val="20"/>
          <w:color w:val="auto"/>
        </w:rPr>
      </w:pPr>
      <w:r>
        <w:rPr>
          <w:rFonts w:ascii="Arial" w:cs="Arial" w:eastAsia="Arial" w:hAnsi="Arial"/>
          <w:sz w:val="68"/>
          <w:szCs w:val="68"/>
          <w:b w:val="1"/>
          <w:bCs w:val="1"/>
          <w:color w:val="205BA8"/>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8173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t>CERTAIN RELATIONSHIPS AND RELATED TRANSACTIONS</w:t>
      </w:r>
    </w:p>
    <w:p>
      <w:pPr>
        <w:spacing w:after="0" w:line="200" w:lineRule="exact"/>
        <w:rPr>
          <w:sz w:val="20"/>
          <w:szCs w:val="20"/>
          <w:color w:val="auto"/>
        </w:rPr>
      </w:pPr>
    </w:p>
    <w:p>
      <w:pPr>
        <w:spacing w:after="0" w:line="288" w:lineRule="exact"/>
        <w:rPr>
          <w:sz w:val="20"/>
          <w:szCs w:val="20"/>
          <w:color w:val="auto"/>
        </w:rPr>
      </w:pPr>
    </w:p>
    <w:p>
      <w:pPr>
        <w:ind w:left="540" w:right="1520"/>
        <w:spacing w:after="0" w:line="278" w:lineRule="auto"/>
        <w:rPr>
          <w:sz w:val="20"/>
          <w:szCs w:val="20"/>
          <w:color w:val="auto"/>
        </w:rPr>
      </w:pPr>
      <w:r>
        <w:rPr>
          <w:rFonts w:ascii="Arial" w:cs="Arial" w:eastAsia="Arial" w:hAnsi="Arial"/>
          <w:sz w:val="29"/>
          <w:szCs w:val="29"/>
          <w:b w:val="1"/>
          <w:bCs w:val="1"/>
          <w:color w:val="C44E5E"/>
        </w:rPr>
        <w:t>REVIEW, APPROVAL, OR RATIFICATION OF 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-35560</wp:posOffset>
            </wp:positionV>
            <wp:extent cx="64465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95" w:lineRule="exact"/>
        <w:rPr>
          <w:sz w:val="20"/>
          <w:szCs w:val="20"/>
          <w:color w:val="auto"/>
        </w:rPr>
      </w:pPr>
    </w:p>
    <w:p>
      <w:pPr>
        <w:ind w:left="540" w:right="560"/>
        <w:spacing w:after="0" w:line="227" w:lineRule="auto"/>
        <w:rPr>
          <w:sz w:val="20"/>
          <w:szCs w:val="20"/>
          <w:color w:val="auto"/>
        </w:rPr>
      </w:pPr>
      <w:r>
        <w:rPr>
          <w:rFonts w:ascii="Arial" w:cs="Arial" w:eastAsia="Arial" w:hAnsi="Arial"/>
          <w:sz w:val="15"/>
          <w:szCs w:val="15"/>
          <w:color w:val="auto"/>
        </w:rPr>
        <w:t>The board of directors has adopted a written policy for the review, approval, or ratification of related person transactions. The Company considers transactions (or a series of related transactions) in which the Company is a participant, the amount involved exceeds $10,000 in any calendar year, and a director, officer, more than 5% holder of our voting securities, any immediate family member of any of the foregoing, or any related entity of any of the foregoing has a direct or indirect material interest to constitute related person transactions. The policy provides for a standing pre-approval of transactions with any passive institutional shareholder who holds more than 5% of our voting securities, transactions where all shareholders receive proportional benefits, and certain transactions with Sanofi to the extent such transactions constitute a related person transaction under the policy. With respect to any new transaction that is deemed pre-approved, the Audit Committee receives a summary of each such transaction and retains the ability to require that one or more of such transactions be subject to the standard approval procedures. The policy also requires that the arrangements relating to a permanent, full-time employment of an immediate family member of a director or executive officer hired by the Company be approved in accordance with the policy. In addition, in the event a person is or becomes a director or executive officer of the Company and an immediate family member of such person is a permanent, full-time employee of the Company, no material, outside-of-the-ordinary-course-of-business change in the terms of employment, including compensation, are permitted to be made without the prior approval of the Audit Committee (except, if the immediate family member is himself or herself an executive officer of the Company, any proposed change in the terms of employment are reviewed and approved in the same manner as compensatory arrangements of other executive officers).</w:t>
      </w:r>
    </w:p>
    <w:p>
      <w:pPr>
        <w:spacing w:after="0" w:line="146" w:lineRule="exact"/>
        <w:rPr>
          <w:sz w:val="20"/>
          <w:szCs w:val="20"/>
          <w:color w:val="auto"/>
        </w:rPr>
      </w:pPr>
    </w:p>
    <w:p>
      <w:pPr>
        <w:ind w:left="540" w:right="760"/>
        <w:spacing w:after="0" w:line="231" w:lineRule="auto"/>
        <w:rPr>
          <w:sz w:val="20"/>
          <w:szCs w:val="20"/>
          <w:color w:val="auto"/>
        </w:rPr>
      </w:pPr>
      <w:r>
        <w:rPr>
          <w:rFonts w:ascii="Arial" w:cs="Arial" w:eastAsia="Arial" w:hAnsi="Arial"/>
          <w:sz w:val="15"/>
          <w:szCs w:val="15"/>
          <w:color w:val="auto"/>
        </w:rPr>
        <w:t>The board of directors has determined that the members of the Audit Committee are best suited to review and approve related person transactions. Accordingly, each related person transaction (other than a transaction that is deemed pre-approved as described above) must be reviewed and approved or ratified by the members of the Audit Committee, other than any member of the Audit Committee that has an interest in the transaction. Under the policy, the Chairman of the Audit Committee is delegated the authority to approve certain related person transactions that require urgent review and approval.</w:t>
      </w:r>
    </w:p>
    <w:p>
      <w:pPr>
        <w:spacing w:after="0" w:line="142" w:lineRule="exact"/>
        <w:rPr>
          <w:sz w:val="20"/>
          <w:szCs w:val="20"/>
          <w:color w:val="auto"/>
        </w:rPr>
      </w:pPr>
    </w:p>
    <w:p>
      <w:pPr>
        <w:ind w:left="540" w:right="660"/>
        <w:spacing w:after="0" w:line="231" w:lineRule="auto"/>
        <w:rPr>
          <w:sz w:val="20"/>
          <w:szCs w:val="20"/>
          <w:color w:val="auto"/>
        </w:rPr>
      </w:pPr>
      <w:r>
        <w:rPr>
          <w:rFonts w:ascii="Arial" w:cs="Arial" w:eastAsia="Arial" w:hAnsi="Arial"/>
          <w:sz w:val="15"/>
          <w:szCs w:val="15"/>
          <w:color w:val="auto"/>
        </w:rPr>
        <w:t>When reviewing, approving, or ratifying a related person transaction, the Audit Committee will consider several factors, including the benefits to the Company, the impact on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Chairman of the Audit Committee pursuant to delegated authority in the circumstances noted above) determines that they are in, or are not inconsistent with, the best interests of the Company and our shareholders.</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05BA8"/>
        </w:rPr>
        <w:t>Collaborations with Sanofi</w:t>
      </w:r>
    </w:p>
    <w:p>
      <w:pPr>
        <w:spacing w:after="0" w:line="177" w:lineRule="exact"/>
        <w:rPr>
          <w:sz w:val="20"/>
          <w:szCs w:val="20"/>
          <w:color w:val="auto"/>
        </w:rPr>
      </w:pPr>
    </w:p>
    <w:p>
      <w:pPr>
        <w:ind w:left="540" w:right="640"/>
        <w:spacing w:after="0"/>
        <w:rPr>
          <w:sz w:val="20"/>
          <w:szCs w:val="20"/>
          <w:color w:val="auto"/>
        </w:rPr>
      </w:pPr>
      <w:r>
        <w:rPr>
          <w:rFonts w:ascii="Arial" w:cs="Arial" w:eastAsia="Arial" w:hAnsi="Arial"/>
          <w:sz w:val="15"/>
          <w:szCs w:val="15"/>
          <w:color w:val="auto"/>
        </w:rPr>
        <w:t>Prior to the completion of the Secondary Offering and Stock Purchase (each as defined below), Sanofi was considered a related person of the Company. In May 2020, a secondary offering of 13,014,646 shares of our Common Stock held by Sanofi was completed (the “Secondary Offering”) and we also purchased 9,806,805 shares directly from Sanofi for an aggregate purchase amount of $5 billion (the “Stock Purchase”). Pursuant to the Secondary Offering and Stock Purchase, Sanofi disposed of all of its shares of common stock in Regeneron, other than 400,000 shares that it retained as of the closing of these transactions, and Sanofi ceased to be a related person of the Company effective as of the closing of these transactions.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41</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1325" w:right="339" w:bottom="1440" w:gutter="0" w:footer="0" w:header="0"/>
        </w:sectPr>
      </w:pPr>
    </w:p>
    <w:bookmarkStart w:id="52" w:name="page53"/>
    <w:bookmarkEnd w:id="52"/>
    <w:p>
      <w:pPr>
        <w:ind w:left="540"/>
        <w:spacing w:after="0"/>
        <w:rPr>
          <w:sz w:val="20"/>
          <w:szCs w:val="20"/>
          <w:color w:val="auto"/>
        </w:rPr>
      </w:pPr>
      <w:r>
        <w:rPr>
          <w:rFonts w:ascii="Arial" w:cs="Arial" w:eastAsia="Arial" w:hAnsi="Arial"/>
          <w:sz w:val="16"/>
          <w:szCs w:val="16"/>
          <w:b w:val="1"/>
          <w:bCs w:val="1"/>
          <w:color w:val="205BA8"/>
        </w:rPr>
        <w:t xml:space="preserve">THE COMPANY / </w:t>
      </w:r>
      <w:r>
        <w:rPr>
          <w:rFonts w:ascii="Arial" w:cs="Arial" w:eastAsia="Arial" w:hAnsi="Arial"/>
          <w:sz w:val="16"/>
          <w:szCs w:val="16"/>
          <w:b w:val="1"/>
          <w:bCs w:val="1"/>
          <w:color w:val="C44E5E"/>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40" w:right="580"/>
        <w:spacing w:after="0" w:line="228" w:lineRule="auto"/>
        <w:rPr>
          <w:sz w:val="20"/>
          <w:szCs w:val="20"/>
          <w:color w:val="auto"/>
        </w:rPr>
      </w:pPr>
      <w:r>
        <w:rPr>
          <w:rFonts w:ascii="Arial" w:cs="Arial" w:eastAsia="Arial" w:hAnsi="Arial"/>
          <w:sz w:val="15"/>
          <w:szCs w:val="15"/>
          <w:color w:val="auto"/>
        </w:rPr>
        <w:t>In 2020, Sanofi funded $954.1 million of our development and other costs (including $359.4 million of commercialization-related expenses and $368.0 million in connection with reimbursements for manufacturing commercial supplies) under the Amended and Restated License and Collaboration Agreement, as amended (the “Antibody License and Collaboration Agreement”). In 2020, we also funded an aggregate of $99.1 million of Sanofi’s development and other costs under the Antibody License and Collaboration Agreement. In addition, in 2020, we and Sanofi shared profits in connection with commercialization-related activities, which resulted in us receiving $785.2 million of such profits in the aggregate. We also earned a $50.0 million sales-based milestone payment from Sanofi in 2020. Effective April 1, 2020, we and Sanofi amended the Antibody License and Collaboration Agreement to remove Praluent from the agreement such that, among other things, the agreement no longer governs the development, manufacture, or commercialization of Praluent; and we and Sanofi entered into the Praluent Cross License &amp; Commercialization Agreement whereby we, at our sole cost, are solely responsible for the development and commercialization of Praluent in the United States, and Sanofi, at its sole cost, is solely responsible for the development and commercialization of Praluent outside of the United States. Under the Praluent Cross License &amp; Commercialization Agreement, Sanofi pays us a 5% royalty on Sanofi’s net product sales of Praluent outside the United States until March 31, 2032.</w:t>
      </w:r>
    </w:p>
    <w:p>
      <w:pPr>
        <w:spacing w:after="0" w:line="142" w:lineRule="exact"/>
        <w:rPr>
          <w:sz w:val="20"/>
          <w:szCs w:val="20"/>
          <w:color w:val="auto"/>
        </w:rPr>
      </w:pPr>
    </w:p>
    <w:p>
      <w:pPr>
        <w:ind w:left="540" w:right="760"/>
        <w:spacing w:after="0" w:line="231" w:lineRule="auto"/>
        <w:rPr>
          <w:sz w:val="20"/>
          <w:szCs w:val="20"/>
          <w:color w:val="auto"/>
        </w:rPr>
      </w:pPr>
      <w:r>
        <w:rPr>
          <w:rFonts w:ascii="Arial" w:cs="Arial" w:eastAsia="Arial" w:hAnsi="Arial"/>
          <w:sz w:val="15"/>
          <w:szCs w:val="15"/>
          <w:color w:val="auto"/>
        </w:rPr>
        <w:t>In 2020, Sanofi also funded an aggregate of $166.2 million of our research and development expenses under the Amended and Restated Immuno-oncology Discovery and Development Agreement and the Immuno-oncology License and Collaboration Agreement. In addition, in 2020, Sanofi funded $ 64.7 million of commercialization-related expenses and $8.9 million in connection with reimbursements for manufacturing commercial supplies under the Immuno-oncology License and Collaboration Agreement. During 2020, we also recognized $210.6 million of revenue that was previously deferred from upfront payments received.</w:t>
      </w:r>
    </w:p>
    <w:p>
      <w:pPr>
        <w:spacing w:after="0" w:line="142" w:lineRule="exact"/>
        <w:rPr>
          <w:sz w:val="20"/>
          <w:szCs w:val="20"/>
          <w:color w:val="auto"/>
        </w:rPr>
      </w:pPr>
    </w:p>
    <w:p>
      <w:pPr>
        <w:ind w:left="540" w:right="560"/>
        <w:spacing w:after="0" w:line="235" w:lineRule="auto"/>
        <w:rPr>
          <w:sz w:val="20"/>
          <w:szCs w:val="20"/>
          <w:color w:val="auto"/>
        </w:rPr>
      </w:pPr>
      <w:r>
        <w:rPr>
          <w:rFonts w:ascii="Arial" w:cs="Arial" w:eastAsia="Arial" w:hAnsi="Arial"/>
          <w:sz w:val="15"/>
          <w:szCs w:val="15"/>
          <w:color w:val="auto"/>
        </w:rPr>
        <w:t>A description of our antibody collaboration and our immuno-oncology collaboration with Sanofi is set forth in Note 3 to our audited financial statements for the fiscal year ended December 31, 2020 included in the 2020 Annual Report under the heading “a. Sanofi—Antibody” and “a. Sanofi—Immuno-Oncology,” respectively.</w:t>
      </w:r>
    </w:p>
    <w:p>
      <w:pPr>
        <w:spacing w:after="0" w:line="141" w:lineRule="exact"/>
        <w:rPr>
          <w:sz w:val="20"/>
          <w:szCs w:val="20"/>
          <w:color w:val="auto"/>
        </w:rPr>
      </w:pPr>
    </w:p>
    <w:p>
      <w:pPr>
        <w:ind w:left="540" w:right="940"/>
        <w:spacing w:after="0" w:line="242" w:lineRule="auto"/>
        <w:rPr>
          <w:sz w:val="20"/>
          <w:szCs w:val="20"/>
          <w:color w:val="auto"/>
        </w:rPr>
      </w:pPr>
      <w:r>
        <w:rPr>
          <w:rFonts w:ascii="Arial" w:cs="Arial" w:eastAsia="Arial" w:hAnsi="Arial"/>
          <w:sz w:val="15"/>
          <w:szCs w:val="15"/>
          <w:color w:val="auto"/>
        </w:rPr>
        <w:t>In 2020, we recorded $124.7 million of revenue primarily related to a percentage of net sales of Praluent (commencing effective April 1, 2020, as described above) and ZALTRAP and manufacturing Praluent and ZALTRAP commercial supplies for Sanofi.</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05BA8"/>
        </w:rPr>
        <w:t>Amended and Restated Investor Agreement with Sanofi; 2018 Letter Agreement</w:t>
      </w:r>
    </w:p>
    <w:p>
      <w:pPr>
        <w:spacing w:after="0" w:line="177" w:lineRule="exact"/>
        <w:rPr>
          <w:sz w:val="20"/>
          <w:szCs w:val="20"/>
          <w:color w:val="auto"/>
        </w:rPr>
      </w:pPr>
    </w:p>
    <w:p>
      <w:pPr>
        <w:ind w:left="540" w:right="560"/>
        <w:spacing w:after="0" w:line="228" w:lineRule="auto"/>
        <w:rPr>
          <w:sz w:val="20"/>
          <w:szCs w:val="20"/>
          <w:color w:val="auto"/>
        </w:rPr>
      </w:pPr>
      <w:r>
        <w:rPr>
          <w:rFonts w:ascii="Arial" w:cs="Arial" w:eastAsia="Arial" w:hAnsi="Arial"/>
          <w:sz w:val="15"/>
          <w:szCs w:val="15"/>
          <w:color w:val="auto"/>
        </w:rPr>
        <w:t>In January 2014, we entered into an Amended and Restated Investor Agreement with Sanofi, which was subsequently amended effective as of January 7, 2018 by the letter agreement discussed below and as of May 25, 2020 in connection with the Secondary Offering and the Stock Purchase. Pursuant to the Amended and Restated Investor Agreement, Sanofi must vote its shares retained following the Secondary Offering and the Stock Purchase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 In addition, Sanofi is bound by certain “standstill” provisions under the Amended and Restated Investor Agreement, which contractually prohibit Sanofi from seeking to directly or indirectly exert control of Regeneron or acquiring more than 30% of our Class A stock and common stock (taken together). This prohibition will remain in place until the earliest of (i) the later of the fifth anniversaries of the expiration or earlier termination of our Antibody License and Collaboration Agreement with Sanofi or our ZALTRAP collaboration agreement with Sanofi, each as amended; or (ii) other specified events.</w:t>
      </w:r>
    </w:p>
    <w:p>
      <w:pPr>
        <w:spacing w:after="0" w:line="142" w:lineRule="exact"/>
        <w:rPr>
          <w:sz w:val="20"/>
          <w:szCs w:val="20"/>
          <w:color w:val="auto"/>
        </w:rPr>
      </w:pPr>
    </w:p>
    <w:p>
      <w:pPr>
        <w:ind w:left="540" w:right="580"/>
        <w:spacing w:after="0" w:line="233" w:lineRule="auto"/>
        <w:rPr>
          <w:sz w:val="20"/>
          <w:szCs w:val="20"/>
          <w:color w:val="auto"/>
        </w:rPr>
      </w:pPr>
      <w:r>
        <w:rPr>
          <w:rFonts w:ascii="Arial" w:cs="Arial" w:eastAsia="Arial" w:hAnsi="Arial"/>
          <w:sz w:val="15"/>
          <w:szCs w:val="15"/>
          <w:color w:val="auto"/>
        </w:rPr>
        <w:t>Prior to the May 2020 amendment, under the Amended and Restated Investor Agreement Sanofi had the right to designate an independent board member to our board of directors and Sanofi had certain demand rights to require us to use all reasonable efforts to conduct a registered underwritten offering with respect to shares of our common stock held by Sanofi from time to time. These provisions of the Amended and Restated Investor Agreement, among others, were terminated in connection with the Secondary Offering and Stock Purchase.</w:t>
      </w:r>
    </w:p>
    <w:p>
      <w:pPr>
        <w:spacing w:after="0" w:line="140" w:lineRule="exact"/>
        <w:rPr>
          <w:sz w:val="20"/>
          <w:szCs w:val="20"/>
          <w:color w:val="auto"/>
        </w:rPr>
      </w:pPr>
    </w:p>
    <w:p>
      <w:pPr>
        <w:ind w:left="540" w:right="700"/>
        <w:spacing w:after="0" w:line="242" w:lineRule="auto"/>
        <w:rPr>
          <w:sz w:val="20"/>
          <w:szCs w:val="20"/>
          <w:color w:val="auto"/>
        </w:rPr>
      </w:pPr>
      <w:r>
        <w:rPr>
          <w:rFonts w:ascii="Arial" w:cs="Arial" w:eastAsia="Arial" w:hAnsi="Arial"/>
          <w:sz w:val="15"/>
          <w:szCs w:val="15"/>
          <w:color w:val="auto"/>
        </w:rPr>
        <w:t>Effective January 7, 2018, we and Sanofi and certain of Sanofi’s direct and indirect subsidiaries entered into a letter agreement in connection with (i) the increase of the development budget amount for cemiplimab set forth in</w:t>
      </w:r>
    </w:p>
    <w:p>
      <w:pPr>
        <w:spacing w:after="0" w:line="282"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42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3" w:name="page54"/>
    <w:bookmarkEnd w:id="53"/>
    <w:p>
      <w:pPr>
        <w:jc w:val="right"/>
        <w:ind w:right="540"/>
        <w:spacing w:after="0"/>
        <w:rPr>
          <w:sz w:val="20"/>
          <w:szCs w:val="20"/>
          <w:color w:val="auto"/>
        </w:rPr>
      </w:pPr>
      <w:r>
        <w:rPr>
          <w:rFonts w:ascii="Arial" w:cs="Arial" w:eastAsia="Arial" w:hAnsi="Arial"/>
          <w:sz w:val="16"/>
          <w:szCs w:val="16"/>
          <w:b w:val="1"/>
          <w:bCs w:val="1"/>
          <w:color w:val="205BA8"/>
        </w:rPr>
        <w:t xml:space="preserve">THE COMPANY / </w:t>
      </w:r>
      <w:r>
        <w:rPr>
          <w:rFonts w:ascii="Arial" w:cs="Arial" w:eastAsia="Arial" w:hAnsi="Arial"/>
          <w:sz w:val="16"/>
          <w:szCs w:val="16"/>
          <w:b w:val="1"/>
          <w:bCs w:val="1"/>
          <w:color w:val="C44E5E"/>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7894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40" w:right="560"/>
        <w:spacing w:after="0" w:line="227" w:lineRule="auto"/>
        <w:rPr>
          <w:sz w:val="20"/>
          <w:szCs w:val="20"/>
          <w:color w:val="auto"/>
        </w:rPr>
      </w:pPr>
      <w:r>
        <w:rPr>
          <w:rFonts w:ascii="Arial" w:cs="Arial" w:eastAsia="Arial" w:hAnsi="Arial"/>
          <w:sz w:val="15"/>
          <w:szCs w:val="15"/>
          <w:color w:val="auto"/>
        </w:rPr>
        <w:t>the Immuno-oncology License and Collaboration Agreement and (ii) the allocation of additional funds to certain proposed activities relating to the development of dupilumab and REGN3500 and non-approval trials of dupilumab (the “Dupilumab/REGN3500 Eligible Investments”). Pursuant to the letter agreement, we agreed, among other things, to grant Sanofi a limited waiver of the lock-up obligations under the Amended and Restated Investor Agreement (which obligations expired on December 20, 2020) in order to allow Sanofi to satisfy in whole or in part (a) its funding obligations with respect to the cemiplimab development costs under the Immuno-oncology License and Collaboration Agreement for the quarterly periods commencing on October 1, 2017 and ending on September 30, 2020 by selling up to 800,000 shares of our common stock directly or indirectly owned by Sanofi and (b) its funding obligations with respect to the costs incurred by or on behalf of the parties to the Antibody License and Collaboration Agreement with respect to the Dupilumab/REGN3500 Eligible Investments for the quarterly periods commencing on January 1, 2018 and ending on September 30, 2020 by selling up to 600,000 shares of our common stock directly or indirectly owned by Sanofi. Under this arrangement, if Sanofi desired to sell shares of our common stock during the term of the letter agreement to satisfy a portion or all of its funding obligations for the cemiplimab development and/or Dupilumab/ REGN3500 Eligible Investments, we had the right to elect to purchase, in whole or in part, such shares from Sanofi. If we did not elect to purchase such shares, Sanofi could sell the applicable number of shares (subject to certain daily and quarterly limits) in one or more open-market transactions.</w:t>
      </w:r>
    </w:p>
    <w:p>
      <w:pPr>
        <w:spacing w:after="0" w:line="147" w:lineRule="exact"/>
        <w:rPr>
          <w:sz w:val="20"/>
          <w:szCs w:val="20"/>
          <w:color w:val="auto"/>
        </w:rPr>
      </w:pPr>
    </w:p>
    <w:p>
      <w:pPr>
        <w:ind w:left="540" w:right="600"/>
        <w:spacing w:after="0" w:line="242" w:lineRule="auto"/>
        <w:rPr>
          <w:sz w:val="20"/>
          <w:szCs w:val="20"/>
          <w:color w:val="auto"/>
        </w:rPr>
      </w:pPr>
      <w:r>
        <w:rPr>
          <w:rFonts w:ascii="Arial" w:cs="Arial" w:eastAsia="Arial" w:hAnsi="Arial"/>
          <w:sz w:val="15"/>
          <w:szCs w:val="15"/>
          <w:color w:val="auto"/>
        </w:rPr>
        <w:t>In 2020, Sanofi elected to sell, and we elected to purchase (either in cash or by issuing a credit towards the amount owed by Sanofi), an aggregate of 249,148 shares of our common stock pursuant to the letter agreement. This arrangement is no longer in effect.</w:t>
      </w:r>
    </w:p>
    <w:p>
      <w:pPr>
        <w:spacing w:after="0" w:line="138" w:lineRule="exact"/>
        <w:rPr>
          <w:sz w:val="20"/>
          <w:szCs w:val="20"/>
          <w:color w:val="auto"/>
        </w:rPr>
      </w:pPr>
    </w:p>
    <w:p>
      <w:pPr>
        <w:ind w:left="540" w:right="620"/>
        <w:spacing w:after="0" w:line="242" w:lineRule="auto"/>
        <w:rPr>
          <w:sz w:val="20"/>
          <w:szCs w:val="20"/>
          <w:color w:val="auto"/>
        </w:rPr>
      </w:pPr>
      <w:r>
        <w:rPr>
          <w:rFonts w:ascii="Arial" w:cs="Arial" w:eastAsia="Arial" w:hAnsi="Arial"/>
          <w:sz w:val="15"/>
          <w:szCs w:val="15"/>
          <w:color w:val="auto"/>
        </w:rPr>
        <w:t>A more detailed description of the letter agreement with Sanofi is set forth in the 2020 Annual Report under Part I. Item 1. “Business — Collaboration, License, and Other Agreements — Sanofi.”</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05BA8"/>
        </w:rPr>
        <w:t>Stanford University</w:t>
      </w:r>
    </w:p>
    <w:p>
      <w:pPr>
        <w:spacing w:after="0" w:line="177" w:lineRule="exact"/>
        <w:rPr>
          <w:sz w:val="20"/>
          <w:szCs w:val="20"/>
          <w:color w:val="auto"/>
        </w:rPr>
      </w:pPr>
    </w:p>
    <w:p>
      <w:pPr>
        <w:ind w:left="540" w:right="560"/>
        <w:spacing w:after="0" w:line="233" w:lineRule="auto"/>
        <w:rPr>
          <w:sz w:val="20"/>
          <w:szCs w:val="20"/>
          <w:color w:val="auto"/>
        </w:rPr>
      </w:pPr>
      <w:r>
        <w:rPr>
          <w:rFonts w:ascii="Arial" w:cs="Arial" w:eastAsia="Arial" w:hAnsi="Arial"/>
          <w:sz w:val="15"/>
          <w:szCs w:val="15"/>
          <w:color w:val="auto"/>
        </w:rPr>
        <w:t>Effective September 1, 2016, Marc Tessier-Lavigne, Ph.D. became the President of Stanford University. In 2020, we made payments to Stanford University of approximately $205,000 in the aggregate relating primarily to services provided in connection with certain clinical trials entered into in the ordinary course of business. In 2021 through the end of the first quarter, we made payments to Stanford of approximately $132,000 relating primarily to a medical education fellowship grant.</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05BA8"/>
        </w:rPr>
        <w:t>Indemnification of Directors and Officers</w:t>
      </w:r>
    </w:p>
    <w:p>
      <w:pPr>
        <w:spacing w:after="0" w:line="177" w:lineRule="exact"/>
        <w:rPr>
          <w:sz w:val="20"/>
          <w:szCs w:val="20"/>
          <w:color w:val="auto"/>
        </w:rPr>
      </w:pPr>
    </w:p>
    <w:p>
      <w:pPr>
        <w:ind w:left="540" w:right="560"/>
        <w:spacing w:after="0" w:line="229" w:lineRule="auto"/>
        <w:rPr>
          <w:sz w:val="20"/>
          <w:szCs w:val="20"/>
          <w:color w:val="auto"/>
        </w:rPr>
      </w:pPr>
      <w:r>
        <w:rPr>
          <w:rFonts w:ascii="Arial" w:cs="Arial" w:eastAsia="Arial" w:hAnsi="Arial"/>
          <w:sz w:val="15"/>
          <w:szCs w:val="15"/>
          <w:color w:val="auto"/>
        </w:rPr>
        <w:t>Our Certificate of Incorporation provides that, to the fullest extent permitted under the New York Business Corporation Law, no director or officer of our Company shall be personally liable to the Company or its shareholders for monetary damages for any breach of fiduciary duty in such capacity. In addition, our Amended and Restated By-Laws provide that we shall indemnify our directors and certain of our other personnel against expenses (including attorneys’ fees) and certain other liabilities, including judgments, fines, and amounts paid in settlement, arising out of or incurred as a result of legal actions brought or threatened against them by reason of their position in our Company, subject to certain qualifications and provided that each such person acted in good faith, in a manner that they reasonably believed was in our best interest, and, where applicable, not unlawful. Subject to the provisions of our Certificate of Incorporation, our Amended and Restated By-Laws, and the New York Business Corporation Law, we may also advance expenses of the individuals entitled to indemnification.</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43</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54" w:name="page55"/>
    <w:bookmarkEnd w:id="54"/>
    <w:p>
      <w:pPr>
        <w:ind w:left="540"/>
        <w:spacing w:after="0"/>
        <w:rPr>
          <w:sz w:val="20"/>
          <w:szCs w:val="20"/>
          <w:color w:val="auto"/>
        </w:rPr>
      </w:pPr>
      <w:r>
        <w:rPr>
          <w:rFonts w:ascii="Arial" w:cs="Arial" w:eastAsia="Arial" w:hAnsi="Arial"/>
          <w:sz w:val="68"/>
          <w:szCs w:val="68"/>
          <w:b w:val="1"/>
          <w:bCs w:val="1"/>
          <w:color w:val="205BA8"/>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31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11275"/>
                    </a:xfrm>
                    <a:prstGeom prst="rect">
                      <a:avLst/>
                    </a:prstGeom>
                    <a:noFill/>
                  </pic:spPr>
                </pic:pic>
              </a:graphicData>
            </a:graphic>
          </wp:anchor>
        </w:drawing>
        <w:t>AUDIT MATTERS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196" w:lineRule="exact"/>
        <w:rPr>
          <w:sz w:val="20"/>
          <w:szCs w:val="20"/>
          <w:color w:val="auto"/>
        </w:rPr>
      </w:pPr>
    </w:p>
    <w:p>
      <w:pPr>
        <w:jc w:val="both"/>
        <w:ind w:left="540" w:right="580"/>
        <w:spacing w:after="0" w:line="242" w:lineRule="auto"/>
        <w:rPr>
          <w:sz w:val="20"/>
          <w:szCs w:val="20"/>
          <w:color w:val="auto"/>
        </w:rPr>
      </w:pPr>
      <w:r>
        <w:rPr>
          <w:rFonts w:ascii="Arial" w:cs="Arial" w:eastAsia="Arial" w:hAnsi="Arial"/>
          <w:sz w:val="15"/>
          <w:szCs w:val="15"/>
          <w:color w:val="auto"/>
        </w:rPr>
        <w:t>The Audit Committee has appointed PricewaterhouseCoopers LLP as the Company’s independent registered public accounting firm for the fiscal year ending December 31, 2021. PricewaterhouseCoopers LLP (or its predecessor) has audited the Company’s financial statements for the past 32 years.</w:t>
      </w:r>
    </w:p>
    <w:p>
      <w:pPr>
        <w:spacing w:after="0" w:line="138" w:lineRule="exact"/>
        <w:rPr>
          <w:sz w:val="20"/>
          <w:szCs w:val="20"/>
          <w:color w:val="auto"/>
        </w:rPr>
      </w:pPr>
    </w:p>
    <w:p>
      <w:pPr>
        <w:ind w:left="540" w:right="540"/>
        <w:spacing w:after="0" w:line="230" w:lineRule="auto"/>
        <w:rPr>
          <w:sz w:val="20"/>
          <w:szCs w:val="20"/>
          <w:color w:val="auto"/>
        </w:rPr>
      </w:pPr>
      <w:r>
        <w:rPr>
          <w:rFonts w:ascii="Arial" w:cs="Arial" w:eastAsia="Arial" w:hAnsi="Arial"/>
          <w:sz w:val="15"/>
          <w:szCs w:val="15"/>
          <w:color w:val="auto"/>
        </w:rPr>
        <w:t>The board of directors has directed that the appointment of PricewaterhouseCoopers LLP as the Company’s independent registered public accounting firm for fiscal year 2021 be submitted for ratification by the shareholders at the Annual Meeting. Shareholder ratification of the appointment of PricewaterhouseCoopers LLP as the Company’s independent registered public accounting firm for fiscal year 2021 is not required by the Company’s charter documents or otherwise, but is being pursued as a matter of good corporate practice. If shareholders do not ratify the appointment of PricewaterhouseCoopers LLP as the Company’s independent registered public accounting firm for fiscal year 2021, the board of directors will consider the matter at its next meeting.</w:t>
      </w:r>
    </w:p>
    <w:p>
      <w:pPr>
        <w:spacing w:after="0" w:line="142" w:lineRule="exact"/>
        <w:rPr>
          <w:sz w:val="20"/>
          <w:szCs w:val="20"/>
          <w:color w:val="auto"/>
        </w:rPr>
      </w:pPr>
    </w:p>
    <w:p>
      <w:pPr>
        <w:ind w:left="540" w:right="620"/>
        <w:spacing w:after="0" w:line="235" w:lineRule="auto"/>
        <w:rPr>
          <w:sz w:val="20"/>
          <w:szCs w:val="20"/>
          <w:color w:val="auto"/>
        </w:rPr>
      </w:pPr>
      <w:r>
        <w:rPr>
          <w:rFonts w:ascii="Arial" w:cs="Arial" w:eastAsia="Arial" w:hAnsi="Arial"/>
          <w:sz w:val="15"/>
          <w:szCs w:val="15"/>
          <w:color w:val="auto"/>
        </w:rPr>
        <w:t>PricewaterhouseCoopers LLP has advised the Company that it will have in attendance at the 2021 Annual Meeting a representative who will be afforded an opportunity to make a statement, if such representative desires to do so, and will respond to appropriate questions presented at the 2021 Annual Meeting.</w:t>
      </w:r>
    </w:p>
    <w:p>
      <w:pPr>
        <w:spacing w:after="0" w:line="105" w:lineRule="exact"/>
        <w:rPr>
          <w:sz w:val="20"/>
          <w:szCs w:val="20"/>
          <w:color w:val="auto"/>
        </w:rPr>
      </w:pPr>
    </w:p>
    <w:p>
      <w:pPr>
        <w:ind w:left="540" w:right="1420"/>
        <w:spacing w:after="0" w:line="278" w:lineRule="auto"/>
        <w:rPr>
          <w:sz w:val="20"/>
          <w:szCs w:val="20"/>
          <w:color w:val="auto"/>
        </w:rPr>
      </w:pPr>
      <w:r>
        <w:rPr>
          <w:rFonts w:ascii="Arial" w:cs="Arial" w:eastAsia="Arial" w:hAnsi="Arial"/>
          <w:sz w:val="29"/>
          <w:szCs w:val="29"/>
          <w:b w:val="1"/>
          <w:bCs w:val="1"/>
          <w:color w:val="C44E5E"/>
        </w:rPr>
        <w:t>INFORMATION ABOUT FEES PAID TO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-35560</wp:posOffset>
            </wp:positionV>
            <wp:extent cx="64465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95" w:lineRule="exact"/>
        <w:rPr>
          <w:sz w:val="20"/>
          <w:szCs w:val="20"/>
          <w:color w:val="auto"/>
        </w:rPr>
      </w:pPr>
    </w:p>
    <w:p>
      <w:pPr>
        <w:ind w:left="540" w:right="700"/>
        <w:spacing w:after="0" w:line="242" w:lineRule="auto"/>
        <w:rPr>
          <w:sz w:val="20"/>
          <w:szCs w:val="20"/>
          <w:color w:val="auto"/>
        </w:rPr>
      </w:pPr>
      <w:r>
        <w:rPr>
          <w:rFonts w:ascii="Arial" w:cs="Arial" w:eastAsia="Arial" w:hAnsi="Arial"/>
          <w:sz w:val="15"/>
          <w:szCs w:val="15"/>
          <w:color w:val="auto"/>
        </w:rPr>
        <w:t>Aggregate fees incurred related to services provided to the Company by PricewaterhouseCoopers LLP for the years ended December 31, 2020 and 2019 were:</w:t>
      </w:r>
    </w:p>
    <w:p>
      <w:pPr>
        <w:spacing w:after="0" w:line="130" w:lineRule="exact"/>
        <w:rPr>
          <w:sz w:val="20"/>
          <w:szCs w:val="20"/>
          <w:color w:val="auto"/>
        </w:rPr>
      </w:pPr>
    </w:p>
    <w:tbl>
      <w:tblPr>
        <w:tblLayout w:type="fixed"/>
        <w:tblInd w:w="540" w:type="dxa"/>
        <w:tblCellMar>
          <w:top w:w="0" w:type="dxa"/>
          <w:left w:w="0" w:type="dxa"/>
          <w:bottom w:w="0" w:type="dxa"/>
          <w:right w:w="0" w:type="dxa"/>
        </w:tblCellMar>
      </w:tblPr>
      <w:tr>
        <w:trPr>
          <w:trHeight w:val="154"/>
        </w:trPr>
        <w:tc>
          <w:tcPr>
            <w:tcW w:w="4620" w:type="dxa"/>
            <w:vAlign w:val="bottom"/>
            <w:tcBorders>
              <w:bottom w:val="single" w:sz="8" w:color="1F5AA8"/>
            </w:tcBorders>
          </w:tcPr>
          <w:p>
            <w:pPr>
              <w:spacing w:after="0"/>
              <w:rPr>
                <w:sz w:val="13"/>
                <w:szCs w:val="13"/>
                <w:color w:val="auto"/>
              </w:rPr>
            </w:pPr>
          </w:p>
        </w:tc>
        <w:tc>
          <w:tcPr>
            <w:tcW w:w="4460" w:type="dxa"/>
            <w:vAlign w:val="bottom"/>
            <w:tcBorders>
              <w:bottom w:val="single" w:sz="8" w:color="1F5AA8"/>
            </w:tcBorders>
          </w:tcPr>
          <w:p>
            <w:pPr>
              <w:jc w:val="right"/>
              <w:ind w:right="376"/>
              <w:spacing w:after="0"/>
              <w:rPr>
                <w:sz w:val="20"/>
                <w:szCs w:val="20"/>
                <w:color w:val="auto"/>
              </w:rPr>
            </w:pPr>
            <w:r>
              <w:rPr>
                <w:rFonts w:ascii="Arial" w:cs="Arial" w:eastAsia="Arial" w:hAnsi="Arial"/>
                <w:sz w:val="12"/>
                <w:szCs w:val="12"/>
                <w:b w:val="1"/>
                <w:bCs w:val="1"/>
                <w:color w:val="205BA8"/>
              </w:rPr>
              <w:t>2020 ($)</w:t>
            </w:r>
          </w:p>
        </w:tc>
        <w:tc>
          <w:tcPr>
            <w:tcW w:w="1080" w:type="dxa"/>
            <w:vAlign w:val="bottom"/>
            <w:tcBorders>
              <w:bottom w:val="single" w:sz="8" w:color="1F5AA8"/>
            </w:tcBorders>
          </w:tcPr>
          <w:p>
            <w:pPr>
              <w:jc w:val="right"/>
              <w:spacing w:after="0"/>
              <w:rPr>
                <w:sz w:val="20"/>
                <w:szCs w:val="20"/>
                <w:color w:val="auto"/>
              </w:rPr>
            </w:pPr>
            <w:r>
              <w:rPr>
                <w:rFonts w:ascii="Arial" w:cs="Arial" w:eastAsia="Arial" w:hAnsi="Arial"/>
                <w:sz w:val="12"/>
                <w:szCs w:val="12"/>
                <w:b w:val="1"/>
                <w:bCs w:val="1"/>
                <w:color w:val="205BA8"/>
              </w:rPr>
              <w:t>2019 ($)</w:t>
            </w:r>
          </w:p>
        </w:tc>
      </w:tr>
      <w:tr>
        <w:trPr>
          <w:trHeight w:val="148"/>
        </w:trPr>
        <w:tc>
          <w:tcPr>
            <w:tcW w:w="46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Audit Fees</w:t>
            </w:r>
          </w:p>
        </w:tc>
        <w:tc>
          <w:tcPr>
            <w:tcW w:w="446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rPr>
              <w:t>2,783,504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2,257,951</w:t>
            </w:r>
          </w:p>
        </w:tc>
      </w:tr>
      <w:tr>
        <w:trPr>
          <w:trHeight w:val="142"/>
        </w:trPr>
        <w:tc>
          <w:tcPr>
            <w:tcW w:w="4620" w:type="dxa"/>
            <w:vAlign w:val="bottom"/>
            <w:tcBorders>
              <w:bottom w:val="single" w:sz="8" w:color="auto"/>
            </w:tcBorders>
            <w:shd w:val="clear" w:color="auto" w:fill="ECEDED"/>
          </w:tcPr>
          <w:p>
            <w:pPr>
              <w:ind w:left="60"/>
              <w:spacing w:after="0" w:line="142" w:lineRule="exact"/>
              <w:rPr>
                <w:sz w:val="20"/>
                <w:szCs w:val="20"/>
                <w:color w:val="auto"/>
              </w:rPr>
            </w:pPr>
            <w:r>
              <w:rPr>
                <w:rFonts w:ascii="Arial" w:cs="Arial" w:eastAsia="Arial" w:hAnsi="Arial"/>
                <w:sz w:val="13"/>
                <w:szCs w:val="13"/>
                <w:color w:val="auto"/>
              </w:rPr>
              <w:t>Audit-Related Fees</w:t>
            </w:r>
          </w:p>
        </w:tc>
        <w:tc>
          <w:tcPr>
            <w:tcW w:w="4460" w:type="dxa"/>
            <w:vAlign w:val="bottom"/>
            <w:tcBorders>
              <w:bottom w:val="single" w:sz="8" w:color="auto"/>
            </w:tcBorders>
            <w:shd w:val="clear" w:color="auto" w:fill="ECEDED"/>
          </w:tcPr>
          <w:p>
            <w:pPr>
              <w:jc w:val="right"/>
              <w:ind w:right="376"/>
              <w:spacing w:after="0" w:line="142" w:lineRule="exact"/>
              <w:rPr>
                <w:sz w:val="20"/>
                <w:szCs w:val="20"/>
                <w:color w:val="auto"/>
              </w:rPr>
            </w:pPr>
            <w:r>
              <w:rPr>
                <w:rFonts w:ascii="Arial" w:cs="Arial" w:eastAsia="Arial" w:hAnsi="Arial"/>
                <w:sz w:val="13"/>
                <w:szCs w:val="13"/>
                <w:color w:val="auto"/>
              </w:rPr>
              <w:t>254,500</w:t>
            </w:r>
          </w:p>
        </w:tc>
        <w:tc>
          <w:tcPr>
            <w:tcW w:w="1080" w:type="dxa"/>
            <w:vAlign w:val="bottom"/>
            <w:tcBorders>
              <w:bottom w:val="single" w:sz="8" w:color="auto"/>
            </w:tcBorders>
            <w:shd w:val="clear" w:color="auto" w:fill="ECEDED"/>
          </w:tcPr>
          <w:p>
            <w:pPr>
              <w:jc w:val="right"/>
              <w:spacing w:after="0" w:line="142" w:lineRule="exact"/>
              <w:rPr>
                <w:sz w:val="20"/>
                <w:szCs w:val="20"/>
                <w:color w:val="auto"/>
              </w:rPr>
            </w:pPr>
            <w:r>
              <w:rPr>
                <w:rFonts w:ascii="Arial" w:cs="Arial" w:eastAsia="Arial" w:hAnsi="Arial"/>
                <w:sz w:val="13"/>
                <w:szCs w:val="13"/>
                <w:color w:val="auto"/>
              </w:rPr>
              <w:t>—</w:t>
            </w:r>
          </w:p>
        </w:tc>
      </w:tr>
      <w:tr>
        <w:trPr>
          <w:trHeight w:val="142"/>
        </w:trPr>
        <w:tc>
          <w:tcPr>
            <w:tcW w:w="46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3"/>
                <w:szCs w:val="13"/>
                <w:color w:val="auto"/>
              </w:rPr>
              <w:t>Tax Fees</w:t>
            </w:r>
          </w:p>
        </w:tc>
        <w:tc>
          <w:tcPr>
            <w:tcW w:w="446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3"/>
                <w:szCs w:val="13"/>
                <w:color w:val="auto"/>
              </w:rPr>
              <w:t>72,000</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5,000</w:t>
            </w:r>
          </w:p>
        </w:tc>
      </w:tr>
      <w:tr>
        <w:trPr>
          <w:trHeight w:val="142"/>
        </w:trPr>
        <w:tc>
          <w:tcPr>
            <w:tcW w:w="4620" w:type="dxa"/>
            <w:vAlign w:val="bottom"/>
            <w:tcBorders>
              <w:bottom w:val="single" w:sz="8" w:color="auto"/>
            </w:tcBorders>
            <w:shd w:val="clear" w:color="auto" w:fill="ECEDED"/>
          </w:tcPr>
          <w:p>
            <w:pPr>
              <w:ind w:left="60"/>
              <w:spacing w:after="0" w:line="142" w:lineRule="exact"/>
              <w:rPr>
                <w:sz w:val="20"/>
                <w:szCs w:val="20"/>
                <w:color w:val="auto"/>
              </w:rPr>
            </w:pPr>
            <w:r>
              <w:rPr>
                <w:rFonts w:ascii="Arial" w:cs="Arial" w:eastAsia="Arial" w:hAnsi="Arial"/>
                <w:sz w:val="13"/>
                <w:szCs w:val="13"/>
                <w:color w:val="auto"/>
              </w:rPr>
              <w:t>All Other Fees</w:t>
            </w:r>
          </w:p>
        </w:tc>
        <w:tc>
          <w:tcPr>
            <w:tcW w:w="4460" w:type="dxa"/>
            <w:vAlign w:val="bottom"/>
            <w:tcBorders>
              <w:bottom w:val="single" w:sz="8" w:color="auto"/>
            </w:tcBorders>
            <w:shd w:val="clear" w:color="auto" w:fill="ECEDED"/>
          </w:tcPr>
          <w:p>
            <w:pPr>
              <w:jc w:val="right"/>
              <w:ind w:right="376"/>
              <w:spacing w:after="0" w:line="142" w:lineRule="exact"/>
              <w:rPr>
                <w:sz w:val="20"/>
                <w:szCs w:val="20"/>
                <w:color w:val="auto"/>
              </w:rPr>
            </w:pPr>
            <w:r>
              <w:rPr>
                <w:rFonts w:ascii="Arial" w:cs="Arial" w:eastAsia="Arial" w:hAnsi="Arial"/>
                <w:sz w:val="13"/>
                <w:szCs w:val="13"/>
                <w:color w:val="auto"/>
              </w:rPr>
              <w:t>6,145</w:t>
            </w:r>
          </w:p>
        </w:tc>
        <w:tc>
          <w:tcPr>
            <w:tcW w:w="1080" w:type="dxa"/>
            <w:vAlign w:val="bottom"/>
            <w:tcBorders>
              <w:bottom w:val="single" w:sz="8" w:color="auto"/>
            </w:tcBorders>
            <w:shd w:val="clear" w:color="auto" w:fill="ECEDED"/>
          </w:tcPr>
          <w:p>
            <w:pPr>
              <w:jc w:val="right"/>
              <w:spacing w:after="0" w:line="142" w:lineRule="exact"/>
              <w:rPr>
                <w:sz w:val="20"/>
                <w:szCs w:val="20"/>
                <w:color w:val="auto"/>
              </w:rPr>
            </w:pPr>
            <w:r>
              <w:rPr>
                <w:rFonts w:ascii="Arial" w:cs="Arial" w:eastAsia="Arial" w:hAnsi="Arial"/>
                <w:sz w:val="13"/>
                <w:szCs w:val="13"/>
                <w:color w:val="auto"/>
              </w:rPr>
              <w:t>6,106</w:t>
            </w:r>
          </w:p>
        </w:tc>
      </w:tr>
      <w:tr>
        <w:trPr>
          <w:trHeight w:val="142"/>
        </w:trPr>
        <w:tc>
          <w:tcPr>
            <w:tcW w:w="4620" w:type="dxa"/>
            <w:vAlign w:val="bottom"/>
            <w:tcBorders>
              <w:bottom w:val="single" w:sz="8" w:color="1F5AA8"/>
            </w:tcBorders>
          </w:tcPr>
          <w:p>
            <w:pPr>
              <w:ind w:left="60"/>
              <w:spacing w:after="0" w:line="142" w:lineRule="exact"/>
              <w:rPr>
                <w:sz w:val="20"/>
                <w:szCs w:val="20"/>
                <w:color w:val="auto"/>
              </w:rPr>
            </w:pPr>
            <w:r>
              <w:rPr>
                <w:rFonts w:ascii="Arial" w:cs="Arial" w:eastAsia="Arial" w:hAnsi="Arial"/>
                <w:sz w:val="13"/>
                <w:szCs w:val="13"/>
                <w:b w:val="1"/>
                <w:bCs w:val="1"/>
                <w:color w:val="auto"/>
              </w:rPr>
              <w:t>Total Fees</w:t>
            </w:r>
          </w:p>
        </w:tc>
        <w:tc>
          <w:tcPr>
            <w:tcW w:w="4460" w:type="dxa"/>
            <w:vAlign w:val="bottom"/>
            <w:tcBorders>
              <w:bottom w:val="single" w:sz="8" w:color="1F5AA8"/>
            </w:tcBorders>
          </w:tcPr>
          <w:p>
            <w:pPr>
              <w:jc w:val="right"/>
              <w:ind w:right="376"/>
              <w:spacing w:after="0" w:line="142" w:lineRule="exact"/>
              <w:rPr>
                <w:sz w:val="20"/>
                <w:szCs w:val="20"/>
                <w:color w:val="auto"/>
              </w:rPr>
            </w:pPr>
            <w:r>
              <w:rPr>
                <w:rFonts w:ascii="Arial" w:cs="Arial" w:eastAsia="Arial" w:hAnsi="Arial"/>
                <w:sz w:val="13"/>
                <w:szCs w:val="13"/>
                <w:b w:val="1"/>
                <w:bCs w:val="1"/>
                <w:color w:val="auto"/>
              </w:rPr>
              <w:t>3,116,149</w:t>
            </w:r>
          </w:p>
        </w:tc>
        <w:tc>
          <w:tcPr>
            <w:tcW w:w="1080" w:type="dxa"/>
            <w:vAlign w:val="bottom"/>
            <w:tcBorders>
              <w:bottom w:val="single" w:sz="8" w:color="1F5AA8"/>
            </w:tcBorders>
          </w:tcPr>
          <w:p>
            <w:pPr>
              <w:jc w:val="right"/>
              <w:spacing w:after="0" w:line="142" w:lineRule="exact"/>
              <w:rPr>
                <w:sz w:val="20"/>
                <w:szCs w:val="20"/>
                <w:color w:val="auto"/>
              </w:rPr>
            </w:pPr>
            <w:r>
              <w:rPr>
                <w:rFonts w:ascii="Arial" w:cs="Arial" w:eastAsia="Arial" w:hAnsi="Arial"/>
                <w:sz w:val="13"/>
                <w:szCs w:val="13"/>
                <w:b w:val="1"/>
                <w:bCs w:val="1"/>
                <w:color w:val="auto"/>
              </w:rPr>
              <w:t>2,269,057</w:t>
            </w:r>
          </w:p>
        </w:tc>
      </w:tr>
    </w:tbl>
    <w:p>
      <w:pPr>
        <w:spacing w:after="0" w:line="141" w:lineRule="exact"/>
        <w:rPr>
          <w:sz w:val="20"/>
          <w:szCs w:val="20"/>
          <w:color w:val="auto"/>
        </w:rPr>
      </w:pPr>
    </w:p>
    <w:p>
      <w:pPr>
        <w:jc w:val="both"/>
        <w:ind w:left="540" w:right="620"/>
        <w:spacing w:after="0" w:line="246" w:lineRule="auto"/>
        <w:rPr>
          <w:sz w:val="20"/>
          <w:szCs w:val="20"/>
          <w:color w:val="auto"/>
        </w:rPr>
      </w:pPr>
      <w:r>
        <w:rPr>
          <w:rFonts w:ascii="Arial" w:cs="Arial" w:eastAsia="Arial" w:hAnsi="Arial"/>
          <w:sz w:val="15"/>
          <w:szCs w:val="15"/>
          <w:b w:val="1"/>
          <w:bCs w:val="1"/>
          <w:color w:val="auto"/>
        </w:rPr>
        <w:t xml:space="preserve">Audit Fees. </w:t>
      </w:r>
      <w:r>
        <w:rPr>
          <w:rFonts w:ascii="Arial" w:cs="Arial" w:eastAsia="Arial" w:hAnsi="Arial"/>
          <w:sz w:val="15"/>
          <w:szCs w:val="15"/>
          <w:color w:val="auto"/>
        </w:rPr>
        <w:t>Audit fees in 2020 and 2019 were primarily for professional services rendered for the audit of the Company’s financial statements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fiscal year, including attestation services required under Section 404 of the Sarbanes-Oxley Act of 2002, technical accounting consultations related to the annual audit, and reviews of the Company’s quarterly financial statements included in its Form 10-Q filings.</w:t>
      </w:r>
    </w:p>
    <w:p>
      <w:pPr>
        <w:spacing w:after="0" w:line="118" w:lineRule="exact"/>
        <w:rPr>
          <w:sz w:val="20"/>
          <w:szCs w:val="20"/>
          <w:color w:val="auto"/>
        </w:rPr>
      </w:pPr>
    </w:p>
    <w:p>
      <w:pPr>
        <w:jc w:val="both"/>
        <w:ind w:left="540" w:right="620"/>
        <w:spacing w:after="0" w:line="267" w:lineRule="auto"/>
        <w:rPr>
          <w:sz w:val="20"/>
          <w:szCs w:val="20"/>
          <w:color w:val="auto"/>
        </w:rPr>
      </w:pPr>
      <w:r>
        <w:rPr>
          <w:rFonts w:ascii="Arial" w:cs="Arial" w:eastAsia="Arial" w:hAnsi="Arial"/>
          <w:sz w:val="15"/>
          <w:szCs w:val="15"/>
          <w:b w:val="1"/>
          <w:bCs w:val="1"/>
          <w:color w:val="auto"/>
        </w:rPr>
        <w:t>Audit-Related Fees</w:t>
      </w:r>
      <w:r>
        <w:rPr>
          <w:rFonts w:ascii="Arial" w:cs="Arial" w:eastAsia="Arial" w:hAnsi="Arial"/>
          <w:sz w:val="15"/>
          <w:szCs w:val="15"/>
          <w:color w:val="auto"/>
        </w:rPr>
        <w:t>. Audit-related fees in 2020 were for professional services rendered in connection with a secondary offering of our common stock</w:t>
      </w:r>
      <w:r>
        <w:rPr>
          <w:rFonts w:ascii="Arial" w:cs="Arial" w:eastAsia="Arial" w:hAnsi="Arial"/>
          <w:sz w:val="15"/>
          <w:szCs w:val="15"/>
          <w:b w:val="1"/>
          <w:bCs w:val="1"/>
          <w:color w:val="auto"/>
        </w:rPr>
        <w:t xml:space="preserve"> </w:t>
      </w:r>
      <w:r>
        <w:rPr>
          <w:rFonts w:ascii="Arial" w:cs="Arial" w:eastAsia="Arial" w:hAnsi="Arial"/>
          <w:sz w:val="15"/>
          <w:szCs w:val="15"/>
          <w:color w:val="auto"/>
        </w:rPr>
        <w:t>by Sanofi, the issuance and sale of senior notes, and the filing of a Registration Statement on Form S-8.</w:t>
      </w:r>
    </w:p>
    <w:p>
      <w:pPr>
        <w:spacing w:after="0" w:line="102"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Tax Fees. </w:t>
      </w:r>
      <w:r>
        <w:rPr>
          <w:rFonts w:ascii="Arial" w:cs="Arial" w:eastAsia="Arial" w:hAnsi="Arial"/>
          <w:sz w:val="15"/>
          <w:szCs w:val="15"/>
          <w:color w:val="auto"/>
        </w:rPr>
        <w:t>Tax fees in 2020 and 2019 were for tax planning and advisory services.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 xml:space="preserve">All Other Fees. All </w:t>
      </w:r>
      <w:r>
        <w:rPr>
          <w:rFonts w:ascii="Arial" w:cs="Arial" w:eastAsia="Arial" w:hAnsi="Arial"/>
          <w:sz w:val="15"/>
          <w:szCs w:val="15"/>
          <w:color w:val="auto"/>
        </w:rPr>
        <w:t>other fees in 2020 and 2019 were for annual subscriptions to accounting resources.</w:t>
      </w:r>
    </w:p>
    <w:p>
      <w:pPr>
        <w:spacing w:after="0" w:line="314"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44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25" w:right="339" w:bottom="1440" w:gutter="0" w:footer="0" w:header="0"/>
        </w:sectPr>
      </w:pPr>
    </w:p>
    <w:bookmarkStart w:id="55" w:name="page56"/>
    <w:bookmarkEnd w:id="55"/>
    <w:p>
      <w:pPr>
        <w:jc w:val="right"/>
        <w:ind w:right="540"/>
        <w:spacing w:after="0"/>
        <w:rPr>
          <w:sz w:val="20"/>
          <w:szCs w:val="20"/>
          <w:color w:val="auto"/>
        </w:rPr>
      </w:pPr>
      <w:r>
        <w:rPr>
          <w:rFonts w:ascii="Arial" w:cs="Arial" w:eastAsia="Arial" w:hAnsi="Arial"/>
          <w:sz w:val="16"/>
          <w:szCs w:val="16"/>
          <w:b w:val="1"/>
          <w:bCs w:val="1"/>
          <w:color w:val="205BA8"/>
        </w:rPr>
        <w:t xml:space="preserve">THE COMPANY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C44E5E"/>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6" w:lineRule="exact"/>
        <w:rPr>
          <w:sz w:val="20"/>
          <w:szCs w:val="20"/>
          <w:color w:val="auto"/>
        </w:rPr>
      </w:pPr>
    </w:p>
    <w:p>
      <w:pPr>
        <w:ind w:left="540" w:right="580"/>
        <w:spacing w:after="0" w:line="229" w:lineRule="auto"/>
        <w:rPr>
          <w:sz w:val="20"/>
          <w:szCs w:val="20"/>
          <w:color w:val="auto"/>
        </w:rPr>
      </w:pPr>
      <w:r>
        <w:rPr>
          <w:rFonts w:ascii="Arial" w:cs="Arial" w:eastAsia="Arial" w:hAnsi="Arial"/>
          <w:sz w:val="15"/>
          <w:szCs w:val="15"/>
          <w:color w:val="auto"/>
        </w:rPr>
        <w:t xml:space="preserve">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LLP. The Audit Committee has approved a general provision of $ 75,000 for accounting advisory and other permissible consulting engagements. Management is responsible for notifying the Audit Committee of the status of accounting advisory and other permissible consulting engagements at regularly scheduled Audit Committee meetings and, if the Audit Committee so determines, the general provision is replenished to $75,000. The Audit Committee did not utilize the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exception to the pre-approval requirements to approve any services provided by PricewaterhouseCoopers LLP during fiscal 2020 or 2019.</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77" w:lineRule="exact"/>
        <w:rPr>
          <w:sz w:val="20"/>
          <w:szCs w:val="20"/>
          <w:color w:val="auto"/>
        </w:rPr>
      </w:pPr>
    </w:p>
    <w:p>
      <w:pPr>
        <w:ind w:left="540" w:right="560"/>
        <w:spacing w:after="0" w:line="229" w:lineRule="auto"/>
        <w:rPr>
          <w:sz w:val="20"/>
          <w:szCs w:val="20"/>
          <w:color w:val="auto"/>
        </w:rPr>
      </w:pPr>
      <w:r>
        <w:rPr>
          <w:rFonts w:ascii="Arial" w:cs="Arial" w:eastAsia="Arial" w:hAnsi="Arial"/>
          <w:sz w:val="15"/>
          <w:szCs w:val="15"/>
          <w:color w:val="auto"/>
        </w:rPr>
        <w:t>We have reviewed the audited financial statements of the Company for the year ended December 31, 2020, which are included in the Company’s Annual Report on Form 10-K for the fiscal year ended December 31, 2020,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the applicable requirements of the Public Company Accounting Oversight Board (the “PCAOB”) and the Securities and Exchange Commission. The Audit Committee also discussed with the independent registered public accounting firm their independence relative to the Company and received and reviewed the written disclosures and the letter from the independent registered public accounting firm required by the PCAOB.</w:t>
      </w:r>
    </w:p>
    <w:p>
      <w:pPr>
        <w:spacing w:after="0" w:line="225" w:lineRule="exact"/>
        <w:rPr>
          <w:sz w:val="20"/>
          <w:szCs w:val="20"/>
          <w:color w:val="auto"/>
        </w:rPr>
      </w:pPr>
    </w:p>
    <w:p>
      <w:pPr>
        <w:jc w:val="both"/>
        <w:ind w:left="540" w:right="640"/>
        <w:spacing w:after="0" w:line="235" w:lineRule="auto"/>
        <w:rPr>
          <w:sz w:val="20"/>
          <w:szCs w:val="20"/>
          <w:color w:val="auto"/>
        </w:rPr>
      </w:pPr>
      <w:r>
        <w:rPr>
          <w:rFonts w:ascii="Arial" w:cs="Arial" w:eastAsia="Arial" w:hAnsi="Arial"/>
          <w:sz w:val="15"/>
          <w:szCs w:val="15"/>
          <w:color w:val="auto"/>
        </w:rPr>
        <w:t>Based on the foregoing discussions and review, the Audit Committee recommended to the board of directors that the audited financial statements of the Company for the year ended December 31, 2020 be included in the Company’s Annual Report on Form 10-K for the fiscal year ended December 31, 2020 for filing with the Securities and Exchange Commission.</w:t>
      </w:r>
    </w:p>
    <w:p>
      <w:pPr>
        <w:spacing w:after="0" w:line="222" w:lineRule="exact"/>
        <w:rPr>
          <w:sz w:val="20"/>
          <w:szCs w:val="20"/>
          <w:color w:val="auto"/>
        </w:rPr>
      </w:pPr>
    </w:p>
    <w:p>
      <w:pPr>
        <w:ind w:left="540" w:right="1080"/>
        <w:spacing w:after="0" w:line="235" w:lineRule="auto"/>
        <w:rPr>
          <w:sz w:val="20"/>
          <w:szCs w:val="20"/>
          <w:color w:val="auto"/>
        </w:rPr>
      </w:pPr>
      <w:r>
        <w:rPr>
          <w:rFonts w:ascii="Arial" w:cs="Arial" w:eastAsia="Arial" w:hAnsi="Arial"/>
          <w:sz w:val="15"/>
          <w:szCs w:val="15"/>
          <w:color w:val="auto"/>
        </w:rPr>
        <w:t>We have appointed PricewaterhouseCoopers LLP as the Company’s independent registered public accounting firm for the fiscal year ending December 31, 2021. This appointment was based on a variety of factors, including PricewaterhouseCoopers LLP’s competence in the fields of accounting and auditing.</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5"/>
          <w:szCs w:val="15"/>
          <w:color w:val="205BA8"/>
        </w:rPr>
        <w:t>The Audit Committee</w:t>
      </w:r>
    </w:p>
    <w:p>
      <w:pPr>
        <w:ind w:left="540"/>
        <w:spacing w:after="0" w:line="225" w:lineRule="auto"/>
        <w:rPr>
          <w:sz w:val="20"/>
          <w:szCs w:val="20"/>
          <w:color w:val="auto"/>
        </w:rPr>
      </w:pPr>
      <w:r>
        <w:rPr>
          <w:rFonts w:ascii="Arial" w:cs="Arial" w:eastAsia="Arial" w:hAnsi="Arial"/>
          <w:sz w:val="15"/>
          <w:szCs w:val="15"/>
          <w:b w:val="1"/>
          <w:bCs w:val="1"/>
          <w:color w:val="auto"/>
        </w:rPr>
        <w:t>George L. Sing, Chairman</w:t>
      </w:r>
    </w:p>
    <w:p>
      <w:pPr>
        <w:ind w:left="540"/>
        <w:spacing w:after="0" w:line="225" w:lineRule="auto"/>
        <w:rPr>
          <w:sz w:val="20"/>
          <w:szCs w:val="20"/>
          <w:color w:val="auto"/>
        </w:rPr>
      </w:pPr>
      <w:r>
        <w:rPr>
          <w:rFonts w:ascii="Arial" w:cs="Arial" w:eastAsia="Arial" w:hAnsi="Arial"/>
          <w:sz w:val="15"/>
          <w:szCs w:val="15"/>
          <w:b w:val="1"/>
          <w:bCs w:val="1"/>
          <w:color w:val="auto"/>
        </w:rPr>
        <w:t>N. Anthony Coles, M.D.</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Arthur F. Ryan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05BA8"/>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EEF"/>
              </w:rPr>
              <w:t xml:space="preserve">/  </w:t>
            </w:r>
            <w:r>
              <w:rPr>
                <w:rFonts w:ascii="Arial" w:cs="Arial" w:eastAsia="Arial" w:hAnsi="Arial"/>
                <w:sz w:val="14"/>
                <w:szCs w:val="14"/>
                <w:b w:val="1"/>
                <w:bCs w:val="1"/>
                <w:color w:val="00AEEF"/>
              </w:rPr>
              <w:t>45</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56" w:name="page57"/>
    <w:bookmarkEnd w:id="56"/>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534035</wp:posOffset>
            </wp:positionH>
            <wp:positionV relativeFrom="page">
              <wp:posOffset>269240</wp:posOffset>
            </wp:positionV>
            <wp:extent cx="6489065" cy="8409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6489065" cy="8409305"/>
                    </a:xfrm>
                    <a:prstGeom prst="rect">
                      <a:avLst/>
                    </a:prstGeom>
                    <a:noFill/>
                  </pic:spPr>
                </pic:pic>
              </a:graphicData>
            </a:graphic>
          </wp:anchor>
        </w:drawing>
      </w:r>
    </w:p>
    <w:p>
      <w:pPr>
        <w:ind w:left="2040"/>
        <w:spacing w:after="0"/>
        <w:rPr>
          <w:sz w:val="20"/>
          <w:szCs w:val="20"/>
          <w:color w:val="auto"/>
        </w:rPr>
      </w:pPr>
      <w:r>
        <w:rPr>
          <w:rFonts w:ascii="Arial" w:cs="Arial" w:eastAsia="Arial" w:hAnsi="Arial"/>
          <w:sz w:val="68"/>
          <w:szCs w:val="68"/>
          <w:b w:val="1"/>
          <w:bCs w:val="1"/>
          <w:color w:val="C44E5E"/>
        </w:rPr>
        <w:t>PROPOSAL 2</w:t>
      </w:r>
    </w:p>
    <w:p>
      <w:pPr>
        <w:spacing w:after="0" w:line="94" w:lineRule="exact"/>
        <w:rPr>
          <w:sz w:val="20"/>
          <w:szCs w:val="20"/>
          <w:color w:val="auto"/>
        </w:rPr>
      </w:pPr>
    </w:p>
    <w:p>
      <w:pPr>
        <w:ind w:left="2040" w:right="680"/>
        <w:spacing w:after="0" w:line="242" w:lineRule="auto"/>
        <w:rPr>
          <w:sz w:val="20"/>
          <w:szCs w:val="20"/>
          <w:color w:val="auto"/>
        </w:rPr>
      </w:pPr>
      <w:r>
        <w:rPr>
          <w:rFonts w:ascii="Arial" w:cs="Arial" w:eastAsia="Arial" w:hAnsi="Arial"/>
          <w:sz w:val="81"/>
          <w:szCs w:val="81"/>
          <w:b w:val="1"/>
          <w:bCs w:val="1"/>
          <w:color w:val="205BA8"/>
        </w:rPr>
        <w:t>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40" w:right="1340"/>
        <w:spacing w:after="0" w:line="277" w:lineRule="auto"/>
        <w:rPr>
          <w:sz w:val="20"/>
          <w:szCs w:val="20"/>
          <w:color w:val="auto"/>
        </w:rPr>
      </w:pPr>
      <w:r>
        <w:rPr>
          <w:rFonts w:ascii="Arial" w:cs="Arial" w:eastAsia="Arial" w:hAnsi="Arial"/>
          <w:sz w:val="22"/>
          <w:szCs w:val="22"/>
          <w:color w:val="auto"/>
        </w:rPr>
        <w:t xml:space="preserve">The board of directors unanimously recommends a vote </w:t>
      </w:r>
      <w:r>
        <w:rPr>
          <w:rFonts w:ascii="Arial" w:cs="Arial" w:eastAsia="Arial" w:hAnsi="Arial"/>
          <w:sz w:val="22"/>
          <w:szCs w:val="22"/>
          <w:b w:val="1"/>
          <w:bCs w:val="1"/>
          <w:color w:val="auto"/>
        </w:rPr>
        <w:t>FOR</w:t>
      </w:r>
      <w:r>
        <w:rPr>
          <w:rFonts w:ascii="Arial" w:cs="Arial" w:eastAsia="Arial" w:hAnsi="Arial"/>
          <w:sz w:val="22"/>
          <w:szCs w:val="22"/>
          <w:color w:val="auto"/>
        </w:rPr>
        <w:t xml:space="preserve"> ratification of the appointment of PricewaterhouseCoopers LLP as the Company’s independent registered public accounting firm for the fiscal year ending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EEF"/>
        </w:rPr>
        <w:t xml:space="preserve">46  </w:t>
      </w:r>
      <w:r>
        <w:rPr>
          <w:rFonts w:ascii="Arial" w:cs="Arial" w:eastAsia="Arial" w:hAnsi="Arial"/>
          <w:sz w:val="14"/>
          <w:szCs w:val="14"/>
          <w:color w:val="00AEEF"/>
        </w:rPr>
        <w:t>/</w:t>
      </w:r>
      <w:r>
        <w:rPr>
          <w:sz w:val="20"/>
          <w:szCs w:val="20"/>
          <w:color w:val="auto"/>
        </w:rPr>
        <w:tab/>
      </w:r>
      <w:r>
        <w:rPr>
          <w:rFonts w:ascii="Arial" w:cs="Arial" w:eastAsia="Arial" w:hAnsi="Arial"/>
          <w:sz w:val="15"/>
          <w:szCs w:val="15"/>
          <w:b w:val="1"/>
          <w:bCs w:val="1"/>
          <w:color w:val="205BA8"/>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ind w:left="760"/>
        <w:spacing w:after="0"/>
        <w:rPr>
          <w:sz w:val="20"/>
          <w:szCs w:val="20"/>
          <w:color w:val="auto"/>
        </w:rPr>
      </w:pPr>
      <w:r>
        <w:rPr>
          <w:rFonts w:ascii="Arial" w:cs="Arial" w:eastAsia="Arial" w:hAnsi="Arial"/>
          <w:sz w:val="54"/>
          <w:szCs w:val="54"/>
          <w:b w:val="1"/>
          <w:bCs w:val="1"/>
          <w:color w:val="FFFFFF"/>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071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00" cy="1071880"/>
                    </a:xfrm>
                    <a:prstGeom prst="rect">
                      <a:avLst/>
                    </a:prstGeom>
                    <a:noFill/>
                  </pic:spPr>
                </pic:pic>
              </a:graphicData>
            </a:graphic>
          </wp:anchor>
        </w:drawing>
        <w:t>SHAREHOLDERS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60" w:right="1460"/>
        <w:spacing w:after="0" w:line="278" w:lineRule="auto"/>
        <w:rPr>
          <w:sz w:val="20"/>
          <w:szCs w:val="20"/>
          <w:color w:val="auto"/>
        </w:rPr>
      </w:pPr>
      <w:r>
        <w:rPr>
          <w:rFonts w:ascii="Arial" w:cs="Arial" w:eastAsia="Arial" w:hAnsi="Arial"/>
          <w:sz w:val="29"/>
          <w:szCs w:val="29"/>
          <w:b w:val="1"/>
          <w:bCs w:val="1"/>
          <w:color w:val="C44E5E"/>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-35560</wp:posOffset>
            </wp:positionV>
            <wp:extent cx="61722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95" w:lineRule="exact"/>
        <w:rPr>
          <w:sz w:val="20"/>
          <w:szCs w:val="20"/>
          <w:color w:val="auto"/>
        </w:rPr>
      </w:pPr>
    </w:p>
    <w:p>
      <w:pPr>
        <w:ind w:left="760" w:right="580"/>
        <w:spacing w:after="0"/>
        <w:rPr>
          <w:sz w:val="20"/>
          <w:szCs w:val="20"/>
          <w:color w:val="auto"/>
        </w:rPr>
      </w:pPr>
      <w:r>
        <w:rPr>
          <w:rFonts w:ascii="Arial" w:cs="Arial" w:eastAsia="Arial" w:hAnsi="Arial"/>
          <w:sz w:val="15"/>
          <w:szCs w:val="15"/>
          <w:color w:val="auto"/>
        </w:rPr>
        <w:t>The following table sets forth, as of April 13, 2021, the number of shares of the Company’s Class A stock and common stock beneficially owned by each of the Company’s directors, each of the NEOs referred to below under “Compensation-Related Matters—Compensation Discussion and Analysis,” all directors and executive officers as a group, and each other person or group of persons known by the Company to beneficially own more than 5% of the outstanding shares of Class A stock or common stock, based upon (unless indicated otherwise) information obtained from such persons, and the percentage that such shares represent of the number of outstanding shares of Class A stock and common stock, respectively.</w:t>
      </w:r>
    </w:p>
    <w:p>
      <w:pPr>
        <w:spacing w:after="0" w:line="272" w:lineRule="exact"/>
        <w:rPr>
          <w:sz w:val="20"/>
          <w:szCs w:val="20"/>
          <w:color w:val="auto"/>
        </w:rPr>
      </w:pPr>
    </w:p>
    <w:p>
      <w:pPr>
        <w:ind w:left="760" w:right="600"/>
        <w:spacing w:after="0" w:line="228" w:lineRule="auto"/>
        <w:rPr>
          <w:sz w:val="20"/>
          <w:szCs w:val="20"/>
          <w:color w:val="auto"/>
        </w:rPr>
      </w:pPr>
      <w:r>
        <w:rPr>
          <w:rFonts w:ascii="Arial" w:cs="Arial" w:eastAsia="Arial" w:hAnsi="Arial"/>
          <w:sz w:val="15"/>
          <w:szCs w:val="15"/>
          <w:color w:val="auto"/>
        </w:rPr>
        <w:t>The Class A stock is convertible on a share-for-share basis into common stock. The Class A stock is entitled to ten votes per share and the common stock is entitled to one vote per share. No new shares of Class A stock have been issued since our initial public offering in 1991. We have determined beneficial ownership in accordance with the rules of the SEC.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1,848,970 shares of Class A stock and 104,674,240 shares of common stock outstanding as of April 13, 2021, except that for each person listed who beneficially owns Class A stock (and for directors and executive officers as a group), the number of shares of common stock beneficially owned by that person (and by directors and executive officers as a group) and the percentage ownership of common stock of such person assume the conversion on April 13, 2021 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223" w:lineRule="exact"/>
        <w:rPr>
          <w:sz w:val="20"/>
          <w:szCs w:val="20"/>
          <w:color w:val="auto"/>
        </w:rPr>
      </w:pPr>
    </w:p>
    <w:p>
      <w:pPr>
        <w:ind w:left="760" w:right="640"/>
        <w:spacing w:after="0" w:line="230" w:lineRule="auto"/>
        <w:rPr>
          <w:sz w:val="20"/>
          <w:szCs w:val="20"/>
          <w:color w:val="auto"/>
        </w:rPr>
      </w:pPr>
      <w:r>
        <w:rPr>
          <w:rFonts w:ascii="Arial" w:cs="Arial" w:eastAsia="Arial" w:hAnsi="Arial"/>
          <w:sz w:val="15"/>
          <w:szCs w:val="15"/>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PSUs, RSUs, or other convertible securities (if any) held by that person (and by directors and executive officers as a group) that are exercisable or releasable as of April 13, 2021 or are exercisable or releasable within sixty days after April 13, 2021 are deemed to be outstanding. Such shares are not deemed to be outstanding, however, for the purpose of computing the percentage ownership of common stock of any other person.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ind w:left="220"/>
              <w:spacing w:after="0"/>
              <w:rPr>
                <w:sz w:val="20"/>
                <w:szCs w:val="20"/>
                <w:color w:val="auto"/>
              </w:rPr>
            </w:pPr>
            <w:r>
              <w:rPr>
                <w:rFonts w:ascii="Arial" w:cs="Arial" w:eastAsia="Arial" w:hAnsi="Arial"/>
                <w:sz w:val="15"/>
                <w:szCs w:val="15"/>
                <w:b w:val="1"/>
                <w:bCs w:val="1"/>
                <w:color w:val="205BA8"/>
              </w:rPr>
              <w:t>2021 PROXY STATEMENT AND NOTICE OF ANNUAL SHAREHOLDER MEETING</w:t>
            </w:r>
          </w:p>
        </w:tc>
        <w:tc>
          <w:tcPr>
            <w:tcW w:w="2880" w:type="dxa"/>
            <w:vAlign w:val="bottom"/>
          </w:tcPr>
          <w:p>
            <w:pPr>
              <w:jc w:val="right"/>
              <w:ind w:right="148"/>
              <w:spacing w:after="0"/>
              <w:rPr>
                <w:sz w:val="20"/>
                <w:szCs w:val="20"/>
                <w:color w:val="auto"/>
              </w:rPr>
            </w:pPr>
            <w:r>
              <w:rPr>
                <w:rFonts w:ascii="Arial" w:cs="Arial" w:eastAsia="Arial" w:hAnsi="Arial"/>
                <w:sz w:val="14"/>
                <w:szCs w:val="14"/>
                <w:color w:val="00AEEF"/>
              </w:rPr>
              <w:t xml:space="preserve">/  </w:t>
            </w:r>
            <w:r>
              <w:rPr>
                <w:rFonts w:ascii="Arial" w:cs="Arial" w:eastAsia="Arial" w:hAnsi="Arial"/>
                <w:sz w:val="14"/>
                <w:szCs w:val="14"/>
                <w:b w:val="1"/>
                <w:bCs w:val="1"/>
                <w:color w:val="00AEEF"/>
              </w:rPr>
              <w:t>47</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1068" w:right="339" w:bottom="1440" w:gutter="0" w:footer="0" w:header="0"/>
        </w:sectPr>
      </w:pPr>
    </w:p>
    <w:bookmarkStart w:id="58" w:name="page59"/>
    <w:bookmarkEnd w:id="58"/>
    <w:p>
      <w:pPr>
        <w:ind w:left="540"/>
        <w:spacing w:after="0"/>
        <w:rPr>
          <w:sz w:val="20"/>
          <w:szCs w:val="20"/>
          <w:color w:val="auto"/>
        </w:rPr>
      </w:pPr>
      <w:r>
        <w:rPr>
          <w:rFonts w:ascii="Arial" w:cs="Arial" w:eastAsia="Arial" w:hAnsi="Arial"/>
          <w:sz w:val="16"/>
          <w:szCs w:val="16"/>
          <w:b w:val="1"/>
          <w:bCs w:val="1"/>
          <w:color w:val="205BA8"/>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8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205BA8"/>
                <w:w w:val="97"/>
              </w:rPr>
              <w:t>Shares of Class A Stock</w:t>
            </w:r>
          </w:p>
        </w:tc>
        <w:tc>
          <w:tcPr>
            <w:tcW w:w="3060" w:type="dxa"/>
            <w:vAlign w:val="bottom"/>
            <w:gridSpan w:val="3"/>
          </w:tcPr>
          <w:p>
            <w:pPr>
              <w:ind w:left="540"/>
              <w:spacing w:after="0"/>
              <w:rPr>
                <w:sz w:val="20"/>
                <w:szCs w:val="20"/>
                <w:color w:val="auto"/>
              </w:rPr>
            </w:pPr>
            <w:r>
              <w:rPr>
                <w:rFonts w:ascii="Arial" w:cs="Arial" w:eastAsia="Arial" w:hAnsi="Arial"/>
                <w:sz w:val="12"/>
                <w:szCs w:val="12"/>
                <w:b w:val="1"/>
                <w:bCs w:val="1"/>
                <w:color w:val="205BA8"/>
              </w:rPr>
              <w:t>Shares of Common Stock</w:t>
            </w:r>
          </w:p>
        </w:tc>
      </w:tr>
      <w:tr>
        <w:trPr>
          <w:trHeight w:val="181"/>
        </w:trPr>
        <w:tc>
          <w:tcPr>
            <w:tcW w:w="5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tcBorders>
              <w:bottom w:val="single" w:sz="8" w:color="1F5AA8"/>
            </w:tcBorders>
            <w:gridSpan w:val="2"/>
          </w:tcPr>
          <w:p>
            <w:pPr>
              <w:jc w:val="center"/>
              <w:spacing w:after="0" w:line="182" w:lineRule="exact"/>
              <w:rPr>
                <w:sz w:val="20"/>
                <w:szCs w:val="20"/>
                <w:color w:val="auto"/>
              </w:rPr>
            </w:pPr>
            <w:r>
              <w:rPr>
                <w:rFonts w:ascii="Arial" w:cs="Arial" w:eastAsia="Arial" w:hAnsi="Arial"/>
                <w:sz w:val="12"/>
                <w:szCs w:val="12"/>
                <w:b w:val="1"/>
                <w:bCs w:val="1"/>
                <w:color w:val="205BA8"/>
                <w:w w:val="95"/>
              </w:rPr>
              <w:t>Beneficially Owned</w:t>
            </w:r>
            <w:r>
              <w:rPr>
                <w:rFonts w:ascii="Arial" w:cs="Arial" w:eastAsia="Arial" w:hAnsi="Arial"/>
                <w:sz w:val="19"/>
                <w:szCs w:val="19"/>
                <w:b w:val="1"/>
                <w:bCs w:val="1"/>
                <w:color w:val="205BA8"/>
                <w:w w:val="95"/>
                <w:vertAlign w:val="superscript"/>
              </w:rPr>
              <w:t>1</w:t>
            </w:r>
          </w:p>
        </w:tc>
        <w:tc>
          <w:tcPr>
            <w:tcW w:w="320" w:type="dxa"/>
            <w:vAlign w:val="bottom"/>
          </w:tcPr>
          <w:p>
            <w:pPr>
              <w:spacing w:after="0"/>
              <w:rPr>
                <w:sz w:val="15"/>
                <w:szCs w:val="15"/>
                <w:color w:val="auto"/>
              </w:rPr>
            </w:pPr>
          </w:p>
        </w:tc>
        <w:tc>
          <w:tcPr>
            <w:tcW w:w="2520" w:type="dxa"/>
            <w:vAlign w:val="bottom"/>
            <w:tcBorders>
              <w:bottom w:val="single" w:sz="8" w:color="1F5AA8"/>
            </w:tcBorders>
            <w:gridSpan w:val="2"/>
          </w:tcPr>
          <w:p>
            <w:pPr>
              <w:jc w:val="right"/>
              <w:ind w:right="641"/>
              <w:spacing w:after="0" w:line="182" w:lineRule="exact"/>
              <w:rPr>
                <w:sz w:val="20"/>
                <w:szCs w:val="20"/>
                <w:color w:val="auto"/>
              </w:rPr>
            </w:pPr>
            <w:r>
              <w:rPr>
                <w:rFonts w:ascii="Arial" w:cs="Arial" w:eastAsia="Arial" w:hAnsi="Arial"/>
                <w:sz w:val="12"/>
                <w:szCs w:val="12"/>
                <w:b w:val="1"/>
                <w:bCs w:val="1"/>
                <w:color w:val="205BA8"/>
              </w:rPr>
              <w:t>Beneficially Owned</w:t>
            </w:r>
            <w:r>
              <w:rPr>
                <w:rFonts w:ascii="Arial" w:cs="Arial" w:eastAsia="Arial" w:hAnsi="Arial"/>
                <w:sz w:val="19"/>
                <w:szCs w:val="19"/>
                <w:b w:val="1"/>
                <w:bCs w:val="1"/>
                <w:color w:val="205BA8"/>
                <w:vertAlign w:val="superscript"/>
              </w:rPr>
              <w:t>1</w:t>
            </w:r>
          </w:p>
        </w:tc>
        <w:tc>
          <w:tcPr>
            <w:tcW w:w="54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4540" w:type="dxa"/>
            <w:vAlign w:val="bottom"/>
          </w:tcPr>
          <w:p>
            <w:pPr>
              <w:ind w:left="60"/>
              <w:spacing w:after="0"/>
              <w:rPr>
                <w:sz w:val="20"/>
                <w:szCs w:val="20"/>
                <w:color w:val="auto"/>
              </w:rPr>
            </w:pPr>
            <w:r>
              <w:rPr>
                <w:rFonts w:ascii="Arial" w:cs="Arial" w:eastAsia="Arial" w:hAnsi="Arial"/>
                <w:sz w:val="12"/>
                <w:szCs w:val="12"/>
                <w:b w:val="1"/>
                <w:bCs w:val="1"/>
                <w:color w:val="205BA8"/>
              </w:rPr>
              <w:t>Name and Address of Beneficial Owner</w:t>
            </w:r>
          </w:p>
        </w:tc>
        <w:tc>
          <w:tcPr>
            <w:tcW w:w="220" w:type="dxa"/>
            <w:vAlign w:val="bottom"/>
          </w:tcPr>
          <w:p>
            <w:pPr>
              <w:spacing w:after="0"/>
              <w:rPr>
                <w:sz w:val="15"/>
                <w:szCs w:val="15"/>
                <w:color w:val="auto"/>
              </w:rPr>
            </w:pPr>
          </w:p>
        </w:tc>
        <w:tc>
          <w:tcPr>
            <w:tcW w:w="1180" w:type="dxa"/>
            <w:vAlign w:val="bottom"/>
          </w:tcPr>
          <w:p>
            <w:pPr>
              <w:ind w:left="280"/>
              <w:spacing w:after="0"/>
              <w:rPr>
                <w:sz w:val="20"/>
                <w:szCs w:val="20"/>
                <w:color w:val="auto"/>
              </w:rPr>
            </w:pPr>
            <w:r>
              <w:rPr>
                <w:rFonts w:ascii="Arial" w:cs="Arial" w:eastAsia="Arial" w:hAnsi="Arial"/>
                <w:sz w:val="12"/>
                <w:szCs w:val="12"/>
                <w:b w:val="1"/>
                <w:bCs w:val="1"/>
                <w:color w:val="205BA8"/>
              </w:rPr>
              <w:t>Number</w:t>
            </w:r>
          </w:p>
        </w:tc>
        <w:tc>
          <w:tcPr>
            <w:tcW w:w="1700" w:type="dxa"/>
            <w:vAlign w:val="bottom"/>
            <w:gridSpan w:val="2"/>
          </w:tcPr>
          <w:p>
            <w:pPr>
              <w:ind w:left="300"/>
              <w:spacing w:after="0"/>
              <w:rPr>
                <w:sz w:val="20"/>
                <w:szCs w:val="20"/>
                <w:color w:val="auto"/>
              </w:rPr>
            </w:pPr>
            <w:r>
              <w:rPr>
                <w:rFonts w:ascii="Arial" w:cs="Arial" w:eastAsia="Arial" w:hAnsi="Arial"/>
                <w:sz w:val="12"/>
                <w:szCs w:val="12"/>
                <w:b w:val="1"/>
                <w:bCs w:val="1"/>
                <w:color w:val="205BA8"/>
              </w:rPr>
              <w:t>Percent of Class</w:t>
            </w:r>
          </w:p>
        </w:tc>
        <w:tc>
          <w:tcPr>
            <w:tcW w:w="1220" w:type="dxa"/>
            <w:vAlign w:val="bottom"/>
          </w:tcPr>
          <w:p>
            <w:pPr>
              <w:ind w:left="300"/>
              <w:spacing w:after="0" w:line="169" w:lineRule="exact"/>
              <w:rPr>
                <w:sz w:val="20"/>
                <w:szCs w:val="20"/>
                <w:color w:val="auto"/>
              </w:rPr>
            </w:pPr>
            <w:r>
              <w:rPr>
                <w:rFonts w:ascii="Arial" w:cs="Arial" w:eastAsia="Arial" w:hAnsi="Arial"/>
                <w:sz w:val="12"/>
                <w:szCs w:val="12"/>
                <w:b w:val="1"/>
                <w:bCs w:val="1"/>
                <w:color w:val="205BA8"/>
              </w:rPr>
              <w:t>Number</w:t>
            </w:r>
            <w:r>
              <w:rPr>
                <w:rFonts w:ascii="Arial" w:cs="Arial" w:eastAsia="Arial" w:hAnsi="Arial"/>
                <w:sz w:val="19"/>
                <w:szCs w:val="19"/>
                <w:b w:val="1"/>
                <w:bCs w:val="1"/>
                <w:color w:val="205BA8"/>
                <w:vertAlign w:val="superscript"/>
              </w:rPr>
              <w:t>2</w:t>
            </w:r>
          </w:p>
        </w:tc>
        <w:tc>
          <w:tcPr>
            <w:tcW w:w="1840" w:type="dxa"/>
            <w:vAlign w:val="bottom"/>
            <w:gridSpan w:val="2"/>
          </w:tcPr>
          <w:p>
            <w:pPr>
              <w:ind w:left="240"/>
              <w:spacing w:after="0"/>
              <w:rPr>
                <w:sz w:val="20"/>
                <w:szCs w:val="20"/>
                <w:color w:val="auto"/>
              </w:rPr>
            </w:pPr>
            <w:r>
              <w:rPr>
                <w:rFonts w:ascii="Arial" w:cs="Arial" w:eastAsia="Arial" w:hAnsi="Arial"/>
                <w:sz w:val="12"/>
                <w:szCs w:val="12"/>
                <w:b w:val="1"/>
                <w:bCs w:val="1"/>
                <w:color w:val="205BA8"/>
              </w:rPr>
              <w:t>Percent of Class</w:t>
            </w:r>
          </w:p>
        </w:tc>
      </w:tr>
      <w:tr>
        <w:trPr>
          <w:trHeight w:val="136"/>
        </w:trPr>
        <w:tc>
          <w:tcPr>
            <w:tcW w:w="540" w:type="dxa"/>
            <w:vAlign w:val="bottom"/>
          </w:tcPr>
          <w:p>
            <w:pPr>
              <w:spacing w:after="0"/>
              <w:rPr>
                <w:sz w:val="11"/>
                <w:szCs w:val="11"/>
                <w:color w:val="auto"/>
              </w:rPr>
            </w:pPr>
          </w:p>
        </w:tc>
        <w:tc>
          <w:tcPr>
            <w:tcW w:w="4540" w:type="dxa"/>
            <w:vAlign w:val="bottom"/>
            <w:tcBorders>
              <w:top w:val="single" w:sz="8" w:color="1F5AA8"/>
            </w:tcBorders>
          </w:tcPr>
          <w:p>
            <w:pPr>
              <w:ind w:left="60"/>
              <w:spacing w:after="0" w:line="136" w:lineRule="exact"/>
              <w:rPr>
                <w:sz w:val="20"/>
                <w:szCs w:val="20"/>
                <w:color w:val="auto"/>
              </w:rPr>
            </w:pPr>
            <w:r>
              <w:rPr>
                <w:rFonts w:ascii="Arial" w:cs="Arial" w:eastAsia="Arial" w:hAnsi="Arial"/>
                <w:sz w:val="13"/>
                <w:szCs w:val="13"/>
                <w:b w:val="1"/>
                <w:bCs w:val="1"/>
                <w:color w:val="205BA8"/>
              </w:rPr>
              <w:t>Beneficial Owners of More than 5% of Class A Stock or Common</w:t>
            </w:r>
          </w:p>
        </w:tc>
        <w:tc>
          <w:tcPr>
            <w:tcW w:w="220" w:type="dxa"/>
            <w:vAlign w:val="bottom"/>
            <w:tcBorders>
              <w:top w:val="single" w:sz="8" w:color="1F5AA8"/>
            </w:tcBorders>
          </w:tcPr>
          <w:p>
            <w:pPr>
              <w:spacing w:after="0"/>
              <w:rPr>
                <w:sz w:val="11"/>
                <w:szCs w:val="11"/>
                <w:color w:val="auto"/>
              </w:rPr>
            </w:pPr>
          </w:p>
        </w:tc>
        <w:tc>
          <w:tcPr>
            <w:tcW w:w="1180" w:type="dxa"/>
            <w:vAlign w:val="bottom"/>
            <w:tcBorders>
              <w:top w:val="single" w:sz="8" w:color="1F5AA8"/>
            </w:tcBorders>
          </w:tcPr>
          <w:p>
            <w:pPr>
              <w:spacing w:after="0"/>
              <w:rPr>
                <w:sz w:val="11"/>
                <w:szCs w:val="11"/>
                <w:color w:val="auto"/>
              </w:rPr>
            </w:pPr>
          </w:p>
        </w:tc>
        <w:tc>
          <w:tcPr>
            <w:tcW w:w="1380" w:type="dxa"/>
            <w:vAlign w:val="bottom"/>
            <w:tcBorders>
              <w:top w:val="single" w:sz="8" w:color="1F5AA8"/>
            </w:tcBorders>
          </w:tcPr>
          <w:p>
            <w:pPr>
              <w:spacing w:after="0"/>
              <w:rPr>
                <w:sz w:val="11"/>
                <w:szCs w:val="11"/>
                <w:color w:val="auto"/>
              </w:rPr>
            </w:pPr>
          </w:p>
        </w:tc>
        <w:tc>
          <w:tcPr>
            <w:tcW w:w="320" w:type="dxa"/>
            <w:vAlign w:val="bottom"/>
            <w:tcBorders>
              <w:top w:val="single" w:sz="8" w:color="1F5AA8"/>
            </w:tcBorders>
          </w:tcPr>
          <w:p>
            <w:pPr>
              <w:spacing w:after="0"/>
              <w:rPr>
                <w:sz w:val="11"/>
                <w:szCs w:val="11"/>
                <w:color w:val="auto"/>
              </w:rPr>
            </w:pPr>
          </w:p>
        </w:tc>
        <w:tc>
          <w:tcPr>
            <w:tcW w:w="1220" w:type="dxa"/>
            <w:vAlign w:val="bottom"/>
            <w:tcBorders>
              <w:top w:val="single" w:sz="8" w:color="1F5AA8"/>
            </w:tcBorders>
          </w:tcPr>
          <w:p>
            <w:pPr>
              <w:spacing w:after="0"/>
              <w:rPr>
                <w:sz w:val="11"/>
                <w:szCs w:val="11"/>
                <w:color w:val="auto"/>
              </w:rPr>
            </w:pPr>
          </w:p>
        </w:tc>
        <w:tc>
          <w:tcPr>
            <w:tcW w:w="1300" w:type="dxa"/>
            <w:vAlign w:val="bottom"/>
            <w:tcBorders>
              <w:top w:val="single" w:sz="8" w:color="1F5AA8"/>
            </w:tcBorders>
          </w:tcPr>
          <w:p>
            <w:pPr>
              <w:spacing w:after="0"/>
              <w:rPr>
                <w:sz w:val="11"/>
                <w:szCs w:val="11"/>
                <w:color w:val="auto"/>
              </w:rPr>
            </w:pPr>
          </w:p>
        </w:tc>
        <w:tc>
          <w:tcPr>
            <w:tcW w:w="540" w:type="dxa"/>
            <w:vAlign w:val="bottom"/>
          </w:tcPr>
          <w:p>
            <w:pPr>
              <w:spacing w:after="0"/>
              <w:rPr>
                <w:sz w:val="11"/>
                <w:szCs w:val="11"/>
                <w:color w:val="auto"/>
              </w:rPr>
            </w:pPr>
          </w:p>
        </w:tc>
      </w:tr>
      <w:tr>
        <w:trPr>
          <w:trHeight w:val="168"/>
        </w:trPr>
        <w:tc>
          <w:tcPr>
            <w:tcW w:w="540" w:type="dxa"/>
            <w:vAlign w:val="bottom"/>
          </w:tcPr>
          <w:p>
            <w:pPr>
              <w:spacing w:after="0"/>
              <w:rPr>
                <w:sz w:val="14"/>
                <w:szCs w:val="14"/>
                <w:color w:val="auto"/>
              </w:rPr>
            </w:pPr>
          </w:p>
        </w:tc>
        <w:tc>
          <w:tcPr>
            <w:tcW w:w="4540" w:type="dxa"/>
            <w:vAlign w:val="bottom"/>
            <w:tcBorders>
              <w:bottom w:val="single" w:sz="8" w:color="1F5AA8"/>
            </w:tcBorders>
          </w:tcPr>
          <w:p>
            <w:pPr>
              <w:ind w:left="60"/>
              <w:spacing w:after="0"/>
              <w:rPr>
                <w:sz w:val="20"/>
                <w:szCs w:val="20"/>
                <w:color w:val="auto"/>
              </w:rPr>
            </w:pPr>
            <w:r>
              <w:rPr>
                <w:rFonts w:ascii="Arial" w:cs="Arial" w:eastAsia="Arial" w:hAnsi="Arial"/>
                <w:sz w:val="13"/>
                <w:szCs w:val="13"/>
                <w:b w:val="1"/>
                <w:bCs w:val="1"/>
                <w:color w:val="205BA8"/>
              </w:rPr>
              <w:t>Stock (Other than Directors and Executive Officers):</w:t>
            </w:r>
          </w:p>
        </w:tc>
        <w:tc>
          <w:tcPr>
            <w:tcW w:w="220" w:type="dxa"/>
            <w:vAlign w:val="bottom"/>
            <w:tcBorders>
              <w:bottom w:val="single" w:sz="8" w:color="1F5AA8"/>
            </w:tcBorders>
          </w:tcPr>
          <w:p>
            <w:pPr>
              <w:spacing w:after="0"/>
              <w:rPr>
                <w:sz w:val="14"/>
                <w:szCs w:val="14"/>
                <w:color w:val="auto"/>
              </w:rPr>
            </w:pPr>
          </w:p>
        </w:tc>
        <w:tc>
          <w:tcPr>
            <w:tcW w:w="1180" w:type="dxa"/>
            <w:vAlign w:val="bottom"/>
            <w:tcBorders>
              <w:bottom w:val="single" w:sz="8" w:color="1F5AA8"/>
            </w:tcBorders>
          </w:tcPr>
          <w:p>
            <w:pPr>
              <w:spacing w:after="0"/>
              <w:rPr>
                <w:sz w:val="14"/>
                <w:szCs w:val="14"/>
                <w:color w:val="auto"/>
              </w:rPr>
            </w:pPr>
          </w:p>
        </w:tc>
        <w:tc>
          <w:tcPr>
            <w:tcW w:w="1380" w:type="dxa"/>
            <w:vAlign w:val="bottom"/>
            <w:tcBorders>
              <w:bottom w:val="single" w:sz="8" w:color="1F5AA8"/>
            </w:tcBorders>
          </w:tcPr>
          <w:p>
            <w:pPr>
              <w:spacing w:after="0"/>
              <w:rPr>
                <w:sz w:val="14"/>
                <w:szCs w:val="14"/>
                <w:color w:val="auto"/>
              </w:rPr>
            </w:pPr>
          </w:p>
        </w:tc>
        <w:tc>
          <w:tcPr>
            <w:tcW w:w="320" w:type="dxa"/>
            <w:vAlign w:val="bottom"/>
            <w:tcBorders>
              <w:bottom w:val="single" w:sz="8" w:color="1F5AA8"/>
            </w:tcBorders>
          </w:tcPr>
          <w:p>
            <w:pPr>
              <w:spacing w:after="0"/>
              <w:rPr>
                <w:sz w:val="14"/>
                <w:szCs w:val="14"/>
                <w:color w:val="auto"/>
              </w:rPr>
            </w:pPr>
          </w:p>
        </w:tc>
        <w:tc>
          <w:tcPr>
            <w:tcW w:w="1220" w:type="dxa"/>
            <w:vAlign w:val="bottom"/>
            <w:tcBorders>
              <w:bottom w:val="single" w:sz="8" w:color="1F5AA8"/>
            </w:tcBorders>
          </w:tcPr>
          <w:p>
            <w:pPr>
              <w:spacing w:after="0"/>
              <w:rPr>
                <w:sz w:val="14"/>
                <w:szCs w:val="14"/>
                <w:color w:val="auto"/>
              </w:rPr>
            </w:pPr>
          </w:p>
        </w:tc>
        <w:tc>
          <w:tcPr>
            <w:tcW w:w="1300" w:type="dxa"/>
            <w:vAlign w:val="bottom"/>
            <w:tcBorders>
              <w:bottom w:val="single" w:sz="8" w:color="1F5AA8"/>
            </w:tcBorders>
          </w:tcPr>
          <w:p>
            <w:pPr>
              <w:spacing w:after="0"/>
              <w:rPr>
                <w:sz w:val="14"/>
                <w:szCs w:val="14"/>
                <w:color w:val="auto"/>
              </w:rPr>
            </w:pPr>
          </w:p>
        </w:tc>
        <w:tc>
          <w:tcPr>
            <w:tcW w:w="540" w:type="dxa"/>
            <w:vAlign w:val="bottom"/>
          </w:tcPr>
          <w:p>
            <w:pPr>
              <w:spacing w:after="0"/>
              <w:rPr>
                <w:sz w:val="14"/>
                <w:szCs w:val="14"/>
                <w:color w:val="auto"/>
              </w:rPr>
            </w:pPr>
          </w:p>
        </w:tc>
      </w:tr>
      <w:tr>
        <w:trPr>
          <w:trHeight w:val="192"/>
        </w:trPr>
        <w:tc>
          <w:tcPr>
            <w:tcW w:w="540" w:type="dxa"/>
            <w:vAlign w:val="bottom"/>
          </w:tcPr>
          <w:p>
            <w:pPr>
              <w:spacing w:after="0"/>
              <w:rPr>
                <w:sz w:val="16"/>
                <w:szCs w:val="16"/>
                <w:color w:val="auto"/>
              </w:rPr>
            </w:pPr>
          </w:p>
        </w:tc>
        <w:tc>
          <w:tcPr>
            <w:tcW w:w="4540" w:type="dxa"/>
            <w:vAlign w:val="bottom"/>
          </w:tcPr>
          <w:p>
            <w:pPr>
              <w:ind w:left="60"/>
              <w:spacing w:after="0" w:line="193" w:lineRule="exact"/>
              <w:rPr>
                <w:sz w:val="20"/>
                <w:szCs w:val="20"/>
                <w:color w:val="auto"/>
              </w:rPr>
            </w:pPr>
            <w:r>
              <w:rPr>
                <w:rFonts w:ascii="Arial" w:cs="Arial" w:eastAsia="Arial" w:hAnsi="Arial"/>
                <w:sz w:val="13"/>
                <w:szCs w:val="13"/>
                <w:b w:val="1"/>
                <w:bCs w:val="1"/>
                <w:color w:val="C44E5E"/>
              </w:rPr>
              <w:t>FMR LLC</w:t>
            </w:r>
            <w:r>
              <w:rPr>
                <w:rFonts w:ascii="Arial" w:cs="Arial" w:eastAsia="Arial" w:hAnsi="Arial"/>
                <w:sz w:val="21"/>
                <w:szCs w:val="21"/>
                <w:b w:val="1"/>
                <w:bCs w:val="1"/>
                <w:color w:val="C44E5E"/>
                <w:vertAlign w:val="superscript"/>
              </w:rPr>
              <w:t>3</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48"/>
        </w:trPr>
        <w:tc>
          <w:tcPr>
            <w:tcW w:w="540" w:type="dxa"/>
            <w:vAlign w:val="bottom"/>
          </w:tcPr>
          <w:p>
            <w:pPr>
              <w:spacing w:after="0"/>
              <w:rPr>
                <w:sz w:val="12"/>
                <w:szCs w:val="12"/>
                <w:color w:val="auto"/>
              </w:rPr>
            </w:pPr>
          </w:p>
        </w:tc>
        <w:tc>
          <w:tcPr>
            <w:tcW w:w="4540" w:type="dxa"/>
            <w:vAlign w:val="bottom"/>
          </w:tcPr>
          <w:p>
            <w:pPr>
              <w:ind w:left="60"/>
              <w:spacing w:after="0"/>
              <w:rPr>
                <w:sz w:val="20"/>
                <w:szCs w:val="20"/>
                <w:color w:val="auto"/>
              </w:rPr>
            </w:pPr>
            <w:r>
              <w:rPr>
                <w:rFonts w:ascii="Arial" w:cs="Arial" w:eastAsia="Arial" w:hAnsi="Arial"/>
                <w:sz w:val="13"/>
                <w:szCs w:val="13"/>
                <w:color w:val="auto"/>
              </w:rPr>
              <w:t>245 Summer Street</w:t>
            </w:r>
          </w:p>
        </w:tc>
        <w:tc>
          <w:tcPr>
            <w:tcW w:w="220" w:type="dxa"/>
            <w:vAlign w:val="bottom"/>
          </w:tcPr>
          <w:p>
            <w:pPr>
              <w:spacing w:after="0"/>
              <w:rPr>
                <w:sz w:val="12"/>
                <w:szCs w:val="12"/>
                <w:color w:val="auto"/>
              </w:rPr>
            </w:pPr>
          </w:p>
        </w:tc>
        <w:tc>
          <w:tcPr>
            <w:tcW w:w="1180" w:type="dxa"/>
            <w:vAlign w:val="bottom"/>
          </w:tcPr>
          <w:p>
            <w:pPr>
              <w:jc w:val="center"/>
              <w:ind w:right="16"/>
              <w:spacing w:after="0"/>
              <w:rPr>
                <w:sz w:val="20"/>
                <w:szCs w:val="20"/>
                <w:color w:val="auto"/>
              </w:rPr>
            </w:pPr>
            <w:r>
              <w:rPr>
                <w:rFonts w:ascii="Arial" w:cs="Arial" w:eastAsia="Arial" w:hAnsi="Arial"/>
                <w:sz w:val="13"/>
                <w:szCs w:val="13"/>
                <w:color w:val="auto"/>
              </w:rPr>
              <w:t>—</w:t>
            </w:r>
          </w:p>
        </w:tc>
        <w:tc>
          <w:tcPr>
            <w:tcW w:w="1700" w:type="dxa"/>
            <w:vAlign w:val="bottom"/>
            <w:gridSpan w:val="2"/>
          </w:tcPr>
          <w:p>
            <w:pPr>
              <w:jc w:val="center"/>
              <w:ind w:right="8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81"/>
              <w:spacing w:after="0"/>
              <w:rPr>
                <w:sz w:val="20"/>
                <w:szCs w:val="20"/>
                <w:color w:val="auto"/>
              </w:rPr>
            </w:pPr>
            <w:r>
              <w:rPr>
                <w:rFonts w:ascii="Arial" w:cs="Arial" w:eastAsia="Arial" w:hAnsi="Arial"/>
                <w:sz w:val="13"/>
                <w:szCs w:val="13"/>
                <w:color w:val="auto"/>
              </w:rPr>
              <w:t>11,481,571</w:t>
            </w:r>
          </w:p>
        </w:tc>
        <w:tc>
          <w:tcPr>
            <w:tcW w:w="1300" w:type="dxa"/>
            <w:vAlign w:val="bottom"/>
          </w:tcPr>
          <w:p>
            <w:pPr>
              <w:jc w:val="right"/>
              <w:ind w:right="381"/>
              <w:spacing w:after="0"/>
              <w:rPr>
                <w:sz w:val="20"/>
                <w:szCs w:val="20"/>
                <w:color w:val="auto"/>
              </w:rPr>
            </w:pPr>
            <w:r>
              <w:rPr>
                <w:rFonts w:ascii="Arial" w:cs="Arial" w:eastAsia="Arial" w:hAnsi="Arial"/>
                <w:sz w:val="13"/>
                <w:szCs w:val="13"/>
                <w:color w:val="auto"/>
              </w:rPr>
              <w:t>11.0%</w:t>
            </w:r>
          </w:p>
        </w:tc>
        <w:tc>
          <w:tcPr>
            <w:tcW w:w="540" w:type="dxa"/>
            <w:vAlign w:val="bottom"/>
          </w:tcPr>
          <w:p>
            <w:pPr>
              <w:spacing w:after="0"/>
              <w:rPr>
                <w:sz w:val="12"/>
                <w:szCs w:val="12"/>
                <w:color w:val="auto"/>
              </w:rPr>
            </w:pPr>
          </w:p>
        </w:tc>
      </w:tr>
      <w:tr>
        <w:trPr>
          <w:trHeight w:val="157"/>
        </w:trPr>
        <w:tc>
          <w:tcPr>
            <w:tcW w:w="540" w:type="dxa"/>
            <w:vAlign w:val="bottom"/>
          </w:tcPr>
          <w:p>
            <w:pPr>
              <w:spacing w:after="0"/>
              <w:rPr>
                <w:sz w:val="13"/>
                <w:szCs w:val="13"/>
                <w:color w:val="auto"/>
              </w:rPr>
            </w:pPr>
          </w:p>
        </w:tc>
        <w:tc>
          <w:tcPr>
            <w:tcW w:w="4540" w:type="dxa"/>
            <w:vAlign w:val="bottom"/>
            <w:tcBorders>
              <w:bottom w:val="single" w:sz="8" w:color="1F5AA8"/>
            </w:tcBorders>
          </w:tcPr>
          <w:p>
            <w:pPr>
              <w:ind w:left="60"/>
              <w:spacing w:after="0"/>
              <w:rPr>
                <w:sz w:val="20"/>
                <w:szCs w:val="20"/>
                <w:color w:val="auto"/>
              </w:rPr>
            </w:pPr>
            <w:r>
              <w:rPr>
                <w:rFonts w:ascii="Arial" w:cs="Arial" w:eastAsia="Arial" w:hAnsi="Arial"/>
                <w:sz w:val="13"/>
                <w:szCs w:val="13"/>
                <w:color w:val="auto"/>
              </w:rPr>
              <w:t>Boston, Massachusetts 02210</w:t>
            </w:r>
          </w:p>
        </w:tc>
        <w:tc>
          <w:tcPr>
            <w:tcW w:w="220" w:type="dxa"/>
            <w:vAlign w:val="bottom"/>
            <w:tcBorders>
              <w:bottom w:val="single" w:sz="8" w:color="1F5AA8"/>
            </w:tcBorders>
          </w:tcPr>
          <w:p>
            <w:pPr>
              <w:spacing w:after="0"/>
              <w:rPr>
                <w:sz w:val="13"/>
                <w:szCs w:val="13"/>
                <w:color w:val="auto"/>
              </w:rPr>
            </w:pPr>
          </w:p>
        </w:tc>
        <w:tc>
          <w:tcPr>
            <w:tcW w:w="1180" w:type="dxa"/>
            <w:vAlign w:val="bottom"/>
            <w:tcBorders>
              <w:bottom w:val="single" w:sz="8" w:color="1F5AA8"/>
            </w:tcBorders>
          </w:tcPr>
          <w:p>
            <w:pPr>
              <w:spacing w:after="0"/>
              <w:rPr>
                <w:sz w:val="13"/>
                <w:szCs w:val="13"/>
                <w:color w:val="auto"/>
              </w:rPr>
            </w:pPr>
          </w:p>
        </w:tc>
        <w:tc>
          <w:tcPr>
            <w:tcW w:w="1380" w:type="dxa"/>
            <w:vAlign w:val="bottom"/>
            <w:tcBorders>
              <w:bottom w:val="single" w:sz="8" w:color="1F5AA8"/>
            </w:tcBorders>
          </w:tcPr>
          <w:p>
            <w:pPr>
              <w:spacing w:after="0"/>
              <w:rPr>
                <w:sz w:val="13"/>
                <w:szCs w:val="13"/>
                <w:color w:val="auto"/>
              </w:rPr>
            </w:pPr>
          </w:p>
        </w:tc>
        <w:tc>
          <w:tcPr>
            <w:tcW w:w="320" w:type="dxa"/>
            <w:vAlign w:val="bottom"/>
            <w:tcBorders>
              <w:bottom w:val="single" w:sz="8" w:color="1F5AA8"/>
            </w:tcBorders>
          </w:tcPr>
          <w:p>
            <w:pPr>
              <w:spacing w:after="0"/>
              <w:rPr>
                <w:sz w:val="13"/>
                <w:szCs w:val="13"/>
                <w:color w:val="auto"/>
              </w:rPr>
            </w:pPr>
          </w:p>
        </w:tc>
        <w:tc>
          <w:tcPr>
            <w:tcW w:w="1220" w:type="dxa"/>
            <w:vAlign w:val="bottom"/>
            <w:tcBorders>
              <w:bottom w:val="single" w:sz="8" w:color="1F5AA8"/>
            </w:tcBorders>
          </w:tcPr>
          <w:p>
            <w:pPr>
              <w:spacing w:after="0"/>
              <w:rPr>
                <w:sz w:val="13"/>
                <w:szCs w:val="13"/>
                <w:color w:val="auto"/>
              </w:rPr>
            </w:pPr>
          </w:p>
        </w:tc>
        <w:tc>
          <w:tcPr>
            <w:tcW w:w="1300" w:type="dxa"/>
            <w:vAlign w:val="bottom"/>
            <w:tcBorders>
              <w:bottom w:val="single" w:sz="8" w:color="1F5AA8"/>
            </w:tcBorders>
          </w:tcPr>
          <w:p>
            <w:pPr>
              <w:spacing w:after="0"/>
              <w:rPr>
                <w:sz w:val="13"/>
                <w:szCs w:val="13"/>
                <w:color w:val="auto"/>
              </w:rPr>
            </w:pPr>
          </w:p>
        </w:tc>
        <w:tc>
          <w:tcPr>
            <w:tcW w:w="540" w:type="dxa"/>
            <w:vAlign w:val="bottom"/>
          </w:tcPr>
          <w:p>
            <w:pPr>
              <w:spacing w:after="0"/>
              <w:rPr>
                <w:sz w:val="13"/>
                <w:szCs w:val="13"/>
                <w:color w:val="auto"/>
              </w:rPr>
            </w:pPr>
          </w:p>
        </w:tc>
      </w:tr>
      <w:tr>
        <w:trPr>
          <w:trHeight w:val="184"/>
        </w:trPr>
        <w:tc>
          <w:tcPr>
            <w:tcW w:w="540" w:type="dxa"/>
            <w:vAlign w:val="bottom"/>
          </w:tcPr>
          <w:p>
            <w:pPr>
              <w:spacing w:after="0"/>
              <w:rPr>
                <w:sz w:val="15"/>
                <w:szCs w:val="15"/>
                <w:color w:val="auto"/>
              </w:rPr>
            </w:pPr>
          </w:p>
        </w:tc>
        <w:tc>
          <w:tcPr>
            <w:tcW w:w="4540" w:type="dxa"/>
            <w:vAlign w:val="bottom"/>
            <w:shd w:val="clear" w:color="auto" w:fill="EBEBEB"/>
          </w:tcPr>
          <w:p>
            <w:pPr>
              <w:ind w:left="60"/>
              <w:spacing w:after="0" w:line="184" w:lineRule="exact"/>
              <w:rPr>
                <w:sz w:val="20"/>
                <w:szCs w:val="20"/>
                <w:color w:val="auto"/>
              </w:rPr>
            </w:pPr>
            <w:r>
              <w:rPr>
                <w:rFonts w:ascii="Arial" w:cs="Arial" w:eastAsia="Arial" w:hAnsi="Arial"/>
                <w:sz w:val="13"/>
                <w:szCs w:val="13"/>
                <w:b w:val="1"/>
                <w:bCs w:val="1"/>
                <w:color w:val="C44E5E"/>
              </w:rPr>
              <w:t>BlackRock, Inc.</w:t>
            </w:r>
            <w:r>
              <w:rPr>
                <w:rFonts w:ascii="Arial" w:cs="Arial" w:eastAsia="Arial" w:hAnsi="Arial"/>
                <w:sz w:val="21"/>
                <w:szCs w:val="21"/>
                <w:b w:val="1"/>
                <w:bCs w:val="1"/>
                <w:color w:val="C44E5E"/>
                <w:vertAlign w:val="superscript"/>
              </w:rPr>
              <w:t>4</w:t>
            </w:r>
          </w:p>
        </w:tc>
        <w:tc>
          <w:tcPr>
            <w:tcW w:w="220" w:type="dxa"/>
            <w:vAlign w:val="bottom"/>
            <w:shd w:val="clear" w:color="auto" w:fill="EBEBEB"/>
          </w:tcPr>
          <w:p>
            <w:pPr>
              <w:spacing w:after="0"/>
              <w:rPr>
                <w:sz w:val="15"/>
                <w:szCs w:val="15"/>
                <w:color w:val="auto"/>
              </w:rPr>
            </w:pPr>
          </w:p>
        </w:tc>
        <w:tc>
          <w:tcPr>
            <w:tcW w:w="1180" w:type="dxa"/>
            <w:vAlign w:val="bottom"/>
            <w:shd w:val="clear" w:color="auto" w:fill="EBEBEB"/>
          </w:tcPr>
          <w:p>
            <w:pPr>
              <w:spacing w:after="0"/>
              <w:rPr>
                <w:sz w:val="15"/>
                <w:szCs w:val="15"/>
                <w:color w:val="auto"/>
              </w:rPr>
            </w:pPr>
          </w:p>
        </w:tc>
        <w:tc>
          <w:tcPr>
            <w:tcW w:w="1380" w:type="dxa"/>
            <w:vAlign w:val="bottom"/>
            <w:shd w:val="clear" w:color="auto" w:fill="EBEBEB"/>
          </w:tcPr>
          <w:p>
            <w:pPr>
              <w:spacing w:after="0"/>
              <w:rPr>
                <w:sz w:val="15"/>
                <w:szCs w:val="15"/>
                <w:color w:val="auto"/>
              </w:rPr>
            </w:pPr>
          </w:p>
        </w:tc>
        <w:tc>
          <w:tcPr>
            <w:tcW w:w="320" w:type="dxa"/>
            <w:vAlign w:val="bottom"/>
            <w:shd w:val="clear" w:color="auto" w:fill="EBEBEB"/>
          </w:tcPr>
          <w:p>
            <w:pPr>
              <w:spacing w:after="0"/>
              <w:rPr>
                <w:sz w:val="15"/>
                <w:szCs w:val="15"/>
                <w:color w:val="auto"/>
              </w:rPr>
            </w:pPr>
          </w:p>
        </w:tc>
        <w:tc>
          <w:tcPr>
            <w:tcW w:w="1220" w:type="dxa"/>
            <w:vAlign w:val="bottom"/>
            <w:shd w:val="clear" w:color="auto" w:fill="EBEBEB"/>
          </w:tcPr>
          <w:p>
            <w:pPr>
              <w:spacing w:after="0"/>
              <w:rPr>
                <w:sz w:val="15"/>
                <w:szCs w:val="15"/>
                <w:color w:val="auto"/>
              </w:rPr>
            </w:pPr>
          </w:p>
        </w:tc>
        <w:tc>
          <w:tcPr>
            <w:tcW w:w="1300" w:type="dxa"/>
            <w:vAlign w:val="bottom"/>
            <w:shd w:val="clear" w:color="auto" w:fill="EBEBEB"/>
          </w:tcPr>
          <w:p>
            <w:pPr>
              <w:spacing w:after="0"/>
              <w:rPr>
                <w:sz w:val="15"/>
                <w:szCs w:val="15"/>
                <w:color w:val="auto"/>
              </w:rPr>
            </w:pPr>
          </w:p>
        </w:tc>
        <w:tc>
          <w:tcPr>
            <w:tcW w:w="540" w:type="dxa"/>
            <w:vAlign w:val="bottom"/>
          </w:tcPr>
          <w:p>
            <w:pPr>
              <w:spacing w:after="0"/>
              <w:rPr>
                <w:sz w:val="15"/>
                <w:szCs w:val="15"/>
                <w:color w:val="auto"/>
              </w:rPr>
            </w:pPr>
          </w:p>
        </w:tc>
      </w:tr>
      <w:tr>
        <w:trPr>
          <w:trHeight w:val="148"/>
        </w:trPr>
        <w:tc>
          <w:tcPr>
            <w:tcW w:w="540" w:type="dxa"/>
            <w:vAlign w:val="bottom"/>
          </w:tcPr>
          <w:p>
            <w:pPr>
              <w:spacing w:after="0"/>
              <w:rPr>
                <w:sz w:val="12"/>
                <w:szCs w:val="12"/>
                <w:color w:val="auto"/>
              </w:rPr>
            </w:pPr>
          </w:p>
        </w:tc>
        <w:tc>
          <w:tcPr>
            <w:tcW w:w="4540" w:type="dxa"/>
            <w:vAlign w:val="bottom"/>
            <w:shd w:val="clear" w:color="auto" w:fill="EBEBEB"/>
          </w:tcPr>
          <w:p>
            <w:pPr>
              <w:ind w:left="60"/>
              <w:spacing w:after="0"/>
              <w:rPr>
                <w:sz w:val="20"/>
                <w:szCs w:val="20"/>
                <w:color w:val="auto"/>
              </w:rPr>
            </w:pPr>
            <w:r>
              <w:rPr>
                <w:rFonts w:ascii="Arial" w:cs="Arial" w:eastAsia="Arial" w:hAnsi="Arial"/>
                <w:sz w:val="13"/>
                <w:szCs w:val="13"/>
                <w:color w:val="auto"/>
              </w:rPr>
              <w:t>55 East 52nd Street</w:t>
            </w:r>
          </w:p>
        </w:tc>
        <w:tc>
          <w:tcPr>
            <w:tcW w:w="220" w:type="dxa"/>
            <w:vAlign w:val="bottom"/>
            <w:shd w:val="clear" w:color="auto" w:fill="EBEBEB"/>
          </w:tcPr>
          <w:p>
            <w:pPr>
              <w:spacing w:after="0"/>
              <w:rPr>
                <w:sz w:val="12"/>
                <w:szCs w:val="12"/>
                <w:color w:val="auto"/>
              </w:rPr>
            </w:pPr>
          </w:p>
        </w:tc>
        <w:tc>
          <w:tcPr>
            <w:tcW w:w="1180" w:type="dxa"/>
            <w:vAlign w:val="bottom"/>
            <w:shd w:val="clear" w:color="auto" w:fill="EBEBEB"/>
          </w:tcPr>
          <w:p>
            <w:pPr>
              <w:jc w:val="center"/>
              <w:ind w:right="16"/>
              <w:spacing w:after="0"/>
              <w:rPr>
                <w:sz w:val="20"/>
                <w:szCs w:val="20"/>
                <w:color w:val="auto"/>
              </w:rPr>
            </w:pPr>
            <w:r>
              <w:rPr>
                <w:rFonts w:ascii="Arial" w:cs="Arial" w:eastAsia="Arial" w:hAnsi="Arial"/>
                <w:sz w:val="13"/>
                <w:szCs w:val="13"/>
                <w:color w:val="auto"/>
              </w:rPr>
              <w:t>—</w:t>
            </w:r>
          </w:p>
        </w:tc>
        <w:tc>
          <w:tcPr>
            <w:tcW w:w="1700" w:type="dxa"/>
            <w:vAlign w:val="bottom"/>
            <w:gridSpan w:val="2"/>
            <w:shd w:val="clear" w:color="auto" w:fill="EBEBEB"/>
          </w:tcPr>
          <w:p>
            <w:pPr>
              <w:jc w:val="center"/>
              <w:ind w:right="80"/>
              <w:spacing w:after="0"/>
              <w:rPr>
                <w:sz w:val="20"/>
                <w:szCs w:val="20"/>
                <w:color w:val="auto"/>
              </w:rPr>
            </w:pPr>
            <w:r>
              <w:rPr>
                <w:rFonts w:ascii="Arial" w:cs="Arial" w:eastAsia="Arial" w:hAnsi="Arial"/>
                <w:sz w:val="13"/>
                <w:szCs w:val="13"/>
                <w:color w:val="auto"/>
              </w:rPr>
              <w:t>—</w:t>
            </w:r>
          </w:p>
        </w:tc>
        <w:tc>
          <w:tcPr>
            <w:tcW w:w="1220" w:type="dxa"/>
            <w:vAlign w:val="bottom"/>
            <w:shd w:val="clear" w:color="auto" w:fill="EBEBEB"/>
          </w:tcPr>
          <w:p>
            <w:pPr>
              <w:jc w:val="right"/>
              <w:ind w:right="281"/>
              <w:spacing w:after="0"/>
              <w:rPr>
                <w:sz w:val="20"/>
                <w:szCs w:val="20"/>
                <w:color w:val="auto"/>
              </w:rPr>
            </w:pPr>
            <w:r>
              <w:rPr>
                <w:rFonts w:ascii="Arial" w:cs="Arial" w:eastAsia="Arial" w:hAnsi="Arial"/>
                <w:sz w:val="13"/>
                <w:szCs w:val="13"/>
                <w:color w:val="auto"/>
              </w:rPr>
              <w:t>9,776,186</w:t>
            </w:r>
          </w:p>
        </w:tc>
        <w:tc>
          <w:tcPr>
            <w:tcW w:w="1300" w:type="dxa"/>
            <w:vAlign w:val="bottom"/>
            <w:shd w:val="clear" w:color="auto" w:fill="EBEBEB"/>
          </w:tcPr>
          <w:p>
            <w:pPr>
              <w:jc w:val="right"/>
              <w:ind w:right="381"/>
              <w:spacing w:after="0"/>
              <w:rPr>
                <w:sz w:val="20"/>
                <w:szCs w:val="20"/>
                <w:color w:val="auto"/>
              </w:rPr>
            </w:pPr>
            <w:r>
              <w:rPr>
                <w:rFonts w:ascii="Arial" w:cs="Arial" w:eastAsia="Arial" w:hAnsi="Arial"/>
                <w:sz w:val="13"/>
                <w:szCs w:val="13"/>
                <w:color w:val="auto"/>
              </w:rPr>
              <w:t>9.3%</w:t>
            </w:r>
          </w:p>
        </w:tc>
        <w:tc>
          <w:tcPr>
            <w:tcW w:w="540" w:type="dxa"/>
            <w:vAlign w:val="bottom"/>
          </w:tcPr>
          <w:p>
            <w:pPr>
              <w:spacing w:after="0"/>
              <w:rPr>
                <w:sz w:val="12"/>
                <w:szCs w:val="12"/>
                <w:color w:val="auto"/>
              </w:rPr>
            </w:pPr>
          </w:p>
        </w:tc>
      </w:tr>
      <w:tr>
        <w:trPr>
          <w:trHeight w:val="161"/>
        </w:trPr>
        <w:tc>
          <w:tcPr>
            <w:tcW w:w="540" w:type="dxa"/>
            <w:vAlign w:val="bottom"/>
          </w:tcPr>
          <w:p>
            <w:pPr>
              <w:spacing w:after="0"/>
              <w:rPr>
                <w:sz w:val="13"/>
                <w:szCs w:val="13"/>
                <w:color w:val="auto"/>
              </w:rPr>
            </w:pPr>
          </w:p>
        </w:tc>
        <w:tc>
          <w:tcPr>
            <w:tcW w:w="4540" w:type="dxa"/>
            <w:vAlign w:val="bottom"/>
            <w:tcBorders>
              <w:bottom w:val="single" w:sz="8" w:color="58585A"/>
            </w:tcBorders>
            <w:shd w:val="clear" w:color="auto" w:fill="EBEBEB"/>
          </w:tcPr>
          <w:p>
            <w:pPr>
              <w:ind w:left="60"/>
              <w:spacing w:after="0"/>
              <w:rPr>
                <w:sz w:val="20"/>
                <w:szCs w:val="20"/>
                <w:color w:val="auto"/>
              </w:rPr>
            </w:pPr>
            <w:r>
              <w:rPr>
                <w:rFonts w:ascii="Arial" w:cs="Arial" w:eastAsia="Arial" w:hAnsi="Arial"/>
                <w:sz w:val="13"/>
                <w:szCs w:val="13"/>
                <w:color w:val="auto"/>
              </w:rPr>
              <w:t>New York, New York 10055</w:t>
            </w:r>
          </w:p>
        </w:tc>
        <w:tc>
          <w:tcPr>
            <w:tcW w:w="220" w:type="dxa"/>
            <w:vAlign w:val="bottom"/>
            <w:tcBorders>
              <w:bottom w:val="single" w:sz="8" w:color="58585A"/>
            </w:tcBorders>
            <w:shd w:val="clear" w:color="auto" w:fill="EBEBEB"/>
          </w:tcPr>
          <w:p>
            <w:pPr>
              <w:spacing w:after="0"/>
              <w:rPr>
                <w:sz w:val="13"/>
                <w:szCs w:val="13"/>
                <w:color w:val="auto"/>
              </w:rPr>
            </w:pPr>
          </w:p>
        </w:tc>
        <w:tc>
          <w:tcPr>
            <w:tcW w:w="1180" w:type="dxa"/>
            <w:vAlign w:val="bottom"/>
            <w:tcBorders>
              <w:bottom w:val="single" w:sz="8" w:color="58585A"/>
            </w:tcBorders>
            <w:shd w:val="clear" w:color="auto" w:fill="EBEBEB"/>
          </w:tcPr>
          <w:p>
            <w:pPr>
              <w:spacing w:after="0"/>
              <w:rPr>
                <w:sz w:val="13"/>
                <w:szCs w:val="13"/>
                <w:color w:val="auto"/>
              </w:rPr>
            </w:pPr>
          </w:p>
        </w:tc>
        <w:tc>
          <w:tcPr>
            <w:tcW w:w="1380" w:type="dxa"/>
            <w:vAlign w:val="bottom"/>
            <w:tcBorders>
              <w:bottom w:val="single" w:sz="8" w:color="58585A"/>
            </w:tcBorders>
            <w:shd w:val="clear" w:color="auto" w:fill="EBEBEB"/>
          </w:tcPr>
          <w:p>
            <w:pPr>
              <w:spacing w:after="0"/>
              <w:rPr>
                <w:sz w:val="13"/>
                <w:szCs w:val="13"/>
                <w:color w:val="auto"/>
              </w:rPr>
            </w:pPr>
          </w:p>
        </w:tc>
        <w:tc>
          <w:tcPr>
            <w:tcW w:w="320" w:type="dxa"/>
            <w:vAlign w:val="bottom"/>
            <w:tcBorders>
              <w:bottom w:val="single" w:sz="8" w:color="58585A"/>
            </w:tcBorders>
            <w:shd w:val="clear" w:color="auto" w:fill="EBEBEB"/>
          </w:tcPr>
          <w:p>
            <w:pPr>
              <w:spacing w:after="0"/>
              <w:rPr>
                <w:sz w:val="13"/>
                <w:szCs w:val="13"/>
                <w:color w:val="auto"/>
              </w:rPr>
            </w:pPr>
          </w:p>
        </w:tc>
        <w:tc>
          <w:tcPr>
            <w:tcW w:w="1220" w:type="dxa"/>
            <w:vAlign w:val="bottom"/>
            <w:tcBorders>
              <w:bottom w:val="single" w:sz="8" w:color="58585A"/>
            </w:tcBorders>
            <w:shd w:val="clear" w:color="auto" w:fill="EBEBEB"/>
          </w:tcPr>
          <w:p>
            <w:pPr>
              <w:spacing w:after="0"/>
              <w:rPr>
                <w:sz w:val="13"/>
                <w:szCs w:val="13"/>
                <w:color w:val="auto"/>
              </w:rPr>
            </w:pPr>
          </w:p>
        </w:tc>
        <w:tc>
          <w:tcPr>
            <w:tcW w:w="1300" w:type="dxa"/>
            <w:vAlign w:val="bottom"/>
            <w:tcBorders>
              <w:bottom w:val="single" w:sz="8" w:color="58585A"/>
            </w:tcBorders>
            <w:shd w:val="clear" w:color="auto" w:fill="EBEBEB"/>
          </w:tcPr>
          <w:p>
            <w:pPr>
              <w:spacing w:after="0"/>
              <w:rPr>
                <w:sz w:val="13"/>
                <w:szCs w:val="13"/>
                <w:color w:val="auto"/>
              </w:rPr>
            </w:pPr>
          </w:p>
        </w:tc>
        <w:tc>
          <w:tcPr>
            <w:tcW w:w="540" w:type="dxa"/>
            <w:vAlign w:val="bottom"/>
          </w:tcPr>
          <w:p>
            <w:pPr>
              <w:spacing w:after="0"/>
              <w:rPr>
                <w:sz w:val="13"/>
                <w:szCs w:val="13"/>
                <w:color w:val="auto"/>
              </w:rPr>
            </w:pPr>
          </w:p>
        </w:tc>
      </w:tr>
      <w:tr>
        <w:trPr>
          <w:trHeight w:val="187"/>
        </w:trPr>
        <w:tc>
          <w:tcPr>
            <w:tcW w:w="540" w:type="dxa"/>
            <w:vAlign w:val="bottom"/>
          </w:tcPr>
          <w:p>
            <w:pPr>
              <w:spacing w:after="0"/>
              <w:rPr>
                <w:sz w:val="16"/>
                <w:szCs w:val="16"/>
                <w:color w:val="auto"/>
              </w:rPr>
            </w:pPr>
          </w:p>
        </w:tc>
        <w:tc>
          <w:tcPr>
            <w:tcW w:w="4540" w:type="dxa"/>
            <w:vAlign w:val="bottom"/>
          </w:tcPr>
          <w:p>
            <w:pPr>
              <w:ind w:left="60"/>
              <w:spacing w:after="0" w:line="188" w:lineRule="exact"/>
              <w:rPr>
                <w:sz w:val="20"/>
                <w:szCs w:val="20"/>
                <w:color w:val="auto"/>
              </w:rPr>
            </w:pPr>
            <w:r>
              <w:rPr>
                <w:rFonts w:ascii="Arial" w:cs="Arial" w:eastAsia="Arial" w:hAnsi="Arial"/>
                <w:sz w:val="13"/>
                <w:szCs w:val="13"/>
                <w:b w:val="1"/>
                <w:bCs w:val="1"/>
                <w:color w:val="C44E5E"/>
              </w:rPr>
              <w:t>The Vanguard Group, Inc.</w:t>
            </w:r>
            <w:r>
              <w:rPr>
                <w:rFonts w:ascii="Arial" w:cs="Arial" w:eastAsia="Arial" w:hAnsi="Arial"/>
                <w:sz w:val="21"/>
                <w:szCs w:val="21"/>
                <w:b w:val="1"/>
                <w:bCs w:val="1"/>
                <w:color w:val="C44E5E"/>
                <w:vertAlign w:val="superscript"/>
              </w:rPr>
              <w:t>5</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48"/>
        </w:trPr>
        <w:tc>
          <w:tcPr>
            <w:tcW w:w="540" w:type="dxa"/>
            <w:vAlign w:val="bottom"/>
          </w:tcPr>
          <w:p>
            <w:pPr>
              <w:spacing w:after="0"/>
              <w:rPr>
                <w:sz w:val="12"/>
                <w:szCs w:val="12"/>
                <w:color w:val="auto"/>
              </w:rPr>
            </w:pPr>
          </w:p>
        </w:tc>
        <w:tc>
          <w:tcPr>
            <w:tcW w:w="4540" w:type="dxa"/>
            <w:vAlign w:val="bottom"/>
          </w:tcPr>
          <w:p>
            <w:pPr>
              <w:ind w:left="60"/>
              <w:spacing w:after="0"/>
              <w:rPr>
                <w:sz w:val="20"/>
                <w:szCs w:val="20"/>
                <w:color w:val="auto"/>
              </w:rPr>
            </w:pPr>
            <w:r>
              <w:rPr>
                <w:rFonts w:ascii="Arial" w:cs="Arial" w:eastAsia="Arial" w:hAnsi="Arial"/>
                <w:sz w:val="13"/>
                <w:szCs w:val="13"/>
                <w:color w:val="auto"/>
              </w:rPr>
              <w:t>100 Vanguard Blvd.</w:t>
            </w:r>
          </w:p>
        </w:tc>
        <w:tc>
          <w:tcPr>
            <w:tcW w:w="220" w:type="dxa"/>
            <w:vAlign w:val="bottom"/>
          </w:tcPr>
          <w:p>
            <w:pPr>
              <w:spacing w:after="0"/>
              <w:rPr>
                <w:sz w:val="12"/>
                <w:szCs w:val="12"/>
                <w:color w:val="auto"/>
              </w:rPr>
            </w:pPr>
          </w:p>
        </w:tc>
        <w:tc>
          <w:tcPr>
            <w:tcW w:w="1180" w:type="dxa"/>
            <w:vAlign w:val="bottom"/>
          </w:tcPr>
          <w:p>
            <w:pPr>
              <w:jc w:val="center"/>
              <w:ind w:right="16"/>
              <w:spacing w:after="0"/>
              <w:rPr>
                <w:sz w:val="20"/>
                <w:szCs w:val="20"/>
                <w:color w:val="auto"/>
              </w:rPr>
            </w:pPr>
            <w:r>
              <w:rPr>
                <w:rFonts w:ascii="Arial" w:cs="Arial" w:eastAsia="Arial" w:hAnsi="Arial"/>
                <w:sz w:val="13"/>
                <w:szCs w:val="13"/>
                <w:color w:val="auto"/>
              </w:rPr>
              <w:t>—</w:t>
            </w:r>
          </w:p>
        </w:tc>
        <w:tc>
          <w:tcPr>
            <w:tcW w:w="1700" w:type="dxa"/>
            <w:vAlign w:val="bottom"/>
            <w:gridSpan w:val="2"/>
          </w:tcPr>
          <w:p>
            <w:pPr>
              <w:jc w:val="center"/>
              <w:ind w:right="8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281"/>
              <w:spacing w:after="0"/>
              <w:rPr>
                <w:sz w:val="20"/>
                <w:szCs w:val="20"/>
                <w:color w:val="auto"/>
              </w:rPr>
            </w:pPr>
            <w:r>
              <w:rPr>
                <w:rFonts w:ascii="Arial" w:cs="Arial" w:eastAsia="Arial" w:hAnsi="Arial"/>
                <w:sz w:val="13"/>
                <w:szCs w:val="13"/>
                <w:color w:val="auto"/>
              </w:rPr>
              <w:t>7,931,220</w:t>
            </w:r>
          </w:p>
        </w:tc>
        <w:tc>
          <w:tcPr>
            <w:tcW w:w="1300" w:type="dxa"/>
            <w:vAlign w:val="bottom"/>
          </w:tcPr>
          <w:p>
            <w:pPr>
              <w:jc w:val="right"/>
              <w:ind w:right="381"/>
              <w:spacing w:after="0"/>
              <w:rPr>
                <w:sz w:val="20"/>
                <w:szCs w:val="20"/>
                <w:color w:val="auto"/>
              </w:rPr>
            </w:pPr>
            <w:r>
              <w:rPr>
                <w:rFonts w:ascii="Arial" w:cs="Arial" w:eastAsia="Arial" w:hAnsi="Arial"/>
                <w:sz w:val="13"/>
                <w:szCs w:val="13"/>
                <w:color w:val="auto"/>
              </w:rPr>
              <w:t>7.6%</w:t>
            </w:r>
          </w:p>
        </w:tc>
        <w:tc>
          <w:tcPr>
            <w:tcW w:w="540" w:type="dxa"/>
            <w:vAlign w:val="bottom"/>
          </w:tcPr>
          <w:p>
            <w:pPr>
              <w:spacing w:after="0"/>
              <w:rPr>
                <w:sz w:val="12"/>
                <w:szCs w:val="12"/>
                <w:color w:val="auto"/>
              </w:rPr>
            </w:pPr>
          </w:p>
        </w:tc>
      </w:tr>
      <w:tr>
        <w:trPr>
          <w:trHeight w:val="157"/>
        </w:trPr>
        <w:tc>
          <w:tcPr>
            <w:tcW w:w="540" w:type="dxa"/>
            <w:vAlign w:val="bottom"/>
          </w:tcPr>
          <w:p>
            <w:pPr>
              <w:spacing w:after="0"/>
              <w:rPr>
                <w:sz w:val="13"/>
                <w:szCs w:val="13"/>
                <w:color w:val="auto"/>
              </w:rPr>
            </w:pPr>
          </w:p>
        </w:tc>
        <w:tc>
          <w:tcPr>
            <w:tcW w:w="4540" w:type="dxa"/>
            <w:vAlign w:val="bottom"/>
            <w:tcBorders>
              <w:bottom w:val="single" w:sz="8" w:color="58585A"/>
            </w:tcBorders>
          </w:tcPr>
          <w:p>
            <w:pPr>
              <w:ind w:left="60"/>
              <w:spacing w:after="0"/>
              <w:rPr>
                <w:sz w:val="20"/>
                <w:szCs w:val="20"/>
                <w:color w:val="auto"/>
              </w:rPr>
            </w:pPr>
            <w:r>
              <w:rPr>
                <w:rFonts w:ascii="Arial" w:cs="Arial" w:eastAsia="Arial" w:hAnsi="Arial"/>
                <w:sz w:val="13"/>
                <w:szCs w:val="13"/>
                <w:color w:val="auto"/>
              </w:rPr>
              <w:t>Malvern, PA 19355</w:t>
            </w:r>
          </w:p>
        </w:tc>
        <w:tc>
          <w:tcPr>
            <w:tcW w:w="220" w:type="dxa"/>
            <w:vAlign w:val="bottom"/>
            <w:tcBorders>
              <w:bottom w:val="single" w:sz="8" w:color="58585A"/>
            </w:tcBorders>
          </w:tcPr>
          <w:p>
            <w:pPr>
              <w:spacing w:after="0"/>
              <w:rPr>
                <w:sz w:val="13"/>
                <w:szCs w:val="13"/>
                <w:color w:val="auto"/>
              </w:rPr>
            </w:pPr>
          </w:p>
        </w:tc>
        <w:tc>
          <w:tcPr>
            <w:tcW w:w="1180" w:type="dxa"/>
            <w:vAlign w:val="bottom"/>
            <w:tcBorders>
              <w:bottom w:val="single" w:sz="8" w:color="58585A"/>
            </w:tcBorders>
          </w:tcPr>
          <w:p>
            <w:pPr>
              <w:spacing w:after="0"/>
              <w:rPr>
                <w:sz w:val="13"/>
                <w:szCs w:val="13"/>
                <w:color w:val="auto"/>
              </w:rPr>
            </w:pPr>
          </w:p>
        </w:tc>
        <w:tc>
          <w:tcPr>
            <w:tcW w:w="1380" w:type="dxa"/>
            <w:vAlign w:val="bottom"/>
            <w:tcBorders>
              <w:bottom w:val="single" w:sz="8" w:color="58585A"/>
            </w:tcBorders>
          </w:tcPr>
          <w:p>
            <w:pPr>
              <w:spacing w:after="0"/>
              <w:rPr>
                <w:sz w:val="13"/>
                <w:szCs w:val="13"/>
                <w:color w:val="auto"/>
              </w:rPr>
            </w:pPr>
          </w:p>
        </w:tc>
        <w:tc>
          <w:tcPr>
            <w:tcW w:w="320" w:type="dxa"/>
            <w:vAlign w:val="bottom"/>
            <w:tcBorders>
              <w:bottom w:val="single" w:sz="8" w:color="58585A"/>
            </w:tcBorders>
          </w:tcPr>
          <w:p>
            <w:pPr>
              <w:spacing w:after="0"/>
              <w:rPr>
                <w:sz w:val="13"/>
                <w:szCs w:val="13"/>
                <w:color w:val="auto"/>
              </w:rPr>
            </w:pPr>
          </w:p>
        </w:tc>
        <w:tc>
          <w:tcPr>
            <w:tcW w:w="1220" w:type="dxa"/>
            <w:vAlign w:val="bottom"/>
            <w:tcBorders>
              <w:bottom w:val="single" w:sz="8" w:color="58585A"/>
            </w:tcBorders>
          </w:tcPr>
          <w:p>
            <w:pPr>
              <w:spacing w:after="0"/>
              <w:rPr>
                <w:sz w:val="13"/>
                <w:szCs w:val="13"/>
                <w:color w:val="auto"/>
              </w:rPr>
            </w:pPr>
          </w:p>
        </w:tc>
        <w:tc>
          <w:tcPr>
            <w:tcW w:w="1300" w:type="dxa"/>
            <w:vAlign w:val="bottom"/>
            <w:tcBorders>
              <w:bottom w:val="single" w:sz="8" w:color="58585A"/>
            </w:tcBorders>
          </w:tcPr>
          <w:p>
            <w:pPr>
              <w:spacing w:after="0"/>
              <w:rPr>
                <w:sz w:val="13"/>
                <w:szCs w:val="13"/>
                <w:color w:val="auto"/>
              </w:rPr>
            </w:pPr>
          </w:p>
        </w:tc>
        <w:tc>
          <w:tcPr>
            <w:tcW w:w="540" w:type="dxa"/>
            <w:vAlign w:val="bottom"/>
          </w:tcPr>
          <w:p>
            <w:pPr>
              <w:spacing w:after="0"/>
              <w:rPr>
                <w:sz w:val="13"/>
                <w:szCs w:val="13"/>
                <w:color w:val="auto"/>
              </w:rPr>
            </w:pPr>
          </w:p>
        </w:tc>
      </w:tr>
      <w:tr>
        <w:trPr>
          <w:trHeight w:val="184"/>
        </w:trPr>
        <w:tc>
          <w:tcPr>
            <w:tcW w:w="540" w:type="dxa"/>
            <w:vAlign w:val="bottom"/>
          </w:tcPr>
          <w:p>
            <w:pPr>
              <w:spacing w:after="0"/>
              <w:rPr>
                <w:sz w:val="15"/>
                <w:szCs w:val="15"/>
                <w:color w:val="auto"/>
              </w:rPr>
            </w:pPr>
          </w:p>
        </w:tc>
        <w:tc>
          <w:tcPr>
            <w:tcW w:w="4540" w:type="dxa"/>
            <w:vAlign w:val="bottom"/>
            <w:shd w:val="clear" w:color="auto" w:fill="EBEBEB"/>
          </w:tcPr>
          <w:p>
            <w:pPr>
              <w:ind w:left="60"/>
              <w:spacing w:after="0" w:line="184" w:lineRule="exact"/>
              <w:rPr>
                <w:sz w:val="20"/>
                <w:szCs w:val="20"/>
                <w:color w:val="auto"/>
              </w:rPr>
            </w:pPr>
            <w:r>
              <w:rPr>
                <w:rFonts w:ascii="Arial" w:cs="Arial" w:eastAsia="Arial" w:hAnsi="Arial"/>
                <w:sz w:val="13"/>
                <w:szCs w:val="13"/>
                <w:b w:val="1"/>
                <w:bCs w:val="1"/>
                <w:color w:val="C44E5E"/>
              </w:rPr>
              <w:t>Capital World Investors</w:t>
            </w:r>
            <w:r>
              <w:rPr>
                <w:rFonts w:ascii="Arial" w:cs="Arial" w:eastAsia="Arial" w:hAnsi="Arial"/>
                <w:sz w:val="21"/>
                <w:szCs w:val="21"/>
                <w:b w:val="1"/>
                <w:bCs w:val="1"/>
                <w:color w:val="C44E5E"/>
                <w:vertAlign w:val="superscript"/>
              </w:rPr>
              <w:t>6</w:t>
            </w:r>
          </w:p>
        </w:tc>
        <w:tc>
          <w:tcPr>
            <w:tcW w:w="220" w:type="dxa"/>
            <w:vAlign w:val="bottom"/>
            <w:shd w:val="clear" w:color="auto" w:fill="EBEBEB"/>
          </w:tcPr>
          <w:p>
            <w:pPr>
              <w:spacing w:after="0"/>
              <w:rPr>
                <w:sz w:val="15"/>
                <w:szCs w:val="15"/>
                <w:color w:val="auto"/>
              </w:rPr>
            </w:pPr>
          </w:p>
        </w:tc>
        <w:tc>
          <w:tcPr>
            <w:tcW w:w="1180" w:type="dxa"/>
            <w:vAlign w:val="bottom"/>
            <w:shd w:val="clear" w:color="auto" w:fill="EBEBEB"/>
          </w:tcPr>
          <w:p>
            <w:pPr>
              <w:spacing w:after="0"/>
              <w:rPr>
                <w:sz w:val="15"/>
                <w:szCs w:val="15"/>
                <w:color w:val="auto"/>
              </w:rPr>
            </w:pPr>
          </w:p>
        </w:tc>
        <w:tc>
          <w:tcPr>
            <w:tcW w:w="1380" w:type="dxa"/>
            <w:vAlign w:val="bottom"/>
            <w:shd w:val="clear" w:color="auto" w:fill="EBEBEB"/>
          </w:tcPr>
          <w:p>
            <w:pPr>
              <w:spacing w:after="0"/>
              <w:rPr>
                <w:sz w:val="15"/>
                <w:szCs w:val="15"/>
                <w:color w:val="auto"/>
              </w:rPr>
            </w:pPr>
          </w:p>
        </w:tc>
        <w:tc>
          <w:tcPr>
            <w:tcW w:w="320" w:type="dxa"/>
            <w:vAlign w:val="bottom"/>
            <w:shd w:val="clear" w:color="auto" w:fill="EBEBEB"/>
          </w:tcPr>
          <w:p>
            <w:pPr>
              <w:spacing w:after="0"/>
              <w:rPr>
                <w:sz w:val="15"/>
                <w:szCs w:val="15"/>
                <w:color w:val="auto"/>
              </w:rPr>
            </w:pPr>
          </w:p>
        </w:tc>
        <w:tc>
          <w:tcPr>
            <w:tcW w:w="1220" w:type="dxa"/>
            <w:vAlign w:val="bottom"/>
            <w:shd w:val="clear" w:color="auto" w:fill="EBEBEB"/>
          </w:tcPr>
          <w:p>
            <w:pPr>
              <w:spacing w:after="0"/>
              <w:rPr>
                <w:sz w:val="15"/>
                <w:szCs w:val="15"/>
                <w:color w:val="auto"/>
              </w:rPr>
            </w:pPr>
          </w:p>
        </w:tc>
        <w:tc>
          <w:tcPr>
            <w:tcW w:w="1300" w:type="dxa"/>
            <w:vAlign w:val="bottom"/>
            <w:shd w:val="clear" w:color="auto" w:fill="EBEBEB"/>
          </w:tcPr>
          <w:p>
            <w:pPr>
              <w:spacing w:after="0"/>
              <w:rPr>
                <w:sz w:val="15"/>
                <w:szCs w:val="15"/>
                <w:color w:val="auto"/>
              </w:rPr>
            </w:pPr>
          </w:p>
        </w:tc>
        <w:tc>
          <w:tcPr>
            <w:tcW w:w="540" w:type="dxa"/>
            <w:vAlign w:val="bottom"/>
          </w:tcPr>
          <w:p>
            <w:pPr>
              <w:spacing w:after="0"/>
              <w:rPr>
                <w:sz w:val="15"/>
                <w:szCs w:val="15"/>
                <w:color w:val="auto"/>
              </w:rPr>
            </w:pPr>
          </w:p>
        </w:tc>
      </w:tr>
      <w:tr>
        <w:trPr>
          <w:trHeight w:val="148"/>
        </w:trPr>
        <w:tc>
          <w:tcPr>
            <w:tcW w:w="540" w:type="dxa"/>
            <w:vAlign w:val="bottom"/>
          </w:tcPr>
          <w:p>
            <w:pPr>
              <w:spacing w:after="0"/>
              <w:rPr>
                <w:sz w:val="12"/>
                <w:szCs w:val="12"/>
                <w:color w:val="auto"/>
              </w:rPr>
            </w:pPr>
          </w:p>
        </w:tc>
        <w:tc>
          <w:tcPr>
            <w:tcW w:w="4540" w:type="dxa"/>
            <w:vAlign w:val="bottom"/>
            <w:shd w:val="clear" w:color="auto" w:fill="EBEBEB"/>
          </w:tcPr>
          <w:p>
            <w:pPr>
              <w:ind w:left="60"/>
              <w:spacing w:after="0"/>
              <w:rPr>
                <w:sz w:val="20"/>
                <w:szCs w:val="20"/>
                <w:color w:val="auto"/>
              </w:rPr>
            </w:pPr>
            <w:r>
              <w:rPr>
                <w:rFonts w:ascii="Arial" w:cs="Arial" w:eastAsia="Arial" w:hAnsi="Arial"/>
                <w:sz w:val="13"/>
                <w:szCs w:val="13"/>
                <w:color w:val="auto"/>
              </w:rPr>
              <w:t>333 South Hope Street</w:t>
            </w:r>
          </w:p>
        </w:tc>
        <w:tc>
          <w:tcPr>
            <w:tcW w:w="220" w:type="dxa"/>
            <w:vAlign w:val="bottom"/>
            <w:shd w:val="clear" w:color="auto" w:fill="EBEBEB"/>
          </w:tcPr>
          <w:p>
            <w:pPr>
              <w:spacing w:after="0"/>
              <w:rPr>
                <w:sz w:val="12"/>
                <w:szCs w:val="12"/>
                <w:color w:val="auto"/>
              </w:rPr>
            </w:pPr>
          </w:p>
        </w:tc>
        <w:tc>
          <w:tcPr>
            <w:tcW w:w="1180" w:type="dxa"/>
            <w:vAlign w:val="bottom"/>
            <w:shd w:val="clear" w:color="auto" w:fill="EBEBEB"/>
          </w:tcPr>
          <w:p>
            <w:pPr>
              <w:jc w:val="center"/>
              <w:ind w:right="16"/>
              <w:spacing w:after="0"/>
              <w:rPr>
                <w:sz w:val="20"/>
                <w:szCs w:val="20"/>
                <w:color w:val="auto"/>
              </w:rPr>
            </w:pPr>
            <w:r>
              <w:rPr>
                <w:rFonts w:ascii="Arial" w:cs="Arial" w:eastAsia="Arial" w:hAnsi="Arial"/>
                <w:sz w:val="13"/>
                <w:szCs w:val="13"/>
                <w:color w:val="auto"/>
              </w:rPr>
              <w:t>—</w:t>
            </w:r>
          </w:p>
        </w:tc>
        <w:tc>
          <w:tcPr>
            <w:tcW w:w="1700" w:type="dxa"/>
            <w:vAlign w:val="bottom"/>
            <w:gridSpan w:val="2"/>
            <w:shd w:val="clear" w:color="auto" w:fill="EBEBEB"/>
          </w:tcPr>
          <w:p>
            <w:pPr>
              <w:jc w:val="center"/>
              <w:ind w:right="80"/>
              <w:spacing w:after="0"/>
              <w:rPr>
                <w:sz w:val="20"/>
                <w:szCs w:val="20"/>
                <w:color w:val="auto"/>
              </w:rPr>
            </w:pPr>
            <w:r>
              <w:rPr>
                <w:rFonts w:ascii="Arial" w:cs="Arial" w:eastAsia="Arial" w:hAnsi="Arial"/>
                <w:sz w:val="13"/>
                <w:szCs w:val="13"/>
                <w:color w:val="auto"/>
              </w:rPr>
              <w:t>—</w:t>
            </w:r>
          </w:p>
        </w:tc>
        <w:tc>
          <w:tcPr>
            <w:tcW w:w="1220" w:type="dxa"/>
            <w:vAlign w:val="bottom"/>
            <w:shd w:val="clear" w:color="auto" w:fill="EBEBEB"/>
          </w:tcPr>
          <w:p>
            <w:pPr>
              <w:jc w:val="right"/>
              <w:ind w:right="281"/>
              <w:spacing w:after="0"/>
              <w:rPr>
                <w:sz w:val="20"/>
                <w:szCs w:val="20"/>
                <w:color w:val="auto"/>
              </w:rPr>
            </w:pPr>
            <w:r>
              <w:rPr>
                <w:rFonts w:ascii="Arial" w:cs="Arial" w:eastAsia="Arial" w:hAnsi="Arial"/>
                <w:sz w:val="13"/>
                <w:szCs w:val="13"/>
                <w:color w:val="auto"/>
              </w:rPr>
              <w:t>7,017,122</w:t>
            </w:r>
          </w:p>
        </w:tc>
        <w:tc>
          <w:tcPr>
            <w:tcW w:w="1300" w:type="dxa"/>
            <w:vAlign w:val="bottom"/>
            <w:shd w:val="clear" w:color="auto" w:fill="EBEBEB"/>
          </w:tcPr>
          <w:p>
            <w:pPr>
              <w:jc w:val="right"/>
              <w:ind w:right="381"/>
              <w:spacing w:after="0"/>
              <w:rPr>
                <w:sz w:val="20"/>
                <w:szCs w:val="20"/>
                <w:color w:val="auto"/>
              </w:rPr>
            </w:pPr>
            <w:r>
              <w:rPr>
                <w:rFonts w:ascii="Arial" w:cs="Arial" w:eastAsia="Arial" w:hAnsi="Arial"/>
                <w:sz w:val="13"/>
                <w:szCs w:val="13"/>
                <w:color w:val="auto"/>
              </w:rPr>
              <w:t>6.7%</w:t>
            </w:r>
          </w:p>
        </w:tc>
        <w:tc>
          <w:tcPr>
            <w:tcW w:w="540" w:type="dxa"/>
            <w:vAlign w:val="bottom"/>
          </w:tcPr>
          <w:p>
            <w:pPr>
              <w:spacing w:after="0"/>
              <w:rPr>
                <w:sz w:val="12"/>
                <w:szCs w:val="12"/>
                <w:color w:val="auto"/>
              </w:rPr>
            </w:pPr>
          </w:p>
        </w:tc>
      </w:tr>
      <w:tr>
        <w:trPr>
          <w:trHeight w:val="161"/>
        </w:trPr>
        <w:tc>
          <w:tcPr>
            <w:tcW w:w="540" w:type="dxa"/>
            <w:vAlign w:val="bottom"/>
          </w:tcPr>
          <w:p>
            <w:pPr>
              <w:spacing w:after="0"/>
              <w:rPr>
                <w:sz w:val="13"/>
                <w:szCs w:val="13"/>
                <w:color w:val="auto"/>
              </w:rPr>
            </w:pPr>
          </w:p>
        </w:tc>
        <w:tc>
          <w:tcPr>
            <w:tcW w:w="4540" w:type="dxa"/>
            <w:vAlign w:val="bottom"/>
            <w:tcBorders>
              <w:bottom w:val="single" w:sz="8" w:color="1F5AA8"/>
            </w:tcBorders>
            <w:shd w:val="clear" w:color="auto" w:fill="EBEBEB"/>
          </w:tcPr>
          <w:p>
            <w:pPr>
              <w:ind w:left="60"/>
              <w:spacing w:after="0"/>
              <w:rPr>
                <w:sz w:val="20"/>
                <w:szCs w:val="20"/>
                <w:color w:val="auto"/>
              </w:rPr>
            </w:pPr>
            <w:r>
              <w:rPr>
                <w:rFonts w:ascii="Arial" w:cs="Arial" w:eastAsia="Arial" w:hAnsi="Arial"/>
                <w:sz w:val="13"/>
                <w:szCs w:val="13"/>
                <w:color w:val="auto"/>
              </w:rPr>
              <w:t>Los Angeles, California 90071</w:t>
            </w:r>
          </w:p>
        </w:tc>
        <w:tc>
          <w:tcPr>
            <w:tcW w:w="220" w:type="dxa"/>
            <w:vAlign w:val="bottom"/>
            <w:tcBorders>
              <w:bottom w:val="single" w:sz="8" w:color="1F5AA8"/>
            </w:tcBorders>
            <w:shd w:val="clear" w:color="auto" w:fill="EBEBEB"/>
          </w:tcPr>
          <w:p>
            <w:pPr>
              <w:spacing w:after="0"/>
              <w:rPr>
                <w:sz w:val="13"/>
                <w:szCs w:val="13"/>
                <w:color w:val="auto"/>
              </w:rPr>
            </w:pPr>
          </w:p>
        </w:tc>
        <w:tc>
          <w:tcPr>
            <w:tcW w:w="1180" w:type="dxa"/>
            <w:vAlign w:val="bottom"/>
            <w:tcBorders>
              <w:bottom w:val="single" w:sz="8" w:color="1F5AA8"/>
            </w:tcBorders>
            <w:shd w:val="clear" w:color="auto" w:fill="EBEBEB"/>
          </w:tcPr>
          <w:p>
            <w:pPr>
              <w:spacing w:after="0"/>
              <w:rPr>
                <w:sz w:val="13"/>
                <w:szCs w:val="13"/>
                <w:color w:val="auto"/>
              </w:rPr>
            </w:pPr>
          </w:p>
        </w:tc>
        <w:tc>
          <w:tcPr>
            <w:tcW w:w="1380" w:type="dxa"/>
            <w:vAlign w:val="bottom"/>
            <w:tcBorders>
              <w:bottom w:val="single" w:sz="8" w:color="1F5AA8"/>
            </w:tcBorders>
            <w:shd w:val="clear" w:color="auto" w:fill="EBEBEB"/>
          </w:tcPr>
          <w:p>
            <w:pPr>
              <w:spacing w:after="0"/>
              <w:rPr>
                <w:sz w:val="13"/>
                <w:szCs w:val="13"/>
                <w:color w:val="auto"/>
              </w:rPr>
            </w:pPr>
          </w:p>
        </w:tc>
        <w:tc>
          <w:tcPr>
            <w:tcW w:w="320" w:type="dxa"/>
            <w:vAlign w:val="bottom"/>
            <w:tcBorders>
              <w:bottom w:val="single" w:sz="8" w:color="1F5AA8"/>
            </w:tcBorders>
            <w:shd w:val="clear" w:color="auto" w:fill="EBEBEB"/>
          </w:tcPr>
          <w:p>
            <w:pPr>
              <w:spacing w:after="0"/>
              <w:rPr>
                <w:sz w:val="13"/>
                <w:szCs w:val="13"/>
                <w:color w:val="auto"/>
              </w:rPr>
            </w:pPr>
          </w:p>
        </w:tc>
        <w:tc>
          <w:tcPr>
            <w:tcW w:w="1220" w:type="dxa"/>
            <w:vAlign w:val="bottom"/>
            <w:tcBorders>
              <w:bottom w:val="single" w:sz="8" w:color="1F5AA8"/>
            </w:tcBorders>
            <w:shd w:val="clear" w:color="auto" w:fill="EBEBEB"/>
          </w:tcPr>
          <w:p>
            <w:pPr>
              <w:spacing w:after="0"/>
              <w:rPr>
                <w:sz w:val="13"/>
                <w:szCs w:val="13"/>
                <w:color w:val="auto"/>
              </w:rPr>
            </w:pPr>
          </w:p>
        </w:tc>
        <w:tc>
          <w:tcPr>
            <w:tcW w:w="1300" w:type="dxa"/>
            <w:vAlign w:val="bottom"/>
            <w:tcBorders>
              <w:bottom w:val="single" w:sz="8" w:color="1F5AA8"/>
            </w:tcBorders>
            <w:shd w:val="clear" w:color="auto" w:fill="EBEBEB"/>
          </w:tcPr>
          <w:p>
            <w:pPr>
              <w:spacing w:after="0"/>
              <w:rPr>
                <w:sz w:val="13"/>
                <w:szCs w:val="13"/>
                <w:color w:val="auto"/>
              </w:rPr>
            </w:pPr>
          </w:p>
        </w:tc>
        <w:tc>
          <w:tcPr>
            <w:tcW w:w="540" w:type="dxa"/>
            <w:vAlign w:val="bottom"/>
          </w:tcPr>
          <w:p>
            <w:pPr>
              <w:spacing w:after="0"/>
              <w:rPr>
                <w:sz w:val="13"/>
                <w:szCs w:val="13"/>
                <w:color w:val="auto"/>
              </w:rPr>
            </w:pPr>
          </w:p>
        </w:tc>
      </w:tr>
      <w:tr>
        <w:trPr>
          <w:trHeight w:val="339"/>
        </w:trPr>
        <w:tc>
          <w:tcPr>
            <w:tcW w:w="540" w:type="dxa"/>
            <w:vAlign w:val="bottom"/>
          </w:tcPr>
          <w:p>
            <w:pPr>
              <w:spacing w:after="0"/>
              <w:rPr>
                <w:sz w:val="24"/>
                <w:szCs w:val="24"/>
                <w:color w:val="auto"/>
              </w:rPr>
            </w:pPr>
          </w:p>
        </w:tc>
        <w:tc>
          <w:tcPr>
            <w:tcW w:w="4540" w:type="dxa"/>
            <w:vAlign w:val="bottom"/>
            <w:tcBorders>
              <w:bottom w:val="single" w:sz="8" w:color="1F5AA8"/>
            </w:tcBorders>
          </w:tcPr>
          <w:p>
            <w:pPr>
              <w:ind w:left="60"/>
              <w:spacing w:after="0"/>
              <w:rPr>
                <w:sz w:val="20"/>
                <w:szCs w:val="20"/>
                <w:color w:val="auto"/>
              </w:rPr>
            </w:pPr>
            <w:r>
              <w:rPr>
                <w:rFonts w:ascii="Arial" w:cs="Arial" w:eastAsia="Arial" w:hAnsi="Arial"/>
                <w:sz w:val="12"/>
                <w:szCs w:val="12"/>
                <w:b w:val="1"/>
                <w:bCs w:val="1"/>
                <w:color w:val="205BA8"/>
              </w:rPr>
              <w:t>Directors and Executive Officers:</w:t>
            </w:r>
            <w:r>
              <w:rPr>
                <w:rFonts w:ascii="Arial" w:cs="Arial" w:eastAsia="Arial" w:hAnsi="Arial"/>
                <w:sz w:val="19"/>
                <w:szCs w:val="19"/>
                <w:b w:val="1"/>
                <w:bCs w:val="1"/>
                <w:color w:val="205BA8"/>
                <w:vertAlign w:val="superscript"/>
              </w:rPr>
              <w:t>7</w:t>
            </w:r>
          </w:p>
        </w:tc>
        <w:tc>
          <w:tcPr>
            <w:tcW w:w="220" w:type="dxa"/>
            <w:vAlign w:val="bottom"/>
            <w:tcBorders>
              <w:bottom w:val="single" w:sz="8" w:color="1F5AA8"/>
            </w:tcBorders>
          </w:tcPr>
          <w:p>
            <w:pPr>
              <w:spacing w:after="0"/>
              <w:rPr>
                <w:sz w:val="24"/>
                <w:szCs w:val="24"/>
                <w:color w:val="auto"/>
              </w:rPr>
            </w:pPr>
          </w:p>
        </w:tc>
        <w:tc>
          <w:tcPr>
            <w:tcW w:w="1180" w:type="dxa"/>
            <w:vAlign w:val="bottom"/>
            <w:tcBorders>
              <w:bottom w:val="single" w:sz="8" w:color="1F5AA8"/>
            </w:tcBorders>
          </w:tcPr>
          <w:p>
            <w:pPr>
              <w:spacing w:after="0"/>
              <w:rPr>
                <w:sz w:val="24"/>
                <w:szCs w:val="24"/>
                <w:color w:val="auto"/>
              </w:rPr>
            </w:pPr>
          </w:p>
        </w:tc>
        <w:tc>
          <w:tcPr>
            <w:tcW w:w="1380" w:type="dxa"/>
            <w:vAlign w:val="bottom"/>
            <w:tcBorders>
              <w:bottom w:val="single" w:sz="8" w:color="1F5AA8"/>
            </w:tcBorders>
          </w:tcPr>
          <w:p>
            <w:pPr>
              <w:spacing w:after="0"/>
              <w:rPr>
                <w:sz w:val="24"/>
                <w:szCs w:val="24"/>
                <w:color w:val="auto"/>
              </w:rPr>
            </w:pPr>
          </w:p>
        </w:tc>
        <w:tc>
          <w:tcPr>
            <w:tcW w:w="320" w:type="dxa"/>
            <w:vAlign w:val="bottom"/>
            <w:tcBorders>
              <w:bottom w:val="single" w:sz="8" w:color="1F5AA8"/>
            </w:tcBorders>
          </w:tcPr>
          <w:p>
            <w:pPr>
              <w:spacing w:after="0"/>
              <w:rPr>
                <w:sz w:val="24"/>
                <w:szCs w:val="24"/>
                <w:color w:val="auto"/>
              </w:rPr>
            </w:pPr>
          </w:p>
        </w:tc>
        <w:tc>
          <w:tcPr>
            <w:tcW w:w="1220" w:type="dxa"/>
            <w:vAlign w:val="bottom"/>
            <w:tcBorders>
              <w:bottom w:val="single" w:sz="8" w:color="1F5AA8"/>
            </w:tcBorders>
          </w:tcPr>
          <w:p>
            <w:pPr>
              <w:spacing w:after="0"/>
              <w:rPr>
                <w:sz w:val="24"/>
                <w:szCs w:val="24"/>
                <w:color w:val="auto"/>
              </w:rPr>
            </w:pPr>
          </w:p>
        </w:tc>
        <w:tc>
          <w:tcPr>
            <w:tcW w:w="1300" w:type="dxa"/>
            <w:vAlign w:val="bottom"/>
            <w:tcBorders>
              <w:bottom w:val="single" w:sz="8" w:color="1F5AA8"/>
            </w:tcBorders>
          </w:tcPr>
          <w:p>
            <w:pPr>
              <w:spacing w:after="0"/>
              <w:rPr>
                <w:sz w:val="24"/>
                <w:szCs w:val="24"/>
                <w:color w:val="auto"/>
              </w:rPr>
            </w:pPr>
          </w:p>
        </w:tc>
        <w:tc>
          <w:tcPr>
            <w:tcW w:w="540" w:type="dxa"/>
            <w:vAlign w:val="bottom"/>
          </w:tcPr>
          <w:p>
            <w:pPr>
              <w:spacing w:after="0"/>
              <w:rPr>
                <w:sz w:val="24"/>
                <w:szCs w:val="24"/>
                <w:color w:val="auto"/>
              </w:rPr>
            </w:pPr>
          </w:p>
        </w:tc>
      </w:tr>
      <w:tr>
        <w:trPr>
          <w:trHeight w:val="176"/>
        </w:trPr>
        <w:tc>
          <w:tcPr>
            <w:tcW w:w="540" w:type="dxa"/>
            <w:vAlign w:val="bottom"/>
            <w:tcBorders>
              <w:bottom w:val="single" w:sz="8" w:color="EBEBEB"/>
            </w:tcBorders>
          </w:tcPr>
          <w:p>
            <w:pPr>
              <w:spacing w:after="0"/>
              <w:rPr>
                <w:sz w:val="15"/>
                <w:szCs w:val="15"/>
                <w:color w:val="auto"/>
              </w:rPr>
            </w:pPr>
          </w:p>
        </w:tc>
        <w:tc>
          <w:tcPr>
            <w:tcW w:w="4540" w:type="dxa"/>
            <w:vAlign w:val="bottom"/>
            <w:tcBorders>
              <w:bottom w:val="single" w:sz="8" w:color="58585A"/>
            </w:tcBorders>
          </w:tcPr>
          <w:p>
            <w:pPr>
              <w:ind w:left="60"/>
              <w:spacing w:after="0"/>
              <w:rPr>
                <w:sz w:val="20"/>
                <w:szCs w:val="20"/>
                <w:color w:val="auto"/>
              </w:rPr>
            </w:pPr>
            <w:r>
              <w:rPr>
                <w:rFonts w:ascii="Arial" w:cs="Arial" w:eastAsia="Arial" w:hAnsi="Arial"/>
                <w:sz w:val="13"/>
                <w:szCs w:val="13"/>
                <w:b w:val="1"/>
                <w:bCs w:val="1"/>
                <w:color w:val="C44E5E"/>
              </w:rPr>
              <w:t>Leonard S. Schleifer, M.D. , Ph.D.</w:t>
            </w:r>
          </w:p>
        </w:tc>
        <w:tc>
          <w:tcPr>
            <w:tcW w:w="1400" w:type="dxa"/>
            <w:vAlign w:val="bottom"/>
            <w:tcBorders>
              <w:bottom w:val="single" w:sz="8" w:color="58585A"/>
            </w:tcBorders>
            <w:gridSpan w:val="2"/>
          </w:tcPr>
          <w:p>
            <w:pPr>
              <w:jc w:val="center"/>
              <w:ind w:left="97"/>
              <w:spacing w:after="0" w:line="176" w:lineRule="exact"/>
              <w:rPr>
                <w:sz w:val="20"/>
                <w:szCs w:val="20"/>
                <w:color w:val="auto"/>
              </w:rPr>
            </w:pPr>
            <w:r>
              <w:rPr>
                <w:rFonts w:ascii="Arial" w:cs="Arial" w:eastAsia="Arial" w:hAnsi="Arial"/>
                <w:sz w:val="13"/>
                <w:szCs w:val="13"/>
                <w:color w:val="auto"/>
                <w:w w:val="98"/>
              </w:rPr>
              <w:t>1,726,565</w:t>
            </w:r>
            <w:r>
              <w:rPr>
                <w:rFonts w:ascii="Arial" w:cs="Arial" w:eastAsia="Arial" w:hAnsi="Arial"/>
                <w:sz w:val="20"/>
                <w:szCs w:val="20"/>
                <w:color w:val="auto"/>
                <w:w w:val="98"/>
                <w:vertAlign w:val="superscript"/>
              </w:rPr>
              <w:t>8</w:t>
            </w:r>
          </w:p>
        </w:tc>
        <w:tc>
          <w:tcPr>
            <w:tcW w:w="1380" w:type="dxa"/>
            <w:vAlign w:val="bottom"/>
            <w:tcBorders>
              <w:bottom w:val="single" w:sz="8" w:color="58585A"/>
            </w:tcBorders>
          </w:tcPr>
          <w:p>
            <w:pPr>
              <w:jc w:val="center"/>
              <w:ind w:left="175"/>
              <w:spacing w:after="0"/>
              <w:rPr>
                <w:sz w:val="20"/>
                <w:szCs w:val="20"/>
                <w:color w:val="auto"/>
              </w:rPr>
            </w:pPr>
            <w:r>
              <w:rPr>
                <w:rFonts w:ascii="Arial" w:cs="Arial" w:eastAsia="Arial" w:hAnsi="Arial"/>
                <w:sz w:val="13"/>
                <w:szCs w:val="13"/>
                <w:color w:val="auto"/>
              </w:rPr>
              <w:t>93.4%</w:t>
            </w:r>
          </w:p>
        </w:tc>
        <w:tc>
          <w:tcPr>
            <w:tcW w:w="320" w:type="dxa"/>
            <w:vAlign w:val="bottom"/>
            <w:tcBorders>
              <w:bottom w:val="single" w:sz="8" w:color="58585A"/>
            </w:tcBorders>
          </w:tcPr>
          <w:p>
            <w:pPr>
              <w:spacing w:after="0"/>
              <w:rPr>
                <w:sz w:val="15"/>
                <w:szCs w:val="15"/>
                <w:color w:val="auto"/>
              </w:rPr>
            </w:pPr>
          </w:p>
        </w:tc>
        <w:tc>
          <w:tcPr>
            <w:tcW w:w="1220" w:type="dxa"/>
            <w:vAlign w:val="bottom"/>
            <w:tcBorders>
              <w:bottom w:val="single" w:sz="8" w:color="58585A"/>
            </w:tcBorders>
          </w:tcPr>
          <w:p>
            <w:pPr>
              <w:ind w:left="300"/>
              <w:spacing w:after="0" w:line="176" w:lineRule="exact"/>
              <w:rPr>
                <w:sz w:val="20"/>
                <w:szCs w:val="20"/>
                <w:color w:val="auto"/>
              </w:rPr>
            </w:pPr>
            <w:r>
              <w:rPr>
                <w:rFonts w:ascii="Arial" w:cs="Arial" w:eastAsia="Arial" w:hAnsi="Arial"/>
                <w:sz w:val="13"/>
                <w:szCs w:val="13"/>
                <w:color w:val="auto"/>
              </w:rPr>
              <w:t>3,939,400</w:t>
            </w:r>
            <w:r>
              <w:rPr>
                <w:rFonts w:ascii="Arial" w:cs="Arial" w:eastAsia="Arial" w:hAnsi="Arial"/>
                <w:sz w:val="20"/>
                <w:szCs w:val="20"/>
                <w:color w:val="auto"/>
                <w:vertAlign w:val="superscript"/>
              </w:rPr>
              <w:t>9</w:t>
            </w:r>
          </w:p>
        </w:tc>
        <w:tc>
          <w:tcPr>
            <w:tcW w:w="1300" w:type="dxa"/>
            <w:vAlign w:val="bottom"/>
            <w:tcBorders>
              <w:bottom w:val="single" w:sz="8" w:color="58585A"/>
            </w:tcBorders>
          </w:tcPr>
          <w:p>
            <w:pPr>
              <w:jc w:val="right"/>
              <w:ind w:right="381"/>
              <w:spacing w:after="0"/>
              <w:rPr>
                <w:sz w:val="20"/>
                <w:szCs w:val="20"/>
                <w:color w:val="auto"/>
              </w:rPr>
            </w:pPr>
            <w:r>
              <w:rPr>
                <w:rFonts w:ascii="Arial" w:cs="Arial" w:eastAsia="Arial" w:hAnsi="Arial"/>
                <w:sz w:val="13"/>
                <w:szCs w:val="13"/>
                <w:color w:val="auto"/>
              </w:rPr>
              <w:t>3.6%</w:t>
            </w:r>
          </w:p>
        </w:tc>
        <w:tc>
          <w:tcPr>
            <w:tcW w:w="540" w:type="dxa"/>
            <w:vAlign w:val="bottom"/>
            <w:tcBorders>
              <w:bottom w:val="single" w:sz="8" w:color="EBEBEB"/>
            </w:tcBorders>
          </w:tcPr>
          <w:p>
            <w:pPr>
              <w:spacing w:after="0"/>
              <w:rPr>
                <w:sz w:val="15"/>
                <w:szCs w:val="15"/>
                <w:color w:val="auto"/>
              </w:rPr>
            </w:pPr>
          </w:p>
        </w:tc>
      </w:tr>
      <w:tr>
        <w:trPr>
          <w:trHeight w:val="155"/>
        </w:trPr>
        <w:tc>
          <w:tcPr>
            <w:tcW w:w="540" w:type="dxa"/>
            <w:vAlign w:val="bottom"/>
            <w:shd w:val="clear" w:color="auto" w:fill="EBEBEB"/>
          </w:tcPr>
          <w:p>
            <w:pPr>
              <w:spacing w:after="0"/>
              <w:rPr>
                <w:sz w:val="13"/>
                <w:szCs w:val="13"/>
                <w:color w:val="auto"/>
              </w:rPr>
            </w:pPr>
          </w:p>
        </w:tc>
        <w:tc>
          <w:tcPr>
            <w:tcW w:w="4540" w:type="dxa"/>
            <w:vAlign w:val="bottom"/>
            <w:tcBorders>
              <w:bottom w:val="single" w:sz="8" w:color="58585A"/>
            </w:tcBorders>
            <w:shd w:val="clear" w:color="auto" w:fill="EBEBEB"/>
          </w:tcPr>
          <w:p>
            <w:pPr>
              <w:ind w:left="60"/>
              <w:spacing w:after="0"/>
              <w:rPr>
                <w:sz w:val="20"/>
                <w:szCs w:val="20"/>
                <w:color w:val="auto"/>
              </w:rPr>
            </w:pPr>
            <w:r>
              <w:rPr>
                <w:rFonts w:ascii="Arial" w:cs="Arial" w:eastAsia="Arial" w:hAnsi="Arial"/>
                <w:sz w:val="13"/>
                <w:szCs w:val="13"/>
                <w:b w:val="1"/>
                <w:bCs w:val="1"/>
                <w:color w:val="C44E5E"/>
              </w:rPr>
              <w:t>P. Roy Vagelos, M.D.</w:t>
            </w:r>
          </w:p>
        </w:tc>
        <w:tc>
          <w:tcPr>
            <w:tcW w:w="220" w:type="dxa"/>
            <w:vAlign w:val="bottom"/>
            <w:tcBorders>
              <w:bottom w:val="single" w:sz="8" w:color="58585A"/>
            </w:tcBorders>
            <w:shd w:val="clear" w:color="auto" w:fill="EBEBEB"/>
          </w:tcPr>
          <w:p>
            <w:pPr>
              <w:spacing w:after="0"/>
              <w:rPr>
                <w:sz w:val="13"/>
                <w:szCs w:val="13"/>
                <w:color w:val="auto"/>
              </w:rPr>
            </w:pPr>
          </w:p>
        </w:tc>
        <w:tc>
          <w:tcPr>
            <w:tcW w:w="1180" w:type="dxa"/>
            <w:vAlign w:val="bottom"/>
            <w:tcBorders>
              <w:bottom w:val="single" w:sz="8" w:color="58585A"/>
            </w:tcBorders>
            <w:shd w:val="clear" w:color="auto" w:fill="EBEBEB"/>
          </w:tcPr>
          <w:p>
            <w:pPr>
              <w:jc w:val="center"/>
              <w:ind w:right="16"/>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58585A"/>
            </w:tcBorders>
            <w:gridSpan w:val="2"/>
            <w:shd w:val="clear" w:color="auto" w:fill="EBEBEB"/>
          </w:tcPr>
          <w:p>
            <w:pPr>
              <w:jc w:val="center"/>
              <w:ind w:right="8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58585A"/>
            </w:tcBorders>
            <w:shd w:val="clear" w:color="auto" w:fill="EBEBEB"/>
          </w:tcPr>
          <w:p>
            <w:pPr>
              <w:jc w:val="right"/>
              <w:ind w:right="161"/>
              <w:spacing w:after="0" w:line="156" w:lineRule="exact"/>
              <w:rPr>
                <w:sz w:val="20"/>
                <w:szCs w:val="20"/>
                <w:color w:val="auto"/>
              </w:rPr>
            </w:pPr>
            <w:r>
              <w:rPr>
                <w:rFonts w:ascii="Arial" w:cs="Arial" w:eastAsia="Arial" w:hAnsi="Arial"/>
                <w:sz w:val="12"/>
                <w:szCs w:val="12"/>
                <w:color w:val="auto"/>
              </w:rPr>
              <w:t>1,273,957</w:t>
            </w:r>
            <w:r>
              <w:rPr>
                <w:rFonts w:ascii="Arial" w:cs="Arial" w:eastAsia="Arial" w:hAnsi="Arial"/>
                <w:sz w:val="18"/>
                <w:szCs w:val="18"/>
                <w:color w:val="auto"/>
                <w:vertAlign w:val="superscript"/>
              </w:rPr>
              <w:t>10</w:t>
            </w:r>
          </w:p>
        </w:tc>
        <w:tc>
          <w:tcPr>
            <w:tcW w:w="1300" w:type="dxa"/>
            <w:vAlign w:val="bottom"/>
            <w:tcBorders>
              <w:bottom w:val="single" w:sz="8" w:color="58585A"/>
            </w:tcBorders>
            <w:shd w:val="clear" w:color="auto" w:fill="EBEBEB"/>
          </w:tcPr>
          <w:p>
            <w:pPr>
              <w:jc w:val="right"/>
              <w:ind w:right="381"/>
              <w:spacing w:after="0"/>
              <w:rPr>
                <w:sz w:val="20"/>
                <w:szCs w:val="20"/>
                <w:color w:val="auto"/>
              </w:rPr>
            </w:pPr>
            <w:r>
              <w:rPr>
                <w:rFonts w:ascii="Arial" w:cs="Arial" w:eastAsia="Arial" w:hAnsi="Arial"/>
                <w:sz w:val="13"/>
                <w:szCs w:val="13"/>
                <w:color w:val="auto"/>
              </w:rPr>
              <w:t>1.2%</w:t>
            </w:r>
          </w:p>
        </w:tc>
        <w:tc>
          <w:tcPr>
            <w:tcW w:w="540" w:type="dxa"/>
            <w:vAlign w:val="bottom"/>
            <w:shd w:val="clear" w:color="auto" w:fill="EBEBEB"/>
          </w:tcPr>
          <w:p>
            <w:pPr>
              <w:spacing w:after="0"/>
              <w:rPr>
                <w:sz w:val="13"/>
                <w:szCs w:val="13"/>
                <w:color w:val="auto"/>
              </w:rPr>
            </w:pPr>
          </w:p>
        </w:tc>
      </w:tr>
      <w:tr>
        <w:trPr>
          <w:trHeight w:val="169"/>
        </w:trPr>
        <w:tc>
          <w:tcPr>
            <w:tcW w:w="540" w:type="dxa"/>
            <w:vAlign w:val="bottom"/>
            <w:tcBorders>
              <w:bottom w:val="single" w:sz="8" w:color="EBEBEB"/>
            </w:tcBorders>
          </w:tcPr>
          <w:p>
            <w:pPr>
              <w:spacing w:after="0"/>
              <w:rPr>
                <w:sz w:val="14"/>
                <w:szCs w:val="14"/>
                <w:color w:val="auto"/>
              </w:rPr>
            </w:pPr>
          </w:p>
        </w:tc>
        <w:tc>
          <w:tcPr>
            <w:tcW w:w="4540" w:type="dxa"/>
            <w:vAlign w:val="bottom"/>
            <w:tcBorders>
              <w:bottom w:val="single" w:sz="8" w:color="58585A"/>
            </w:tcBorders>
          </w:tcPr>
          <w:p>
            <w:pPr>
              <w:ind w:left="60"/>
              <w:spacing w:after="0"/>
              <w:rPr>
                <w:sz w:val="20"/>
                <w:szCs w:val="20"/>
                <w:color w:val="auto"/>
              </w:rPr>
            </w:pPr>
            <w:r>
              <w:rPr>
                <w:rFonts w:ascii="Arial" w:cs="Arial" w:eastAsia="Arial" w:hAnsi="Arial"/>
                <w:sz w:val="13"/>
                <w:szCs w:val="13"/>
                <w:b w:val="1"/>
                <w:bCs w:val="1"/>
                <w:color w:val="C44E5E"/>
              </w:rPr>
              <w:t>George D. Yancopoulos, M.D., Ph.D.</w:t>
            </w:r>
          </w:p>
        </w:tc>
        <w:tc>
          <w:tcPr>
            <w:tcW w:w="1400" w:type="dxa"/>
            <w:vAlign w:val="bottom"/>
            <w:tcBorders>
              <w:bottom w:val="single" w:sz="8" w:color="58585A"/>
            </w:tcBorders>
            <w:gridSpan w:val="2"/>
          </w:tcPr>
          <w:p>
            <w:pPr>
              <w:jc w:val="center"/>
              <w:ind w:left="97"/>
              <w:spacing w:after="0" w:line="169" w:lineRule="exact"/>
              <w:rPr>
                <w:sz w:val="20"/>
                <w:szCs w:val="20"/>
                <w:color w:val="auto"/>
              </w:rPr>
            </w:pPr>
            <w:r>
              <w:rPr>
                <w:rFonts w:ascii="Arial" w:cs="Arial" w:eastAsia="Arial" w:hAnsi="Arial"/>
                <w:sz w:val="12"/>
                <w:szCs w:val="12"/>
                <w:color w:val="auto"/>
              </w:rPr>
              <w:t>42,750</w:t>
            </w:r>
            <w:r>
              <w:rPr>
                <w:rFonts w:ascii="Arial" w:cs="Arial" w:eastAsia="Arial" w:hAnsi="Arial"/>
                <w:sz w:val="19"/>
                <w:szCs w:val="19"/>
                <w:color w:val="auto"/>
                <w:vertAlign w:val="superscript"/>
              </w:rPr>
              <w:t>11</w:t>
            </w:r>
          </w:p>
        </w:tc>
        <w:tc>
          <w:tcPr>
            <w:tcW w:w="1380" w:type="dxa"/>
            <w:vAlign w:val="bottom"/>
            <w:tcBorders>
              <w:bottom w:val="single" w:sz="8" w:color="58585A"/>
            </w:tcBorders>
          </w:tcPr>
          <w:p>
            <w:pPr>
              <w:jc w:val="center"/>
              <w:ind w:left="175"/>
              <w:spacing w:after="0"/>
              <w:rPr>
                <w:sz w:val="20"/>
                <w:szCs w:val="20"/>
                <w:color w:val="auto"/>
              </w:rPr>
            </w:pPr>
            <w:r>
              <w:rPr>
                <w:rFonts w:ascii="Arial" w:cs="Arial" w:eastAsia="Arial" w:hAnsi="Arial"/>
                <w:sz w:val="13"/>
                <w:szCs w:val="13"/>
                <w:color w:val="auto"/>
              </w:rPr>
              <w:t>2.3%</w:t>
            </w:r>
          </w:p>
        </w:tc>
        <w:tc>
          <w:tcPr>
            <w:tcW w:w="320" w:type="dxa"/>
            <w:vAlign w:val="bottom"/>
            <w:tcBorders>
              <w:bottom w:val="single" w:sz="8" w:color="58585A"/>
            </w:tcBorders>
          </w:tcPr>
          <w:p>
            <w:pPr>
              <w:spacing w:after="0"/>
              <w:rPr>
                <w:sz w:val="14"/>
                <w:szCs w:val="14"/>
                <w:color w:val="auto"/>
              </w:rPr>
            </w:pPr>
          </w:p>
        </w:tc>
        <w:tc>
          <w:tcPr>
            <w:tcW w:w="1220" w:type="dxa"/>
            <w:vAlign w:val="bottom"/>
            <w:tcBorders>
              <w:bottom w:val="single" w:sz="8" w:color="58585A"/>
            </w:tcBorders>
          </w:tcPr>
          <w:p>
            <w:pPr>
              <w:jc w:val="right"/>
              <w:ind w:right="161"/>
              <w:spacing w:after="0" w:line="169" w:lineRule="exact"/>
              <w:rPr>
                <w:sz w:val="20"/>
                <w:szCs w:val="20"/>
                <w:color w:val="auto"/>
              </w:rPr>
            </w:pPr>
            <w:r>
              <w:rPr>
                <w:rFonts w:ascii="Arial" w:cs="Arial" w:eastAsia="Arial" w:hAnsi="Arial"/>
                <w:sz w:val="12"/>
                <w:szCs w:val="12"/>
                <w:color w:val="auto"/>
              </w:rPr>
              <w:t>2,427,800</w:t>
            </w:r>
            <w:r>
              <w:rPr>
                <w:rFonts w:ascii="Arial" w:cs="Arial" w:eastAsia="Arial" w:hAnsi="Arial"/>
                <w:sz w:val="19"/>
                <w:szCs w:val="19"/>
                <w:color w:val="auto"/>
                <w:vertAlign w:val="superscript"/>
              </w:rPr>
              <w:t>12</w:t>
            </w:r>
          </w:p>
        </w:tc>
        <w:tc>
          <w:tcPr>
            <w:tcW w:w="1300" w:type="dxa"/>
            <w:vAlign w:val="bottom"/>
            <w:tcBorders>
              <w:bottom w:val="single" w:sz="8" w:color="58585A"/>
            </w:tcBorders>
          </w:tcPr>
          <w:p>
            <w:pPr>
              <w:jc w:val="right"/>
              <w:ind w:right="381"/>
              <w:spacing w:after="0"/>
              <w:rPr>
                <w:sz w:val="20"/>
                <w:szCs w:val="20"/>
                <w:color w:val="auto"/>
              </w:rPr>
            </w:pPr>
            <w:r>
              <w:rPr>
                <w:rFonts w:ascii="Arial" w:cs="Arial" w:eastAsia="Arial" w:hAnsi="Arial"/>
                <w:sz w:val="13"/>
                <w:szCs w:val="13"/>
                <w:color w:val="auto"/>
              </w:rPr>
              <w:t>2.3%</w:t>
            </w:r>
          </w:p>
        </w:tc>
        <w:tc>
          <w:tcPr>
            <w:tcW w:w="540" w:type="dxa"/>
            <w:vAlign w:val="bottom"/>
            <w:tcBorders>
              <w:bottom w:val="single" w:sz="8" w:color="EBEBEB"/>
            </w:tcBorders>
          </w:tcPr>
          <w:p>
            <w:pPr>
              <w:spacing w:after="0"/>
              <w:rPr>
                <w:sz w:val="14"/>
                <w:szCs w:val="14"/>
                <w:color w:val="auto"/>
              </w:rPr>
            </w:pPr>
          </w:p>
        </w:tc>
      </w:tr>
      <w:tr>
        <w:trPr>
          <w:trHeight w:val="156"/>
        </w:trPr>
        <w:tc>
          <w:tcPr>
            <w:tcW w:w="540" w:type="dxa"/>
            <w:vAlign w:val="bottom"/>
            <w:shd w:val="clear" w:color="auto" w:fill="EBEBEB"/>
          </w:tcPr>
          <w:p>
            <w:pPr>
              <w:spacing w:after="0"/>
              <w:rPr>
                <w:sz w:val="13"/>
                <w:szCs w:val="13"/>
                <w:color w:val="auto"/>
              </w:rPr>
            </w:pPr>
          </w:p>
        </w:tc>
        <w:tc>
          <w:tcPr>
            <w:tcW w:w="4540" w:type="dxa"/>
            <w:vAlign w:val="bottom"/>
            <w:tcBorders>
              <w:bottom w:val="single" w:sz="8" w:color="58585A"/>
            </w:tcBorders>
            <w:shd w:val="clear" w:color="auto" w:fill="EBEBEB"/>
          </w:tcPr>
          <w:p>
            <w:pPr>
              <w:ind w:left="60"/>
              <w:spacing w:after="0"/>
              <w:rPr>
                <w:sz w:val="20"/>
                <w:szCs w:val="20"/>
                <w:color w:val="auto"/>
              </w:rPr>
            </w:pPr>
            <w:r>
              <w:rPr>
                <w:rFonts w:ascii="Arial" w:cs="Arial" w:eastAsia="Arial" w:hAnsi="Arial"/>
                <w:sz w:val="13"/>
                <w:szCs w:val="13"/>
                <w:b w:val="1"/>
                <w:bCs w:val="1"/>
                <w:color w:val="C44E5E"/>
              </w:rPr>
              <w:t>N. Anthony Coles, M.D.</w:t>
            </w:r>
          </w:p>
        </w:tc>
        <w:tc>
          <w:tcPr>
            <w:tcW w:w="220" w:type="dxa"/>
            <w:vAlign w:val="bottom"/>
            <w:tcBorders>
              <w:bottom w:val="single" w:sz="8" w:color="58585A"/>
            </w:tcBorders>
            <w:shd w:val="clear" w:color="auto" w:fill="EBEBEB"/>
          </w:tcPr>
          <w:p>
            <w:pPr>
              <w:spacing w:after="0"/>
              <w:rPr>
                <w:sz w:val="13"/>
                <w:szCs w:val="13"/>
                <w:color w:val="auto"/>
              </w:rPr>
            </w:pPr>
          </w:p>
        </w:tc>
        <w:tc>
          <w:tcPr>
            <w:tcW w:w="1180" w:type="dxa"/>
            <w:vAlign w:val="bottom"/>
            <w:tcBorders>
              <w:bottom w:val="single" w:sz="8" w:color="58585A"/>
            </w:tcBorders>
            <w:shd w:val="clear" w:color="auto" w:fill="EBEBEB"/>
          </w:tcPr>
          <w:p>
            <w:pPr>
              <w:jc w:val="center"/>
              <w:ind w:right="16"/>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58585A"/>
            </w:tcBorders>
            <w:gridSpan w:val="2"/>
            <w:shd w:val="clear" w:color="auto" w:fill="EBEBEB"/>
          </w:tcPr>
          <w:p>
            <w:pPr>
              <w:jc w:val="center"/>
              <w:ind w:right="8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58585A"/>
            </w:tcBorders>
            <w:shd w:val="clear" w:color="auto" w:fill="EBEBEB"/>
          </w:tcPr>
          <w:p>
            <w:pPr>
              <w:jc w:val="right"/>
              <w:ind w:right="161"/>
              <w:spacing w:after="0" w:line="156" w:lineRule="exact"/>
              <w:rPr>
                <w:sz w:val="20"/>
                <w:szCs w:val="20"/>
                <w:color w:val="auto"/>
              </w:rPr>
            </w:pPr>
            <w:r>
              <w:rPr>
                <w:rFonts w:ascii="Arial" w:cs="Arial" w:eastAsia="Arial" w:hAnsi="Arial"/>
                <w:sz w:val="12"/>
                <w:szCs w:val="12"/>
                <w:color w:val="auto"/>
              </w:rPr>
              <w:t>30,418</w:t>
            </w:r>
            <w:r>
              <w:rPr>
                <w:rFonts w:ascii="Arial" w:cs="Arial" w:eastAsia="Arial" w:hAnsi="Arial"/>
                <w:sz w:val="18"/>
                <w:szCs w:val="18"/>
                <w:color w:val="auto"/>
                <w:vertAlign w:val="superscript"/>
              </w:rPr>
              <w:t>13</w:t>
            </w:r>
          </w:p>
        </w:tc>
        <w:tc>
          <w:tcPr>
            <w:tcW w:w="1300" w:type="dxa"/>
            <w:vAlign w:val="bottom"/>
            <w:tcBorders>
              <w:bottom w:val="single" w:sz="8" w:color="58585A"/>
            </w:tcBorders>
            <w:shd w:val="clear" w:color="auto" w:fill="EBEBEB"/>
          </w:tcPr>
          <w:p>
            <w:pPr>
              <w:jc w:val="right"/>
              <w:ind w:right="501"/>
              <w:spacing w:after="0"/>
              <w:rPr>
                <w:sz w:val="20"/>
                <w:szCs w:val="20"/>
                <w:color w:val="auto"/>
              </w:rPr>
            </w:pPr>
            <w:r>
              <w:rPr>
                <w:rFonts w:ascii="Arial" w:cs="Arial" w:eastAsia="Arial" w:hAnsi="Arial"/>
                <w:sz w:val="11"/>
                <w:szCs w:val="11"/>
                <w:color w:val="auto"/>
              </w:rPr>
              <w:t>26</w:t>
            </w:r>
          </w:p>
        </w:tc>
        <w:tc>
          <w:tcPr>
            <w:tcW w:w="540" w:type="dxa"/>
            <w:vAlign w:val="bottom"/>
            <w:shd w:val="clear" w:color="auto" w:fill="EBEBEB"/>
          </w:tcPr>
          <w:p>
            <w:pPr>
              <w:spacing w:after="0"/>
              <w:rPr>
                <w:sz w:val="13"/>
                <w:szCs w:val="13"/>
                <w:color w:val="auto"/>
              </w:rPr>
            </w:pPr>
          </w:p>
        </w:tc>
      </w:tr>
      <w:tr>
        <w:trPr>
          <w:trHeight w:val="155"/>
        </w:trPr>
        <w:tc>
          <w:tcPr>
            <w:tcW w:w="540" w:type="dxa"/>
            <w:vAlign w:val="bottom"/>
            <w:tcBorders>
              <w:bottom w:val="single" w:sz="8" w:color="EBEBEB"/>
            </w:tcBorders>
          </w:tcPr>
          <w:p>
            <w:pPr>
              <w:spacing w:after="0"/>
              <w:rPr>
                <w:sz w:val="13"/>
                <w:szCs w:val="13"/>
                <w:color w:val="auto"/>
              </w:rPr>
            </w:pPr>
          </w:p>
        </w:tc>
        <w:tc>
          <w:tcPr>
            <w:tcW w:w="4540" w:type="dxa"/>
            <w:vAlign w:val="bottom"/>
            <w:tcBorders>
              <w:bottom w:val="single" w:sz="8" w:color="58585A"/>
            </w:tcBorders>
          </w:tcPr>
          <w:p>
            <w:pPr>
              <w:ind w:left="60"/>
              <w:spacing w:after="0"/>
              <w:rPr>
                <w:sz w:val="20"/>
                <w:szCs w:val="20"/>
                <w:color w:val="auto"/>
              </w:rPr>
            </w:pPr>
            <w:r>
              <w:rPr>
                <w:rFonts w:ascii="Arial" w:cs="Arial" w:eastAsia="Arial" w:hAnsi="Arial"/>
                <w:sz w:val="13"/>
                <w:szCs w:val="13"/>
                <w:b w:val="1"/>
                <w:bCs w:val="1"/>
                <w:color w:val="C44E5E"/>
              </w:rPr>
              <w:t>Bonnie L. Bassler, Ph.D.</w:t>
            </w:r>
          </w:p>
        </w:tc>
        <w:tc>
          <w:tcPr>
            <w:tcW w:w="220" w:type="dxa"/>
            <w:vAlign w:val="bottom"/>
            <w:tcBorders>
              <w:bottom w:val="single" w:sz="8" w:color="58585A"/>
            </w:tcBorders>
          </w:tcPr>
          <w:p>
            <w:pPr>
              <w:spacing w:after="0"/>
              <w:rPr>
                <w:sz w:val="13"/>
                <w:szCs w:val="13"/>
                <w:color w:val="auto"/>
              </w:rPr>
            </w:pPr>
          </w:p>
        </w:tc>
        <w:tc>
          <w:tcPr>
            <w:tcW w:w="1180" w:type="dxa"/>
            <w:vAlign w:val="bottom"/>
            <w:tcBorders>
              <w:bottom w:val="single" w:sz="8" w:color="58585A"/>
            </w:tcBorders>
          </w:tcPr>
          <w:p>
            <w:pPr>
              <w:jc w:val="center"/>
              <w:ind w:right="16"/>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58585A"/>
            </w:tcBorders>
            <w:gridSpan w:val="2"/>
          </w:tcPr>
          <w:p>
            <w:pPr>
              <w:jc w:val="center"/>
              <w:ind w:right="8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58585A"/>
            </w:tcBorders>
          </w:tcPr>
          <w:p>
            <w:pPr>
              <w:jc w:val="right"/>
              <w:ind w:right="161"/>
              <w:spacing w:after="0" w:line="156" w:lineRule="exact"/>
              <w:rPr>
                <w:sz w:val="20"/>
                <w:szCs w:val="20"/>
                <w:color w:val="auto"/>
              </w:rPr>
            </w:pPr>
            <w:r>
              <w:rPr>
                <w:rFonts w:ascii="Arial" w:cs="Arial" w:eastAsia="Arial" w:hAnsi="Arial"/>
                <w:sz w:val="12"/>
                <w:szCs w:val="12"/>
                <w:color w:val="auto"/>
              </w:rPr>
              <w:t>30,571</w:t>
            </w:r>
            <w:r>
              <w:rPr>
                <w:rFonts w:ascii="Arial" w:cs="Arial" w:eastAsia="Arial" w:hAnsi="Arial"/>
                <w:sz w:val="18"/>
                <w:szCs w:val="18"/>
                <w:color w:val="auto"/>
                <w:vertAlign w:val="superscript"/>
              </w:rPr>
              <w:t>14</w:t>
            </w:r>
          </w:p>
        </w:tc>
        <w:tc>
          <w:tcPr>
            <w:tcW w:w="1300" w:type="dxa"/>
            <w:vAlign w:val="bottom"/>
            <w:tcBorders>
              <w:bottom w:val="single" w:sz="8" w:color="58585A"/>
            </w:tcBorders>
          </w:tcPr>
          <w:p>
            <w:pPr>
              <w:jc w:val="right"/>
              <w:ind w:right="501"/>
              <w:spacing w:after="0"/>
              <w:rPr>
                <w:sz w:val="20"/>
                <w:szCs w:val="20"/>
                <w:color w:val="auto"/>
              </w:rPr>
            </w:pPr>
            <w:r>
              <w:rPr>
                <w:rFonts w:ascii="Arial" w:cs="Arial" w:eastAsia="Arial" w:hAnsi="Arial"/>
                <w:sz w:val="11"/>
                <w:szCs w:val="11"/>
                <w:color w:val="auto"/>
              </w:rPr>
              <w:t>26</w:t>
            </w:r>
          </w:p>
        </w:tc>
        <w:tc>
          <w:tcPr>
            <w:tcW w:w="540" w:type="dxa"/>
            <w:vAlign w:val="bottom"/>
            <w:tcBorders>
              <w:bottom w:val="single" w:sz="8" w:color="EBEBEB"/>
            </w:tcBorders>
          </w:tcPr>
          <w:p>
            <w:pPr>
              <w:spacing w:after="0"/>
              <w:rPr>
                <w:sz w:val="13"/>
                <w:szCs w:val="13"/>
                <w:color w:val="auto"/>
              </w:rPr>
            </w:pPr>
          </w:p>
        </w:tc>
      </w:tr>
      <w:tr>
        <w:trPr>
          <w:trHeight w:val="156"/>
        </w:trPr>
        <w:tc>
          <w:tcPr>
            <w:tcW w:w="540" w:type="dxa"/>
            <w:vAlign w:val="bottom"/>
            <w:shd w:val="clear" w:color="auto" w:fill="EBEBEB"/>
          </w:tcPr>
          <w:p>
            <w:pPr>
              <w:spacing w:after="0"/>
              <w:rPr>
                <w:sz w:val="13"/>
                <w:szCs w:val="13"/>
                <w:color w:val="auto"/>
              </w:rPr>
            </w:pPr>
          </w:p>
        </w:tc>
        <w:tc>
          <w:tcPr>
            <w:tcW w:w="4540" w:type="dxa"/>
            <w:vAlign w:val="bottom"/>
            <w:tcBorders>
              <w:bottom w:val="single" w:sz="8" w:color="58585A"/>
            </w:tcBorders>
            <w:shd w:val="clear" w:color="auto" w:fill="EBEBEB"/>
          </w:tcPr>
          <w:p>
            <w:pPr>
              <w:ind w:left="60"/>
              <w:spacing w:after="0"/>
              <w:rPr>
                <w:sz w:val="20"/>
                <w:szCs w:val="20"/>
                <w:color w:val="auto"/>
              </w:rPr>
            </w:pPr>
            <w:r>
              <w:rPr>
                <w:rFonts w:ascii="Arial" w:cs="Arial" w:eastAsia="Arial" w:hAnsi="Arial"/>
                <w:sz w:val="13"/>
                <w:szCs w:val="13"/>
                <w:b w:val="1"/>
                <w:bCs w:val="1"/>
                <w:color w:val="C44E5E"/>
              </w:rPr>
              <w:t>Michael S. Brown, M.D.</w:t>
            </w:r>
          </w:p>
        </w:tc>
        <w:tc>
          <w:tcPr>
            <w:tcW w:w="220" w:type="dxa"/>
            <w:vAlign w:val="bottom"/>
            <w:tcBorders>
              <w:bottom w:val="single" w:sz="8" w:color="58585A"/>
            </w:tcBorders>
            <w:shd w:val="clear" w:color="auto" w:fill="EBEBEB"/>
          </w:tcPr>
          <w:p>
            <w:pPr>
              <w:spacing w:after="0"/>
              <w:rPr>
                <w:sz w:val="13"/>
                <w:szCs w:val="13"/>
                <w:color w:val="auto"/>
              </w:rPr>
            </w:pPr>
          </w:p>
        </w:tc>
        <w:tc>
          <w:tcPr>
            <w:tcW w:w="1180" w:type="dxa"/>
            <w:vAlign w:val="bottom"/>
            <w:tcBorders>
              <w:bottom w:val="single" w:sz="8" w:color="58585A"/>
            </w:tcBorders>
            <w:shd w:val="clear" w:color="auto" w:fill="EBEBEB"/>
          </w:tcPr>
          <w:p>
            <w:pPr>
              <w:jc w:val="center"/>
              <w:ind w:right="16"/>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58585A"/>
            </w:tcBorders>
            <w:gridSpan w:val="2"/>
            <w:shd w:val="clear" w:color="auto" w:fill="EBEBEB"/>
          </w:tcPr>
          <w:p>
            <w:pPr>
              <w:jc w:val="center"/>
              <w:ind w:right="8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58585A"/>
            </w:tcBorders>
            <w:shd w:val="clear" w:color="auto" w:fill="EBEBEB"/>
          </w:tcPr>
          <w:p>
            <w:pPr>
              <w:jc w:val="right"/>
              <w:ind w:right="161"/>
              <w:spacing w:after="0" w:line="156" w:lineRule="exact"/>
              <w:rPr>
                <w:sz w:val="20"/>
                <w:szCs w:val="20"/>
                <w:color w:val="auto"/>
              </w:rPr>
            </w:pPr>
            <w:r>
              <w:rPr>
                <w:rFonts w:ascii="Arial" w:cs="Arial" w:eastAsia="Arial" w:hAnsi="Arial"/>
                <w:sz w:val="12"/>
                <w:szCs w:val="12"/>
                <w:color w:val="auto"/>
              </w:rPr>
              <w:t>44,724</w:t>
            </w:r>
            <w:r>
              <w:rPr>
                <w:rFonts w:ascii="Arial" w:cs="Arial" w:eastAsia="Arial" w:hAnsi="Arial"/>
                <w:sz w:val="18"/>
                <w:szCs w:val="18"/>
                <w:color w:val="auto"/>
                <w:vertAlign w:val="superscript"/>
              </w:rPr>
              <w:t>15</w:t>
            </w:r>
          </w:p>
        </w:tc>
        <w:tc>
          <w:tcPr>
            <w:tcW w:w="1300" w:type="dxa"/>
            <w:vAlign w:val="bottom"/>
            <w:tcBorders>
              <w:bottom w:val="single" w:sz="8" w:color="58585A"/>
            </w:tcBorders>
            <w:shd w:val="clear" w:color="auto" w:fill="EBEBEB"/>
          </w:tcPr>
          <w:p>
            <w:pPr>
              <w:jc w:val="right"/>
              <w:ind w:right="501"/>
              <w:spacing w:after="0"/>
              <w:rPr>
                <w:sz w:val="20"/>
                <w:szCs w:val="20"/>
                <w:color w:val="auto"/>
              </w:rPr>
            </w:pPr>
            <w:r>
              <w:rPr>
                <w:rFonts w:ascii="Arial" w:cs="Arial" w:eastAsia="Arial" w:hAnsi="Arial"/>
                <w:sz w:val="11"/>
                <w:szCs w:val="11"/>
                <w:color w:val="auto"/>
              </w:rPr>
              <w:t>26</w:t>
            </w:r>
          </w:p>
        </w:tc>
        <w:tc>
          <w:tcPr>
            <w:tcW w:w="540" w:type="dxa"/>
            <w:vAlign w:val="bottom"/>
            <w:shd w:val="clear" w:color="auto" w:fill="EBEBEB"/>
          </w:tcPr>
          <w:p>
            <w:pPr>
              <w:spacing w:after="0"/>
              <w:rPr>
                <w:sz w:val="13"/>
                <w:szCs w:val="13"/>
                <w:color w:val="auto"/>
              </w:rPr>
            </w:pPr>
          </w:p>
        </w:tc>
      </w:tr>
      <w:tr>
        <w:trPr>
          <w:trHeight w:val="155"/>
        </w:trPr>
        <w:tc>
          <w:tcPr>
            <w:tcW w:w="540" w:type="dxa"/>
            <w:vAlign w:val="bottom"/>
            <w:tcBorders>
              <w:bottom w:val="single" w:sz="8" w:color="EBEBEB"/>
            </w:tcBorders>
          </w:tcPr>
          <w:p>
            <w:pPr>
              <w:spacing w:after="0"/>
              <w:rPr>
                <w:sz w:val="13"/>
                <w:szCs w:val="13"/>
                <w:color w:val="auto"/>
              </w:rPr>
            </w:pPr>
          </w:p>
        </w:tc>
        <w:tc>
          <w:tcPr>
            <w:tcW w:w="4540" w:type="dxa"/>
            <w:vAlign w:val="bottom"/>
            <w:tcBorders>
              <w:bottom w:val="single" w:sz="8" w:color="58585A"/>
            </w:tcBorders>
          </w:tcPr>
          <w:p>
            <w:pPr>
              <w:ind w:left="60"/>
              <w:spacing w:after="0"/>
              <w:rPr>
                <w:sz w:val="20"/>
                <w:szCs w:val="20"/>
                <w:color w:val="auto"/>
              </w:rPr>
            </w:pPr>
            <w:r>
              <w:rPr>
                <w:rFonts w:ascii="Arial" w:cs="Arial" w:eastAsia="Arial" w:hAnsi="Arial"/>
                <w:sz w:val="13"/>
                <w:szCs w:val="13"/>
                <w:b w:val="1"/>
                <w:bCs w:val="1"/>
                <w:color w:val="C44E5E"/>
              </w:rPr>
              <w:t>Joseph L. Goldstein, M.D.</w:t>
            </w:r>
          </w:p>
        </w:tc>
        <w:tc>
          <w:tcPr>
            <w:tcW w:w="220" w:type="dxa"/>
            <w:vAlign w:val="bottom"/>
            <w:tcBorders>
              <w:bottom w:val="single" w:sz="8" w:color="58585A"/>
            </w:tcBorders>
          </w:tcPr>
          <w:p>
            <w:pPr>
              <w:spacing w:after="0"/>
              <w:rPr>
                <w:sz w:val="13"/>
                <w:szCs w:val="13"/>
                <w:color w:val="auto"/>
              </w:rPr>
            </w:pPr>
          </w:p>
        </w:tc>
        <w:tc>
          <w:tcPr>
            <w:tcW w:w="1180" w:type="dxa"/>
            <w:vAlign w:val="bottom"/>
            <w:tcBorders>
              <w:bottom w:val="single" w:sz="8" w:color="58585A"/>
            </w:tcBorders>
          </w:tcPr>
          <w:p>
            <w:pPr>
              <w:jc w:val="center"/>
              <w:ind w:right="16"/>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58585A"/>
            </w:tcBorders>
            <w:gridSpan w:val="2"/>
          </w:tcPr>
          <w:p>
            <w:pPr>
              <w:jc w:val="center"/>
              <w:ind w:right="8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58585A"/>
            </w:tcBorders>
          </w:tcPr>
          <w:p>
            <w:pPr>
              <w:jc w:val="right"/>
              <w:ind w:right="161"/>
              <w:spacing w:after="0" w:line="156" w:lineRule="exact"/>
              <w:rPr>
                <w:sz w:val="20"/>
                <w:szCs w:val="20"/>
                <w:color w:val="auto"/>
              </w:rPr>
            </w:pPr>
            <w:r>
              <w:rPr>
                <w:rFonts w:ascii="Arial" w:cs="Arial" w:eastAsia="Arial" w:hAnsi="Arial"/>
                <w:sz w:val="12"/>
                <w:szCs w:val="12"/>
                <w:color w:val="auto"/>
              </w:rPr>
              <w:t>14,154</w:t>
            </w:r>
            <w:r>
              <w:rPr>
                <w:rFonts w:ascii="Arial" w:cs="Arial" w:eastAsia="Arial" w:hAnsi="Arial"/>
                <w:sz w:val="18"/>
                <w:szCs w:val="18"/>
                <w:color w:val="auto"/>
                <w:vertAlign w:val="superscript"/>
              </w:rPr>
              <w:t>16</w:t>
            </w:r>
          </w:p>
        </w:tc>
        <w:tc>
          <w:tcPr>
            <w:tcW w:w="1300" w:type="dxa"/>
            <w:vAlign w:val="bottom"/>
            <w:tcBorders>
              <w:bottom w:val="single" w:sz="8" w:color="58585A"/>
            </w:tcBorders>
          </w:tcPr>
          <w:p>
            <w:pPr>
              <w:jc w:val="right"/>
              <w:ind w:right="501"/>
              <w:spacing w:after="0"/>
              <w:rPr>
                <w:sz w:val="20"/>
                <w:szCs w:val="20"/>
                <w:color w:val="auto"/>
              </w:rPr>
            </w:pPr>
            <w:r>
              <w:rPr>
                <w:rFonts w:ascii="Arial" w:cs="Arial" w:eastAsia="Arial" w:hAnsi="Arial"/>
                <w:sz w:val="11"/>
                <w:szCs w:val="11"/>
                <w:color w:val="auto"/>
              </w:rPr>
              <w:t>26</w:t>
            </w:r>
          </w:p>
        </w:tc>
        <w:tc>
          <w:tcPr>
            <w:tcW w:w="540" w:type="dxa"/>
            <w:vAlign w:val="bottom"/>
            <w:tcBorders>
              <w:bottom w:val="single" w:sz="8" w:color="EBEBEB"/>
            </w:tcBorders>
          </w:tcPr>
          <w:p>
            <w:pPr>
              <w:spacing w:after="0"/>
              <w:rPr>
                <w:sz w:val="13"/>
                <w:szCs w:val="13"/>
                <w:color w:val="auto"/>
              </w:rPr>
            </w:pPr>
          </w:p>
        </w:tc>
      </w:tr>
      <w:tr>
        <w:trPr>
          <w:trHeight w:val="156"/>
        </w:trPr>
        <w:tc>
          <w:tcPr>
            <w:tcW w:w="540" w:type="dxa"/>
            <w:vAlign w:val="bottom"/>
            <w:shd w:val="clear" w:color="auto" w:fill="EBEBEB"/>
          </w:tcPr>
          <w:p>
            <w:pPr>
              <w:spacing w:after="0"/>
              <w:rPr>
                <w:sz w:val="13"/>
                <w:szCs w:val="13"/>
                <w:color w:val="auto"/>
              </w:rPr>
            </w:pPr>
          </w:p>
        </w:tc>
        <w:tc>
          <w:tcPr>
            <w:tcW w:w="4540" w:type="dxa"/>
            <w:vAlign w:val="bottom"/>
            <w:tcBorders>
              <w:bottom w:val="single" w:sz="8" w:color="58585A"/>
            </w:tcBorders>
            <w:shd w:val="clear" w:color="auto" w:fill="EBEBEB"/>
          </w:tcPr>
          <w:p>
            <w:pPr>
              <w:ind w:left="60"/>
              <w:spacing w:after="0"/>
              <w:rPr>
                <w:sz w:val="20"/>
                <w:szCs w:val="20"/>
                <w:color w:val="auto"/>
              </w:rPr>
            </w:pPr>
            <w:r>
              <w:rPr>
                <w:rFonts w:ascii="Arial" w:cs="Arial" w:eastAsia="Arial" w:hAnsi="Arial"/>
                <w:sz w:val="13"/>
                <w:szCs w:val="13"/>
                <w:b w:val="1"/>
                <w:bCs w:val="1"/>
                <w:color w:val="C44E5E"/>
              </w:rPr>
              <w:t>Andrew J. Murphy, Ph.D.</w:t>
            </w:r>
          </w:p>
        </w:tc>
        <w:tc>
          <w:tcPr>
            <w:tcW w:w="220" w:type="dxa"/>
            <w:vAlign w:val="bottom"/>
            <w:tcBorders>
              <w:bottom w:val="single" w:sz="8" w:color="58585A"/>
            </w:tcBorders>
            <w:shd w:val="clear" w:color="auto" w:fill="EBEBEB"/>
          </w:tcPr>
          <w:p>
            <w:pPr>
              <w:spacing w:after="0"/>
              <w:rPr>
                <w:sz w:val="13"/>
                <w:szCs w:val="13"/>
                <w:color w:val="auto"/>
              </w:rPr>
            </w:pPr>
          </w:p>
        </w:tc>
        <w:tc>
          <w:tcPr>
            <w:tcW w:w="1180" w:type="dxa"/>
            <w:vAlign w:val="bottom"/>
            <w:tcBorders>
              <w:bottom w:val="single" w:sz="8" w:color="58585A"/>
            </w:tcBorders>
            <w:shd w:val="clear" w:color="auto" w:fill="EBEBEB"/>
          </w:tcPr>
          <w:p>
            <w:pPr>
              <w:jc w:val="center"/>
              <w:ind w:right="16"/>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58585A"/>
            </w:tcBorders>
            <w:gridSpan w:val="2"/>
            <w:shd w:val="clear" w:color="auto" w:fill="EBEBEB"/>
          </w:tcPr>
          <w:p>
            <w:pPr>
              <w:jc w:val="center"/>
              <w:ind w:right="8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58585A"/>
            </w:tcBorders>
            <w:shd w:val="clear" w:color="auto" w:fill="EBEBEB"/>
          </w:tcPr>
          <w:p>
            <w:pPr>
              <w:jc w:val="right"/>
              <w:ind w:right="161"/>
              <w:spacing w:after="0" w:line="156" w:lineRule="exact"/>
              <w:rPr>
                <w:sz w:val="20"/>
                <w:szCs w:val="20"/>
                <w:color w:val="auto"/>
              </w:rPr>
            </w:pPr>
            <w:r>
              <w:rPr>
                <w:rFonts w:ascii="Arial" w:cs="Arial" w:eastAsia="Arial" w:hAnsi="Arial"/>
                <w:sz w:val="12"/>
                <w:szCs w:val="12"/>
                <w:color w:val="auto"/>
              </w:rPr>
              <w:t>339,796</w:t>
            </w:r>
            <w:r>
              <w:rPr>
                <w:rFonts w:ascii="Arial" w:cs="Arial" w:eastAsia="Arial" w:hAnsi="Arial"/>
                <w:sz w:val="18"/>
                <w:szCs w:val="18"/>
                <w:color w:val="auto"/>
                <w:vertAlign w:val="superscript"/>
              </w:rPr>
              <w:t>17</w:t>
            </w:r>
          </w:p>
        </w:tc>
        <w:tc>
          <w:tcPr>
            <w:tcW w:w="1300" w:type="dxa"/>
            <w:vAlign w:val="bottom"/>
            <w:tcBorders>
              <w:bottom w:val="single" w:sz="8" w:color="58585A"/>
            </w:tcBorders>
            <w:shd w:val="clear" w:color="auto" w:fill="EBEBEB"/>
          </w:tcPr>
          <w:p>
            <w:pPr>
              <w:jc w:val="right"/>
              <w:ind w:right="501"/>
              <w:spacing w:after="0"/>
              <w:rPr>
                <w:sz w:val="20"/>
                <w:szCs w:val="20"/>
                <w:color w:val="auto"/>
              </w:rPr>
            </w:pPr>
            <w:r>
              <w:rPr>
                <w:rFonts w:ascii="Arial" w:cs="Arial" w:eastAsia="Arial" w:hAnsi="Arial"/>
                <w:sz w:val="11"/>
                <w:szCs w:val="11"/>
                <w:color w:val="auto"/>
              </w:rPr>
              <w:t>26</w:t>
            </w:r>
          </w:p>
        </w:tc>
        <w:tc>
          <w:tcPr>
            <w:tcW w:w="540" w:type="dxa"/>
            <w:vAlign w:val="bottom"/>
            <w:shd w:val="clear" w:color="auto" w:fill="EBEBEB"/>
          </w:tcPr>
          <w:p>
            <w:pPr>
              <w:spacing w:after="0"/>
              <w:rPr>
                <w:sz w:val="13"/>
                <w:szCs w:val="13"/>
                <w:color w:val="auto"/>
              </w:rPr>
            </w:pPr>
          </w:p>
        </w:tc>
      </w:tr>
      <w:tr>
        <w:trPr>
          <w:trHeight w:val="155"/>
        </w:trPr>
        <w:tc>
          <w:tcPr>
            <w:tcW w:w="540" w:type="dxa"/>
            <w:vAlign w:val="bottom"/>
            <w:tcBorders>
              <w:bottom w:val="single" w:sz="8" w:color="EBEBEB"/>
            </w:tcBorders>
          </w:tcPr>
          <w:p>
            <w:pPr>
              <w:spacing w:after="0"/>
              <w:rPr>
                <w:sz w:val="13"/>
                <w:szCs w:val="13"/>
                <w:color w:val="auto"/>
              </w:rPr>
            </w:pPr>
          </w:p>
        </w:tc>
        <w:tc>
          <w:tcPr>
            <w:tcW w:w="4540" w:type="dxa"/>
            <w:vAlign w:val="bottom"/>
            <w:tcBorders>
              <w:bottom w:val="single" w:sz="8" w:color="58585A"/>
            </w:tcBorders>
          </w:tcPr>
          <w:p>
            <w:pPr>
              <w:ind w:left="60"/>
              <w:spacing w:after="0"/>
              <w:rPr>
                <w:sz w:val="20"/>
                <w:szCs w:val="20"/>
                <w:color w:val="auto"/>
              </w:rPr>
            </w:pPr>
            <w:r>
              <w:rPr>
                <w:rFonts w:ascii="Arial" w:cs="Arial" w:eastAsia="Arial" w:hAnsi="Arial"/>
                <w:sz w:val="13"/>
                <w:szCs w:val="13"/>
                <w:b w:val="1"/>
                <w:bCs w:val="1"/>
                <w:color w:val="C44E5E"/>
              </w:rPr>
              <w:t>Christine A. Poon</w:t>
            </w:r>
          </w:p>
        </w:tc>
        <w:tc>
          <w:tcPr>
            <w:tcW w:w="220" w:type="dxa"/>
            <w:vAlign w:val="bottom"/>
            <w:tcBorders>
              <w:bottom w:val="single" w:sz="8" w:color="58585A"/>
            </w:tcBorders>
          </w:tcPr>
          <w:p>
            <w:pPr>
              <w:spacing w:after="0"/>
              <w:rPr>
                <w:sz w:val="13"/>
                <w:szCs w:val="13"/>
                <w:color w:val="auto"/>
              </w:rPr>
            </w:pPr>
          </w:p>
        </w:tc>
        <w:tc>
          <w:tcPr>
            <w:tcW w:w="1180" w:type="dxa"/>
            <w:vAlign w:val="bottom"/>
            <w:tcBorders>
              <w:bottom w:val="single" w:sz="8" w:color="58585A"/>
            </w:tcBorders>
          </w:tcPr>
          <w:p>
            <w:pPr>
              <w:jc w:val="center"/>
              <w:ind w:right="16"/>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58585A"/>
            </w:tcBorders>
            <w:gridSpan w:val="2"/>
          </w:tcPr>
          <w:p>
            <w:pPr>
              <w:jc w:val="center"/>
              <w:ind w:right="8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58585A"/>
            </w:tcBorders>
          </w:tcPr>
          <w:p>
            <w:pPr>
              <w:jc w:val="right"/>
              <w:ind w:right="161"/>
              <w:spacing w:after="0" w:line="156" w:lineRule="exact"/>
              <w:rPr>
                <w:sz w:val="20"/>
                <w:szCs w:val="20"/>
                <w:color w:val="auto"/>
              </w:rPr>
            </w:pPr>
            <w:r>
              <w:rPr>
                <w:rFonts w:ascii="Arial" w:cs="Arial" w:eastAsia="Arial" w:hAnsi="Arial"/>
                <w:sz w:val="12"/>
                <w:szCs w:val="12"/>
                <w:color w:val="auto"/>
              </w:rPr>
              <w:t>88,848</w:t>
            </w:r>
            <w:r>
              <w:rPr>
                <w:rFonts w:ascii="Arial" w:cs="Arial" w:eastAsia="Arial" w:hAnsi="Arial"/>
                <w:sz w:val="18"/>
                <w:szCs w:val="18"/>
                <w:color w:val="auto"/>
                <w:vertAlign w:val="superscript"/>
              </w:rPr>
              <w:t>18</w:t>
            </w:r>
          </w:p>
        </w:tc>
        <w:tc>
          <w:tcPr>
            <w:tcW w:w="1300" w:type="dxa"/>
            <w:vAlign w:val="bottom"/>
            <w:tcBorders>
              <w:bottom w:val="single" w:sz="8" w:color="58585A"/>
            </w:tcBorders>
          </w:tcPr>
          <w:p>
            <w:pPr>
              <w:jc w:val="right"/>
              <w:ind w:right="501"/>
              <w:spacing w:after="0"/>
              <w:rPr>
                <w:sz w:val="20"/>
                <w:szCs w:val="20"/>
                <w:color w:val="auto"/>
              </w:rPr>
            </w:pPr>
            <w:r>
              <w:rPr>
                <w:rFonts w:ascii="Arial" w:cs="Arial" w:eastAsia="Arial" w:hAnsi="Arial"/>
                <w:sz w:val="11"/>
                <w:szCs w:val="11"/>
                <w:color w:val="auto"/>
              </w:rPr>
              <w:t>26</w:t>
            </w:r>
          </w:p>
        </w:tc>
        <w:tc>
          <w:tcPr>
            <w:tcW w:w="540" w:type="dxa"/>
            <w:vAlign w:val="bottom"/>
            <w:tcBorders>
              <w:bottom w:val="single" w:sz="8" w:color="EBEBEB"/>
            </w:tcBorders>
          </w:tcPr>
          <w:p>
            <w:pPr>
              <w:spacing w:after="0"/>
              <w:rPr>
                <w:sz w:val="13"/>
                <w:szCs w:val="13"/>
                <w:color w:val="auto"/>
              </w:rPr>
            </w:pPr>
          </w:p>
        </w:tc>
      </w:tr>
      <w:tr>
        <w:trPr>
          <w:trHeight w:val="156"/>
        </w:trPr>
        <w:tc>
          <w:tcPr>
            <w:tcW w:w="540" w:type="dxa"/>
            <w:vAlign w:val="bottom"/>
            <w:shd w:val="clear" w:color="auto" w:fill="EBEBEB"/>
          </w:tcPr>
          <w:p>
            <w:pPr>
              <w:spacing w:after="0"/>
              <w:rPr>
                <w:sz w:val="13"/>
                <w:szCs w:val="13"/>
                <w:color w:val="auto"/>
              </w:rPr>
            </w:pPr>
          </w:p>
        </w:tc>
        <w:tc>
          <w:tcPr>
            <w:tcW w:w="4540" w:type="dxa"/>
            <w:vAlign w:val="bottom"/>
            <w:tcBorders>
              <w:bottom w:val="single" w:sz="8" w:color="58585A"/>
            </w:tcBorders>
            <w:shd w:val="clear" w:color="auto" w:fill="EBEBEB"/>
          </w:tcPr>
          <w:p>
            <w:pPr>
              <w:ind w:left="60"/>
              <w:spacing w:after="0"/>
              <w:rPr>
                <w:sz w:val="20"/>
                <w:szCs w:val="20"/>
                <w:color w:val="auto"/>
              </w:rPr>
            </w:pPr>
            <w:r>
              <w:rPr>
                <w:rFonts w:ascii="Arial" w:cs="Arial" w:eastAsia="Arial" w:hAnsi="Arial"/>
                <w:sz w:val="13"/>
                <w:szCs w:val="13"/>
                <w:b w:val="1"/>
                <w:bCs w:val="1"/>
                <w:color w:val="C44E5E"/>
              </w:rPr>
              <w:t>Arthur F. Ryan</w:t>
            </w:r>
          </w:p>
        </w:tc>
        <w:tc>
          <w:tcPr>
            <w:tcW w:w="220" w:type="dxa"/>
            <w:vAlign w:val="bottom"/>
            <w:tcBorders>
              <w:bottom w:val="single" w:sz="8" w:color="58585A"/>
            </w:tcBorders>
            <w:shd w:val="clear" w:color="auto" w:fill="EBEBEB"/>
          </w:tcPr>
          <w:p>
            <w:pPr>
              <w:spacing w:after="0"/>
              <w:rPr>
                <w:sz w:val="13"/>
                <w:szCs w:val="13"/>
                <w:color w:val="auto"/>
              </w:rPr>
            </w:pPr>
          </w:p>
        </w:tc>
        <w:tc>
          <w:tcPr>
            <w:tcW w:w="1180" w:type="dxa"/>
            <w:vAlign w:val="bottom"/>
            <w:tcBorders>
              <w:bottom w:val="single" w:sz="8" w:color="58585A"/>
            </w:tcBorders>
            <w:shd w:val="clear" w:color="auto" w:fill="EBEBEB"/>
          </w:tcPr>
          <w:p>
            <w:pPr>
              <w:jc w:val="center"/>
              <w:ind w:right="16"/>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58585A"/>
            </w:tcBorders>
            <w:gridSpan w:val="2"/>
            <w:shd w:val="clear" w:color="auto" w:fill="EBEBEB"/>
          </w:tcPr>
          <w:p>
            <w:pPr>
              <w:jc w:val="center"/>
              <w:ind w:right="8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58585A"/>
            </w:tcBorders>
            <w:shd w:val="clear" w:color="auto" w:fill="EBEBEB"/>
          </w:tcPr>
          <w:p>
            <w:pPr>
              <w:jc w:val="right"/>
              <w:ind w:right="161"/>
              <w:spacing w:after="0" w:line="156" w:lineRule="exact"/>
              <w:rPr>
                <w:sz w:val="20"/>
                <w:szCs w:val="20"/>
                <w:color w:val="auto"/>
              </w:rPr>
            </w:pPr>
            <w:r>
              <w:rPr>
                <w:rFonts w:ascii="Arial" w:cs="Arial" w:eastAsia="Arial" w:hAnsi="Arial"/>
                <w:sz w:val="12"/>
                <w:szCs w:val="12"/>
                <w:color w:val="auto"/>
              </w:rPr>
              <w:t>31,954</w:t>
            </w:r>
            <w:r>
              <w:rPr>
                <w:rFonts w:ascii="Arial" w:cs="Arial" w:eastAsia="Arial" w:hAnsi="Arial"/>
                <w:sz w:val="18"/>
                <w:szCs w:val="18"/>
                <w:color w:val="auto"/>
                <w:vertAlign w:val="superscript"/>
              </w:rPr>
              <w:t>19</w:t>
            </w:r>
          </w:p>
        </w:tc>
        <w:tc>
          <w:tcPr>
            <w:tcW w:w="1300" w:type="dxa"/>
            <w:vAlign w:val="bottom"/>
            <w:tcBorders>
              <w:bottom w:val="single" w:sz="8" w:color="58585A"/>
            </w:tcBorders>
            <w:shd w:val="clear" w:color="auto" w:fill="EBEBEB"/>
          </w:tcPr>
          <w:p>
            <w:pPr>
              <w:jc w:val="right"/>
              <w:ind w:right="501"/>
              <w:spacing w:after="0"/>
              <w:rPr>
                <w:sz w:val="20"/>
                <w:szCs w:val="20"/>
                <w:color w:val="auto"/>
              </w:rPr>
            </w:pPr>
            <w:r>
              <w:rPr>
                <w:rFonts w:ascii="Arial" w:cs="Arial" w:eastAsia="Arial" w:hAnsi="Arial"/>
                <w:sz w:val="11"/>
                <w:szCs w:val="11"/>
                <w:color w:val="auto"/>
              </w:rPr>
              <w:t>26</w:t>
            </w:r>
          </w:p>
        </w:tc>
        <w:tc>
          <w:tcPr>
            <w:tcW w:w="540" w:type="dxa"/>
            <w:vAlign w:val="bottom"/>
            <w:shd w:val="clear" w:color="auto" w:fill="EBEBEB"/>
          </w:tcPr>
          <w:p>
            <w:pPr>
              <w:spacing w:after="0"/>
              <w:rPr>
                <w:sz w:val="13"/>
                <w:szCs w:val="13"/>
                <w:color w:val="auto"/>
              </w:rPr>
            </w:pPr>
          </w:p>
        </w:tc>
      </w:tr>
      <w:tr>
        <w:trPr>
          <w:trHeight w:val="156"/>
        </w:trPr>
        <w:tc>
          <w:tcPr>
            <w:tcW w:w="540" w:type="dxa"/>
            <w:vAlign w:val="bottom"/>
            <w:tcBorders>
              <w:bottom w:val="single" w:sz="8" w:color="EBEBEB"/>
            </w:tcBorders>
          </w:tcPr>
          <w:p>
            <w:pPr>
              <w:spacing w:after="0"/>
              <w:rPr>
                <w:sz w:val="13"/>
                <w:szCs w:val="13"/>
                <w:color w:val="auto"/>
              </w:rPr>
            </w:pPr>
          </w:p>
        </w:tc>
        <w:tc>
          <w:tcPr>
            <w:tcW w:w="4540" w:type="dxa"/>
            <w:vAlign w:val="bottom"/>
            <w:tcBorders>
              <w:bottom w:val="single" w:sz="8" w:color="58585A"/>
            </w:tcBorders>
          </w:tcPr>
          <w:p>
            <w:pPr>
              <w:ind w:left="60"/>
              <w:spacing w:after="0"/>
              <w:rPr>
                <w:sz w:val="20"/>
                <w:szCs w:val="20"/>
                <w:color w:val="auto"/>
              </w:rPr>
            </w:pPr>
            <w:r>
              <w:rPr>
                <w:rFonts w:ascii="Arial" w:cs="Arial" w:eastAsia="Arial" w:hAnsi="Arial"/>
                <w:sz w:val="13"/>
                <w:szCs w:val="13"/>
                <w:b w:val="1"/>
                <w:bCs w:val="1"/>
                <w:color w:val="C44E5E"/>
              </w:rPr>
              <w:t>George L. Sing</w:t>
            </w:r>
          </w:p>
        </w:tc>
        <w:tc>
          <w:tcPr>
            <w:tcW w:w="220" w:type="dxa"/>
            <w:vAlign w:val="bottom"/>
            <w:tcBorders>
              <w:bottom w:val="single" w:sz="8" w:color="58585A"/>
            </w:tcBorders>
          </w:tcPr>
          <w:p>
            <w:pPr>
              <w:spacing w:after="0"/>
              <w:rPr>
                <w:sz w:val="13"/>
                <w:szCs w:val="13"/>
                <w:color w:val="auto"/>
              </w:rPr>
            </w:pPr>
          </w:p>
        </w:tc>
        <w:tc>
          <w:tcPr>
            <w:tcW w:w="1180" w:type="dxa"/>
            <w:vAlign w:val="bottom"/>
            <w:tcBorders>
              <w:bottom w:val="single" w:sz="8" w:color="58585A"/>
            </w:tcBorders>
          </w:tcPr>
          <w:p>
            <w:pPr>
              <w:jc w:val="center"/>
              <w:ind w:right="16"/>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58585A"/>
            </w:tcBorders>
            <w:gridSpan w:val="2"/>
          </w:tcPr>
          <w:p>
            <w:pPr>
              <w:jc w:val="center"/>
              <w:ind w:right="8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58585A"/>
            </w:tcBorders>
          </w:tcPr>
          <w:p>
            <w:pPr>
              <w:jc w:val="right"/>
              <w:ind w:right="161"/>
              <w:spacing w:after="0" w:line="156" w:lineRule="exact"/>
              <w:rPr>
                <w:sz w:val="20"/>
                <w:szCs w:val="20"/>
                <w:color w:val="auto"/>
              </w:rPr>
            </w:pPr>
            <w:r>
              <w:rPr>
                <w:rFonts w:ascii="Arial" w:cs="Arial" w:eastAsia="Arial" w:hAnsi="Arial"/>
                <w:sz w:val="12"/>
                <w:szCs w:val="12"/>
                <w:color w:val="auto"/>
              </w:rPr>
              <w:t>104,800</w:t>
            </w:r>
            <w:r>
              <w:rPr>
                <w:rFonts w:ascii="Arial" w:cs="Arial" w:eastAsia="Arial" w:hAnsi="Arial"/>
                <w:sz w:val="18"/>
                <w:szCs w:val="18"/>
                <w:color w:val="auto"/>
                <w:vertAlign w:val="superscript"/>
              </w:rPr>
              <w:t>20</w:t>
            </w:r>
          </w:p>
        </w:tc>
        <w:tc>
          <w:tcPr>
            <w:tcW w:w="1300" w:type="dxa"/>
            <w:vAlign w:val="bottom"/>
            <w:tcBorders>
              <w:bottom w:val="single" w:sz="8" w:color="58585A"/>
            </w:tcBorders>
          </w:tcPr>
          <w:p>
            <w:pPr>
              <w:jc w:val="right"/>
              <w:ind w:right="501"/>
              <w:spacing w:after="0"/>
              <w:rPr>
                <w:sz w:val="20"/>
                <w:szCs w:val="20"/>
                <w:color w:val="auto"/>
              </w:rPr>
            </w:pPr>
            <w:r>
              <w:rPr>
                <w:rFonts w:ascii="Arial" w:cs="Arial" w:eastAsia="Arial" w:hAnsi="Arial"/>
                <w:sz w:val="11"/>
                <w:szCs w:val="11"/>
                <w:color w:val="auto"/>
              </w:rPr>
              <w:t>26</w:t>
            </w:r>
          </w:p>
        </w:tc>
        <w:tc>
          <w:tcPr>
            <w:tcW w:w="540" w:type="dxa"/>
            <w:vAlign w:val="bottom"/>
            <w:tcBorders>
              <w:bottom w:val="single" w:sz="8" w:color="EBEBEB"/>
            </w:tcBorders>
          </w:tcPr>
          <w:p>
            <w:pPr>
              <w:spacing w:after="0"/>
              <w:rPr>
                <w:sz w:val="13"/>
                <w:szCs w:val="13"/>
                <w:color w:val="auto"/>
              </w:rPr>
            </w:pPr>
          </w:p>
        </w:tc>
      </w:tr>
      <w:tr>
        <w:trPr>
          <w:trHeight w:val="155"/>
        </w:trPr>
        <w:tc>
          <w:tcPr>
            <w:tcW w:w="540" w:type="dxa"/>
            <w:vAlign w:val="bottom"/>
            <w:shd w:val="clear" w:color="auto" w:fill="EBEBEB"/>
          </w:tcPr>
          <w:p>
            <w:pPr>
              <w:spacing w:after="0"/>
              <w:rPr>
                <w:sz w:val="13"/>
                <w:szCs w:val="13"/>
                <w:color w:val="auto"/>
              </w:rPr>
            </w:pPr>
          </w:p>
        </w:tc>
        <w:tc>
          <w:tcPr>
            <w:tcW w:w="4540" w:type="dxa"/>
            <w:vAlign w:val="bottom"/>
            <w:tcBorders>
              <w:bottom w:val="single" w:sz="8" w:color="58585A"/>
            </w:tcBorders>
            <w:shd w:val="clear" w:color="auto" w:fill="EBEBEB"/>
          </w:tcPr>
          <w:p>
            <w:pPr>
              <w:ind w:left="60"/>
              <w:spacing w:after="0"/>
              <w:rPr>
                <w:sz w:val="20"/>
                <w:szCs w:val="20"/>
                <w:color w:val="auto"/>
              </w:rPr>
            </w:pPr>
            <w:r>
              <w:rPr>
                <w:rFonts w:ascii="Arial" w:cs="Arial" w:eastAsia="Arial" w:hAnsi="Arial"/>
                <w:sz w:val="13"/>
                <w:szCs w:val="13"/>
                <w:b w:val="1"/>
                <w:bCs w:val="1"/>
                <w:color w:val="C44E5E"/>
              </w:rPr>
              <w:t>Marc Tessier-Lavigne, Ph.D.</w:t>
            </w:r>
          </w:p>
        </w:tc>
        <w:tc>
          <w:tcPr>
            <w:tcW w:w="220" w:type="dxa"/>
            <w:vAlign w:val="bottom"/>
            <w:tcBorders>
              <w:bottom w:val="single" w:sz="8" w:color="58585A"/>
            </w:tcBorders>
            <w:shd w:val="clear" w:color="auto" w:fill="EBEBEB"/>
          </w:tcPr>
          <w:p>
            <w:pPr>
              <w:spacing w:after="0"/>
              <w:rPr>
                <w:sz w:val="13"/>
                <w:szCs w:val="13"/>
                <w:color w:val="auto"/>
              </w:rPr>
            </w:pPr>
          </w:p>
        </w:tc>
        <w:tc>
          <w:tcPr>
            <w:tcW w:w="1180" w:type="dxa"/>
            <w:vAlign w:val="bottom"/>
            <w:tcBorders>
              <w:bottom w:val="single" w:sz="8" w:color="58585A"/>
            </w:tcBorders>
            <w:shd w:val="clear" w:color="auto" w:fill="EBEBEB"/>
          </w:tcPr>
          <w:p>
            <w:pPr>
              <w:jc w:val="center"/>
              <w:ind w:right="16"/>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58585A"/>
            </w:tcBorders>
            <w:gridSpan w:val="2"/>
            <w:shd w:val="clear" w:color="auto" w:fill="EBEBEB"/>
          </w:tcPr>
          <w:p>
            <w:pPr>
              <w:jc w:val="center"/>
              <w:ind w:right="8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58585A"/>
            </w:tcBorders>
            <w:shd w:val="clear" w:color="auto" w:fill="EBEBEB"/>
          </w:tcPr>
          <w:p>
            <w:pPr>
              <w:jc w:val="right"/>
              <w:ind w:right="161"/>
              <w:spacing w:after="0" w:line="156" w:lineRule="exact"/>
              <w:rPr>
                <w:sz w:val="20"/>
                <w:szCs w:val="20"/>
                <w:color w:val="auto"/>
              </w:rPr>
            </w:pPr>
            <w:r>
              <w:rPr>
                <w:rFonts w:ascii="Arial" w:cs="Arial" w:eastAsia="Arial" w:hAnsi="Arial"/>
                <w:sz w:val="12"/>
                <w:szCs w:val="12"/>
                <w:color w:val="auto"/>
              </w:rPr>
              <w:t>59,715</w:t>
            </w:r>
            <w:r>
              <w:rPr>
                <w:rFonts w:ascii="Arial" w:cs="Arial" w:eastAsia="Arial" w:hAnsi="Arial"/>
                <w:sz w:val="18"/>
                <w:szCs w:val="18"/>
                <w:color w:val="auto"/>
                <w:vertAlign w:val="superscript"/>
              </w:rPr>
              <w:t>21</w:t>
            </w:r>
          </w:p>
        </w:tc>
        <w:tc>
          <w:tcPr>
            <w:tcW w:w="1300" w:type="dxa"/>
            <w:vAlign w:val="bottom"/>
            <w:tcBorders>
              <w:bottom w:val="single" w:sz="8" w:color="58585A"/>
            </w:tcBorders>
            <w:shd w:val="clear" w:color="auto" w:fill="EBEBEB"/>
          </w:tcPr>
          <w:p>
            <w:pPr>
              <w:jc w:val="right"/>
              <w:ind w:right="501"/>
              <w:spacing w:after="0"/>
              <w:rPr>
                <w:sz w:val="20"/>
                <w:szCs w:val="20"/>
                <w:color w:val="auto"/>
              </w:rPr>
            </w:pPr>
            <w:r>
              <w:rPr>
                <w:rFonts w:ascii="Arial" w:cs="Arial" w:eastAsia="Arial" w:hAnsi="Arial"/>
                <w:sz w:val="11"/>
                <w:szCs w:val="11"/>
                <w:color w:val="auto"/>
              </w:rPr>
              <w:t>26</w:t>
            </w:r>
          </w:p>
        </w:tc>
        <w:tc>
          <w:tcPr>
            <w:tcW w:w="540" w:type="dxa"/>
            <w:vAlign w:val="bottom"/>
            <w:shd w:val="clear" w:color="auto" w:fill="EBEBEB"/>
          </w:tcPr>
          <w:p>
            <w:pPr>
              <w:spacing w:after="0"/>
              <w:rPr>
                <w:sz w:val="13"/>
                <w:szCs w:val="13"/>
                <w:color w:val="auto"/>
              </w:rPr>
            </w:pPr>
          </w:p>
        </w:tc>
      </w:tr>
      <w:tr>
        <w:trPr>
          <w:trHeight w:val="156"/>
        </w:trPr>
        <w:tc>
          <w:tcPr>
            <w:tcW w:w="540" w:type="dxa"/>
            <w:vAlign w:val="bottom"/>
            <w:tcBorders>
              <w:bottom w:val="single" w:sz="8" w:color="EBEBEB"/>
            </w:tcBorders>
          </w:tcPr>
          <w:p>
            <w:pPr>
              <w:spacing w:after="0"/>
              <w:rPr>
                <w:sz w:val="13"/>
                <w:szCs w:val="13"/>
                <w:color w:val="auto"/>
              </w:rPr>
            </w:pPr>
          </w:p>
        </w:tc>
        <w:tc>
          <w:tcPr>
            <w:tcW w:w="4540" w:type="dxa"/>
            <w:vAlign w:val="bottom"/>
            <w:tcBorders>
              <w:bottom w:val="single" w:sz="8" w:color="58585A"/>
            </w:tcBorders>
          </w:tcPr>
          <w:p>
            <w:pPr>
              <w:ind w:left="60"/>
              <w:spacing w:after="0"/>
              <w:rPr>
                <w:sz w:val="20"/>
                <w:szCs w:val="20"/>
                <w:color w:val="auto"/>
              </w:rPr>
            </w:pPr>
            <w:r>
              <w:rPr>
                <w:rFonts w:ascii="Arial" w:cs="Arial" w:eastAsia="Arial" w:hAnsi="Arial"/>
                <w:sz w:val="13"/>
                <w:szCs w:val="13"/>
                <w:b w:val="1"/>
                <w:bCs w:val="1"/>
                <w:color w:val="C44E5E"/>
              </w:rPr>
              <w:t>Robert E. Landry</w:t>
            </w:r>
          </w:p>
        </w:tc>
        <w:tc>
          <w:tcPr>
            <w:tcW w:w="220" w:type="dxa"/>
            <w:vAlign w:val="bottom"/>
            <w:tcBorders>
              <w:bottom w:val="single" w:sz="8" w:color="58585A"/>
            </w:tcBorders>
          </w:tcPr>
          <w:p>
            <w:pPr>
              <w:spacing w:after="0"/>
              <w:rPr>
                <w:sz w:val="13"/>
                <w:szCs w:val="13"/>
                <w:color w:val="auto"/>
              </w:rPr>
            </w:pPr>
          </w:p>
        </w:tc>
        <w:tc>
          <w:tcPr>
            <w:tcW w:w="1180" w:type="dxa"/>
            <w:vAlign w:val="bottom"/>
            <w:tcBorders>
              <w:bottom w:val="single" w:sz="8" w:color="58585A"/>
            </w:tcBorders>
          </w:tcPr>
          <w:p>
            <w:pPr>
              <w:jc w:val="center"/>
              <w:ind w:right="16"/>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58585A"/>
            </w:tcBorders>
            <w:gridSpan w:val="2"/>
          </w:tcPr>
          <w:p>
            <w:pPr>
              <w:jc w:val="center"/>
              <w:ind w:right="8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58585A"/>
            </w:tcBorders>
          </w:tcPr>
          <w:p>
            <w:pPr>
              <w:jc w:val="right"/>
              <w:ind w:right="161"/>
              <w:spacing w:after="0" w:line="156" w:lineRule="exact"/>
              <w:rPr>
                <w:sz w:val="20"/>
                <w:szCs w:val="20"/>
                <w:color w:val="auto"/>
              </w:rPr>
            </w:pPr>
            <w:r>
              <w:rPr>
                <w:rFonts w:ascii="Arial" w:cs="Arial" w:eastAsia="Arial" w:hAnsi="Arial"/>
                <w:sz w:val="12"/>
                <w:szCs w:val="12"/>
                <w:color w:val="auto"/>
              </w:rPr>
              <w:t>114,298</w:t>
            </w:r>
            <w:r>
              <w:rPr>
                <w:rFonts w:ascii="Arial" w:cs="Arial" w:eastAsia="Arial" w:hAnsi="Arial"/>
                <w:sz w:val="18"/>
                <w:szCs w:val="18"/>
                <w:color w:val="auto"/>
                <w:vertAlign w:val="superscript"/>
              </w:rPr>
              <w:t>22</w:t>
            </w:r>
          </w:p>
        </w:tc>
        <w:tc>
          <w:tcPr>
            <w:tcW w:w="1300" w:type="dxa"/>
            <w:vAlign w:val="bottom"/>
            <w:tcBorders>
              <w:bottom w:val="single" w:sz="8" w:color="58585A"/>
            </w:tcBorders>
          </w:tcPr>
          <w:p>
            <w:pPr>
              <w:jc w:val="right"/>
              <w:ind w:right="501"/>
              <w:spacing w:after="0"/>
              <w:rPr>
                <w:sz w:val="20"/>
                <w:szCs w:val="20"/>
                <w:color w:val="auto"/>
              </w:rPr>
            </w:pPr>
            <w:r>
              <w:rPr>
                <w:rFonts w:ascii="Arial" w:cs="Arial" w:eastAsia="Arial" w:hAnsi="Arial"/>
                <w:sz w:val="11"/>
                <w:szCs w:val="11"/>
                <w:color w:val="auto"/>
              </w:rPr>
              <w:t>26</w:t>
            </w:r>
          </w:p>
        </w:tc>
        <w:tc>
          <w:tcPr>
            <w:tcW w:w="540" w:type="dxa"/>
            <w:vAlign w:val="bottom"/>
            <w:tcBorders>
              <w:bottom w:val="single" w:sz="8" w:color="EBEBEB"/>
            </w:tcBorders>
          </w:tcPr>
          <w:p>
            <w:pPr>
              <w:spacing w:after="0"/>
              <w:rPr>
                <w:sz w:val="13"/>
                <w:szCs w:val="13"/>
                <w:color w:val="auto"/>
              </w:rPr>
            </w:pPr>
          </w:p>
        </w:tc>
      </w:tr>
      <w:tr>
        <w:trPr>
          <w:trHeight w:val="155"/>
        </w:trPr>
        <w:tc>
          <w:tcPr>
            <w:tcW w:w="540" w:type="dxa"/>
            <w:vAlign w:val="bottom"/>
            <w:shd w:val="clear" w:color="auto" w:fill="EBEBEB"/>
          </w:tcPr>
          <w:p>
            <w:pPr>
              <w:spacing w:after="0"/>
              <w:rPr>
                <w:sz w:val="13"/>
                <w:szCs w:val="13"/>
                <w:color w:val="auto"/>
              </w:rPr>
            </w:pPr>
          </w:p>
        </w:tc>
        <w:tc>
          <w:tcPr>
            <w:tcW w:w="4540" w:type="dxa"/>
            <w:vAlign w:val="bottom"/>
            <w:tcBorders>
              <w:bottom w:val="single" w:sz="8" w:color="58585A"/>
            </w:tcBorders>
            <w:shd w:val="clear" w:color="auto" w:fill="EBEBEB"/>
          </w:tcPr>
          <w:p>
            <w:pPr>
              <w:ind w:left="60"/>
              <w:spacing w:after="0"/>
              <w:rPr>
                <w:sz w:val="20"/>
                <w:szCs w:val="20"/>
                <w:color w:val="auto"/>
              </w:rPr>
            </w:pPr>
            <w:r>
              <w:rPr>
                <w:rFonts w:ascii="Arial" w:cs="Arial" w:eastAsia="Arial" w:hAnsi="Arial"/>
                <w:sz w:val="13"/>
                <w:szCs w:val="13"/>
                <w:b w:val="1"/>
                <w:bCs w:val="1"/>
                <w:color w:val="C44E5E"/>
              </w:rPr>
              <w:t>Daniel P. Van Plew</w:t>
            </w:r>
          </w:p>
        </w:tc>
        <w:tc>
          <w:tcPr>
            <w:tcW w:w="220" w:type="dxa"/>
            <w:vAlign w:val="bottom"/>
            <w:tcBorders>
              <w:bottom w:val="single" w:sz="8" w:color="58585A"/>
            </w:tcBorders>
            <w:shd w:val="clear" w:color="auto" w:fill="EBEBEB"/>
          </w:tcPr>
          <w:p>
            <w:pPr>
              <w:spacing w:after="0"/>
              <w:rPr>
                <w:sz w:val="13"/>
                <w:szCs w:val="13"/>
                <w:color w:val="auto"/>
              </w:rPr>
            </w:pPr>
          </w:p>
        </w:tc>
        <w:tc>
          <w:tcPr>
            <w:tcW w:w="1180" w:type="dxa"/>
            <w:vAlign w:val="bottom"/>
            <w:tcBorders>
              <w:bottom w:val="single" w:sz="8" w:color="58585A"/>
            </w:tcBorders>
            <w:shd w:val="clear" w:color="auto" w:fill="EBEBEB"/>
          </w:tcPr>
          <w:p>
            <w:pPr>
              <w:jc w:val="center"/>
              <w:ind w:right="16"/>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58585A"/>
            </w:tcBorders>
            <w:gridSpan w:val="2"/>
            <w:shd w:val="clear" w:color="auto" w:fill="EBEBEB"/>
          </w:tcPr>
          <w:p>
            <w:pPr>
              <w:jc w:val="center"/>
              <w:ind w:right="8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58585A"/>
            </w:tcBorders>
            <w:shd w:val="clear" w:color="auto" w:fill="EBEBEB"/>
          </w:tcPr>
          <w:p>
            <w:pPr>
              <w:jc w:val="right"/>
              <w:ind w:right="161"/>
              <w:spacing w:after="0" w:line="156" w:lineRule="exact"/>
              <w:rPr>
                <w:sz w:val="20"/>
                <w:szCs w:val="20"/>
                <w:color w:val="auto"/>
              </w:rPr>
            </w:pPr>
            <w:r>
              <w:rPr>
                <w:rFonts w:ascii="Arial" w:cs="Arial" w:eastAsia="Arial" w:hAnsi="Arial"/>
                <w:sz w:val="12"/>
                <w:szCs w:val="12"/>
                <w:color w:val="auto"/>
              </w:rPr>
              <w:t>258,710</w:t>
            </w:r>
            <w:r>
              <w:rPr>
                <w:rFonts w:ascii="Arial" w:cs="Arial" w:eastAsia="Arial" w:hAnsi="Arial"/>
                <w:sz w:val="18"/>
                <w:szCs w:val="18"/>
                <w:color w:val="auto"/>
                <w:vertAlign w:val="superscript"/>
              </w:rPr>
              <w:t>23</w:t>
            </w:r>
          </w:p>
        </w:tc>
        <w:tc>
          <w:tcPr>
            <w:tcW w:w="1300" w:type="dxa"/>
            <w:vAlign w:val="bottom"/>
            <w:tcBorders>
              <w:bottom w:val="single" w:sz="8" w:color="58585A"/>
            </w:tcBorders>
            <w:shd w:val="clear" w:color="auto" w:fill="EBEBEB"/>
          </w:tcPr>
          <w:p>
            <w:pPr>
              <w:jc w:val="right"/>
              <w:ind w:right="501"/>
              <w:spacing w:after="0"/>
              <w:rPr>
                <w:sz w:val="20"/>
                <w:szCs w:val="20"/>
                <w:color w:val="auto"/>
              </w:rPr>
            </w:pPr>
            <w:r>
              <w:rPr>
                <w:rFonts w:ascii="Arial" w:cs="Arial" w:eastAsia="Arial" w:hAnsi="Arial"/>
                <w:sz w:val="11"/>
                <w:szCs w:val="11"/>
                <w:color w:val="auto"/>
              </w:rPr>
              <w:t>26</w:t>
            </w:r>
          </w:p>
        </w:tc>
        <w:tc>
          <w:tcPr>
            <w:tcW w:w="540" w:type="dxa"/>
            <w:vAlign w:val="bottom"/>
            <w:shd w:val="clear" w:color="auto" w:fill="EBEBEB"/>
          </w:tcPr>
          <w:p>
            <w:pPr>
              <w:spacing w:after="0"/>
              <w:rPr>
                <w:sz w:val="13"/>
                <w:szCs w:val="13"/>
                <w:color w:val="auto"/>
              </w:rPr>
            </w:pPr>
          </w:p>
        </w:tc>
      </w:tr>
      <w:tr>
        <w:trPr>
          <w:trHeight w:val="163"/>
        </w:trPr>
        <w:tc>
          <w:tcPr>
            <w:tcW w:w="540" w:type="dxa"/>
            <w:vAlign w:val="bottom"/>
            <w:tcBorders>
              <w:bottom w:val="single" w:sz="8" w:color="EBEBEB"/>
            </w:tcBorders>
          </w:tcPr>
          <w:p>
            <w:pPr>
              <w:spacing w:after="0"/>
              <w:rPr>
                <w:sz w:val="14"/>
                <w:szCs w:val="14"/>
                <w:color w:val="auto"/>
              </w:rPr>
            </w:pPr>
          </w:p>
        </w:tc>
        <w:tc>
          <w:tcPr>
            <w:tcW w:w="4540" w:type="dxa"/>
            <w:vAlign w:val="bottom"/>
            <w:tcBorders>
              <w:bottom w:val="single" w:sz="8" w:color="1F5AA8"/>
            </w:tcBorders>
          </w:tcPr>
          <w:p>
            <w:pPr>
              <w:ind w:left="60"/>
              <w:spacing w:after="0"/>
              <w:rPr>
                <w:sz w:val="20"/>
                <w:szCs w:val="20"/>
                <w:color w:val="auto"/>
              </w:rPr>
            </w:pPr>
            <w:r>
              <w:rPr>
                <w:rFonts w:ascii="Arial" w:cs="Arial" w:eastAsia="Arial" w:hAnsi="Arial"/>
                <w:sz w:val="13"/>
                <w:szCs w:val="13"/>
                <w:b w:val="1"/>
                <w:bCs w:val="1"/>
                <w:color w:val="C44E5E"/>
              </w:rPr>
              <w:t>Huda Y. Zoghbi, M.D.</w:t>
            </w:r>
          </w:p>
        </w:tc>
        <w:tc>
          <w:tcPr>
            <w:tcW w:w="220" w:type="dxa"/>
            <w:vAlign w:val="bottom"/>
            <w:tcBorders>
              <w:bottom w:val="single" w:sz="8" w:color="1F5AA8"/>
            </w:tcBorders>
          </w:tcPr>
          <w:p>
            <w:pPr>
              <w:spacing w:after="0"/>
              <w:rPr>
                <w:sz w:val="14"/>
                <w:szCs w:val="14"/>
                <w:color w:val="auto"/>
              </w:rPr>
            </w:pPr>
          </w:p>
        </w:tc>
        <w:tc>
          <w:tcPr>
            <w:tcW w:w="1180" w:type="dxa"/>
            <w:vAlign w:val="bottom"/>
            <w:tcBorders>
              <w:bottom w:val="single" w:sz="8" w:color="1F5AA8"/>
            </w:tcBorders>
          </w:tcPr>
          <w:p>
            <w:pPr>
              <w:jc w:val="center"/>
              <w:ind w:right="16"/>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1F5AA8"/>
            </w:tcBorders>
            <w:gridSpan w:val="2"/>
          </w:tcPr>
          <w:p>
            <w:pPr>
              <w:jc w:val="center"/>
              <w:ind w:right="8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1F5AA8"/>
            </w:tcBorders>
          </w:tcPr>
          <w:p>
            <w:pPr>
              <w:jc w:val="right"/>
              <w:ind w:right="161"/>
              <w:spacing w:after="0" w:line="156" w:lineRule="exact"/>
              <w:rPr>
                <w:sz w:val="20"/>
                <w:szCs w:val="20"/>
                <w:color w:val="auto"/>
              </w:rPr>
            </w:pPr>
            <w:r>
              <w:rPr>
                <w:rFonts w:ascii="Arial" w:cs="Arial" w:eastAsia="Arial" w:hAnsi="Arial"/>
                <w:sz w:val="12"/>
                <w:szCs w:val="12"/>
                <w:color w:val="auto"/>
              </w:rPr>
              <w:t>25,453</w:t>
            </w:r>
            <w:r>
              <w:rPr>
                <w:rFonts w:ascii="Arial" w:cs="Arial" w:eastAsia="Arial" w:hAnsi="Arial"/>
                <w:sz w:val="18"/>
                <w:szCs w:val="18"/>
                <w:color w:val="auto"/>
                <w:vertAlign w:val="superscript"/>
              </w:rPr>
              <w:t>24</w:t>
            </w:r>
          </w:p>
        </w:tc>
        <w:tc>
          <w:tcPr>
            <w:tcW w:w="1300" w:type="dxa"/>
            <w:vAlign w:val="bottom"/>
            <w:tcBorders>
              <w:bottom w:val="single" w:sz="8" w:color="1F5AA8"/>
            </w:tcBorders>
          </w:tcPr>
          <w:p>
            <w:pPr>
              <w:jc w:val="right"/>
              <w:ind w:right="501"/>
              <w:spacing w:after="0"/>
              <w:rPr>
                <w:sz w:val="20"/>
                <w:szCs w:val="20"/>
                <w:color w:val="auto"/>
              </w:rPr>
            </w:pPr>
            <w:r>
              <w:rPr>
                <w:rFonts w:ascii="Arial" w:cs="Arial" w:eastAsia="Arial" w:hAnsi="Arial"/>
                <w:sz w:val="11"/>
                <w:szCs w:val="11"/>
                <w:color w:val="auto"/>
              </w:rPr>
              <w:t>26</w:t>
            </w:r>
          </w:p>
        </w:tc>
        <w:tc>
          <w:tcPr>
            <w:tcW w:w="540" w:type="dxa"/>
            <w:vAlign w:val="bottom"/>
            <w:tcBorders>
              <w:bottom w:val="single" w:sz="8" w:color="EBEBEB"/>
            </w:tcBorders>
          </w:tcPr>
          <w:p>
            <w:pPr>
              <w:spacing w:after="0"/>
              <w:rPr>
                <w:sz w:val="14"/>
                <w:szCs w:val="14"/>
                <w:color w:val="auto"/>
              </w:rPr>
            </w:pPr>
          </w:p>
        </w:tc>
      </w:tr>
      <w:tr>
        <w:trPr>
          <w:trHeight w:val="169"/>
        </w:trPr>
        <w:tc>
          <w:tcPr>
            <w:tcW w:w="540" w:type="dxa"/>
            <w:vAlign w:val="bottom"/>
            <w:tcBorders>
              <w:bottom w:val="single" w:sz="8" w:color="EBEBEB"/>
            </w:tcBorders>
            <w:shd w:val="clear" w:color="auto" w:fill="EBEBEB"/>
          </w:tcPr>
          <w:p>
            <w:pPr>
              <w:spacing w:after="0"/>
              <w:rPr>
                <w:sz w:val="14"/>
                <w:szCs w:val="14"/>
                <w:color w:val="auto"/>
              </w:rPr>
            </w:pPr>
          </w:p>
        </w:tc>
        <w:tc>
          <w:tcPr>
            <w:tcW w:w="4540" w:type="dxa"/>
            <w:vAlign w:val="bottom"/>
            <w:tcBorders>
              <w:bottom w:val="single" w:sz="8" w:color="1F5AA8"/>
            </w:tcBorders>
            <w:shd w:val="clear" w:color="auto" w:fill="EBEBEB"/>
          </w:tcPr>
          <w:p>
            <w:pPr>
              <w:ind w:left="60"/>
              <w:spacing w:after="0"/>
              <w:rPr>
                <w:sz w:val="20"/>
                <w:szCs w:val="20"/>
                <w:color w:val="auto"/>
              </w:rPr>
            </w:pPr>
            <w:r>
              <w:rPr>
                <w:rFonts w:ascii="Arial" w:cs="Arial" w:eastAsia="Arial" w:hAnsi="Arial"/>
                <w:sz w:val="13"/>
                <w:szCs w:val="13"/>
                <w:b w:val="1"/>
                <w:bCs w:val="1"/>
                <w:color w:val="C44E5E"/>
              </w:rPr>
              <w:t>All Directors and Executive Officers as a Group (19 persons)</w:t>
            </w:r>
          </w:p>
        </w:tc>
        <w:tc>
          <w:tcPr>
            <w:tcW w:w="1400" w:type="dxa"/>
            <w:vAlign w:val="bottom"/>
            <w:tcBorders>
              <w:bottom w:val="single" w:sz="8" w:color="1F5AA8"/>
            </w:tcBorders>
            <w:gridSpan w:val="2"/>
            <w:shd w:val="clear" w:color="auto" w:fill="EBEBEB"/>
          </w:tcPr>
          <w:p>
            <w:pPr>
              <w:jc w:val="center"/>
              <w:ind w:left="77"/>
              <w:spacing w:after="0"/>
              <w:rPr>
                <w:sz w:val="20"/>
                <w:szCs w:val="20"/>
                <w:color w:val="auto"/>
              </w:rPr>
            </w:pPr>
            <w:r>
              <w:rPr>
                <w:rFonts w:ascii="Arial" w:cs="Arial" w:eastAsia="Arial" w:hAnsi="Arial"/>
                <w:sz w:val="13"/>
                <w:szCs w:val="13"/>
                <w:b w:val="1"/>
                <w:bCs w:val="1"/>
                <w:color w:val="auto"/>
              </w:rPr>
              <w:t>1,769,315</w:t>
            </w:r>
          </w:p>
        </w:tc>
        <w:tc>
          <w:tcPr>
            <w:tcW w:w="1380" w:type="dxa"/>
            <w:vAlign w:val="bottom"/>
            <w:tcBorders>
              <w:bottom w:val="single" w:sz="8" w:color="1F5AA8"/>
            </w:tcBorders>
            <w:shd w:val="clear" w:color="auto" w:fill="EBEBEB"/>
          </w:tcPr>
          <w:p>
            <w:pPr>
              <w:jc w:val="center"/>
              <w:ind w:left="175"/>
              <w:spacing w:after="0"/>
              <w:rPr>
                <w:sz w:val="20"/>
                <w:szCs w:val="20"/>
                <w:color w:val="auto"/>
              </w:rPr>
            </w:pPr>
            <w:r>
              <w:rPr>
                <w:rFonts w:ascii="Arial" w:cs="Arial" w:eastAsia="Arial" w:hAnsi="Arial"/>
                <w:sz w:val="13"/>
                <w:szCs w:val="13"/>
                <w:b w:val="1"/>
                <w:bCs w:val="1"/>
                <w:color w:val="auto"/>
              </w:rPr>
              <w:t>95.7%</w:t>
            </w:r>
          </w:p>
        </w:tc>
        <w:tc>
          <w:tcPr>
            <w:tcW w:w="320" w:type="dxa"/>
            <w:vAlign w:val="bottom"/>
            <w:tcBorders>
              <w:bottom w:val="single" w:sz="8" w:color="1F5AA8"/>
            </w:tcBorders>
            <w:shd w:val="clear" w:color="auto" w:fill="EBEBEB"/>
          </w:tcPr>
          <w:p>
            <w:pPr>
              <w:spacing w:after="0"/>
              <w:rPr>
                <w:sz w:val="14"/>
                <w:szCs w:val="14"/>
                <w:color w:val="auto"/>
              </w:rPr>
            </w:pPr>
          </w:p>
        </w:tc>
        <w:tc>
          <w:tcPr>
            <w:tcW w:w="1220" w:type="dxa"/>
            <w:vAlign w:val="bottom"/>
            <w:tcBorders>
              <w:bottom w:val="single" w:sz="8" w:color="1F5AA8"/>
            </w:tcBorders>
            <w:shd w:val="clear" w:color="auto" w:fill="EBEBEB"/>
          </w:tcPr>
          <w:p>
            <w:pPr>
              <w:jc w:val="right"/>
              <w:ind w:right="161"/>
              <w:spacing w:after="0" w:line="162" w:lineRule="exact"/>
              <w:rPr>
                <w:sz w:val="20"/>
                <w:szCs w:val="20"/>
                <w:color w:val="auto"/>
              </w:rPr>
            </w:pPr>
            <w:r>
              <w:rPr>
                <w:rFonts w:ascii="Arial" w:cs="Arial" w:eastAsia="Arial" w:hAnsi="Arial"/>
                <w:sz w:val="12"/>
                <w:szCs w:val="12"/>
                <w:b w:val="1"/>
                <w:bCs w:val="1"/>
                <w:color w:val="auto"/>
              </w:rPr>
              <w:t>9,691,887</w:t>
            </w:r>
            <w:r>
              <w:rPr>
                <w:rFonts w:ascii="Arial" w:cs="Arial" w:eastAsia="Arial" w:hAnsi="Arial"/>
                <w:sz w:val="18"/>
                <w:szCs w:val="18"/>
                <w:b w:val="1"/>
                <w:bCs w:val="1"/>
                <w:color w:val="auto"/>
                <w:vertAlign w:val="superscript"/>
              </w:rPr>
              <w:t>25</w:t>
            </w:r>
          </w:p>
        </w:tc>
        <w:tc>
          <w:tcPr>
            <w:tcW w:w="1300" w:type="dxa"/>
            <w:vAlign w:val="bottom"/>
            <w:tcBorders>
              <w:bottom w:val="single" w:sz="8" w:color="1F5AA8"/>
            </w:tcBorders>
            <w:shd w:val="clear" w:color="auto" w:fill="EBEBEB"/>
          </w:tcPr>
          <w:p>
            <w:pPr>
              <w:jc w:val="right"/>
              <w:ind w:right="381"/>
              <w:spacing w:after="0"/>
              <w:rPr>
                <w:sz w:val="20"/>
                <w:szCs w:val="20"/>
                <w:color w:val="auto"/>
              </w:rPr>
            </w:pPr>
            <w:r>
              <w:rPr>
                <w:rFonts w:ascii="Arial" w:cs="Arial" w:eastAsia="Arial" w:hAnsi="Arial"/>
                <w:sz w:val="13"/>
                <w:szCs w:val="13"/>
                <w:b w:val="1"/>
                <w:bCs w:val="1"/>
                <w:color w:val="auto"/>
              </w:rPr>
              <w:t>8.7%</w:t>
            </w:r>
          </w:p>
        </w:tc>
        <w:tc>
          <w:tcPr>
            <w:tcW w:w="540" w:type="dxa"/>
            <w:vAlign w:val="bottom"/>
            <w:tcBorders>
              <w:bottom w:val="single" w:sz="8" w:color="EBEBEB"/>
            </w:tcBorders>
            <w:shd w:val="clear" w:color="auto" w:fill="EBEBEB"/>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-3891280</wp:posOffset>
            </wp:positionV>
            <wp:extent cx="342900" cy="38830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0" cy="388302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-3891280</wp:posOffset>
            </wp:positionV>
            <wp:extent cx="342900" cy="38830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0" cy="3883025"/>
                    </a:xfrm>
                    <a:prstGeom prst="rect">
                      <a:avLst/>
                    </a:prstGeom>
                    <a:noFill/>
                  </pic:spPr>
                </pic:pic>
              </a:graphicData>
            </a:graphic>
          </wp:anchor>
        </w:drawing>
      </w:r>
    </w:p>
    <w:p>
      <w:pPr>
        <w:spacing w:after="0" w:line="187" w:lineRule="exact"/>
        <w:rPr>
          <w:sz w:val="20"/>
          <w:szCs w:val="20"/>
          <w:color w:val="auto"/>
        </w:rPr>
      </w:pPr>
    </w:p>
    <w:p>
      <w:pPr>
        <w:ind w:left="880" w:right="840" w:hanging="332"/>
        <w:spacing w:after="0" w:line="258" w:lineRule="auto"/>
        <w:tabs>
          <w:tab w:leader="none" w:pos="880" w:val="left"/>
        </w:tabs>
        <w:numPr>
          <w:ilvl w:val="0"/>
          <w:numId w:val="42"/>
        </w:numPr>
        <w:rPr>
          <w:rFonts w:ascii="Arial" w:cs="Arial" w:eastAsia="Arial" w:hAnsi="Arial"/>
          <w:sz w:val="14"/>
          <w:szCs w:val="14"/>
          <w:b w:val="1"/>
          <w:bCs w:val="1"/>
          <w:color w:val="205BA8"/>
        </w:rPr>
      </w:pPr>
      <w:r>
        <w:rPr>
          <w:rFonts w:ascii="Arial" w:cs="Arial" w:eastAsia="Arial" w:hAnsi="Arial"/>
          <w:sz w:val="14"/>
          <w:szCs w:val="14"/>
          <w:color w:val="auto"/>
        </w:rPr>
        <w:t>The inclusion in this table of any Class A stock or common stock, as the case may be, deemed beneficially owned does not constitute an admission of beneficial ownership of those shares.</w:t>
      </w:r>
    </w:p>
    <w:p>
      <w:pPr>
        <w:spacing w:after="0" w:line="32" w:lineRule="exact"/>
        <w:rPr>
          <w:sz w:val="20"/>
          <w:szCs w:val="20"/>
          <w:color w:val="auto"/>
        </w:rPr>
      </w:pPr>
    </w:p>
    <w:p>
      <w:pPr>
        <w:ind w:left="880" w:right="720" w:hanging="332"/>
        <w:spacing w:after="0" w:line="249" w:lineRule="auto"/>
        <w:tabs>
          <w:tab w:leader="none" w:pos="880" w:val="left"/>
        </w:tabs>
        <w:numPr>
          <w:ilvl w:val="0"/>
          <w:numId w:val="43"/>
        </w:numPr>
        <w:rPr>
          <w:rFonts w:ascii="Arial" w:cs="Arial" w:eastAsia="Arial" w:hAnsi="Arial"/>
          <w:sz w:val="14"/>
          <w:szCs w:val="14"/>
          <w:b w:val="1"/>
          <w:bCs w:val="1"/>
          <w:color w:val="205BA8"/>
        </w:rPr>
      </w:pPr>
      <w:r>
        <w:rPr>
          <w:rFonts w:ascii="Arial" w:cs="Arial" w:eastAsia="Arial" w:hAnsi="Arial"/>
          <w:sz w:val="14"/>
          <w:szCs w:val="14"/>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39" w:lineRule="exact"/>
        <w:rPr>
          <w:sz w:val="20"/>
          <w:szCs w:val="20"/>
          <w:color w:val="auto"/>
        </w:rPr>
      </w:pPr>
    </w:p>
    <w:p>
      <w:pPr>
        <w:ind w:left="880" w:right="600" w:hanging="332"/>
        <w:spacing w:after="0" w:line="243" w:lineRule="auto"/>
        <w:tabs>
          <w:tab w:leader="none" w:pos="880" w:val="left"/>
        </w:tabs>
        <w:numPr>
          <w:ilvl w:val="0"/>
          <w:numId w:val="44"/>
        </w:numPr>
        <w:rPr>
          <w:rFonts w:ascii="Arial" w:cs="Arial" w:eastAsia="Arial" w:hAnsi="Arial"/>
          <w:sz w:val="14"/>
          <w:szCs w:val="14"/>
          <w:b w:val="1"/>
          <w:bCs w:val="1"/>
          <w:color w:val="205BA8"/>
        </w:rPr>
      </w:pPr>
      <w:r>
        <w:rPr>
          <w:rFonts w:ascii="Arial" w:cs="Arial" w:eastAsia="Arial" w:hAnsi="Arial"/>
          <w:sz w:val="14"/>
          <w:szCs w:val="14"/>
          <w:color w:val="auto"/>
        </w:rPr>
        <w:t>Based solely on an amendment to a Schedule 13G jointly filed by FMR LLC and Abigail P. Johnson on February 8, 2021. According to this amendment, FMR LLC has sole voting power as to 1,626,608 of the shares reported as beneficially owned and sole dispositive power as to all of the shares reported as beneficially owned.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as amended (the “Investment Company Act”), to form a controlling group with respect to FMR LLC. Neither FMR LLC nor Abigail P. Johnson has the sole power to vote or direct the voting of the shares owned directly by the various investment companies registered under the Investment Company Act (the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59"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EEF"/>
        </w:rPr>
        <w:t xml:space="preserve">48  </w:t>
      </w:r>
      <w:r>
        <w:rPr>
          <w:rFonts w:ascii="Arial" w:cs="Arial" w:eastAsia="Arial" w:hAnsi="Arial"/>
          <w:sz w:val="14"/>
          <w:szCs w:val="14"/>
          <w:color w:val="00AEEF"/>
        </w:rPr>
        <w:t>/</w:t>
      </w:r>
      <w:r>
        <w:rPr>
          <w:sz w:val="20"/>
          <w:szCs w:val="20"/>
          <w:color w:val="auto"/>
        </w:rPr>
        <w:tab/>
      </w:r>
      <w:r>
        <w:rPr>
          <w:rFonts w:ascii="Arial" w:cs="Arial" w:eastAsia="Arial" w:hAnsi="Arial"/>
          <w:sz w:val="15"/>
          <w:szCs w:val="15"/>
          <w:b w:val="1"/>
          <w:bCs w:val="1"/>
          <w:color w:val="205BA8"/>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9" w:name="page60"/>
    <w:bookmarkEnd w:id="59"/>
    <w:p>
      <w:pPr>
        <w:ind w:left="9340"/>
        <w:spacing w:after="0"/>
        <w:rPr>
          <w:sz w:val="20"/>
          <w:szCs w:val="20"/>
          <w:color w:val="auto"/>
        </w:rPr>
      </w:pPr>
      <w:r>
        <w:rPr>
          <w:rFonts w:ascii="Arial" w:cs="Arial" w:eastAsia="Arial" w:hAnsi="Arial"/>
          <w:sz w:val="16"/>
          <w:szCs w:val="16"/>
          <w:b w:val="1"/>
          <w:bCs w:val="1"/>
          <w:color w:val="205BA8"/>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p>
      <w:pPr>
        <w:ind w:left="880" w:right="660" w:hanging="332"/>
        <w:spacing w:after="0" w:line="253" w:lineRule="auto"/>
        <w:tabs>
          <w:tab w:leader="none" w:pos="880" w:val="left"/>
        </w:tabs>
        <w:numPr>
          <w:ilvl w:val="0"/>
          <w:numId w:val="45"/>
        </w:numPr>
        <w:rPr>
          <w:rFonts w:ascii="Arial" w:cs="Arial" w:eastAsia="Arial" w:hAnsi="Arial"/>
          <w:sz w:val="14"/>
          <w:szCs w:val="14"/>
          <w:b w:val="1"/>
          <w:bCs w:val="1"/>
          <w:color w:val="205BA8"/>
        </w:rPr>
      </w:pPr>
      <w:r>
        <w:rPr>
          <w:rFonts w:ascii="Arial" w:cs="Arial" w:eastAsia="Arial" w:hAnsi="Arial"/>
          <w:sz w:val="14"/>
          <w:szCs w:val="14"/>
          <w:color w:val="auto"/>
        </w:rPr>
        <w:t>Based solely on an amendment to a Schedule 13G filed by BlackRock, Inc. on February 1, 2021. According to this amendment, BlackRock, Inc. has sole voting power as to 8,779,238 of the shares reported as beneficially owned and sole dispositive power as to all of the shares reported as beneficially owned.</w:t>
      </w:r>
    </w:p>
    <w:p>
      <w:pPr>
        <w:spacing w:after="0" w:line="201" w:lineRule="exact"/>
        <w:rPr>
          <w:sz w:val="20"/>
          <w:szCs w:val="20"/>
          <w:color w:val="auto"/>
        </w:rPr>
      </w:pPr>
    </w:p>
    <w:p>
      <w:pPr>
        <w:ind w:left="880" w:right="600" w:hanging="332"/>
        <w:spacing w:after="0" w:line="249" w:lineRule="auto"/>
        <w:tabs>
          <w:tab w:leader="none" w:pos="880" w:val="left"/>
        </w:tabs>
        <w:numPr>
          <w:ilvl w:val="0"/>
          <w:numId w:val="46"/>
        </w:numPr>
        <w:rPr>
          <w:rFonts w:ascii="Arial" w:cs="Arial" w:eastAsia="Arial" w:hAnsi="Arial"/>
          <w:sz w:val="14"/>
          <w:szCs w:val="14"/>
          <w:b w:val="1"/>
          <w:bCs w:val="1"/>
          <w:color w:val="205BA8"/>
        </w:rPr>
      </w:pPr>
      <w:r>
        <w:rPr>
          <w:rFonts w:ascii="Arial" w:cs="Arial" w:eastAsia="Arial" w:hAnsi="Arial"/>
          <w:sz w:val="14"/>
          <w:szCs w:val="14"/>
          <w:color w:val="auto"/>
        </w:rPr>
        <w:t>Based solely on an amendment to a Schedule 13G filed by The Vanguard Group, Inc. on February 10, 2021. According to this amendment, The Vanguard Group, Inc. has shared voting power as to 188,647, sole dispositive power as to 7,461,968, and shared dispositive power as to 469,252 of the shares reported as beneficially owned.</w:t>
      </w:r>
    </w:p>
    <w:p>
      <w:pPr>
        <w:spacing w:after="0" w:line="39" w:lineRule="exact"/>
        <w:rPr>
          <w:sz w:val="20"/>
          <w:szCs w:val="20"/>
          <w:color w:val="auto"/>
        </w:rPr>
      </w:pPr>
    </w:p>
    <w:p>
      <w:pPr>
        <w:jc w:val="both"/>
        <w:ind w:left="880" w:right="800" w:hanging="332"/>
        <w:spacing w:after="0" w:line="249" w:lineRule="auto"/>
        <w:tabs>
          <w:tab w:leader="none" w:pos="880" w:val="left"/>
        </w:tabs>
        <w:numPr>
          <w:ilvl w:val="0"/>
          <w:numId w:val="47"/>
        </w:numPr>
        <w:rPr>
          <w:rFonts w:ascii="Arial" w:cs="Arial" w:eastAsia="Arial" w:hAnsi="Arial"/>
          <w:sz w:val="14"/>
          <w:szCs w:val="14"/>
          <w:b w:val="1"/>
          <w:bCs w:val="1"/>
          <w:color w:val="205BA8"/>
        </w:rPr>
      </w:pPr>
      <w:r>
        <w:rPr>
          <w:rFonts w:ascii="Arial" w:cs="Arial" w:eastAsia="Arial" w:hAnsi="Arial"/>
          <w:sz w:val="14"/>
          <w:szCs w:val="14"/>
          <w:color w:val="auto"/>
        </w:rPr>
        <w:t>Based solely on an amendment to a Schedule 13G filed by Capital World Investors on February 16, 2021. According to this amendment, Capital World Investors, a division of Capital Research and Management Company, has sole voting as to 6,999,788 of the shares reported as beneficially owned and dispositive power as to all of the shares reported as beneficially owned.</w:t>
      </w:r>
    </w:p>
    <w:p>
      <w:pPr>
        <w:spacing w:after="0" w:line="39" w:lineRule="exact"/>
        <w:rPr>
          <w:sz w:val="20"/>
          <w:szCs w:val="20"/>
          <w:color w:val="auto"/>
        </w:rPr>
      </w:pPr>
    </w:p>
    <w:p>
      <w:pPr>
        <w:ind w:left="880" w:right="780" w:hanging="332"/>
        <w:spacing w:after="0" w:line="258" w:lineRule="auto"/>
        <w:tabs>
          <w:tab w:leader="none" w:pos="880" w:val="left"/>
        </w:tabs>
        <w:numPr>
          <w:ilvl w:val="0"/>
          <w:numId w:val="48"/>
        </w:numPr>
        <w:rPr>
          <w:rFonts w:ascii="Arial" w:cs="Arial" w:eastAsia="Arial" w:hAnsi="Arial"/>
          <w:sz w:val="14"/>
          <w:szCs w:val="14"/>
          <w:b w:val="1"/>
          <w:bCs w:val="1"/>
          <w:color w:val="205BA8"/>
        </w:rPr>
      </w:pPr>
      <w:r>
        <w:rPr>
          <w:rFonts w:ascii="Arial" w:cs="Arial" w:eastAsia="Arial" w:hAnsi="Arial"/>
          <w:sz w:val="14"/>
          <w:szCs w:val="14"/>
          <w:color w:val="auto"/>
        </w:rPr>
        <w:t>The address for each director and executive officer is c/o Regeneron Pharmaceuticals, Inc., 777 Old Saw Mill River Road, Tarrytown, New York 10591-6707.</w:t>
      </w:r>
    </w:p>
    <w:p>
      <w:pPr>
        <w:spacing w:after="0" w:line="32" w:lineRule="exact"/>
        <w:rPr>
          <w:sz w:val="20"/>
          <w:szCs w:val="20"/>
          <w:color w:val="auto"/>
        </w:rPr>
      </w:pPr>
    </w:p>
    <w:p>
      <w:pPr>
        <w:ind w:left="880" w:hanging="332"/>
        <w:spacing w:after="0"/>
        <w:tabs>
          <w:tab w:leader="none" w:pos="880" w:val="left"/>
        </w:tabs>
        <w:numPr>
          <w:ilvl w:val="0"/>
          <w:numId w:val="49"/>
        </w:numPr>
        <w:rPr>
          <w:rFonts w:ascii="Arial" w:cs="Arial" w:eastAsia="Arial" w:hAnsi="Arial"/>
          <w:sz w:val="14"/>
          <w:szCs w:val="14"/>
          <w:b w:val="1"/>
          <w:bCs w:val="1"/>
          <w:color w:val="205BA8"/>
        </w:rPr>
      </w:pPr>
      <w:r>
        <w:rPr>
          <w:rFonts w:ascii="Arial" w:cs="Arial" w:eastAsia="Arial" w:hAnsi="Arial"/>
          <w:sz w:val="14"/>
          <w:szCs w:val="14"/>
          <w:color w:val="auto"/>
        </w:rPr>
        <w:t>Includes 15,775 shares of Class A stock held in trust for the benefit of Dr. Schleifer’s son, of which Dr. Schleifer is a trustee.</w:t>
      </w:r>
    </w:p>
    <w:p>
      <w:pPr>
        <w:spacing w:after="0" w:line="55" w:lineRule="exact"/>
        <w:rPr>
          <w:sz w:val="20"/>
          <w:szCs w:val="20"/>
          <w:color w:val="auto"/>
        </w:rPr>
      </w:pPr>
    </w:p>
    <w:p>
      <w:pPr>
        <w:ind w:left="880" w:right="540" w:hanging="332"/>
        <w:spacing w:after="0" w:line="241" w:lineRule="auto"/>
        <w:tabs>
          <w:tab w:leader="none" w:pos="880" w:val="left"/>
        </w:tabs>
        <w:numPr>
          <w:ilvl w:val="0"/>
          <w:numId w:val="50"/>
        </w:numPr>
        <w:rPr>
          <w:rFonts w:ascii="Arial" w:cs="Arial" w:eastAsia="Arial" w:hAnsi="Arial"/>
          <w:sz w:val="14"/>
          <w:szCs w:val="14"/>
          <w:b w:val="1"/>
          <w:bCs w:val="1"/>
          <w:color w:val="205BA8"/>
        </w:rPr>
      </w:pPr>
      <w:r>
        <w:rPr>
          <w:rFonts w:ascii="Arial" w:cs="Arial" w:eastAsia="Arial" w:hAnsi="Arial"/>
          <w:sz w:val="14"/>
          <w:szCs w:val="14"/>
          <w:color w:val="auto"/>
        </w:rPr>
        <w:t>Includes (i) 1,632,488 shares of common stock purchasable upon the exercise of options granted pursuant to the Regeneron Pharmaceuticals, Inc. Second Amended and Restated 2000 Long-Term Incentive Plan, the Regeneron Pharmaceuticals, Inc. 2014 Long-Term Incentive Plan, the Amended and Restated Regeneron Pharmaceuticals, Inc. 2014 Long-Term Incentive Plan, or the Second Amended and Restated Regeneron Pharmaceuticals, Inc. 2014 Long-Term Incentive Plan (collectively, the “Long-Term Incentive Plans”) that are exercisable or become so within sixty days after April 13, 2021; (ii)</w:t>
      </w:r>
    </w:p>
    <w:p>
      <w:pPr>
        <w:spacing w:after="0" w:line="1" w:lineRule="exact"/>
        <w:rPr>
          <w:rFonts w:ascii="Arial" w:cs="Arial" w:eastAsia="Arial" w:hAnsi="Arial"/>
          <w:sz w:val="14"/>
          <w:szCs w:val="14"/>
          <w:b w:val="1"/>
          <w:bCs w:val="1"/>
          <w:color w:val="205BA8"/>
        </w:rPr>
      </w:pPr>
    </w:p>
    <w:p>
      <w:pPr>
        <w:ind w:left="880" w:right="600"/>
        <w:spacing w:after="0" w:line="258" w:lineRule="auto"/>
        <w:rPr>
          <w:rFonts w:ascii="Arial" w:cs="Arial" w:eastAsia="Arial" w:hAnsi="Arial"/>
          <w:sz w:val="14"/>
          <w:szCs w:val="14"/>
          <w:b w:val="1"/>
          <w:bCs w:val="1"/>
          <w:color w:val="205BA8"/>
        </w:rPr>
      </w:pPr>
      <w:r>
        <w:rPr>
          <w:rFonts w:ascii="Arial" w:cs="Arial" w:eastAsia="Arial" w:hAnsi="Arial"/>
          <w:sz w:val="14"/>
          <w:szCs w:val="14"/>
          <w:color w:val="auto"/>
        </w:rPr>
        <w:t>74,691 shares of common stock held in a grantor retained annuity trust of which Dr. Schleifer is the trustee; and (iii) 5,848 shares of common stock held in an account under the Company’s 401(k) Savings Plan.</w:t>
      </w:r>
    </w:p>
    <w:p>
      <w:pPr>
        <w:spacing w:after="0" w:line="32" w:lineRule="exact"/>
        <w:rPr>
          <w:sz w:val="20"/>
          <w:szCs w:val="20"/>
          <w:color w:val="auto"/>
        </w:rPr>
      </w:pPr>
    </w:p>
    <w:p>
      <w:pPr>
        <w:ind w:left="880" w:right="540" w:hanging="332"/>
        <w:spacing w:after="0" w:line="244" w:lineRule="auto"/>
        <w:tabs>
          <w:tab w:leader="none" w:pos="880" w:val="left"/>
        </w:tabs>
        <w:numPr>
          <w:ilvl w:val="0"/>
          <w:numId w:val="51"/>
        </w:numPr>
        <w:rPr>
          <w:rFonts w:ascii="Arial" w:cs="Arial" w:eastAsia="Arial" w:hAnsi="Arial"/>
          <w:sz w:val="14"/>
          <w:szCs w:val="14"/>
          <w:b w:val="1"/>
          <w:bCs w:val="1"/>
          <w:color w:val="205BA8"/>
        </w:rPr>
      </w:pPr>
      <w:r>
        <w:rPr>
          <w:rFonts w:ascii="Arial" w:cs="Arial" w:eastAsia="Arial" w:hAnsi="Arial"/>
          <w:sz w:val="14"/>
          <w:szCs w:val="14"/>
          <w:color w:val="auto"/>
        </w:rPr>
        <w:t>Includes (i) 637,530 shares of common stock purchasable upon exercise of options granted pursuant to the Long-Term Incentive Plans that are exercisable or become so within sixty days after April 13, 2021; (ii) 2,214 shares of common stock held in an account under the Company’s 401(k) Savings Plan; (iii) 142,350 shares of common stock held in a charitable lead annuity trust, of which Dr. Vagelos is the trustee; (iv) 47,786 shares of common stock held in a trust for his grandchildren, of which Dr. Vagelos’s wife is the trustee; (v) 3,609 shares of common stock held in trusts for his grandchildren, of which Dr. Vagelos and/or his wife are trustees; and (vi) 54,146 shares of common stock and 39,671 shares of common stock held by the Marianthi Foundation and the Pindaros Foundation, respectively, both of which are charitable foundations of which Dr. Vagelos is a director and an officer. Dr. Vagelos disclaims beneficial ownership of the shares held by these charitable foundations.</w:t>
      </w:r>
    </w:p>
    <w:p>
      <w:pPr>
        <w:spacing w:after="0" w:line="42" w:lineRule="exact"/>
        <w:rPr>
          <w:rFonts w:ascii="Arial" w:cs="Arial" w:eastAsia="Arial" w:hAnsi="Arial"/>
          <w:sz w:val="14"/>
          <w:szCs w:val="14"/>
          <w:b w:val="1"/>
          <w:bCs w:val="1"/>
          <w:color w:val="205BA8"/>
        </w:rPr>
      </w:pPr>
    </w:p>
    <w:p>
      <w:pPr>
        <w:ind w:left="880" w:right="960" w:hanging="332"/>
        <w:spacing w:after="0" w:line="258" w:lineRule="auto"/>
        <w:tabs>
          <w:tab w:leader="none" w:pos="880" w:val="left"/>
        </w:tabs>
        <w:numPr>
          <w:ilvl w:val="0"/>
          <w:numId w:val="51"/>
        </w:numPr>
        <w:rPr>
          <w:rFonts w:ascii="Arial" w:cs="Arial" w:eastAsia="Arial" w:hAnsi="Arial"/>
          <w:sz w:val="14"/>
          <w:szCs w:val="14"/>
          <w:b w:val="1"/>
          <w:bCs w:val="1"/>
          <w:color w:val="205BA8"/>
        </w:rPr>
      </w:pPr>
      <w:r>
        <w:rPr>
          <w:rFonts w:ascii="Arial" w:cs="Arial" w:eastAsia="Arial" w:hAnsi="Arial"/>
          <w:sz w:val="14"/>
          <w:szCs w:val="14"/>
          <w:color w:val="auto"/>
        </w:rPr>
        <w:t>Of these shares, 23,367 shares are held in trust for the benefit of Dr. Yancopoulos’s children and certain other family members; Dr. Yancopoulos is a trustee of the trust. The remaining 19,383 shares are held in custody for the benefit of Dr. Yancopoulos’s children.</w:t>
      </w:r>
    </w:p>
    <w:p>
      <w:pPr>
        <w:spacing w:after="0" w:line="31" w:lineRule="exact"/>
        <w:rPr>
          <w:rFonts w:ascii="Arial" w:cs="Arial" w:eastAsia="Arial" w:hAnsi="Arial"/>
          <w:sz w:val="14"/>
          <w:szCs w:val="14"/>
          <w:b w:val="1"/>
          <w:bCs w:val="1"/>
          <w:color w:val="205BA8"/>
        </w:rPr>
      </w:pPr>
    </w:p>
    <w:p>
      <w:pPr>
        <w:ind w:left="880" w:right="540" w:hanging="332"/>
        <w:spacing w:after="0" w:line="245" w:lineRule="auto"/>
        <w:tabs>
          <w:tab w:leader="none" w:pos="880" w:val="left"/>
        </w:tabs>
        <w:numPr>
          <w:ilvl w:val="0"/>
          <w:numId w:val="51"/>
        </w:numPr>
        <w:rPr>
          <w:rFonts w:ascii="Arial" w:cs="Arial" w:eastAsia="Arial" w:hAnsi="Arial"/>
          <w:sz w:val="14"/>
          <w:szCs w:val="14"/>
          <w:b w:val="1"/>
          <w:bCs w:val="1"/>
          <w:color w:val="205BA8"/>
        </w:rPr>
      </w:pPr>
      <w:r>
        <w:rPr>
          <w:rFonts w:ascii="Arial" w:cs="Arial" w:eastAsia="Arial" w:hAnsi="Arial"/>
          <w:sz w:val="14"/>
          <w:szCs w:val="14"/>
          <w:color w:val="auto"/>
        </w:rPr>
        <w:t>Includes (i) 1,098,053 shares of common stock purchasable upon exercise of options granted pursuant to the Long-Term Incentive Plans that are exercisable or become so within sixty days after April 13, 2021; (ii) 5,821 shares of common stock held in an account under the Company’s 401(k) Savings Plan; (iii) 376,861 shares held in a grantor retained annuity trust, of which Dr. Yancopoulos is the trustee; (iv) 822,207 shares of common stock held in trust for the benefit of Dr. Yancopoulos’s children and certain other family members, of which Dr. Yancopoulos is a trustee; and (v) 82,108 shares of common stock held in trusts for the benefit of Dr. Yancopoulos’s children.</w:t>
      </w:r>
    </w:p>
    <w:p>
      <w:pPr>
        <w:spacing w:after="0" w:line="42" w:lineRule="exact"/>
        <w:rPr>
          <w:rFonts w:ascii="Arial" w:cs="Arial" w:eastAsia="Arial" w:hAnsi="Arial"/>
          <w:sz w:val="14"/>
          <w:szCs w:val="14"/>
          <w:b w:val="1"/>
          <w:bCs w:val="1"/>
          <w:color w:val="205BA8"/>
        </w:rPr>
      </w:pPr>
    </w:p>
    <w:p>
      <w:pPr>
        <w:ind w:left="880" w:right="560" w:hanging="332"/>
        <w:spacing w:after="0" w:line="249" w:lineRule="auto"/>
        <w:tabs>
          <w:tab w:leader="none" w:pos="880" w:val="left"/>
        </w:tabs>
        <w:numPr>
          <w:ilvl w:val="0"/>
          <w:numId w:val="51"/>
        </w:numPr>
        <w:rPr>
          <w:rFonts w:ascii="Arial" w:cs="Arial" w:eastAsia="Arial" w:hAnsi="Arial"/>
          <w:sz w:val="14"/>
          <w:szCs w:val="14"/>
          <w:b w:val="1"/>
          <w:bCs w:val="1"/>
          <w:color w:val="205BA8"/>
        </w:rPr>
      </w:pPr>
      <w:r>
        <w:rPr>
          <w:rFonts w:ascii="Arial" w:cs="Arial" w:eastAsia="Arial" w:hAnsi="Arial"/>
          <w:sz w:val="14"/>
          <w:szCs w:val="14"/>
          <w:color w:val="auto"/>
        </w:rPr>
        <w:t>Consists of (i) 29,657 shares of common stock purchasable upon exercise of options granted pursuant to the Long-Term Incentive Plans that are exercisable or become so within sixty days after April 13, 2021; and (ii) 750 shares of common stock issuable upon settlement of RSUs that are releasable within sixty days after April 13, 2021 upon termination of service.</w:t>
      </w:r>
    </w:p>
    <w:p>
      <w:pPr>
        <w:spacing w:after="0" w:line="38" w:lineRule="exact"/>
        <w:rPr>
          <w:rFonts w:ascii="Arial" w:cs="Arial" w:eastAsia="Arial" w:hAnsi="Arial"/>
          <w:sz w:val="14"/>
          <w:szCs w:val="14"/>
          <w:b w:val="1"/>
          <w:bCs w:val="1"/>
          <w:color w:val="205BA8"/>
        </w:rPr>
      </w:pPr>
    </w:p>
    <w:p>
      <w:pPr>
        <w:ind w:left="880" w:right="560" w:hanging="332"/>
        <w:spacing w:after="0" w:line="249" w:lineRule="auto"/>
        <w:tabs>
          <w:tab w:leader="none" w:pos="880" w:val="left"/>
        </w:tabs>
        <w:numPr>
          <w:ilvl w:val="0"/>
          <w:numId w:val="51"/>
        </w:numPr>
        <w:rPr>
          <w:rFonts w:ascii="Arial" w:cs="Arial" w:eastAsia="Arial" w:hAnsi="Arial"/>
          <w:sz w:val="14"/>
          <w:szCs w:val="14"/>
          <w:b w:val="1"/>
          <w:bCs w:val="1"/>
          <w:color w:val="205BA8"/>
        </w:rPr>
      </w:pPr>
      <w:r>
        <w:rPr>
          <w:rFonts w:ascii="Arial" w:cs="Arial" w:eastAsia="Arial" w:hAnsi="Arial"/>
          <w:sz w:val="14"/>
          <w:szCs w:val="14"/>
          <w:color w:val="auto"/>
        </w:rPr>
        <w:t>Consists of (i) 29,821 shares of common stock purchasable upon exercise of options granted pursuant to the Long-Term Incentive Plans that are exercisable or become so within sixty days after April 13, 2021; and (ii) 750 shares of common stock issuable upon settlement of RSUs that are releasable within sixty days after April 13, 2021 upon termination of service.</w:t>
      </w:r>
    </w:p>
    <w:p>
      <w:pPr>
        <w:spacing w:after="0" w:line="38" w:lineRule="exact"/>
        <w:rPr>
          <w:rFonts w:ascii="Arial" w:cs="Arial" w:eastAsia="Arial" w:hAnsi="Arial"/>
          <w:sz w:val="14"/>
          <w:szCs w:val="14"/>
          <w:b w:val="1"/>
          <w:bCs w:val="1"/>
          <w:color w:val="205BA8"/>
        </w:rPr>
      </w:pPr>
    </w:p>
    <w:p>
      <w:pPr>
        <w:ind w:left="880" w:right="580" w:hanging="332"/>
        <w:spacing w:after="0" w:line="244" w:lineRule="auto"/>
        <w:tabs>
          <w:tab w:leader="none" w:pos="880" w:val="left"/>
        </w:tabs>
        <w:numPr>
          <w:ilvl w:val="0"/>
          <w:numId w:val="51"/>
        </w:numPr>
        <w:rPr>
          <w:rFonts w:ascii="Arial" w:cs="Arial" w:eastAsia="Arial" w:hAnsi="Arial"/>
          <w:sz w:val="14"/>
          <w:szCs w:val="14"/>
          <w:b w:val="1"/>
          <w:bCs w:val="1"/>
          <w:color w:val="205BA8"/>
        </w:rPr>
      </w:pPr>
      <w:r>
        <w:rPr>
          <w:rFonts w:ascii="Arial" w:cs="Arial" w:eastAsia="Arial" w:hAnsi="Arial"/>
          <w:sz w:val="14"/>
          <w:szCs w:val="14"/>
          <w:color w:val="auto"/>
        </w:rPr>
        <w:t>Consists of (i) 28,625 shares of common stock purchasable upon exercise of options granted pursuant to the Long-Term Incentive Plans that are exercisable or become so within sixty days after April 13, 2021, which are held in a trust of which Dr. Brown and his spouse are trustees for the benefit of Dr. Brown’s immediate family members; (ii) 9,349 shares of common stock held in a trust of which Dr. Brown and his spouse are trustees for the benefit of Dr. Brown’s immediate family members; (iii) 5,000 shares of common stock held in a trust of which Dr. Brown’s spouse is trustee for the benefit of Dr. Brown’s immediate family members; (iv) 1,000 shares of common stock held by a family charitable foundation of which Dr. Brown is a director and an officer and his wife is a director; and (v) 750 shares of common stock issuable upon settlement of RSUs that are releasable within sixty days after April 13, 2021 upon termination of service. Dr. Brown disclaims beneficial ownership of the shares referenced in (iii) and (iv).</w:t>
      </w:r>
    </w:p>
    <w:p>
      <w:pPr>
        <w:spacing w:after="0" w:line="42" w:lineRule="exact"/>
        <w:rPr>
          <w:rFonts w:ascii="Arial" w:cs="Arial" w:eastAsia="Arial" w:hAnsi="Arial"/>
          <w:sz w:val="14"/>
          <w:szCs w:val="14"/>
          <w:b w:val="1"/>
          <w:bCs w:val="1"/>
          <w:color w:val="205BA8"/>
        </w:rPr>
      </w:pPr>
    </w:p>
    <w:p>
      <w:pPr>
        <w:ind w:left="880" w:right="580" w:hanging="332"/>
        <w:spacing w:after="0" w:line="249" w:lineRule="auto"/>
        <w:tabs>
          <w:tab w:leader="none" w:pos="880" w:val="left"/>
        </w:tabs>
        <w:numPr>
          <w:ilvl w:val="0"/>
          <w:numId w:val="51"/>
        </w:numPr>
        <w:rPr>
          <w:rFonts w:ascii="Arial" w:cs="Arial" w:eastAsia="Arial" w:hAnsi="Arial"/>
          <w:sz w:val="14"/>
          <w:szCs w:val="14"/>
          <w:b w:val="1"/>
          <w:bCs w:val="1"/>
          <w:color w:val="205BA8"/>
        </w:rPr>
      </w:pPr>
      <w:r>
        <w:rPr>
          <w:rFonts w:ascii="Arial" w:cs="Arial" w:eastAsia="Arial" w:hAnsi="Arial"/>
          <w:sz w:val="14"/>
          <w:szCs w:val="14"/>
          <w:color w:val="auto"/>
        </w:rPr>
        <w:t>Includes (i) 8,404 shares of common stock purchasable upon exercise of options granted pursuant to the Long-Term Incentive Plans that are exercisable or become so within sixty days after April 13, 2021; and (ii) 750 shares of common stock issuable upon settlement of RSUs that are releasable within sixty days after April 13, 2021 upon termination of service.</w:t>
      </w:r>
    </w:p>
    <w:p>
      <w:pPr>
        <w:spacing w:after="0" w:line="38" w:lineRule="exact"/>
        <w:rPr>
          <w:rFonts w:ascii="Arial" w:cs="Arial" w:eastAsia="Arial" w:hAnsi="Arial"/>
          <w:sz w:val="14"/>
          <w:szCs w:val="14"/>
          <w:b w:val="1"/>
          <w:bCs w:val="1"/>
          <w:color w:val="205BA8"/>
        </w:rPr>
      </w:pPr>
    </w:p>
    <w:p>
      <w:pPr>
        <w:ind w:left="880" w:right="580" w:hanging="332"/>
        <w:spacing w:after="0" w:line="249" w:lineRule="auto"/>
        <w:tabs>
          <w:tab w:leader="none" w:pos="880" w:val="left"/>
        </w:tabs>
        <w:numPr>
          <w:ilvl w:val="0"/>
          <w:numId w:val="51"/>
        </w:numPr>
        <w:rPr>
          <w:rFonts w:ascii="Arial" w:cs="Arial" w:eastAsia="Arial" w:hAnsi="Arial"/>
          <w:sz w:val="14"/>
          <w:szCs w:val="14"/>
          <w:b w:val="1"/>
          <w:bCs w:val="1"/>
          <w:color w:val="205BA8"/>
        </w:rPr>
      </w:pPr>
      <w:r>
        <w:rPr>
          <w:rFonts w:ascii="Arial" w:cs="Arial" w:eastAsia="Arial" w:hAnsi="Arial"/>
          <w:sz w:val="14"/>
          <w:szCs w:val="14"/>
          <w:color w:val="auto"/>
        </w:rPr>
        <w:t>Includes (i) 278,204 shares of common stock purchasable upon exercise of options granted pursuant to the Long-Term Incentive Plans that are exercisable or become so within sixty days after April 13, 2021; (ii) 37,839 shares of restricted stock (“RSAs”); and (iii) 4,242 shares of common stock held in an account under the Company’s 401(k) Savings Plan.</w:t>
      </w:r>
    </w:p>
    <w:p>
      <w:pPr>
        <w:spacing w:after="0" w:line="38" w:lineRule="exact"/>
        <w:rPr>
          <w:rFonts w:ascii="Arial" w:cs="Arial" w:eastAsia="Arial" w:hAnsi="Arial"/>
          <w:sz w:val="14"/>
          <w:szCs w:val="14"/>
          <w:b w:val="1"/>
          <w:bCs w:val="1"/>
          <w:color w:val="205BA8"/>
        </w:rPr>
      </w:pPr>
    </w:p>
    <w:p>
      <w:pPr>
        <w:jc w:val="both"/>
        <w:ind w:left="880" w:right="580" w:hanging="332"/>
        <w:spacing w:after="0" w:line="249" w:lineRule="auto"/>
        <w:tabs>
          <w:tab w:leader="none" w:pos="880" w:val="left"/>
        </w:tabs>
        <w:numPr>
          <w:ilvl w:val="0"/>
          <w:numId w:val="51"/>
        </w:numPr>
        <w:rPr>
          <w:rFonts w:ascii="Arial" w:cs="Arial" w:eastAsia="Arial" w:hAnsi="Arial"/>
          <w:sz w:val="14"/>
          <w:szCs w:val="14"/>
          <w:b w:val="1"/>
          <w:bCs w:val="1"/>
          <w:color w:val="205BA8"/>
        </w:rPr>
      </w:pPr>
      <w:r>
        <w:rPr>
          <w:rFonts w:ascii="Arial" w:cs="Arial" w:eastAsia="Arial" w:hAnsi="Arial"/>
          <w:sz w:val="14"/>
          <w:szCs w:val="14"/>
          <w:color w:val="auto"/>
        </w:rPr>
        <w:t>Includes (i) 87,308 shares of common stock purchasable upon exercise of options granted pursuant to the Long-Term Incentive Plans that are exercisable or become so within sixty days after April 13, 2021; and (ii) 750 shares of common stock issuable upon settlement of RSUs that are releasable within sixty days after April 13, 2021 upon termination of service.</w:t>
      </w:r>
    </w:p>
    <w:p>
      <w:pPr>
        <w:spacing w:after="0" w:line="38" w:lineRule="exact"/>
        <w:rPr>
          <w:rFonts w:ascii="Arial" w:cs="Arial" w:eastAsia="Arial" w:hAnsi="Arial"/>
          <w:sz w:val="14"/>
          <w:szCs w:val="14"/>
          <w:b w:val="1"/>
          <w:bCs w:val="1"/>
          <w:color w:val="205BA8"/>
        </w:rPr>
      </w:pPr>
    </w:p>
    <w:p>
      <w:pPr>
        <w:ind w:left="880" w:right="580" w:hanging="332"/>
        <w:spacing w:after="0" w:line="249" w:lineRule="auto"/>
        <w:tabs>
          <w:tab w:leader="none" w:pos="880" w:val="left"/>
        </w:tabs>
        <w:numPr>
          <w:ilvl w:val="0"/>
          <w:numId w:val="51"/>
        </w:numPr>
        <w:rPr>
          <w:rFonts w:ascii="Arial" w:cs="Arial" w:eastAsia="Arial" w:hAnsi="Arial"/>
          <w:sz w:val="14"/>
          <w:szCs w:val="14"/>
          <w:b w:val="1"/>
          <w:bCs w:val="1"/>
          <w:color w:val="205BA8"/>
        </w:rPr>
      </w:pPr>
      <w:r>
        <w:rPr>
          <w:rFonts w:ascii="Arial" w:cs="Arial" w:eastAsia="Arial" w:hAnsi="Arial"/>
          <w:sz w:val="14"/>
          <w:szCs w:val="14"/>
          <w:color w:val="auto"/>
        </w:rPr>
        <w:t>Includes (i) 8,404 shares of common stock purchasable upon exercise of options granted pursuant to the Long-Term Incentive Plans that are exercisable or become so within sixty days after April 13, 2021; and (ii) 750 shares of common stock issuable upon settlement of RSUs that are releasable within sixty days after April 13, 2021 upon termination of service.</w:t>
      </w:r>
    </w:p>
    <w:p>
      <w:pPr>
        <w:spacing w:after="0" w:line="38" w:lineRule="exact"/>
        <w:rPr>
          <w:rFonts w:ascii="Arial" w:cs="Arial" w:eastAsia="Arial" w:hAnsi="Arial"/>
          <w:sz w:val="14"/>
          <w:szCs w:val="14"/>
          <w:b w:val="1"/>
          <w:bCs w:val="1"/>
          <w:color w:val="205BA8"/>
        </w:rPr>
      </w:pPr>
    </w:p>
    <w:p>
      <w:pPr>
        <w:ind w:left="880" w:right="600" w:hanging="332"/>
        <w:spacing w:after="0" w:line="247" w:lineRule="auto"/>
        <w:tabs>
          <w:tab w:leader="none" w:pos="880" w:val="left"/>
        </w:tabs>
        <w:numPr>
          <w:ilvl w:val="0"/>
          <w:numId w:val="51"/>
        </w:numPr>
        <w:rPr>
          <w:rFonts w:ascii="Arial" w:cs="Arial" w:eastAsia="Arial" w:hAnsi="Arial"/>
          <w:sz w:val="14"/>
          <w:szCs w:val="14"/>
          <w:b w:val="1"/>
          <w:bCs w:val="1"/>
          <w:color w:val="205BA8"/>
        </w:rPr>
      </w:pPr>
      <w:r>
        <w:rPr>
          <w:rFonts w:ascii="Arial" w:cs="Arial" w:eastAsia="Arial" w:hAnsi="Arial"/>
          <w:sz w:val="14"/>
          <w:szCs w:val="14"/>
          <w:color w:val="auto"/>
        </w:rPr>
        <w:t>Includes (i) 45,028 shares of common stock purchasable upon exercise of options granted pursuant to the Long-Term Incentive Plans that are exercisable or become so within sixty days after April 13, 2021; (ii) 1,150 shares of common stock held by Mr. Sing’s spouse; (iii) 400 shares of common stock held by Mr. Sing’s spouse as custodian for the benefit of their son; (iv) 3,700 shares of common stock held in a trust for benefit of Mr. Sing’s son; and (v) 750 shares of common stock issuable upon settlement of RSUs that are releasable within sixty days after April 13, 2021 upon termination of service.</w:t>
      </w:r>
    </w:p>
    <w:p>
      <w:pPr>
        <w:spacing w:after="0" w:line="39" w:lineRule="exact"/>
        <w:rPr>
          <w:rFonts w:ascii="Arial" w:cs="Arial" w:eastAsia="Arial" w:hAnsi="Arial"/>
          <w:sz w:val="14"/>
          <w:szCs w:val="14"/>
          <w:b w:val="1"/>
          <w:bCs w:val="1"/>
          <w:color w:val="205BA8"/>
        </w:rPr>
      </w:pPr>
    </w:p>
    <w:p>
      <w:pPr>
        <w:jc w:val="both"/>
        <w:ind w:left="880" w:right="580" w:hanging="332"/>
        <w:spacing w:after="0" w:line="249" w:lineRule="auto"/>
        <w:tabs>
          <w:tab w:leader="none" w:pos="880" w:val="left"/>
        </w:tabs>
        <w:numPr>
          <w:ilvl w:val="0"/>
          <w:numId w:val="51"/>
        </w:numPr>
        <w:rPr>
          <w:rFonts w:ascii="Arial" w:cs="Arial" w:eastAsia="Arial" w:hAnsi="Arial"/>
          <w:sz w:val="14"/>
          <w:szCs w:val="14"/>
          <w:b w:val="1"/>
          <w:bCs w:val="1"/>
          <w:color w:val="205BA8"/>
        </w:rPr>
      </w:pPr>
      <w:r>
        <w:rPr>
          <w:rFonts w:ascii="Arial" w:cs="Arial" w:eastAsia="Arial" w:hAnsi="Arial"/>
          <w:sz w:val="14"/>
          <w:szCs w:val="14"/>
          <w:color w:val="auto"/>
        </w:rPr>
        <w:t>Includes (i) 57,778 shares of common stock purchasable upon exercise of options granted pursuant to the Long-Term Incentive Plans that are exercisable or become so within sixty days after April 13, 2021; and (ii) 750 shares of common stock issuable upon settlement of RSUs that are releasable within sixty days after April 13, 2021 upon termination of service.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05BA8"/>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EEF"/>
              </w:rPr>
              <w:t xml:space="preserve">/  </w:t>
            </w:r>
            <w:r>
              <w:rPr>
                <w:rFonts w:ascii="Arial" w:cs="Arial" w:eastAsia="Arial" w:hAnsi="Arial"/>
                <w:sz w:val="14"/>
                <w:szCs w:val="14"/>
                <w:b w:val="1"/>
                <w:bCs w:val="1"/>
                <w:color w:val="00AEEF"/>
              </w:rPr>
              <w:t>49</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60" w:name="page61"/>
    <w:bookmarkEnd w:id="60"/>
    <w:p>
      <w:pPr>
        <w:ind w:left="540"/>
        <w:spacing w:after="0"/>
        <w:rPr>
          <w:sz w:val="20"/>
          <w:szCs w:val="20"/>
          <w:color w:val="auto"/>
        </w:rPr>
      </w:pPr>
      <w:r>
        <w:rPr>
          <w:rFonts w:ascii="Arial" w:cs="Arial" w:eastAsia="Arial" w:hAnsi="Arial"/>
          <w:sz w:val="16"/>
          <w:szCs w:val="16"/>
          <w:b w:val="1"/>
          <w:bCs w:val="1"/>
          <w:color w:val="205BA8"/>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548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24" w:lineRule="exact"/>
        <w:rPr>
          <w:sz w:val="20"/>
          <w:szCs w:val="20"/>
          <w:color w:val="auto"/>
        </w:rPr>
      </w:pPr>
    </w:p>
    <w:p>
      <w:pPr>
        <w:ind w:left="880" w:right="980" w:hanging="332"/>
        <w:spacing w:after="0" w:line="249" w:lineRule="auto"/>
        <w:tabs>
          <w:tab w:leader="none" w:pos="880" w:val="left"/>
        </w:tabs>
        <w:numPr>
          <w:ilvl w:val="0"/>
          <w:numId w:val="52"/>
        </w:numPr>
        <w:rPr>
          <w:rFonts w:ascii="Arial" w:cs="Arial" w:eastAsia="Arial" w:hAnsi="Arial"/>
          <w:sz w:val="14"/>
          <w:szCs w:val="14"/>
          <w:b w:val="1"/>
          <w:bCs w:val="1"/>
          <w:color w:val="205BA8"/>
        </w:rPr>
      </w:pPr>
      <w:r>
        <w:rPr>
          <w:rFonts w:ascii="Arial" w:cs="Arial" w:eastAsia="Arial" w:hAnsi="Arial"/>
          <w:sz w:val="14"/>
          <w:szCs w:val="14"/>
          <w:color w:val="auto"/>
        </w:rPr>
        <w:t>Includes (i) 88,193 shares of common stock purchasable upon exercise of options granted pursuant to the Long-Term Incentive Plans that are exercisable or become so within sixty days after April 13, 2021; (ii) 22,055 RSAs; and (iii) 202 shares of common stock held in an account under the Company’s 401(k) Savings Plan.</w:t>
      </w:r>
    </w:p>
    <w:p>
      <w:pPr>
        <w:spacing w:after="0" w:line="38" w:lineRule="exact"/>
        <w:rPr>
          <w:rFonts w:ascii="Arial" w:cs="Arial" w:eastAsia="Arial" w:hAnsi="Arial"/>
          <w:sz w:val="14"/>
          <w:szCs w:val="14"/>
          <w:b w:val="1"/>
          <w:bCs w:val="1"/>
          <w:color w:val="205BA8"/>
        </w:rPr>
      </w:pPr>
    </w:p>
    <w:p>
      <w:pPr>
        <w:ind w:left="880" w:right="860" w:hanging="332"/>
        <w:spacing w:after="0" w:line="249" w:lineRule="auto"/>
        <w:tabs>
          <w:tab w:leader="none" w:pos="880" w:val="left"/>
        </w:tabs>
        <w:numPr>
          <w:ilvl w:val="0"/>
          <w:numId w:val="52"/>
        </w:numPr>
        <w:rPr>
          <w:rFonts w:ascii="Arial" w:cs="Arial" w:eastAsia="Arial" w:hAnsi="Arial"/>
          <w:sz w:val="14"/>
          <w:szCs w:val="14"/>
          <w:b w:val="1"/>
          <w:bCs w:val="1"/>
          <w:color w:val="205BA8"/>
        </w:rPr>
      </w:pPr>
      <w:r>
        <w:rPr>
          <w:rFonts w:ascii="Arial" w:cs="Arial" w:eastAsia="Arial" w:hAnsi="Arial"/>
          <w:sz w:val="14"/>
          <w:szCs w:val="14"/>
          <w:color w:val="auto"/>
        </w:rPr>
        <w:t>Includes (i) 230,751 shares of common stock purchasable upon exercise of options granted pursuant to the Long-Term Incentive Plans that are exercisable or become so within sixty days after April 13, 2021; (ii) 14,555 RSAs; and (iii) 1,028 shares of common stock held in an account under the Company’s 401(k) Savings Plan.</w:t>
      </w:r>
    </w:p>
    <w:p>
      <w:pPr>
        <w:spacing w:after="0" w:line="38" w:lineRule="exact"/>
        <w:rPr>
          <w:rFonts w:ascii="Arial" w:cs="Arial" w:eastAsia="Arial" w:hAnsi="Arial"/>
          <w:sz w:val="14"/>
          <w:szCs w:val="14"/>
          <w:b w:val="1"/>
          <w:bCs w:val="1"/>
          <w:color w:val="205BA8"/>
        </w:rPr>
      </w:pPr>
    </w:p>
    <w:p>
      <w:pPr>
        <w:ind w:left="880" w:right="1180" w:hanging="332"/>
        <w:spacing w:after="0" w:line="249" w:lineRule="auto"/>
        <w:tabs>
          <w:tab w:leader="none" w:pos="880" w:val="left"/>
        </w:tabs>
        <w:numPr>
          <w:ilvl w:val="0"/>
          <w:numId w:val="52"/>
        </w:numPr>
        <w:rPr>
          <w:rFonts w:ascii="Arial" w:cs="Arial" w:eastAsia="Arial" w:hAnsi="Arial"/>
          <w:sz w:val="14"/>
          <w:szCs w:val="14"/>
          <w:b w:val="1"/>
          <w:bCs w:val="1"/>
          <w:color w:val="205BA8"/>
        </w:rPr>
      </w:pPr>
      <w:r>
        <w:rPr>
          <w:rFonts w:ascii="Arial" w:cs="Arial" w:eastAsia="Arial" w:hAnsi="Arial"/>
          <w:sz w:val="14"/>
          <w:szCs w:val="14"/>
          <w:color w:val="auto"/>
        </w:rPr>
        <w:t>Consists of (i) 24,703 shares of common stock purchasable upon exercise of options granted pursuant to the Long-Term Incentive Plans that are exercisable or become so within sixty days after April 13, 2021; and (ii) 750 shares of common stock issuable upon settlement of RSUs that are releasable within sixty days after April 13, 2021 upon termination of service.</w:t>
      </w:r>
    </w:p>
    <w:p>
      <w:pPr>
        <w:spacing w:after="0" w:line="38" w:lineRule="exact"/>
        <w:rPr>
          <w:rFonts w:ascii="Arial" w:cs="Arial" w:eastAsia="Arial" w:hAnsi="Arial"/>
          <w:sz w:val="14"/>
          <w:szCs w:val="14"/>
          <w:b w:val="1"/>
          <w:bCs w:val="1"/>
          <w:color w:val="205BA8"/>
        </w:rPr>
      </w:pPr>
    </w:p>
    <w:p>
      <w:pPr>
        <w:ind w:left="880" w:right="700" w:hanging="332"/>
        <w:spacing w:after="0" w:line="247" w:lineRule="auto"/>
        <w:tabs>
          <w:tab w:leader="none" w:pos="880" w:val="left"/>
        </w:tabs>
        <w:numPr>
          <w:ilvl w:val="0"/>
          <w:numId w:val="52"/>
        </w:numPr>
        <w:rPr>
          <w:rFonts w:ascii="Arial" w:cs="Arial" w:eastAsia="Arial" w:hAnsi="Arial"/>
          <w:sz w:val="14"/>
          <w:szCs w:val="14"/>
          <w:b w:val="1"/>
          <w:bCs w:val="1"/>
          <w:color w:val="205BA8"/>
        </w:rPr>
      </w:pPr>
      <w:r>
        <w:rPr>
          <w:rFonts w:ascii="Arial" w:cs="Arial" w:eastAsia="Arial" w:hAnsi="Arial"/>
          <w:sz w:val="14"/>
          <w:szCs w:val="14"/>
          <w:color w:val="auto"/>
        </w:rPr>
        <w:t>Includes (i) 5,092,496 shares of common stock purchasable upon exercise of options granted pursuant to the Long-Term Incentive Plans that are exercisable or become so within sixty days after April 13, 2021; (ii) 111,594 RSAs; (iii) 6,750 shares of common stock issuable upon settlement of RSUs that are releasable within sixty days after April 13, 2021; and (iv) 26,930 shares of common stock held in an account under the Company’s 401(k) Savings Plan.</w:t>
      </w:r>
    </w:p>
    <w:p>
      <w:pPr>
        <w:spacing w:after="0" w:line="39" w:lineRule="exact"/>
        <w:rPr>
          <w:rFonts w:ascii="Arial" w:cs="Arial" w:eastAsia="Arial" w:hAnsi="Arial"/>
          <w:sz w:val="14"/>
          <w:szCs w:val="14"/>
          <w:b w:val="1"/>
          <w:bCs w:val="1"/>
          <w:color w:val="205BA8"/>
        </w:rPr>
      </w:pPr>
    </w:p>
    <w:p>
      <w:pPr>
        <w:ind w:left="880" w:hanging="332"/>
        <w:spacing w:after="0"/>
        <w:tabs>
          <w:tab w:leader="none" w:pos="880" w:val="left"/>
        </w:tabs>
        <w:numPr>
          <w:ilvl w:val="0"/>
          <w:numId w:val="52"/>
        </w:numPr>
        <w:rPr>
          <w:rFonts w:ascii="Arial" w:cs="Arial" w:eastAsia="Arial" w:hAnsi="Arial"/>
          <w:sz w:val="14"/>
          <w:szCs w:val="14"/>
          <w:b w:val="1"/>
          <w:bCs w:val="1"/>
          <w:color w:val="205BA8"/>
        </w:rPr>
      </w:pPr>
      <w:r>
        <w:rPr>
          <w:rFonts w:ascii="Arial" w:cs="Arial" w:eastAsia="Arial" w:hAnsi="Arial"/>
          <w:sz w:val="14"/>
          <w:szCs w:val="14"/>
          <w:color w:val="auto"/>
        </w:rPr>
        <w:t>Represents less than 1%.</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SHAREHOLDER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37" w:lineRule="exact"/>
        <w:rPr>
          <w:sz w:val="20"/>
          <w:szCs w:val="20"/>
          <w:color w:val="auto"/>
        </w:rPr>
      </w:pPr>
    </w:p>
    <w:p>
      <w:pPr>
        <w:ind w:left="540" w:right="580"/>
        <w:spacing w:after="0" w:line="229" w:lineRule="auto"/>
        <w:rPr>
          <w:sz w:val="20"/>
          <w:szCs w:val="20"/>
          <w:color w:val="auto"/>
        </w:rPr>
      </w:pPr>
      <w:r>
        <w:rPr>
          <w:rFonts w:ascii="Arial" w:cs="Arial" w:eastAsia="Arial" w:hAnsi="Arial"/>
          <w:sz w:val="15"/>
          <w:szCs w:val="15"/>
          <w:color w:val="auto"/>
        </w:rPr>
        <w:t>The Company has established a process for shareholders to send communications to the members of the board of directors. Shareholders may send such communications by mail addressed to the full board, a specific member or members of the board, or a particular committee of the board, at 777 Old Saw Mill River Road, Tarrytown, New York 10591-6707, Attention: Corporate Secretary. All such communications will be opened by our Corporate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envelope is addressed.</w:t>
      </w:r>
    </w:p>
    <w:p>
      <w:pPr>
        <w:spacing w:after="0" w:line="261"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EEF"/>
        </w:rPr>
        <w:t xml:space="preserve">50  </w:t>
      </w:r>
      <w:r>
        <w:rPr>
          <w:rFonts w:ascii="Arial" w:cs="Arial" w:eastAsia="Arial" w:hAnsi="Arial"/>
          <w:sz w:val="14"/>
          <w:szCs w:val="14"/>
          <w:color w:val="00AEEF"/>
        </w:rPr>
        <w:t>/</w:t>
      </w:r>
      <w:r>
        <w:rPr>
          <w:sz w:val="20"/>
          <w:szCs w:val="20"/>
          <w:color w:val="auto"/>
        </w:rPr>
        <w:tab/>
      </w:r>
      <w:r>
        <w:rPr>
          <w:rFonts w:ascii="Arial" w:cs="Arial" w:eastAsia="Arial" w:hAnsi="Arial"/>
          <w:sz w:val="15"/>
          <w:szCs w:val="15"/>
          <w:b w:val="1"/>
          <w:bCs w:val="1"/>
          <w:color w:val="205BA8"/>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1" w:name="page62"/>
    <w:bookmarkEnd w:id="61"/>
    <w:p>
      <w:pPr>
        <w:jc w:val="center"/>
        <w:ind w:right="-59"/>
        <w:spacing w:after="0"/>
        <w:rPr>
          <w:sz w:val="20"/>
          <w:szCs w:val="20"/>
          <w:color w:val="auto"/>
        </w:rPr>
      </w:pPr>
      <w:r>
        <w:rPr>
          <w:rFonts w:ascii="Arial" w:cs="Arial" w:eastAsia="Arial" w:hAnsi="Arial"/>
          <w:sz w:val="53"/>
          <w:szCs w:val="53"/>
          <w:b w:val="1"/>
          <w:bCs w:val="1"/>
          <w:color w:val="FFFFFF"/>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071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00" cy="1071880"/>
                    </a:xfrm>
                    <a:prstGeom prst="rect">
                      <a:avLst/>
                    </a:prstGeom>
                    <a:noFill/>
                  </pic:spPr>
                </pic:pic>
              </a:graphicData>
            </a:graphic>
          </wp:anchor>
        </w:drawing>
        <w:t>COMPENSATION-RELATED MATTERS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60"/>
        <w:spacing w:after="0"/>
        <w:rPr>
          <w:sz w:val="20"/>
          <w:szCs w:val="20"/>
          <w:color w:val="auto"/>
        </w:rPr>
      </w:pPr>
      <w:r>
        <w:rPr>
          <w:rFonts w:ascii="Arial" w:cs="Arial" w:eastAsia="Arial" w:hAnsi="Arial"/>
          <w:sz w:val="29"/>
          <w:szCs w:val="29"/>
          <w:b w:val="1"/>
          <w:bCs w:val="1"/>
          <w:color w:val="C44E5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27940</wp:posOffset>
            </wp:positionV>
            <wp:extent cx="61722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p>
      <w:pPr>
        <w:spacing w:after="0" w:line="322" w:lineRule="exact"/>
        <w:rPr>
          <w:sz w:val="20"/>
          <w:szCs w:val="20"/>
          <w:color w:val="auto"/>
        </w:rPr>
      </w:pPr>
    </w:p>
    <w:p>
      <w:pPr>
        <w:ind w:left="760" w:right="520"/>
        <w:spacing w:after="0" w:line="261" w:lineRule="auto"/>
        <w:rPr>
          <w:sz w:val="20"/>
          <w:szCs w:val="20"/>
          <w:color w:val="auto"/>
        </w:rPr>
      </w:pPr>
      <w:r>
        <w:rPr>
          <w:rFonts w:ascii="Arial" w:cs="Arial" w:eastAsia="Arial" w:hAnsi="Arial"/>
          <w:sz w:val="22"/>
          <w:szCs w:val="22"/>
          <w:b w:val="1"/>
          <w:bCs w:val="1"/>
          <w:color w:val="205BA8"/>
        </w:rPr>
        <w:t>COMPENSATION DISCUSSION AND ANALYSIS</w:t>
      </w:r>
    </w:p>
    <w:p>
      <w:pPr>
        <w:spacing w:after="0" w:line="28"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Executive Summary</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Compensation Program Overview</w:t>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Our Corporate Culture and Pay Philosophy</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2020 Business Highlights</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2020 Compensation Highlights</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Shareholder Engagement and Feedback</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How Our Pay Program Works</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Key Governance Features</w:t>
      </w:r>
    </w:p>
    <w:p>
      <w:pPr>
        <w:spacing w:after="0" w:line="53"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Compensation Program Objectives</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Components of Executive Pay: What We Pay and Why We</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Pay It</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Base Salaries</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Annual Cash Incentives</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Annual Equity Awards</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Perquisites and Personal Benefits</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Potential Severance Payments</w:t>
      </w:r>
    </w:p>
    <w:p>
      <w:pPr>
        <w:spacing w:after="0" w:line="53"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Compensation Processes</w:t>
      </w:r>
    </w:p>
    <w:p>
      <w:pPr>
        <w:spacing w:after="0" w:line="8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Compensation Committee</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Management</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Shareholder Input and Outreach</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Independent Compensation Consultant</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Peer Data</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Risk Assessment</w:t>
      </w:r>
    </w:p>
    <w:p>
      <w:pPr>
        <w:spacing w:after="0" w:line="7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Tax Implications</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560" w:type="dxa"/>
            <w:vAlign w:val="bottom"/>
          </w:tcPr>
          <w:p>
            <w:pPr>
              <w:spacing w:after="0"/>
              <w:rPr>
                <w:sz w:val="21"/>
                <w:szCs w:val="21"/>
                <w:color w:val="auto"/>
              </w:rPr>
            </w:pPr>
          </w:p>
        </w:tc>
        <w:tc>
          <w:tcPr>
            <w:tcW w:w="4020" w:type="dxa"/>
            <w:vAlign w:val="bottom"/>
          </w:tcPr>
          <w:p>
            <w:pPr>
              <w:ind w:left="320"/>
              <w:spacing w:after="0"/>
              <w:rPr>
                <w:sz w:val="20"/>
                <w:szCs w:val="20"/>
                <w:color w:val="auto"/>
              </w:rPr>
            </w:pPr>
            <w:r>
              <w:rPr>
                <w:rFonts w:ascii="Arial" w:cs="Arial" w:eastAsia="Arial" w:hAnsi="Arial"/>
                <w:sz w:val="22"/>
                <w:szCs w:val="22"/>
                <w:b w:val="1"/>
                <w:bCs w:val="1"/>
                <w:color w:val="205BA8"/>
              </w:rPr>
              <w:t>COMPENSATION COMMITTEE</w:t>
            </w:r>
          </w:p>
        </w:tc>
        <w:tc>
          <w:tcPr>
            <w:tcW w:w="840" w:type="dxa"/>
            <w:vAlign w:val="bottom"/>
          </w:tcPr>
          <w:p>
            <w:pPr>
              <w:spacing w:after="0"/>
              <w:rPr>
                <w:sz w:val="21"/>
                <w:szCs w:val="21"/>
                <w:color w:val="auto"/>
              </w:rPr>
            </w:pPr>
          </w:p>
        </w:tc>
      </w:tr>
      <w:tr>
        <w:trPr>
          <w:trHeight w:val="285"/>
        </w:trPr>
        <w:tc>
          <w:tcPr>
            <w:tcW w:w="560" w:type="dxa"/>
            <w:vAlign w:val="bottom"/>
          </w:tcPr>
          <w:p>
            <w:pPr>
              <w:jc w:val="right"/>
              <w:ind w:right="212"/>
              <w:spacing w:after="0"/>
              <w:rPr>
                <w:sz w:val="20"/>
                <w:szCs w:val="20"/>
                <w:color w:val="auto"/>
              </w:rPr>
            </w:pPr>
            <w:r>
              <w:rPr>
                <w:rFonts w:ascii="Arial" w:cs="Arial" w:eastAsia="Arial" w:hAnsi="Arial"/>
                <w:sz w:val="22"/>
                <w:szCs w:val="22"/>
                <w:b w:val="1"/>
                <w:bCs w:val="1"/>
                <w:color w:val="205BA8"/>
                <w:w w:val="89"/>
              </w:rPr>
              <w:t>52</w:t>
            </w:r>
          </w:p>
        </w:tc>
        <w:tc>
          <w:tcPr>
            <w:tcW w:w="4020" w:type="dxa"/>
            <w:vAlign w:val="bottom"/>
          </w:tcPr>
          <w:p>
            <w:pPr>
              <w:ind w:left="320"/>
              <w:spacing w:after="0"/>
              <w:rPr>
                <w:sz w:val="20"/>
                <w:szCs w:val="20"/>
                <w:color w:val="auto"/>
              </w:rPr>
            </w:pPr>
            <w:r>
              <w:rPr>
                <w:rFonts w:ascii="Arial" w:cs="Arial" w:eastAsia="Arial" w:hAnsi="Arial"/>
                <w:sz w:val="22"/>
                <w:szCs w:val="22"/>
                <w:b w:val="1"/>
                <w:bCs w:val="1"/>
                <w:color w:val="205BA8"/>
              </w:rPr>
              <w:t>REPORT</w:t>
            </w:r>
          </w:p>
        </w:tc>
        <w:tc>
          <w:tcPr>
            <w:tcW w:w="840" w:type="dxa"/>
            <w:vAlign w:val="bottom"/>
          </w:tcPr>
          <w:p>
            <w:pPr>
              <w:jc w:val="right"/>
              <w:spacing w:after="0"/>
              <w:rPr>
                <w:sz w:val="20"/>
                <w:szCs w:val="20"/>
                <w:color w:val="auto"/>
              </w:rPr>
            </w:pPr>
            <w:r>
              <w:rPr>
                <w:rFonts w:ascii="Arial" w:cs="Arial" w:eastAsia="Arial" w:hAnsi="Arial"/>
                <w:sz w:val="22"/>
                <w:szCs w:val="22"/>
                <w:b w:val="1"/>
                <w:bCs w:val="1"/>
                <w:color w:val="205BA8"/>
              </w:rPr>
              <w:t>83</w:t>
            </w:r>
          </w:p>
        </w:tc>
      </w:tr>
    </w:tbl>
    <w:p>
      <w:pPr>
        <w:ind w:left="880" w:hanging="810"/>
        <w:spacing w:after="0" w:line="207" w:lineRule="auto"/>
        <w:tabs>
          <w:tab w:leader="none" w:pos="880" w:val="left"/>
        </w:tabs>
        <w:numPr>
          <w:ilvl w:val="0"/>
          <w:numId w:val="53"/>
        </w:numPr>
        <w:rPr>
          <w:rFonts w:ascii="Arial" w:cs="Arial" w:eastAsia="Arial" w:hAnsi="Arial"/>
          <w:sz w:val="31"/>
          <w:szCs w:val="31"/>
          <w:b w:val="1"/>
          <w:bCs w:val="1"/>
          <w:color w:val="auto"/>
          <w:vertAlign w:val="superscript"/>
        </w:rPr>
      </w:pPr>
      <w:r>
        <w:rPr>
          <w:rFonts w:ascii="Arial" w:cs="Arial" w:eastAsia="Arial" w:hAnsi="Arial"/>
          <w:sz w:val="22"/>
          <w:szCs w:val="22"/>
          <w:b w:val="1"/>
          <w:bCs w:val="1"/>
          <w:color w:val="205BA8"/>
        </w:rPr>
        <w:t>COMPENSATION COMMITTEE</w:t>
      </w:r>
    </w:p>
    <w:p>
      <w:pPr>
        <w:ind w:left="880" w:hanging="810"/>
        <w:spacing w:after="0" w:line="181" w:lineRule="auto"/>
        <w:tabs>
          <w:tab w:leader="none" w:pos="880" w:val="left"/>
        </w:tabs>
        <w:numPr>
          <w:ilvl w:val="0"/>
          <w:numId w:val="53"/>
        </w:numPr>
        <w:rPr>
          <w:rFonts w:ascii="Arial" w:cs="Arial" w:eastAsia="Arial" w:hAnsi="Arial"/>
          <w:sz w:val="28"/>
          <w:szCs w:val="28"/>
          <w:b w:val="1"/>
          <w:bCs w:val="1"/>
          <w:color w:val="auto"/>
          <w:vertAlign w:val="superscript"/>
        </w:rPr>
      </w:pPr>
      <w:r>
        <w:rPr>
          <w:rFonts w:ascii="Arial" w:cs="Arial" w:eastAsia="Arial" w:hAnsi="Arial"/>
          <w:sz w:val="20"/>
          <w:szCs w:val="20"/>
          <w:b w:val="1"/>
          <w:bCs w:val="1"/>
          <w:color w:val="205BA8"/>
        </w:rPr>
        <w:t>INTERLOCKS AND INSIDER</w:t>
      </w:r>
    </w:p>
    <w:tbl>
      <w:tblPr>
        <w:tblLayout w:type="fixed"/>
        <w:tblInd w:w="80" w:type="dxa"/>
        <w:tblCellMar>
          <w:top w:w="0" w:type="dxa"/>
          <w:left w:w="0" w:type="dxa"/>
          <w:bottom w:w="0" w:type="dxa"/>
          <w:right w:w="0" w:type="dxa"/>
        </w:tblCellMar>
      </w:tblPr>
      <w:tr>
        <w:trPr>
          <w:trHeight w:val="246"/>
        </w:trPr>
        <w:tc>
          <w:tcPr>
            <w:tcW w:w="480" w:type="dxa"/>
            <w:vAlign w:val="bottom"/>
          </w:tcPr>
          <w:p>
            <w:pPr>
              <w:jc w:val="right"/>
              <w:ind w:right="244"/>
              <w:spacing w:after="0"/>
              <w:rPr>
                <w:sz w:val="20"/>
                <w:szCs w:val="20"/>
                <w:color w:val="auto"/>
              </w:rPr>
            </w:pPr>
            <w:r>
              <w:rPr>
                <w:rFonts w:ascii="Arial" w:cs="Arial" w:eastAsia="Arial" w:hAnsi="Arial"/>
                <w:sz w:val="15"/>
                <w:szCs w:val="15"/>
                <w:color w:val="auto"/>
                <w:w w:val="83"/>
              </w:rPr>
              <w:t>54</w:t>
            </w:r>
          </w:p>
        </w:tc>
        <w:tc>
          <w:tcPr>
            <w:tcW w:w="4420" w:type="dxa"/>
            <w:vAlign w:val="bottom"/>
          </w:tcPr>
          <w:p>
            <w:pPr>
              <w:ind w:left="320"/>
              <w:spacing w:after="0" w:line="246" w:lineRule="exact"/>
              <w:rPr>
                <w:sz w:val="20"/>
                <w:szCs w:val="20"/>
                <w:color w:val="auto"/>
              </w:rPr>
            </w:pPr>
            <w:r>
              <w:rPr>
                <w:rFonts w:ascii="Arial" w:cs="Arial" w:eastAsia="Arial" w:hAnsi="Arial"/>
                <w:sz w:val="22"/>
                <w:szCs w:val="22"/>
                <w:b w:val="1"/>
                <w:bCs w:val="1"/>
                <w:color w:val="205BA8"/>
              </w:rPr>
              <w:t>PARTICIPATION</w:t>
            </w:r>
          </w:p>
        </w:tc>
        <w:tc>
          <w:tcPr>
            <w:tcW w:w="440" w:type="dxa"/>
            <w:vAlign w:val="bottom"/>
          </w:tcPr>
          <w:p>
            <w:pPr>
              <w:jc w:val="right"/>
              <w:spacing w:after="0" w:line="246" w:lineRule="exact"/>
              <w:rPr>
                <w:sz w:val="20"/>
                <w:szCs w:val="20"/>
                <w:color w:val="auto"/>
              </w:rPr>
            </w:pPr>
            <w:r>
              <w:rPr>
                <w:rFonts w:ascii="Arial" w:cs="Arial" w:eastAsia="Arial" w:hAnsi="Arial"/>
                <w:sz w:val="22"/>
                <w:szCs w:val="22"/>
                <w:b w:val="1"/>
                <w:bCs w:val="1"/>
                <w:color w:val="205BA8"/>
              </w:rPr>
              <w:t>83</w:t>
            </w:r>
          </w:p>
        </w:tc>
        <w:tc>
          <w:tcPr>
            <w:tcW w:w="0" w:type="dxa"/>
            <w:vAlign w:val="bottom"/>
          </w:tcPr>
          <w:p>
            <w:pPr>
              <w:spacing w:after="0"/>
              <w:rPr>
                <w:sz w:val="1"/>
                <w:szCs w:val="1"/>
                <w:color w:val="auto"/>
              </w:rPr>
            </w:pPr>
          </w:p>
        </w:tc>
      </w:tr>
      <w:tr>
        <w:trPr>
          <w:trHeight w:val="184"/>
        </w:trPr>
        <w:tc>
          <w:tcPr>
            <w:tcW w:w="480" w:type="dxa"/>
            <w:vAlign w:val="bottom"/>
          </w:tcPr>
          <w:p>
            <w:pPr>
              <w:jc w:val="right"/>
              <w:ind w:right="244"/>
              <w:spacing w:after="0"/>
              <w:rPr>
                <w:sz w:val="20"/>
                <w:szCs w:val="20"/>
                <w:color w:val="auto"/>
              </w:rPr>
            </w:pPr>
            <w:r>
              <w:rPr>
                <w:rFonts w:ascii="Arial" w:cs="Arial" w:eastAsia="Arial" w:hAnsi="Arial"/>
                <w:sz w:val="15"/>
                <w:szCs w:val="15"/>
                <w:color w:val="auto"/>
                <w:w w:val="83"/>
              </w:rPr>
              <w:t>54</w:t>
            </w:r>
          </w:p>
        </w:tc>
        <w:tc>
          <w:tcPr>
            <w:tcW w:w="4420" w:type="dxa"/>
            <w:vAlign w:val="bottom"/>
            <w:vMerge w:val="restart"/>
          </w:tcPr>
          <w:p>
            <w:pPr>
              <w:ind w:left="320"/>
              <w:spacing w:after="0"/>
              <w:rPr>
                <w:sz w:val="20"/>
                <w:szCs w:val="20"/>
                <w:color w:val="auto"/>
              </w:rPr>
            </w:pPr>
            <w:r>
              <w:rPr>
                <w:rFonts w:ascii="Arial" w:cs="Arial" w:eastAsia="Arial" w:hAnsi="Arial"/>
                <w:sz w:val="22"/>
                <w:szCs w:val="22"/>
                <w:b w:val="1"/>
                <w:bCs w:val="1"/>
                <w:color w:val="205BA8"/>
              </w:rPr>
              <w:t>COMPENSATION DASHBOARD</w:t>
            </w:r>
          </w:p>
        </w:tc>
        <w:tc>
          <w:tcPr>
            <w:tcW w:w="440" w:type="dxa"/>
            <w:vAlign w:val="bottom"/>
            <w:vMerge w:val="restart"/>
          </w:tcPr>
          <w:p>
            <w:pPr>
              <w:jc w:val="right"/>
              <w:spacing w:after="0"/>
              <w:rPr>
                <w:sz w:val="20"/>
                <w:szCs w:val="20"/>
                <w:color w:val="auto"/>
              </w:rPr>
            </w:pPr>
            <w:r>
              <w:rPr>
                <w:rFonts w:ascii="Arial" w:cs="Arial" w:eastAsia="Arial" w:hAnsi="Arial"/>
                <w:sz w:val="22"/>
                <w:szCs w:val="22"/>
                <w:b w:val="1"/>
                <w:bCs w:val="1"/>
                <w:color w:val="205BA8"/>
              </w:rPr>
              <w:t>84</w:t>
            </w:r>
          </w:p>
        </w:tc>
        <w:tc>
          <w:tcPr>
            <w:tcW w:w="0" w:type="dxa"/>
            <w:vAlign w:val="bottom"/>
          </w:tcPr>
          <w:p>
            <w:pPr>
              <w:spacing w:after="0"/>
              <w:rPr>
                <w:sz w:val="1"/>
                <w:szCs w:val="1"/>
                <w:color w:val="auto"/>
              </w:rPr>
            </w:pPr>
          </w:p>
        </w:tc>
      </w:tr>
      <w:tr>
        <w:trPr>
          <w:trHeight w:val="153"/>
        </w:trPr>
        <w:tc>
          <w:tcPr>
            <w:tcW w:w="480" w:type="dxa"/>
            <w:vAlign w:val="bottom"/>
            <w:vMerge w:val="restart"/>
          </w:tcPr>
          <w:p>
            <w:pPr>
              <w:jc w:val="right"/>
              <w:ind w:right="244"/>
              <w:spacing w:after="0"/>
              <w:rPr>
                <w:sz w:val="20"/>
                <w:szCs w:val="20"/>
                <w:color w:val="auto"/>
              </w:rPr>
            </w:pPr>
            <w:r>
              <w:rPr>
                <w:rFonts w:ascii="Arial" w:cs="Arial" w:eastAsia="Arial" w:hAnsi="Arial"/>
                <w:sz w:val="15"/>
                <w:szCs w:val="15"/>
                <w:color w:val="auto"/>
                <w:w w:val="83"/>
              </w:rPr>
              <w:t>56</w:t>
            </w:r>
          </w:p>
        </w:tc>
        <w:tc>
          <w:tcPr>
            <w:tcW w:w="442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480" w:type="dxa"/>
            <w:vAlign w:val="bottom"/>
            <w:vMerge w:val="continue"/>
          </w:tcPr>
          <w:p>
            <w:pPr>
              <w:spacing w:after="0"/>
              <w:rPr>
                <w:sz w:val="7"/>
                <w:szCs w:val="7"/>
                <w:color w:val="auto"/>
              </w:rPr>
            </w:pPr>
          </w:p>
        </w:tc>
        <w:tc>
          <w:tcPr>
            <w:tcW w:w="4420" w:type="dxa"/>
            <w:vAlign w:val="bottom"/>
            <w:vMerge w:val="restart"/>
          </w:tcPr>
          <w:p>
            <w:pPr>
              <w:ind w:left="320"/>
              <w:spacing w:after="0"/>
              <w:rPr>
                <w:sz w:val="20"/>
                <w:szCs w:val="20"/>
                <w:color w:val="auto"/>
              </w:rPr>
            </w:pPr>
            <w:r>
              <w:rPr>
                <w:rFonts w:ascii="Arial" w:cs="Arial" w:eastAsia="Arial" w:hAnsi="Arial"/>
                <w:sz w:val="15"/>
                <w:szCs w:val="15"/>
                <w:b w:val="1"/>
                <w:bCs w:val="1"/>
                <w:color w:val="auto"/>
              </w:rPr>
              <w:t>2020 Executive Compensation Tables</w:t>
            </w:r>
          </w:p>
        </w:tc>
        <w:tc>
          <w:tcPr>
            <w:tcW w:w="4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84</w:t>
            </w:r>
          </w:p>
        </w:tc>
        <w:tc>
          <w:tcPr>
            <w:tcW w:w="0" w:type="dxa"/>
            <w:vAlign w:val="bottom"/>
          </w:tcPr>
          <w:p>
            <w:pPr>
              <w:spacing w:after="0"/>
              <w:rPr>
                <w:sz w:val="1"/>
                <w:szCs w:val="1"/>
                <w:color w:val="auto"/>
              </w:rPr>
            </w:pPr>
          </w:p>
        </w:tc>
      </w:tr>
      <w:tr>
        <w:trPr>
          <w:trHeight w:val="162"/>
        </w:trPr>
        <w:tc>
          <w:tcPr>
            <w:tcW w:w="480" w:type="dxa"/>
            <w:vAlign w:val="bottom"/>
            <w:vMerge w:val="restart"/>
          </w:tcPr>
          <w:p>
            <w:pPr>
              <w:jc w:val="right"/>
              <w:ind w:right="244"/>
              <w:spacing w:after="0"/>
              <w:rPr>
                <w:sz w:val="20"/>
                <w:szCs w:val="20"/>
                <w:color w:val="auto"/>
              </w:rPr>
            </w:pPr>
            <w:r>
              <w:rPr>
                <w:rFonts w:ascii="Arial" w:cs="Arial" w:eastAsia="Arial" w:hAnsi="Arial"/>
                <w:sz w:val="15"/>
                <w:szCs w:val="15"/>
                <w:color w:val="auto"/>
                <w:w w:val="83"/>
              </w:rPr>
              <w:t>58</w:t>
            </w:r>
          </w:p>
        </w:tc>
        <w:tc>
          <w:tcPr>
            <w:tcW w:w="44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80" w:type="dxa"/>
            <w:vAlign w:val="bottom"/>
            <w:vMerge w:val="continue"/>
          </w:tcPr>
          <w:p>
            <w:pPr>
              <w:spacing w:after="0"/>
              <w:rPr>
                <w:sz w:val="7"/>
                <w:szCs w:val="7"/>
                <w:color w:val="auto"/>
              </w:rPr>
            </w:pPr>
          </w:p>
        </w:tc>
        <w:tc>
          <w:tcPr>
            <w:tcW w:w="4420" w:type="dxa"/>
            <w:vAlign w:val="bottom"/>
            <w:vMerge w:val="restart"/>
          </w:tcPr>
          <w:p>
            <w:pPr>
              <w:ind w:left="680"/>
              <w:spacing w:after="0"/>
              <w:rPr>
                <w:sz w:val="20"/>
                <w:szCs w:val="20"/>
                <w:color w:val="auto"/>
              </w:rPr>
            </w:pPr>
            <w:r>
              <w:rPr>
                <w:rFonts w:ascii="Arial" w:cs="Arial" w:eastAsia="Arial" w:hAnsi="Arial"/>
                <w:sz w:val="15"/>
                <w:szCs w:val="15"/>
                <w:color w:val="auto"/>
              </w:rPr>
              <w:t>2020 Summary Compensation Table</w:t>
            </w: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62"/>
        </w:trPr>
        <w:tc>
          <w:tcPr>
            <w:tcW w:w="480" w:type="dxa"/>
            <w:vAlign w:val="bottom"/>
            <w:vMerge w:val="restart"/>
          </w:tcPr>
          <w:p>
            <w:pPr>
              <w:jc w:val="right"/>
              <w:ind w:right="244"/>
              <w:spacing w:after="0"/>
              <w:rPr>
                <w:sz w:val="20"/>
                <w:szCs w:val="20"/>
                <w:color w:val="auto"/>
              </w:rPr>
            </w:pPr>
            <w:r>
              <w:rPr>
                <w:rFonts w:ascii="Arial" w:cs="Arial" w:eastAsia="Arial" w:hAnsi="Arial"/>
                <w:sz w:val="15"/>
                <w:szCs w:val="15"/>
                <w:color w:val="auto"/>
                <w:w w:val="83"/>
              </w:rPr>
              <w:t>59</w:t>
            </w:r>
          </w:p>
        </w:tc>
        <w:tc>
          <w:tcPr>
            <w:tcW w:w="44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80" w:type="dxa"/>
            <w:vAlign w:val="bottom"/>
            <w:vMerge w:val="continue"/>
          </w:tcPr>
          <w:p>
            <w:pPr>
              <w:spacing w:after="0"/>
              <w:rPr>
                <w:sz w:val="7"/>
                <w:szCs w:val="7"/>
                <w:color w:val="auto"/>
              </w:rPr>
            </w:pPr>
          </w:p>
        </w:tc>
        <w:tc>
          <w:tcPr>
            <w:tcW w:w="4420" w:type="dxa"/>
            <w:vAlign w:val="bottom"/>
            <w:vMerge w:val="restart"/>
          </w:tcPr>
          <w:p>
            <w:pPr>
              <w:ind w:left="680"/>
              <w:spacing w:after="0"/>
              <w:rPr>
                <w:sz w:val="20"/>
                <w:szCs w:val="20"/>
                <w:color w:val="auto"/>
              </w:rPr>
            </w:pPr>
            <w:r>
              <w:rPr>
                <w:rFonts w:ascii="Arial" w:cs="Arial" w:eastAsia="Arial" w:hAnsi="Arial"/>
                <w:sz w:val="15"/>
                <w:szCs w:val="15"/>
                <w:color w:val="auto"/>
              </w:rPr>
              <w:t>2020 Grants of Plan-Based Awards</w:t>
            </w: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62"/>
        </w:trPr>
        <w:tc>
          <w:tcPr>
            <w:tcW w:w="480" w:type="dxa"/>
            <w:vAlign w:val="bottom"/>
            <w:vMerge w:val="restart"/>
          </w:tcPr>
          <w:p>
            <w:pPr>
              <w:jc w:val="right"/>
              <w:ind w:right="244"/>
              <w:spacing w:after="0"/>
              <w:rPr>
                <w:sz w:val="20"/>
                <w:szCs w:val="20"/>
                <w:color w:val="auto"/>
              </w:rPr>
            </w:pPr>
            <w:r>
              <w:rPr>
                <w:rFonts w:ascii="Arial" w:cs="Arial" w:eastAsia="Arial" w:hAnsi="Arial"/>
                <w:sz w:val="15"/>
                <w:szCs w:val="15"/>
                <w:color w:val="auto"/>
                <w:w w:val="83"/>
              </w:rPr>
              <w:t>60</w:t>
            </w:r>
          </w:p>
        </w:tc>
        <w:tc>
          <w:tcPr>
            <w:tcW w:w="44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80" w:type="dxa"/>
            <w:vAlign w:val="bottom"/>
            <w:vMerge w:val="continue"/>
          </w:tcPr>
          <w:p>
            <w:pPr>
              <w:spacing w:after="0"/>
              <w:rPr>
                <w:sz w:val="7"/>
                <w:szCs w:val="7"/>
                <w:color w:val="auto"/>
              </w:rPr>
            </w:pPr>
          </w:p>
        </w:tc>
        <w:tc>
          <w:tcPr>
            <w:tcW w:w="4420" w:type="dxa"/>
            <w:vAlign w:val="bottom"/>
            <w:vMerge w:val="restart"/>
          </w:tcPr>
          <w:p>
            <w:pPr>
              <w:ind w:left="680"/>
              <w:spacing w:after="0"/>
              <w:rPr>
                <w:sz w:val="20"/>
                <w:szCs w:val="20"/>
                <w:color w:val="auto"/>
              </w:rPr>
            </w:pPr>
            <w:r>
              <w:rPr>
                <w:rFonts w:ascii="Arial" w:cs="Arial" w:eastAsia="Arial" w:hAnsi="Arial"/>
                <w:sz w:val="15"/>
                <w:szCs w:val="15"/>
                <w:color w:val="auto"/>
              </w:rPr>
              <w:t>Outstanding Equity Awards at 2020 Fiscal Year-End</w:t>
            </w: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62"/>
        </w:trPr>
        <w:tc>
          <w:tcPr>
            <w:tcW w:w="48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auto"/>
                <w:w w:val="83"/>
              </w:rPr>
              <w:t>61</w:t>
            </w:r>
          </w:p>
        </w:tc>
        <w:tc>
          <w:tcPr>
            <w:tcW w:w="44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80" w:type="dxa"/>
            <w:vAlign w:val="bottom"/>
            <w:vMerge w:val="continue"/>
          </w:tcPr>
          <w:p>
            <w:pPr>
              <w:spacing w:after="0"/>
              <w:rPr>
                <w:sz w:val="7"/>
                <w:szCs w:val="7"/>
                <w:color w:val="auto"/>
              </w:rPr>
            </w:pPr>
          </w:p>
        </w:tc>
        <w:tc>
          <w:tcPr>
            <w:tcW w:w="4420" w:type="dxa"/>
            <w:vAlign w:val="bottom"/>
            <w:vMerge w:val="restart"/>
          </w:tcPr>
          <w:p>
            <w:pPr>
              <w:ind w:left="680"/>
              <w:spacing w:after="0"/>
              <w:rPr>
                <w:sz w:val="20"/>
                <w:szCs w:val="20"/>
                <w:color w:val="auto"/>
              </w:rPr>
            </w:pPr>
            <w:r>
              <w:rPr>
                <w:rFonts w:ascii="Arial" w:cs="Arial" w:eastAsia="Arial" w:hAnsi="Arial"/>
                <w:sz w:val="15"/>
                <w:szCs w:val="15"/>
                <w:color w:val="auto"/>
              </w:rPr>
              <w:t>2020 Option Exercises and Stock Vested</w:t>
            </w:r>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44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80" w:type="dxa"/>
            <w:vAlign w:val="bottom"/>
          </w:tcPr>
          <w:p>
            <w:pPr>
              <w:jc w:val="right"/>
              <w:ind w:right="244"/>
              <w:spacing w:after="0"/>
              <w:rPr>
                <w:sz w:val="20"/>
                <w:szCs w:val="20"/>
                <w:color w:val="auto"/>
              </w:rPr>
            </w:pPr>
            <w:r>
              <w:rPr>
                <w:rFonts w:ascii="Arial" w:cs="Arial" w:eastAsia="Arial" w:hAnsi="Arial"/>
                <w:sz w:val="15"/>
                <w:szCs w:val="15"/>
                <w:b w:val="1"/>
                <w:bCs w:val="1"/>
                <w:color w:val="auto"/>
                <w:w w:val="83"/>
              </w:rPr>
              <w:t>62</w:t>
            </w:r>
          </w:p>
        </w:tc>
        <w:tc>
          <w:tcPr>
            <w:tcW w:w="4420" w:type="dxa"/>
            <w:vAlign w:val="bottom"/>
          </w:tcPr>
          <w:p>
            <w:pPr>
              <w:ind w:left="680"/>
              <w:spacing w:after="0"/>
              <w:rPr>
                <w:sz w:val="20"/>
                <w:szCs w:val="20"/>
                <w:color w:val="auto"/>
              </w:rPr>
            </w:pPr>
            <w:r>
              <w:rPr>
                <w:rFonts w:ascii="Arial" w:cs="Arial" w:eastAsia="Arial" w:hAnsi="Arial"/>
                <w:sz w:val="15"/>
                <w:szCs w:val="15"/>
                <w:color w:val="auto"/>
              </w:rPr>
              <w:t>Post-Employment Compensation</w:t>
            </w:r>
          </w:p>
        </w:tc>
        <w:tc>
          <w:tcPr>
            <w:tcW w:w="440" w:type="dxa"/>
            <w:vAlign w:val="bottom"/>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43"/>
        </w:trPr>
        <w:tc>
          <w:tcPr>
            <w:tcW w:w="480" w:type="dxa"/>
            <w:vAlign w:val="bottom"/>
          </w:tcPr>
          <w:p>
            <w:pPr>
              <w:jc w:val="right"/>
              <w:ind w:right="244"/>
              <w:spacing w:after="0"/>
              <w:rPr>
                <w:sz w:val="20"/>
                <w:szCs w:val="20"/>
                <w:color w:val="auto"/>
              </w:rPr>
            </w:pPr>
            <w:r>
              <w:rPr>
                <w:rFonts w:ascii="Arial" w:cs="Arial" w:eastAsia="Arial" w:hAnsi="Arial"/>
                <w:sz w:val="15"/>
                <w:szCs w:val="15"/>
                <w:color w:val="auto"/>
                <w:w w:val="83"/>
              </w:rPr>
              <w:t>63</w:t>
            </w:r>
          </w:p>
        </w:tc>
        <w:tc>
          <w:tcPr>
            <w:tcW w:w="4420" w:type="dxa"/>
            <w:vAlign w:val="bottom"/>
          </w:tcPr>
          <w:p>
            <w:pPr>
              <w:ind w:left="320"/>
              <w:spacing w:after="0"/>
              <w:rPr>
                <w:sz w:val="20"/>
                <w:szCs w:val="20"/>
                <w:color w:val="auto"/>
              </w:rPr>
            </w:pPr>
            <w:r>
              <w:rPr>
                <w:rFonts w:ascii="Arial" w:cs="Arial" w:eastAsia="Arial" w:hAnsi="Arial"/>
                <w:sz w:val="15"/>
                <w:szCs w:val="15"/>
                <w:b w:val="1"/>
                <w:bCs w:val="1"/>
                <w:color w:val="auto"/>
              </w:rPr>
              <w:t>Additional Compensation Information</w:t>
            </w:r>
          </w:p>
        </w:tc>
        <w:tc>
          <w:tcPr>
            <w:tcW w:w="440" w:type="dxa"/>
            <w:vAlign w:val="bottom"/>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43"/>
        </w:trPr>
        <w:tc>
          <w:tcPr>
            <w:tcW w:w="480" w:type="dxa"/>
            <w:vAlign w:val="bottom"/>
          </w:tcPr>
          <w:p>
            <w:pPr>
              <w:jc w:val="right"/>
              <w:ind w:right="244"/>
              <w:spacing w:after="0"/>
              <w:rPr>
                <w:sz w:val="20"/>
                <w:szCs w:val="20"/>
                <w:color w:val="auto"/>
              </w:rPr>
            </w:pPr>
            <w:r>
              <w:rPr>
                <w:rFonts w:ascii="Arial" w:cs="Arial" w:eastAsia="Arial" w:hAnsi="Arial"/>
                <w:sz w:val="15"/>
                <w:szCs w:val="15"/>
                <w:color w:val="auto"/>
                <w:w w:val="83"/>
              </w:rPr>
              <w:t>63</w:t>
            </w:r>
          </w:p>
        </w:tc>
        <w:tc>
          <w:tcPr>
            <w:tcW w:w="4420" w:type="dxa"/>
            <w:vAlign w:val="bottom"/>
          </w:tcPr>
          <w:p>
            <w:pPr>
              <w:ind w:left="680"/>
              <w:spacing w:after="0"/>
              <w:rPr>
                <w:sz w:val="20"/>
                <w:szCs w:val="20"/>
                <w:color w:val="auto"/>
              </w:rPr>
            </w:pPr>
            <w:r>
              <w:rPr>
                <w:rFonts w:ascii="Arial" w:cs="Arial" w:eastAsia="Arial" w:hAnsi="Arial"/>
                <w:sz w:val="15"/>
                <w:szCs w:val="15"/>
                <w:color w:val="auto"/>
              </w:rPr>
              <w:t>Annual Cash Incentive</w:t>
            </w:r>
          </w:p>
        </w:tc>
        <w:tc>
          <w:tcPr>
            <w:tcW w:w="440" w:type="dxa"/>
            <w:vAlign w:val="bottom"/>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243"/>
        </w:trPr>
        <w:tc>
          <w:tcPr>
            <w:tcW w:w="480" w:type="dxa"/>
            <w:vAlign w:val="bottom"/>
          </w:tcPr>
          <w:p>
            <w:pPr>
              <w:jc w:val="right"/>
              <w:ind w:right="244"/>
              <w:spacing w:after="0"/>
              <w:rPr>
                <w:sz w:val="20"/>
                <w:szCs w:val="20"/>
                <w:color w:val="auto"/>
              </w:rPr>
            </w:pPr>
            <w:r>
              <w:rPr>
                <w:rFonts w:ascii="Arial" w:cs="Arial" w:eastAsia="Arial" w:hAnsi="Arial"/>
                <w:sz w:val="15"/>
                <w:szCs w:val="15"/>
                <w:color w:val="auto"/>
                <w:w w:val="83"/>
              </w:rPr>
              <w:t>69</w:t>
            </w:r>
          </w:p>
        </w:tc>
        <w:tc>
          <w:tcPr>
            <w:tcW w:w="4420" w:type="dxa"/>
            <w:vAlign w:val="bottom"/>
          </w:tcPr>
          <w:p>
            <w:pPr>
              <w:ind w:left="680"/>
              <w:spacing w:after="0"/>
              <w:rPr>
                <w:sz w:val="20"/>
                <w:szCs w:val="20"/>
                <w:color w:val="auto"/>
              </w:rPr>
            </w:pPr>
            <w:r>
              <w:rPr>
                <w:rFonts w:ascii="Arial" w:cs="Arial" w:eastAsia="Arial" w:hAnsi="Arial"/>
                <w:sz w:val="15"/>
                <w:szCs w:val="15"/>
                <w:color w:val="auto"/>
              </w:rPr>
              <w:t>Perquisites and Personal Benefits</w:t>
            </w:r>
          </w:p>
        </w:tc>
        <w:tc>
          <w:tcPr>
            <w:tcW w:w="440" w:type="dxa"/>
            <w:vAlign w:val="bottom"/>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43"/>
        </w:trPr>
        <w:tc>
          <w:tcPr>
            <w:tcW w:w="480" w:type="dxa"/>
            <w:vAlign w:val="bottom"/>
          </w:tcPr>
          <w:p>
            <w:pPr>
              <w:jc w:val="right"/>
              <w:ind w:right="244"/>
              <w:spacing w:after="0"/>
              <w:rPr>
                <w:sz w:val="20"/>
                <w:szCs w:val="20"/>
                <w:color w:val="auto"/>
              </w:rPr>
            </w:pPr>
            <w:r>
              <w:rPr>
                <w:rFonts w:ascii="Arial" w:cs="Arial" w:eastAsia="Arial" w:hAnsi="Arial"/>
                <w:sz w:val="15"/>
                <w:szCs w:val="15"/>
                <w:color w:val="auto"/>
                <w:w w:val="83"/>
              </w:rPr>
              <w:t>73</w:t>
            </w:r>
          </w:p>
        </w:tc>
        <w:tc>
          <w:tcPr>
            <w:tcW w:w="4420" w:type="dxa"/>
            <w:vAlign w:val="bottom"/>
          </w:tcPr>
          <w:p>
            <w:pPr>
              <w:ind w:left="680"/>
              <w:spacing w:after="0"/>
              <w:rPr>
                <w:sz w:val="20"/>
                <w:szCs w:val="20"/>
                <w:color w:val="auto"/>
              </w:rPr>
            </w:pPr>
            <w:r>
              <w:rPr>
                <w:rFonts w:ascii="Arial" w:cs="Arial" w:eastAsia="Arial" w:hAnsi="Arial"/>
                <w:sz w:val="15"/>
                <w:szCs w:val="15"/>
                <w:color w:val="auto"/>
              </w:rPr>
              <w:t>Potential Severance Payments</w:t>
            </w:r>
          </w:p>
        </w:tc>
        <w:tc>
          <w:tcPr>
            <w:tcW w:w="440" w:type="dxa"/>
            <w:vAlign w:val="bottom"/>
          </w:tcPr>
          <w:p>
            <w:pPr>
              <w:jc w:val="right"/>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243"/>
        </w:trPr>
        <w:tc>
          <w:tcPr>
            <w:tcW w:w="480" w:type="dxa"/>
            <w:vAlign w:val="bottom"/>
          </w:tcPr>
          <w:p>
            <w:pPr>
              <w:jc w:val="right"/>
              <w:ind w:right="244"/>
              <w:spacing w:after="0"/>
              <w:rPr>
                <w:sz w:val="20"/>
                <w:szCs w:val="20"/>
                <w:color w:val="auto"/>
              </w:rPr>
            </w:pPr>
            <w:r>
              <w:rPr>
                <w:rFonts w:ascii="Arial" w:cs="Arial" w:eastAsia="Arial" w:hAnsi="Arial"/>
                <w:sz w:val="15"/>
                <w:szCs w:val="15"/>
                <w:color w:val="auto"/>
                <w:w w:val="83"/>
              </w:rPr>
              <w:t>73</w:t>
            </w:r>
          </w:p>
        </w:tc>
        <w:tc>
          <w:tcPr>
            <w:tcW w:w="4420" w:type="dxa"/>
            <w:vAlign w:val="bottom"/>
          </w:tcPr>
          <w:p>
            <w:pPr>
              <w:ind w:left="680"/>
              <w:spacing w:after="0"/>
              <w:rPr>
                <w:sz w:val="20"/>
                <w:szCs w:val="20"/>
                <w:color w:val="auto"/>
              </w:rPr>
            </w:pPr>
            <w:r>
              <w:rPr>
                <w:rFonts w:ascii="Arial" w:cs="Arial" w:eastAsia="Arial" w:hAnsi="Arial"/>
                <w:sz w:val="15"/>
                <w:szCs w:val="15"/>
                <w:color w:val="auto"/>
              </w:rPr>
              <w:t>Pay Ratio</w:t>
            </w:r>
          </w:p>
        </w:tc>
        <w:tc>
          <w:tcPr>
            <w:tcW w:w="440" w:type="dxa"/>
            <w:vAlign w:val="bottom"/>
          </w:tcPr>
          <w:p>
            <w:pPr>
              <w:jc w:val="right"/>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43"/>
        </w:trPr>
        <w:tc>
          <w:tcPr>
            <w:tcW w:w="480" w:type="dxa"/>
            <w:vAlign w:val="bottom"/>
          </w:tcPr>
          <w:p>
            <w:pPr>
              <w:jc w:val="right"/>
              <w:ind w:right="244"/>
              <w:spacing w:after="0"/>
              <w:rPr>
                <w:sz w:val="20"/>
                <w:szCs w:val="20"/>
                <w:color w:val="auto"/>
              </w:rPr>
            </w:pPr>
            <w:r>
              <w:rPr>
                <w:rFonts w:ascii="Arial" w:cs="Arial" w:eastAsia="Arial" w:hAnsi="Arial"/>
                <w:sz w:val="15"/>
                <w:szCs w:val="15"/>
                <w:b w:val="1"/>
                <w:bCs w:val="1"/>
                <w:color w:val="auto"/>
                <w:w w:val="83"/>
              </w:rPr>
              <w:t>75</w:t>
            </w:r>
          </w:p>
        </w:tc>
        <w:tc>
          <w:tcPr>
            <w:tcW w:w="4420" w:type="dxa"/>
            <w:vAlign w:val="bottom"/>
          </w:tcPr>
          <w:p>
            <w:pPr>
              <w:ind w:left="680"/>
              <w:spacing w:after="0"/>
              <w:rPr>
                <w:sz w:val="20"/>
                <w:szCs w:val="20"/>
                <w:color w:val="auto"/>
              </w:rPr>
            </w:pPr>
            <w:r>
              <w:rPr>
                <w:rFonts w:ascii="Arial" w:cs="Arial" w:eastAsia="Arial" w:hAnsi="Arial"/>
                <w:sz w:val="15"/>
                <w:szCs w:val="15"/>
                <w:color w:val="auto"/>
              </w:rPr>
              <w:t>Equity Compensation Information</w:t>
            </w:r>
          </w:p>
        </w:tc>
        <w:tc>
          <w:tcPr>
            <w:tcW w:w="440" w:type="dxa"/>
            <w:vAlign w:val="bottom"/>
          </w:tcPr>
          <w:p>
            <w:pPr>
              <w:jc w:val="right"/>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221"/>
        </w:trPr>
        <w:tc>
          <w:tcPr>
            <w:tcW w:w="480" w:type="dxa"/>
            <w:vAlign w:val="bottom"/>
          </w:tcPr>
          <w:p>
            <w:pPr>
              <w:jc w:val="right"/>
              <w:ind w:right="244"/>
              <w:spacing w:after="0"/>
              <w:rPr>
                <w:sz w:val="20"/>
                <w:szCs w:val="20"/>
                <w:color w:val="auto"/>
              </w:rPr>
            </w:pPr>
            <w:r>
              <w:rPr>
                <w:rFonts w:ascii="Arial" w:cs="Arial" w:eastAsia="Arial" w:hAnsi="Arial"/>
                <w:sz w:val="15"/>
                <w:szCs w:val="15"/>
                <w:color w:val="auto"/>
                <w:w w:val="83"/>
              </w:rPr>
              <w:t>75</w:t>
            </w:r>
          </w:p>
        </w:tc>
        <w:tc>
          <w:tcPr>
            <w:tcW w:w="4420" w:type="dxa"/>
            <w:vAlign w:val="bottom"/>
          </w:tcPr>
          <w:p>
            <w:pPr>
              <w:ind w:left="860"/>
              <w:spacing w:after="0"/>
              <w:rPr>
                <w:sz w:val="20"/>
                <w:szCs w:val="20"/>
                <w:color w:val="auto"/>
              </w:rPr>
            </w:pPr>
            <w:r>
              <w:rPr>
                <w:rFonts w:ascii="Arial" w:cs="Arial" w:eastAsia="Arial" w:hAnsi="Arial"/>
                <w:sz w:val="15"/>
                <w:szCs w:val="15"/>
                <w:color w:val="auto"/>
              </w:rPr>
              <w:t>Corporate Governance Aspects of the Second</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420" w:right="1480" w:hanging="1350"/>
        <w:spacing w:after="0" w:line="182" w:lineRule="auto"/>
        <w:tabs>
          <w:tab w:leader="none" w:pos="1420" w:val="left"/>
        </w:tabs>
        <w:numPr>
          <w:ilvl w:val="0"/>
          <w:numId w:val="54"/>
        </w:numPr>
        <w:rPr>
          <w:rFonts w:ascii="Arial" w:cs="Arial" w:eastAsia="Arial" w:hAnsi="Arial"/>
          <w:sz w:val="24"/>
          <w:szCs w:val="24"/>
          <w:color w:val="auto"/>
          <w:vertAlign w:val="subscript"/>
        </w:rPr>
      </w:pPr>
      <w:r>
        <w:rPr>
          <w:rFonts w:ascii="Arial" w:cs="Arial" w:eastAsia="Arial" w:hAnsi="Arial"/>
          <w:sz w:val="13"/>
          <w:szCs w:val="13"/>
          <w:color w:val="auto"/>
        </w:rPr>
        <w:t>Amended and Restated Regeneron Pharmaceuticals, Inc. 2014 Long-Term Incentive</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760" w:type="dxa"/>
            <w:vAlign w:val="bottom"/>
          </w:tcPr>
          <w:p>
            <w:pPr>
              <w:jc w:val="right"/>
              <w:ind w:right="524"/>
              <w:spacing w:after="0"/>
              <w:rPr>
                <w:sz w:val="20"/>
                <w:szCs w:val="20"/>
                <w:color w:val="auto"/>
              </w:rPr>
            </w:pPr>
            <w:r>
              <w:rPr>
                <w:rFonts w:ascii="Arial" w:cs="Arial" w:eastAsia="Arial" w:hAnsi="Arial"/>
                <w:sz w:val="15"/>
                <w:szCs w:val="15"/>
                <w:color w:val="auto"/>
                <w:w w:val="83"/>
              </w:rPr>
              <w:t>76</w:t>
            </w:r>
          </w:p>
        </w:tc>
        <w:tc>
          <w:tcPr>
            <w:tcW w:w="3800" w:type="dxa"/>
            <w:vAlign w:val="bottom"/>
          </w:tcPr>
          <w:p>
            <w:pPr>
              <w:ind w:left="580"/>
              <w:spacing w:after="0"/>
              <w:rPr>
                <w:sz w:val="20"/>
                <w:szCs w:val="20"/>
                <w:color w:val="auto"/>
              </w:rPr>
            </w:pPr>
            <w:r>
              <w:rPr>
                <w:rFonts w:ascii="Arial" w:cs="Arial" w:eastAsia="Arial" w:hAnsi="Arial"/>
                <w:sz w:val="15"/>
                <w:szCs w:val="15"/>
                <w:color w:val="auto"/>
              </w:rPr>
              <w:t>Plan</w:t>
            </w:r>
          </w:p>
        </w:tc>
        <w:tc>
          <w:tcPr>
            <w:tcW w:w="780" w:type="dxa"/>
            <w:vAlign w:val="bottom"/>
          </w:tcPr>
          <w:p>
            <w:pPr>
              <w:jc w:val="right"/>
              <w:spacing w:after="0"/>
              <w:rPr>
                <w:sz w:val="20"/>
                <w:szCs w:val="20"/>
                <w:color w:val="auto"/>
              </w:rPr>
            </w:pPr>
            <w:r>
              <w:rPr>
                <w:rFonts w:ascii="Arial" w:cs="Arial" w:eastAsia="Arial" w:hAnsi="Arial"/>
                <w:sz w:val="15"/>
                <w:szCs w:val="15"/>
                <w:color w:val="auto"/>
              </w:rPr>
              <w:t>97</w:t>
            </w:r>
          </w:p>
        </w:tc>
      </w:tr>
      <w:tr>
        <w:trPr>
          <w:trHeight w:val="243"/>
        </w:trPr>
        <w:tc>
          <w:tcPr>
            <w:tcW w:w="760" w:type="dxa"/>
            <w:vAlign w:val="bottom"/>
          </w:tcPr>
          <w:p>
            <w:pPr>
              <w:jc w:val="right"/>
              <w:ind w:right="524"/>
              <w:spacing w:after="0"/>
              <w:rPr>
                <w:sz w:val="20"/>
                <w:szCs w:val="20"/>
                <w:color w:val="auto"/>
              </w:rPr>
            </w:pPr>
            <w:r>
              <w:rPr>
                <w:rFonts w:ascii="Arial" w:cs="Arial" w:eastAsia="Arial" w:hAnsi="Arial"/>
                <w:sz w:val="15"/>
                <w:szCs w:val="15"/>
                <w:color w:val="auto"/>
                <w:w w:val="83"/>
              </w:rPr>
              <w:t>79</w:t>
            </w:r>
          </w:p>
        </w:tc>
        <w:tc>
          <w:tcPr>
            <w:tcW w:w="3800" w:type="dxa"/>
            <w:vAlign w:val="bottom"/>
          </w:tcPr>
          <w:p>
            <w:pPr>
              <w:ind w:left="580"/>
              <w:spacing w:after="0"/>
              <w:rPr>
                <w:sz w:val="20"/>
                <w:szCs w:val="20"/>
                <w:color w:val="auto"/>
              </w:rPr>
            </w:pPr>
            <w:r>
              <w:rPr>
                <w:rFonts w:ascii="Arial" w:cs="Arial" w:eastAsia="Arial" w:hAnsi="Arial"/>
                <w:sz w:val="15"/>
                <w:szCs w:val="15"/>
                <w:color w:val="auto"/>
              </w:rPr>
              <w:t>Key Equity Metrics</w:t>
            </w:r>
          </w:p>
        </w:tc>
        <w:tc>
          <w:tcPr>
            <w:tcW w:w="780" w:type="dxa"/>
            <w:vAlign w:val="bottom"/>
          </w:tcPr>
          <w:p>
            <w:pPr>
              <w:jc w:val="right"/>
              <w:spacing w:after="0"/>
              <w:rPr>
                <w:sz w:val="20"/>
                <w:szCs w:val="20"/>
                <w:color w:val="auto"/>
              </w:rPr>
            </w:pPr>
            <w:r>
              <w:rPr>
                <w:rFonts w:ascii="Arial" w:cs="Arial" w:eastAsia="Arial" w:hAnsi="Arial"/>
                <w:sz w:val="15"/>
                <w:szCs w:val="15"/>
                <w:color w:val="auto"/>
              </w:rPr>
              <w:t>97</w:t>
            </w:r>
          </w:p>
        </w:tc>
      </w:tr>
      <w:tr>
        <w:trPr>
          <w:trHeight w:val="243"/>
        </w:trPr>
        <w:tc>
          <w:tcPr>
            <w:tcW w:w="760" w:type="dxa"/>
            <w:vAlign w:val="bottom"/>
          </w:tcPr>
          <w:p>
            <w:pPr>
              <w:jc w:val="right"/>
              <w:ind w:right="524"/>
              <w:spacing w:after="0"/>
              <w:rPr>
                <w:sz w:val="20"/>
                <w:szCs w:val="20"/>
                <w:color w:val="auto"/>
              </w:rPr>
            </w:pPr>
            <w:r>
              <w:rPr>
                <w:rFonts w:ascii="Arial" w:cs="Arial" w:eastAsia="Arial" w:hAnsi="Arial"/>
                <w:sz w:val="15"/>
                <w:szCs w:val="15"/>
                <w:color w:val="auto"/>
                <w:w w:val="83"/>
              </w:rPr>
              <w:t>79</w:t>
            </w:r>
          </w:p>
        </w:tc>
        <w:tc>
          <w:tcPr>
            <w:tcW w:w="3800" w:type="dxa"/>
            <w:vAlign w:val="bottom"/>
          </w:tcPr>
          <w:p>
            <w:pPr>
              <w:ind w:left="580"/>
              <w:spacing w:after="0"/>
              <w:rPr>
                <w:sz w:val="20"/>
                <w:szCs w:val="20"/>
                <w:color w:val="auto"/>
              </w:rPr>
            </w:pPr>
            <w:r>
              <w:rPr>
                <w:rFonts w:ascii="Arial" w:cs="Arial" w:eastAsia="Arial" w:hAnsi="Arial"/>
                <w:sz w:val="15"/>
                <w:szCs w:val="15"/>
                <w:color w:val="auto"/>
              </w:rPr>
              <w:t>Equity Compensation Plan Information</w:t>
            </w:r>
          </w:p>
        </w:tc>
        <w:tc>
          <w:tcPr>
            <w:tcW w:w="78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243"/>
        </w:trPr>
        <w:tc>
          <w:tcPr>
            <w:tcW w:w="760" w:type="dxa"/>
            <w:vAlign w:val="bottom"/>
          </w:tcPr>
          <w:p>
            <w:pPr>
              <w:jc w:val="right"/>
              <w:ind w:right="524"/>
              <w:spacing w:after="0"/>
              <w:rPr>
                <w:sz w:val="20"/>
                <w:szCs w:val="20"/>
                <w:color w:val="auto"/>
              </w:rPr>
            </w:pPr>
            <w:r>
              <w:rPr>
                <w:rFonts w:ascii="Arial" w:cs="Arial" w:eastAsia="Arial" w:hAnsi="Arial"/>
                <w:sz w:val="15"/>
                <w:szCs w:val="15"/>
                <w:color w:val="auto"/>
                <w:w w:val="83"/>
              </w:rPr>
              <w:t>81</w:t>
            </w:r>
          </w:p>
        </w:tc>
        <w:tc>
          <w:tcPr>
            <w:tcW w:w="38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760" w:type="dxa"/>
            <w:vAlign w:val="bottom"/>
          </w:tcPr>
          <w:p>
            <w:pPr>
              <w:jc w:val="right"/>
              <w:ind w:right="524"/>
              <w:spacing w:after="0"/>
              <w:rPr>
                <w:sz w:val="20"/>
                <w:szCs w:val="20"/>
                <w:color w:val="auto"/>
              </w:rPr>
            </w:pPr>
            <w:r>
              <w:rPr>
                <w:rFonts w:ascii="Arial" w:cs="Arial" w:eastAsia="Arial" w:hAnsi="Arial"/>
                <w:sz w:val="15"/>
                <w:szCs w:val="15"/>
                <w:color w:val="auto"/>
                <w:w w:val="83"/>
              </w:rPr>
              <w:t>81</w:t>
            </w:r>
          </w:p>
        </w:tc>
        <w:tc>
          <w:tcPr>
            <w:tcW w:w="3800" w:type="dxa"/>
            <w:vAlign w:val="bottom"/>
          </w:tcPr>
          <w:p>
            <w:pPr>
              <w:spacing w:after="0"/>
              <w:rPr>
                <w:sz w:val="21"/>
                <w:szCs w:val="21"/>
                <w:color w:val="auto"/>
              </w:rPr>
            </w:pPr>
          </w:p>
        </w:tc>
        <w:tc>
          <w:tcPr>
            <w:tcW w:w="7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2">
            <w:col w:w="4960" w:space="100"/>
            <w:col w:w="6180"/>
          </w:cols>
          <w:pgMar w:left="320" w:top="1068" w:right="3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ind w:left="220"/>
              <w:spacing w:after="0"/>
              <w:rPr>
                <w:sz w:val="20"/>
                <w:szCs w:val="20"/>
                <w:color w:val="auto"/>
              </w:rPr>
            </w:pPr>
            <w:r>
              <w:rPr>
                <w:rFonts w:ascii="Arial" w:cs="Arial" w:eastAsia="Arial" w:hAnsi="Arial"/>
                <w:sz w:val="15"/>
                <w:szCs w:val="15"/>
                <w:b w:val="1"/>
                <w:bCs w:val="1"/>
                <w:color w:val="205BA8"/>
              </w:rPr>
              <w:t>2021 PROXY STATEMENT AND NOTICE OF ANNUAL SHAREHOLDER MEETING</w:t>
            </w:r>
          </w:p>
        </w:tc>
        <w:tc>
          <w:tcPr>
            <w:tcW w:w="2880" w:type="dxa"/>
            <w:vAlign w:val="bottom"/>
          </w:tcPr>
          <w:p>
            <w:pPr>
              <w:jc w:val="right"/>
              <w:ind w:right="148"/>
              <w:spacing w:after="0"/>
              <w:rPr>
                <w:sz w:val="20"/>
                <w:szCs w:val="20"/>
                <w:color w:val="auto"/>
              </w:rPr>
            </w:pPr>
            <w:r>
              <w:rPr>
                <w:rFonts w:ascii="Arial" w:cs="Arial" w:eastAsia="Arial" w:hAnsi="Arial"/>
                <w:sz w:val="14"/>
                <w:szCs w:val="14"/>
                <w:color w:val="00AEEF"/>
              </w:rPr>
              <w:t xml:space="preserve">/  </w:t>
            </w:r>
            <w:r>
              <w:rPr>
                <w:rFonts w:ascii="Arial" w:cs="Arial" w:eastAsia="Arial" w:hAnsi="Arial"/>
                <w:sz w:val="14"/>
                <w:szCs w:val="14"/>
                <w:b w:val="1"/>
                <w:bCs w:val="1"/>
                <w:color w:val="00AEEF"/>
              </w:rPr>
              <w:t>51</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1068" w:right="339" w:bottom="1440" w:gutter="0" w:footer="0" w:header="0"/>
          <w:type w:val="continuous"/>
        </w:sectPr>
      </w:pPr>
    </w:p>
    <w:bookmarkStart w:id="62" w:name="page63"/>
    <w:bookmarkEnd w:id="62"/>
    <w:p>
      <w:pPr>
        <w:ind w:left="540" w:right="720"/>
        <w:spacing w:after="0" w:line="284" w:lineRule="auto"/>
        <w:rPr>
          <w:sz w:val="20"/>
          <w:szCs w:val="20"/>
          <w:color w:val="auto"/>
        </w:rPr>
      </w:pPr>
      <w:r>
        <w:rPr>
          <w:rFonts w:ascii="Arial" w:cs="Arial" w:eastAsia="Arial" w:hAnsi="Arial"/>
          <w:sz w:val="68"/>
          <w:szCs w:val="68"/>
          <w:b w:val="1"/>
          <w:bCs w:val="1"/>
          <w:color w:val="205BA8"/>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817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325" w:lineRule="exact"/>
        <w:rPr>
          <w:sz w:val="20"/>
          <w:szCs w:val="20"/>
          <w:color w:val="auto"/>
        </w:rPr>
      </w:pPr>
    </w:p>
    <w:p>
      <w:pPr>
        <w:ind w:left="540" w:right="720"/>
        <w:spacing w:after="0" w:line="224" w:lineRule="auto"/>
        <w:rPr>
          <w:sz w:val="20"/>
          <w:szCs w:val="20"/>
          <w:color w:val="auto"/>
        </w:rPr>
      </w:pPr>
      <w:r>
        <w:rPr>
          <w:rFonts w:ascii="Arial" w:cs="Arial" w:eastAsia="Arial" w:hAnsi="Arial"/>
          <w:sz w:val="15"/>
          <w:szCs w:val="15"/>
          <w:color w:val="auto"/>
        </w:rPr>
        <w:t>The following Compensation Discussion and Analysis (“CD&amp;A”) describes the philosophy, objectives, and structure of our 2020 executive compensation program.</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This CD&amp;A is intended to be read in conjunction with the subsequent tables presented under “Compensation Dashboard – 2020 Executive Compensation Tables,” which provide further historical compensation information for our “Named Executive Officers” or “NEOs”.</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22225</wp:posOffset>
            </wp:positionV>
            <wp:extent cx="6446520" cy="37807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446520" cy="378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20" w:hanging="172"/>
        <w:spacing w:after="0"/>
        <w:tabs>
          <w:tab w:leader="none" w:pos="720" w:val="left"/>
        </w:tabs>
        <w:numPr>
          <w:ilvl w:val="0"/>
          <w:numId w:val="55"/>
        </w:numPr>
        <w:rPr>
          <w:rFonts w:ascii="Arial" w:cs="Arial" w:eastAsia="Arial" w:hAnsi="Arial"/>
          <w:sz w:val="14"/>
          <w:szCs w:val="14"/>
          <w:b w:val="1"/>
          <w:bCs w:val="1"/>
          <w:color w:val="205BA8"/>
        </w:rPr>
      </w:pPr>
      <w:r>
        <w:rPr>
          <w:rFonts w:ascii="Arial" w:cs="Arial" w:eastAsia="Arial" w:hAnsi="Arial"/>
          <w:sz w:val="14"/>
          <w:szCs w:val="14"/>
          <w:color w:val="auto"/>
        </w:rPr>
        <w:t>In this section, “we,” “us,” and “our” refer to the Company and, where applicable, to the Compensation Committee of the Company’s board of directors.</w:t>
      </w:r>
    </w:p>
    <w:p>
      <w:pPr>
        <w:spacing w:after="0" w:line="163" w:lineRule="exact"/>
        <w:rPr>
          <w:sz w:val="20"/>
          <w:szCs w:val="20"/>
          <w:color w:val="auto"/>
        </w:rPr>
      </w:pPr>
    </w:p>
    <w:p>
      <w:pPr>
        <w:ind w:left="720" w:right="800" w:hanging="172"/>
        <w:spacing w:after="0" w:line="249" w:lineRule="auto"/>
        <w:tabs>
          <w:tab w:leader="none" w:pos="720" w:val="left"/>
        </w:tabs>
        <w:numPr>
          <w:ilvl w:val="0"/>
          <w:numId w:val="56"/>
        </w:numPr>
        <w:rPr>
          <w:rFonts w:ascii="Arial" w:cs="Arial" w:eastAsia="Arial" w:hAnsi="Arial"/>
          <w:sz w:val="14"/>
          <w:szCs w:val="14"/>
          <w:b w:val="1"/>
          <w:bCs w:val="1"/>
          <w:color w:val="205BA8"/>
        </w:rPr>
      </w:pPr>
      <w:r>
        <w:rPr>
          <w:rFonts w:ascii="Arial" w:cs="Arial" w:eastAsia="Arial" w:hAnsi="Arial"/>
          <w:sz w:val="14"/>
          <w:szCs w:val="14"/>
          <w:color w:val="auto"/>
        </w:rPr>
        <w:t>These are determined in accordance with SEC rules, and for this year consist of our President and Chief Executive Officer (“CEO”); President and Chief Scientific Officer (“CSO”); Executive Vice President, Finance and Chief Financial Officer (“CFO”); and our two other highest-paid executives for 2020, our Executive Vice President and General Manager, Industrial Operations and Product Supply, and our Executive Vice President, Research.</w:t>
      </w:r>
    </w:p>
    <w:p>
      <w:pPr>
        <w:spacing w:after="0" w:line="283"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52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325" w:right="339" w:bottom="1440" w:gutter="0" w:footer="0" w:header="0"/>
        </w:sectPr>
      </w:pPr>
    </w:p>
    <w:bookmarkStart w:id="63" w:name="page64"/>
    <w:bookmarkEnd w:id="63"/>
    <w:p>
      <w:pPr>
        <w:jc w:val="right"/>
        <w:ind w:righ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0"/>
          <w:szCs w:val="20"/>
          <w:color w:val="auto"/>
        </w:rPr>
      </w:pPr>
    </w:p>
    <w:p>
      <w:pPr>
        <w:ind w:left="540"/>
        <w:spacing w:after="0"/>
        <w:rPr>
          <w:sz w:val="20"/>
          <w:szCs w:val="20"/>
          <w:color w:val="auto"/>
        </w:rPr>
      </w:pPr>
      <w:r>
        <w:rPr>
          <w:rFonts w:ascii="Arial" w:cs="Arial" w:eastAsia="Arial" w:hAnsi="Arial"/>
          <w:sz w:val="59"/>
          <w:szCs w:val="59"/>
          <w:b w:val="1"/>
          <w:bCs w:val="1"/>
          <w:color w:val="205BA8"/>
        </w:rPr>
        <w:t>EXECUTIVE SUMMARY</w:t>
      </w:r>
    </w:p>
    <w:p>
      <w:pPr>
        <w:spacing w:after="0" w:line="251" w:lineRule="exact"/>
        <w:rPr>
          <w:sz w:val="20"/>
          <w:szCs w:val="20"/>
          <w:color w:val="auto"/>
        </w:rPr>
      </w:pPr>
    </w:p>
    <w:p>
      <w:pPr>
        <w:ind w:left="880" w:hanging="332"/>
        <w:spacing w:after="0"/>
        <w:tabs>
          <w:tab w:leader="none" w:pos="880" w:val="left"/>
        </w:tabs>
        <w:numPr>
          <w:ilvl w:val="0"/>
          <w:numId w:val="57"/>
        </w:numPr>
        <w:rPr>
          <w:rFonts w:ascii="Arial" w:cs="Arial" w:eastAsia="Arial" w:hAnsi="Arial"/>
          <w:sz w:val="15"/>
          <w:szCs w:val="15"/>
          <w:b w:val="1"/>
          <w:bCs w:val="1"/>
          <w:color w:val="205BA8"/>
        </w:rPr>
      </w:pPr>
      <w:r>
        <w:rPr>
          <w:rFonts w:ascii="Arial" w:cs="Arial" w:eastAsia="Arial" w:hAnsi="Arial"/>
          <w:sz w:val="15"/>
          <w:szCs w:val="15"/>
          <w:b w:val="1"/>
          <w:bCs w:val="1"/>
          <w:color w:val="205BA8"/>
        </w:rPr>
        <w:t>Strong 2020 Corporate Performance &amp; Rapid Response to COVID-19 Pandemic</w:t>
      </w:r>
    </w:p>
    <w:p>
      <w:pPr>
        <w:spacing w:after="0" w:line="151" w:lineRule="exact"/>
        <w:rPr>
          <w:rFonts w:ascii="Arial" w:cs="Arial" w:eastAsia="Arial" w:hAnsi="Arial"/>
          <w:sz w:val="15"/>
          <w:szCs w:val="15"/>
          <w:b w:val="1"/>
          <w:bCs w:val="1"/>
          <w:color w:val="205BA8"/>
        </w:rPr>
      </w:pPr>
    </w:p>
    <w:p>
      <w:pPr>
        <w:ind w:left="1040" w:hanging="168"/>
        <w:spacing w:after="0"/>
        <w:tabs>
          <w:tab w:leader="none" w:pos="1040" w:val="left"/>
        </w:tabs>
        <w:numPr>
          <w:ilvl w:val="1"/>
          <w:numId w:val="57"/>
        </w:numPr>
        <w:rPr>
          <w:rFonts w:ascii="Arial" w:cs="Arial" w:eastAsia="Arial" w:hAnsi="Arial"/>
          <w:sz w:val="15"/>
          <w:szCs w:val="15"/>
          <w:b w:val="1"/>
          <w:bCs w:val="1"/>
          <w:color w:val="205BA8"/>
        </w:rPr>
      </w:pPr>
      <w:r>
        <w:rPr>
          <w:rFonts w:ascii="Arial" w:cs="Arial" w:eastAsia="Arial" w:hAnsi="Arial"/>
          <w:sz w:val="15"/>
          <w:szCs w:val="15"/>
          <w:b w:val="1"/>
          <w:bCs w:val="1"/>
          <w:color w:val="auto"/>
        </w:rPr>
        <w:t>Mobilized scientific, development, manufacturing, and operational capabilities to combat COVID-19</w:t>
      </w:r>
    </w:p>
    <w:p>
      <w:pPr>
        <w:spacing w:after="0" w:line="169" w:lineRule="exact"/>
        <w:rPr>
          <w:rFonts w:ascii="Arial" w:cs="Arial" w:eastAsia="Arial" w:hAnsi="Arial"/>
          <w:sz w:val="15"/>
          <w:szCs w:val="15"/>
          <w:b w:val="1"/>
          <w:bCs w:val="1"/>
          <w:color w:val="205BA8"/>
        </w:rPr>
      </w:pPr>
    </w:p>
    <w:p>
      <w:pPr>
        <w:ind w:left="1220" w:right="760" w:hanging="176"/>
        <w:spacing w:after="0" w:line="242" w:lineRule="auto"/>
        <w:rPr>
          <w:rFonts w:ascii="Arial" w:cs="Arial" w:eastAsia="Arial" w:hAnsi="Arial"/>
          <w:sz w:val="15"/>
          <w:szCs w:val="15"/>
          <w:b w:val="1"/>
          <w:bCs w:val="1"/>
          <w:color w:val="205BA8"/>
        </w:rPr>
      </w:pPr>
      <w:r>
        <w:rPr>
          <w:rFonts w:ascii="Arial" w:cs="Arial" w:eastAsia="Arial" w:hAnsi="Arial"/>
          <w:sz w:val="15"/>
          <w:szCs w:val="15"/>
          <w:color w:val="205BA8"/>
        </w:rPr>
        <w:t xml:space="preserve">– </w:t>
      </w:r>
      <w:r>
        <w:rPr>
          <w:rFonts w:ascii="Arial" w:cs="Arial" w:eastAsia="Arial" w:hAnsi="Arial"/>
          <w:sz w:val="15"/>
          <w:szCs w:val="15"/>
          <w:color w:val="000000"/>
        </w:rPr>
        <w:t>Rapidly discovered and commenced development and manufacturing of REGEN-COV™ (casirivimab with imdevimab), an investigational</w:t>
      </w:r>
      <w:r>
        <w:rPr>
          <w:rFonts w:ascii="Arial" w:cs="Arial" w:eastAsia="Arial" w:hAnsi="Arial"/>
          <w:sz w:val="15"/>
          <w:szCs w:val="15"/>
          <w:color w:val="205BA8"/>
        </w:rPr>
        <w:t xml:space="preserve"> </w:t>
      </w:r>
      <w:r>
        <w:rPr>
          <w:rFonts w:ascii="Arial" w:cs="Arial" w:eastAsia="Arial" w:hAnsi="Arial"/>
          <w:sz w:val="15"/>
          <w:szCs w:val="15"/>
          <w:color w:val="000000"/>
        </w:rPr>
        <w:t>cocktail of two fully-human monoclonal antibodies designed to prevent and treat infection from the SARS-CoV-2 virus</w:t>
      </w:r>
    </w:p>
    <w:p>
      <w:pPr>
        <w:spacing w:after="0" w:line="138" w:lineRule="exact"/>
        <w:rPr>
          <w:rFonts w:ascii="Arial" w:cs="Arial" w:eastAsia="Arial" w:hAnsi="Arial"/>
          <w:sz w:val="15"/>
          <w:szCs w:val="15"/>
          <w:b w:val="1"/>
          <w:bCs w:val="1"/>
          <w:color w:val="205BA8"/>
        </w:rPr>
      </w:pPr>
    </w:p>
    <w:p>
      <w:pPr>
        <w:ind w:left="1040"/>
        <w:spacing w:after="0"/>
        <w:rPr>
          <w:rFonts w:ascii="Arial" w:cs="Arial" w:eastAsia="Arial" w:hAnsi="Arial"/>
          <w:sz w:val="15"/>
          <w:szCs w:val="15"/>
          <w:b w:val="1"/>
          <w:bCs w:val="1"/>
          <w:color w:val="205BA8"/>
        </w:rPr>
      </w:pPr>
      <w:r>
        <w:rPr>
          <w:rFonts w:ascii="Arial" w:cs="Arial" w:eastAsia="Arial" w:hAnsi="Arial"/>
          <w:sz w:val="15"/>
          <w:szCs w:val="15"/>
          <w:color w:val="205BA8"/>
        </w:rPr>
        <w:t xml:space="preserve">– </w:t>
      </w:r>
      <w:r>
        <w:rPr>
          <w:rFonts w:ascii="Arial" w:cs="Arial" w:eastAsia="Arial" w:hAnsi="Arial"/>
          <w:sz w:val="15"/>
          <w:szCs w:val="15"/>
          <w:color w:val="000000"/>
        </w:rPr>
        <w:t>Brought REGEN-COV to patients 10 months after program inception through securing an Emergency Use Authorization from the FDA</w:t>
      </w:r>
    </w:p>
    <w:p>
      <w:pPr>
        <w:spacing w:after="0" w:line="151" w:lineRule="exact"/>
        <w:rPr>
          <w:rFonts w:ascii="Arial" w:cs="Arial" w:eastAsia="Arial" w:hAnsi="Arial"/>
          <w:sz w:val="15"/>
          <w:szCs w:val="15"/>
          <w:b w:val="1"/>
          <w:bCs w:val="1"/>
          <w:color w:val="205BA8"/>
        </w:rPr>
      </w:pPr>
    </w:p>
    <w:p>
      <w:pPr>
        <w:ind w:left="1040"/>
        <w:spacing w:after="0"/>
        <w:rPr>
          <w:rFonts w:ascii="Arial" w:cs="Arial" w:eastAsia="Arial" w:hAnsi="Arial"/>
          <w:sz w:val="15"/>
          <w:szCs w:val="15"/>
          <w:b w:val="1"/>
          <w:bCs w:val="1"/>
          <w:color w:val="205BA8"/>
        </w:rPr>
      </w:pPr>
      <w:r>
        <w:rPr>
          <w:rFonts w:ascii="Arial" w:cs="Arial" w:eastAsia="Arial" w:hAnsi="Arial"/>
          <w:sz w:val="15"/>
          <w:szCs w:val="15"/>
          <w:color w:val="205BA8"/>
        </w:rPr>
        <w:t xml:space="preserve">– </w:t>
      </w:r>
      <w:r>
        <w:rPr>
          <w:rFonts w:ascii="Arial" w:cs="Arial" w:eastAsia="Arial" w:hAnsi="Arial"/>
          <w:sz w:val="15"/>
          <w:szCs w:val="15"/>
          <w:color w:val="000000"/>
        </w:rPr>
        <w:t>Entered into a collaboration with Roche to significantly increase the global supply of REGEN-COV</w:t>
      </w:r>
    </w:p>
    <w:p>
      <w:pPr>
        <w:spacing w:after="0" w:line="133" w:lineRule="exact"/>
        <w:rPr>
          <w:rFonts w:ascii="Arial" w:cs="Arial" w:eastAsia="Arial" w:hAnsi="Arial"/>
          <w:sz w:val="15"/>
          <w:szCs w:val="15"/>
          <w:b w:val="1"/>
          <w:bCs w:val="1"/>
          <w:color w:val="205BA8"/>
        </w:rPr>
      </w:pPr>
    </w:p>
    <w:p>
      <w:pPr>
        <w:ind w:left="1040" w:hanging="168"/>
        <w:spacing w:after="0"/>
        <w:tabs>
          <w:tab w:leader="none" w:pos="1040" w:val="left"/>
        </w:tabs>
        <w:numPr>
          <w:ilvl w:val="1"/>
          <w:numId w:val="57"/>
        </w:numPr>
        <w:rPr>
          <w:rFonts w:ascii="Arial" w:cs="Arial" w:eastAsia="Arial" w:hAnsi="Arial"/>
          <w:sz w:val="15"/>
          <w:szCs w:val="15"/>
          <w:b w:val="1"/>
          <w:bCs w:val="1"/>
          <w:color w:val="205BA8"/>
        </w:rPr>
      </w:pPr>
      <w:r>
        <w:rPr>
          <w:rFonts w:ascii="Arial" w:cs="Arial" w:eastAsia="Arial" w:hAnsi="Arial"/>
          <w:sz w:val="15"/>
          <w:szCs w:val="15"/>
          <w:b w:val="1"/>
          <w:bCs w:val="1"/>
          <w:color w:val="auto"/>
        </w:rPr>
        <w:t>Achieved significant progress in all key business areas in 2020 despite the impact of the COVID-19 pandemic</w:t>
      </w:r>
    </w:p>
    <w:p>
      <w:pPr>
        <w:spacing w:after="0" w:line="169" w:lineRule="exact"/>
        <w:rPr>
          <w:rFonts w:ascii="Arial" w:cs="Arial" w:eastAsia="Arial" w:hAnsi="Arial"/>
          <w:sz w:val="15"/>
          <w:szCs w:val="15"/>
          <w:b w:val="1"/>
          <w:bCs w:val="1"/>
          <w:color w:val="205BA8"/>
        </w:rPr>
      </w:pPr>
    </w:p>
    <w:p>
      <w:pPr>
        <w:ind w:left="1040"/>
        <w:spacing w:after="0"/>
        <w:rPr>
          <w:rFonts w:ascii="Arial" w:cs="Arial" w:eastAsia="Arial" w:hAnsi="Arial"/>
          <w:sz w:val="15"/>
          <w:szCs w:val="15"/>
          <w:b w:val="1"/>
          <w:bCs w:val="1"/>
          <w:color w:val="205BA8"/>
        </w:rPr>
      </w:pPr>
      <w:r>
        <w:rPr>
          <w:rFonts w:ascii="Arial" w:cs="Arial" w:eastAsia="Arial" w:hAnsi="Arial"/>
          <w:sz w:val="15"/>
          <w:szCs w:val="15"/>
          <w:color w:val="205BA8"/>
        </w:rPr>
        <w:t xml:space="preserve">– </w:t>
      </w:r>
      <w:r>
        <w:rPr>
          <w:rFonts w:ascii="Arial" w:cs="Arial" w:eastAsia="Arial" w:hAnsi="Arial"/>
          <w:sz w:val="15"/>
          <w:szCs w:val="15"/>
          <w:color w:val="000000"/>
        </w:rPr>
        <w:t>Obtained regulatory authorization for two new drugs</w:t>
      </w:r>
    </w:p>
    <w:p>
      <w:pPr>
        <w:spacing w:after="0" w:line="151" w:lineRule="exact"/>
        <w:rPr>
          <w:rFonts w:ascii="Arial" w:cs="Arial" w:eastAsia="Arial" w:hAnsi="Arial"/>
          <w:sz w:val="15"/>
          <w:szCs w:val="15"/>
          <w:b w:val="1"/>
          <w:bCs w:val="1"/>
          <w:color w:val="205BA8"/>
        </w:rPr>
      </w:pPr>
    </w:p>
    <w:p>
      <w:pPr>
        <w:ind w:left="1040"/>
        <w:spacing w:after="0"/>
        <w:rPr>
          <w:rFonts w:ascii="Arial" w:cs="Arial" w:eastAsia="Arial" w:hAnsi="Arial"/>
          <w:sz w:val="15"/>
          <w:szCs w:val="15"/>
          <w:b w:val="1"/>
          <w:bCs w:val="1"/>
          <w:color w:val="205BA8"/>
        </w:rPr>
      </w:pPr>
      <w:r>
        <w:rPr>
          <w:rFonts w:ascii="Arial" w:cs="Arial" w:eastAsia="Arial" w:hAnsi="Arial"/>
          <w:sz w:val="15"/>
          <w:szCs w:val="15"/>
          <w:color w:val="205BA8"/>
        </w:rPr>
        <w:t xml:space="preserve">– </w:t>
      </w:r>
      <w:r>
        <w:rPr>
          <w:rFonts w:ascii="Arial" w:cs="Arial" w:eastAsia="Arial" w:hAnsi="Arial"/>
          <w:sz w:val="15"/>
          <w:szCs w:val="15"/>
          <w:color w:val="000000"/>
        </w:rPr>
        <w:t>Submitted six marketing applications for new products/new indications for existing products</w:t>
      </w:r>
    </w:p>
    <w:p>
      <w:pPr>
        <w:spacing w:after="0" w:line="151" w:lineRule="exact"/>
        <w:rPr>
          <w:rFonts w:ascii="Arial" w:cs="Arial" w:eastAsia="Arial" w:hAnsi="Arial"/>
          <w:sz w:val="15"/>
          <w:szCs w:val="15"/>
          <w:b w:val="1"/>
          <w:bCs w:val="1"/>
          <w:color w:val="205BA8"/>
        </w:rPr>
      </w:pPr>
    </w:p>
    <w:p>
      <w:pPr>
        <w:ind w:left="1040"/>
        <w:spacing w:after="0"/>
        <w:rPr>
          <w:rFonts w:ascii="Arial" w:cs="Arial" w:eastAsia="Arial" w:hAnsi="Arial"/>
          <w:sz w:val="15"/>
          <w:szCs w:val="15"/>
          <w:b w:val="1"/>
          <w:bCs w:val="1"/>
          <w:color w:val="205BA8"/>
        </w:rPr>
      </w:pPr>
      <w:r>
        <w:rPr>
          <w:rFonts w:ascii="Arial" w:cs="Arial" w:eastAsia="Arial" w:hAnsi="Arial"/>
          <w:sz w:val="15"/>
          <w:szCs w:val="15"/>
          <w:color w:val="205BA8"/>
        </w:rPr>
        <w:t xml:space="preserve">– </w:t>
      </w:r>
      <w:r>
        <w:rPr>
          <w:rFonts w:ascii="Arial" w:cs="Arial" w:eastAsia="Arial" w:hAnsi="Arial"/>
          <w:sz w:val="15"/>
          <w:szCs w:val="15"/>
          <w:color w:val="000000"/>
        </w:rPr>
        <w:t>Advanced nine product candidates into clinical development</w:t>
      </w:r>
    </w:p>
    <w:p>
      <w:pPr>
        <w:spacing w:after="0" w:line="151" w:lineRule="exact"/>
        <w:rPr>
          <w:rFonts w:ascii="Arial" w:cs="Arial" w:eastAsia="Arial" w:hAnsi="Arial"/>
          <w:sz w:val="15"/>
          <w:szCs w:val="15"/>
          <w:b w:val="1"/>
          <w:bCs w:val="1"/>
          <w:color w:val="205BA8"/>
        </w:rPr>
      </w:pPr>
    </w:p>
    <w:p>
      <w:pPr>
        <w:ind w:left="1040"/>
        <w:spacing w:after="0"/>
        <w:rPr>
          <w:rFonts w:ascii="Arial" w:cs="Arial" w:eastAsia="Arial" w:hAnsi="Arial"/>
          <w:sz w:val="15"/>
          <w:szCs w:val="15"/>
          <w:b w:val="1"/>
          <w:bCs w:val="1"/>
          <w:color w:val="205BA8"/>
        </w:rPr>
      </w:pPr>
      <w:r>
        <w:rPr>
          <w:rFonts w:ascii="Arial" w:cs="Arial" w:eastAsia="Arial" w:hAnsi="Arial"/>
          <w:sz w:val="30"/>
          <w:szCs w:val="30"/>
          <w:color w:val="205BA8"/>
          <w:vertAlign w:val="superscript"/>
        </w:rPr>
        <w:t>–</w:t>
      </w:r>
      <w:r>
        <w:rPr>
          <w:rFonts w:ascii="Arial" w:cs="Arial" w:eastAsia="Arial" w:hAnsi="Arial"/>
          <w:sz w:val="15"/>
          <w:szCs w:val="15"/>
          <w:color w:val="auto"/>
        </w:rPr>
        <w:t xml:space="preserve"> Realized 30% top-line growth and 28% bottom-line growth</w:t>
      </w:r>
      <w:r>
        <w:rPr>
          <w:rFonts w:ascii="Arial" w:cs="Arial" w:eastAsia="Arial" w:hAnsi="Arial"/>
          <w:sz w:val="25"/>
          <w:szCs w:val="25"/>
          <w:color w:val="auto"/>
          <w:vertAlign w:val="superscript"/>
        </w:rPr>
        <w:t>3</w:t>
      </w:r>
    </w:p>
    <w:p>
      <w:pPr>
        <w:spacing w:after="0" w:line="19" w:lineRule="exact"/>
        <w:rPr>
          <w:rFonts w:ascii="Arial" w:cs="Arial" w:eastAsia="Arial" w:hAnsi="Arial"/>
          <w:sz w:val="15"/>
          <w:szCs w:val="15"/>
          <w:b w:val="1"/>
          <w:bCs w:val="1"/>
          <w:color w:val="205BA8"/>
        </w:rPr>
      </w:pPr>
    </w:p>
    <w:p>
      <w:pPr>
        <w:ind w:left="1040"/>
        <w:spacing w:after="0"/>
        <w:rPr>
          <w:rFonts w:ascii="Arial" w:cs="Arial" w:eastAsia="Arial" w:hAnsi="Arial"/>
          <w:sz w:val="15"/>
          <w:szCs w:val="15"/>
          <w:b w:val="1"/>
          <w:bCs w:val="1"/>
          <w:color w:val="205BA8"/>
        </w:rPr>
      </w:pPr>
      <w:r>
        <w:rPr>
          <w:rFonts w:ascii="Arial" w:cs="Arial" w:eastAsia="Arial" w:hAnsi="Arial"/>
          <w:sz w:val="15"/>
          <w:szCs w:val="15"/>
          <w:color w:val="205BA8"/>
        </w:rPr>
        <w:t xml:space="preserve">– </w:t>
      </w:r>
      <w:r>
        <w:rPr>
          <w:rFonts w:ascii="Arial" w:cs="Arial" w:eastAsia="Arial" w:hAnsi="Arial"/>
          <w:sz w:val="15"/>
          <w:szCs w:val="15"/>
          <w:color w:val="000000"/>
        </w:rPr>
        <w:t>Delivered total shareholder return of 29%</w:t>
      </w:r>
    </w:p>
    <w:p>
      <w:pPr>
        <w:spacing w:after="0" w:line="134" w:lineRule="exact"/>
        <w:rPr>
          <w:sz w:val="20"/>
          <w:szCs w:val="20"/>
          <w:color w:val="auto"/>
        </w:rPr>
      </w:pPr>
    </w:p>
    <w:p>
      <w:pPr>
        <w:ind w:left="880" w:hanging="332"/>
        <w:spacing w:after="0"/>
        <w:tabs>
          <w:tab w:leader="none" w:pos="880" w:val="left"/>
        </w:tabs>
        <w:numPr>
          <w:ilvl w:val="0"/>
          <w:numId w:val="58"/>
        </w:numPr>
        <w:rPr>
          <w:rFonts w:ascii="Arial" w:cs="Arial" w:eastAsia="Arial" w:hAnsi="Arial"/>
          <w:sz w:val="15"/>
          <w:szCs w:val="15"/>
          <w:b w:val="1"/>
          <w:bCs w:val="1"/>
          <w:color w:val="205BA8"/>
        </w:rPr>
      </w:pPr>
      <w:r>
        <w:rPr>
          <w:rFonts w:ascii="Arial" w:cs="Arial" w:eastAsia="Arial" w:hAnsi="Arial"/>
          <w:sz w:val="15"/>
          <w:szCs w:val="15"/>
          <w:b w:val="1"/>
          <w:bCs w:val="1"/>
          <w:color w:val="205BA8"/>
        </w:rPr>
        <w:t>Responsiveness to Shareholder Feedback and Compensation Program Evolution</w:t>
      </w:r>
    </w:p>
    <w:p>
      <w:pPr>
        <w:spacing w:after="0" w:line="151" w:lineRule="exact"/>
        <w:rPr>
          <w:rFonts w:ascii="Arial" w:cs="Arial" w:eastAsia="Arial" w:hAnsi="Arial"/>
          <w:sz w:val="15"/>
          <w:szCs w:val="15"/>
          <w:b w:val="1"/>
          <w:bCs w:val="1"/>
          <w:color w:val="205BA8"/>
        </w:rPr>
      </w:pPr>
    </w:p>
    <w:p>
      <w:pPr>
        <w:ind w:left="1040" w:right="720" w:hanging="168"/>
        <w:spacing w:after="0" w:line="267" w:lineRule="auto"/>
        <w:tabs>
          <w:tab w:leader="none" w:pos="1040" w:val="left"/>
        </w:tabs>
        <w:numPr>
          <w:ilvl w:val="1"/>
          <w:numId w:val="58"/>
        </w:numPr>
        <w:rPr>
          <w:rFonts w:ascii="Arial" w:cs="Arial" w:eastAsia="Arial" w:hAnsi="Arial"/>
          <w:sz w:val="15"/>
          <w:szCs w:val="15"/>
          <w:b w:val="1"/>
          <w:bCs w:val="1"/>
          <w:color w:val="205BA8"/>
        </w:rPr>
      </w:pPr>
      <w:r>
        <w:rPr>
          <w:rFonts w:ascii="Arial" w:cs="Arial" w:eastAsia="Arial" w:hAnsi="Arial"/>
          <w:sz w:val="15"/>
          <w:szCs w:val="15"/>
          <w:b w:val="1"/>
          <w:bCs w:val="1"/>
          <w:color w:val="auto"/>
        </w:rPr>
        <w:t>Awarded 100% of 2020 CEO and CSO equity grants in the form of performance restricted stock units (“PSUs”) to further align their interests with those of long-term shareholders and reward exceptional shareholder value creation</w:t>
      </w:r>
    </w:p>
    <w:p>
      <w:pPr>
        <w:spacing w:after="0" w:line="120" w:lineRule="exact"/>
        <w:rPr>
          <w:rFonts w:ascii="Arial" w:cs="Arial" w:eastAsia="Arial" w:hAnsi="Arial"/>
          <w:sz w:val="15"/>
          <w:szCs w:val="15"/>
          <w:b w:val="1"/>
          <w:bCs w:val="1"/>
          <w:color w:val="205BA8"/>
        </w:rPr>
      </w:pPr>
    </w:p>
    <w:p>
      <w:pPr>
        <w:ind w:left="1220" w:right="700" w:hanging="176"/>
        <w:spacing w:after="0" w:line="242" w:lineRule="auto"/>
        <w:rPr>
          <w:rFonts w:ascii="Arial" w:cs="Arial" w:eastAsia="Arial" w:hAnsi="Arial"/>
          <w:sz w:val="15"/>
          <w:szCs w:val="15"/>
          <w:b w:val="1"/>
          <w:bCs w:val="1"/>
          <w:color w:val="205BA8"/>
        </w:rPr>
      </w:pPr>
      <w:r>
        <w:rPr>
          <w:rFonts w:ascii="Arial" w:cs="Arial" w:eastAsia="Arial" w:hAnsi="Arial"/>
          <w:sz w:val="15"/>
          <w:szCs w:val="15"/>
          <w:color w:val="205BA8"/>
        </w:rPr>
        <w:t xml:space="preserve">– </w:t>
      </w:r>
      <w:r>
        <w:rPr>
          <w:rFonts w:ascii="Arial" w:cs="Arial" w:eastAsia="Arial" w:hAnsi="Arial"/>
          <w:sz w:val="15"/>
          <w:szCs w:val="15"/>
          <w:color w:val="000000"/>
        </w:rPr>
        <w:t>Replaced five years of CEO and CSO annual equity awards with a single grant of PSUs; no additional CEO and CSO equity grants will be</w:t>
      </w:r>
      <w:r>
        <w:rPr>
          <w:rFonts w:ascii="Arial" w:cs="Arial" w:eastAsia="Arial" w:hAnsi="Arial"/>
          <w:sz w:val="15"/>
          <w:szCs w:val="15"/>
          <w:color w:val="205BA8"/>
        </w:rPr>
        <w:t xml:space="preserve"> </w:t>
      </w:r>
      <w:r>
        <w:rPr>
          <w:rFonts w:ascii="Arial" w:cs="Arial" w:eastAsia="Arial" w:hAnsi="Arial"/>
          <w:sz w:val="15"/>
          <w:szCs w:val="15"/>
          <w:color w:val="000000"/>
        </w:rPr>
        <w:t>awarded until the Company’s regular year-end grant cycle in December 2025</w:t>
      </w:r>
    </w:p>
    <w:p>
      <w:pPr>
        <w:spacing w:after="0" w:line="138" w:lineRule="exact"/>
        <w:rPr>
          <w:rFonts w:ascii="Arial" w:cs="Arial" w:eastAsia="Arial" w:hAnsi="Arial"/>
          <w:sz w:val="15"/>
          <w:szCs w:val="15"/>
          <w:b w:val="1"/>
          <w:bCs w:val="1"/>
          <w:color w:val="205BA8"/>
        </w:rPr>
      </w:pPr>
    </w:p>
    <w:p>
      <w:pPr>
        <w:ind w:left="1220" w:right="640" w:hanging="176"/>
        <w:spacing w:after="0" w:line="242" w:lineRule="auto"/>
        <w:rPr>
          <w:rFonts w:ascii="Arial" w:cs="Arial" w:eastAsia="Arial" w:hAnsi="Arial"/>
          <w:sz w:val="15"/>
          <w:szCs w:val="15"/>
          <w:b w:val="1"/>
          <w:bCs w:val="1"/>
          <w:color w:val="205BA8"/>
        </w:rPr>
      </w:pPr>
      <w:r>
        <w:rPr>
          <w:rFonts w:ascii="Arial" w:cs="Arial" w:eastAsia="Arial" w:hAnsi="Arial"/>
          <w:sz w:val="15"/>
          <w:szCs w:val="15"/>
          <w:color w:val="205BA8"/>
        </w:rPr>
        <w:t xml:space="preserve">– </w:t>
      </w:r>
      <w:r>
        <w:rPr>
          <w:rFonts w:ascii="Arial" w:cs="Arial" w:eastAsia="Arial" w:hAnsi="Arial"/>
          <w:sz w:val="15"/>
          <w:szCs w:val="15"/>
          <w:color w:val="000000"/>
        </w:rPr>
        <w:t>Implemented new equity design incorporating total shareholder return (“TSR”)-based PSUs, with a long-term, five-year performance period</w:t>
      </w:r>
      <w:r>
        <w:rPr>
          <w:rFonts w:ascii="Arial" w:cs="Arial" w:eastAsia="Arial" w:hAnsi="Arial"/>
          <w:sz w:val="15"/>
          <w:szCs w:val="15"/>
          <w:color w:val="205BA8"/>
        </w:rPr>
        <w:t xml:space="preserve"> </w:t>
      </w:r>
      <w:r>
        <w:rPr>
          <w:rFonts w:ascii="Arial" w:cs="Arial" w:eastAsia="Arial" w:hAnsi="Arial"/>
          <w:sz w:val="15"/>
          <w:szCs w:val="15"/>
          <w:color w:val="000000"/>
        </w:rPr>
        <w:t>and a subsequent three-year mandatory deferral and holding period</w:t>
      </w:r>
    </w:p>
    <w:p>
      <w:pPr>
        <w:spacing w:after="0" w:line="120" w:lineRule="exact"/>
        <w:rPr>
          <w:rFonts w:ascii="Arial" w:cs="Arial" w:eastAsia="Arial" w:hAnsi="Arial"/>
          <w:sz w:val="15"/>
          <w:szCs w:val="15"/>
          <w:b w:val="1"/>
          <w:bCs w:val="1"/>
          <w:color w:val="205BA8"/>
        </w:rPr>
      </w:pPr>
    </w:p>
    <w:p>
      <w:pPr>
        <w:ind w:left="1040" w:hanging="168"/>
        <w:spacing w:after="0"/>
        <w:tabs>
          <w:tab w:leader="none" w:pos="1040" w:val="left"/>
        </w:tabs>
        <w:numPr>
          <w:ilvl w:val="1"/>
          <w:numId w:val="58"/>
        </w:numPr>
        <w:rPr>
          <w:rFonts w:ascii="Arial" w:cs="Arial" w:eastAsia="Arial" w:hAnsi="Arial"/>
          <w:sz w:val="15"/>
          <w:szCs w:val="15"/>
          <w:b w:val="1"/>
          <w:bCs w:val="1"/>
          <w:color w:val="205BA8"/>
        </w:rPr>
      </w:pPr>
      <w:r>
        <w:rPr>
          <w:rFonts w:ascii="Arial" w:cs="Arial" w:eastAsia="Arial" w:hAnsi="Arial"/>
          <w:sz w:val="15"/>
          <w:szCs w:val="15"/>
          <w:b w:val="1"/>
          <w:bCs w:val="1"/>
          <w:color w:val="auto"/>
        </w:rPr>
        <w:t>Further reduced equity compensation burn rate through calibration of equity award mix and grant size reductions</w:t>
      </w:r>
    </w:p>
    <w:p>
      <w:pPr>
        <w:spacing w:after="0" w:line="169" w:lineRule="exact"/>
        <w:rPr>
          <w:rFonts w:ascii="Arial" w:cs="Arial" w:eastAsia="Arial" w:hAnsi="Arial"/>
          <w:sz w:val="15"/>
          <w:szCs w:val="15"/>
          <w:b w:val="1"/>
          <w:bCs w:val="1"/>
          <w:color w:val="205BA8"/>
        </w:rPr>
      </w:pPr>
    </w:p>
    <w:p>
      <w:pPr>
        <w:ind w:left="1220" w:right="660" w:hanging="176"/>
        <w:spacing w:after="0" w:line="242" w:lineRule="auto"/>
        <w:rPr>
          <w:rFonts w:ascii="Arial" w:cs="Arial" w:eastAsia="Arial" w:hAnsi="Arial"/>
          <w:sz w:val="15"/>
          <w:szCs w:val="15"/>
          <w:b w:val="1"/>
          <w:bCs w:val="1"/>
          <w:color w:val="205BA8"/>
        </w:rPr>
      </w:pPr>
      <w:r>
        <w:rPr>
          <w:rFonts w:ascii="Arial" w:cs="Arial" w:eastAsia="Arial" w:hAnsi="Arial"/>
          <w:sz w:val="15"/>
          <w:szCs w:val="15"/>
          <w:color w:val="205BA8"/>
        </w:rPr>
        <w:t xml:space="preserve">– </w:t>
      </w:r>
      <w:r>
        <w:rPr>
          <w:rFonts w:ascii="Arial" w:cs="Arial" w:eastAsia="Arial" w:hAnsi="Arial"/>
          <w:sz w:val="15"/>
          <w:szCs w:val="15"/>
          <w:color w:val="000000"/>
        </w:rPr>
        <w:t>Reduced burn rate to 3.3%, the lowest level in the last eight years, while maintaining broad-based equity program and growing the number</w:t>
      </w:r>
      <w:r>
        <w:rPr>
          <w:rFonts w:ascii="Arial" w:cs="Arial" w:eastAsia="Arial" w:hAnsi="Arial"/>
          <w:sz w:val="15"/>
          <w:szCs w:val="15"/>
          <w:color w:val="205BA8"/>
        </w:rPr>
        <w:t xml:space="preserve"> </w:t>
      </w:r>
      <w:r>
        <w:rPr>
          <w:rFonts w:ascii="Arial" w:cs="Arial" w:eastAsia="Arial" w:hAnsi="Arial"/>
          <w:sz w:val="15"/>
          <w:szCs w:val="15"/>
          <w:color w:val="000000"/>
        </w:rPr>
        <w:t>of employees by 12% year-over-year to 9,123 employees</w:t>
      </w:r>
    </w:p>
    <w:p>
      <w:pPr>
        <w:spacing w:after="0" w:line="138" w:lineRule="exact"/>
        <w:rPr>
          <w:rFonts w:ascii="Arial" w:cs="Arial" w:eastAsia="Arial" w:hAnsi="Arial"/>
          <w:sz w:val="15"/>
          <w:szCs w:val="15"/>
          <w:b w:val="1"/>
          <w:bCs w:val="1"/>
          <w:color w:val="205BA8"/>
        </w:rPr>
      </w:pPr>
    </w:p>
    <w:p>
      <w:pPr>
        <w:ind w:left="1040"/>
        <w:spacing w:after="0"/>
        <w:rPr>
          <w:rFonts w:ascii="Arial" w:cs="Arial" w:eastAsia="Arial" w:hAnsi="Arial"/>
          <w:sz w:val="15"/>
          <w:szCs w:val="15"/>
          <w:b w:val="1"/>
          <w:bCs w:val="1"/>
          <w:color w:val="205BA8"/>
        </w:rPr>
      </w:pPr>
      <w:r>
        <w:rPr>
          <w:rFonts w:ascii="Arial" w:cs="Arial" w:eastAsia="Arial" w:hAnsi="Arial"/>
          <w:sz w:val="15"/>
          <w:szCs w:val="15"/>
          <w:color w:val="205BA8"/>
        </w:rPr>
        <w:t xml:space="preserve">– </w:t>
      </w:r>
      <w:r>
        <w:rPr>
          <w:rFonts w:ascii="Arial" w:cs="Arial" w:eastAsia="Arial" w:hAnsi="Arial"/>
          <w:sz w:val="15"/>
          <w:szCs w:val="15"/>
          <w:color w:val="000000"/>
        </w:rPr>
        <w:t>Reduced the number of stock options granted per recipient by approximately 20%</w:t>
      </w:r>
    </w:p>
    <w:p>
      <w:pPr>
        <w:spacing w:after="0" w:line="151" w:lineRule="exact"/>
        <w:rPr>
          <w:rFonts w:ascii="Arial" w:cs="Arial" w:eastAsia="Arial" w:hAnsi="Arial"/>
          <w:sz w:val="15"/>
          <w:szCs w:val="15"/>
          <w:b w:val="1"/>
          <w:bCs w:val="1"/>
          <w:color w:val="205BA8"/>
        </w:rPr>
      </w:pPr>
    </w:p>
    <w:p>
      <w:pPr>
        <w:ind w:left="1220" w:right="1080" w:hanging="176"/>
        <w:spacing w:after="0" w:line="242" w:lineRule="auto"/>
        <w:rPr>
          <w:rFonts w:ascii="Arial" w:cs="Arial" w:eastAsia="Arial" w:hAnsi="Arial"/>
          <w:sz w:val="15"/>
          <w:szCs w:val="15"/>
          <w:b w:val="1"/>
          <w:bCs w:val="1"/>
          <w:color w:val="205BA8"/>
        </w:rPr>
      </w:pPr>
      <w:r>
        <w:rPr>
          <w:rFonts w:ascii="Arial" w:cs="Arial" w:eastAsia="Arial" w:hAnsi="Arial"/>
          <w:sz w:val="15"/>
          <w:szCs w:val="15"/>
          <w:color w:val="205BA8"/>
        </w:rPr>
        <w:t xml:space="preserve">– </w:t>
      </w:r>
      <w:r>
        <w:rPr>
          <w:rFonts w:ascii="Arial" w:cs="Arial" w:eastAsia="Arial" w:hAnsi="Arial"/>
          <w:sz w:val="15"/>
          <w:szCs w:val="15"/>
          <w:color w:val="000000"/>
        </w:rPr>
        <w:t>Used a newly calibrated mix of stock options and full-value equity awards for NEOs below the CEO/CSO level and other employees,</w:t>
      </w:r>
      <w:r>
        <w:rPr>
          <w:rFonts w:ascii="Arial" w:cs="Arial" w:eastAsia="Arial" w:hAnsi="Arial"/>
          <w:sz w:val="15"/>
          <w:szCs w:val="15"/>
          <w:color w:val="205BA8"/>
        </w:rPr>
        <w:t xml:space="preserve"> </w:t>
      </w:r>
      <w:r>
        <w:rPr>
          <w:rFonts w:ascii="Arial" w:cs="Arial" w:eastAsia="Arial" w:hAnsi="Arial"/>
          <w:sz w:val="15"/>
          <w:szCs w:val="15"/>
          <w:color w:val="000000"/>
        </w:rPr>
        <w:t>balancing incentivization of growth and shareholder value creation and employee retention</w:t>
      </w:r>
    </w:p>
    <w:p>
      <w:pPr>
        <w:spacing w:after="0" w:line="120" w:lineRule="exact"/>
        <w:rPr>
          <w:sz w:val="20"/>
          <w:szCs w:val="20"/>
          <w:color w:val="auto"/>
        </w:rPr>
      </w:pPr>
    </w:p>
    <w:p>
      <w:pPr>
        <w:ind w:left="880" w:hanging="332"/>
        <w:spacing w:after="0"/>
        <w:tabs>
          <w:tab w:leader="none" w:pos="880" w:val="left"/>
        </w:tabs>
        <w:numPr>
          <w:ilvl w:val="0"/>
          <w:numId w:val="59"/>
        </w:numPr>
        <w:rPr>
          <w:rFonts w:ascii="Arial" w:cs="Arial" w:eastAsia="Arial" w:hAnsi="Arial"/>
          <w:sz w:val="15"/>
          <w:szCs w:val="15"/>
          <w:b w:val="1"/>
          <w:bCs w:val="1"/>
          <w:color w:val="205BA8"/>
        </w:rPr>
      </w:pPr>
      <w:r>
        <w:rPr>
          <w:rFonts w:ascii="Arial" w:cs="Arial" w:eastAsia="Arial" w:hAnsi="Arial"/>
          <w:sz w:val="15"/>
          <w:szCs w:val="15"/>
          <w:b w:val="1"/>
          <w:bCs w:val="1"/>
          <w:color w:val="205BA8"/>
        </w:rPr>
        <w:t>Emphasis on Broad-Based Equity Program</w:t>
      </w:r>
    </w:p>
    <w:p>
      <w:pPr>
        <w:spacing w:after="0" w:line="151" w:lineRule="exact"/>
        <w:rPr>
          <w:rFonts w:ascii="Arial" w:cs="Arial" w:eastAsia="Arial" w:hAnsi="Arial"/>
          <w:sz w:val="15"/>
          <w:szCs w:val="15"/>
          <w:b w:val="1"/>
          <w:bCs w:val="1"/>
          <w:color w:val="205BA8"/>
        </w:rPr>
      </w:pPr>
    </w:p>
    <w:p>
      <w:pPr>
        <w:ind w:left="1040" w:hanging="168"/>
        <w:spacing w:after="0"/>
        <w:tabs>
          <w:tab w:leader="none" w:pos="1040" w:val="left"/>
        </w:tabs>
        <w:numPr>
          <w:ilvl w:val="1"/>
          <w:numId w:val="59"/>
        </w:numPr>
        <w:rPr>
          <w:rFonts w:ascii="Arial" w:cs="Arial" w:eastAsia="Arial" w:hAnsi="Arial"/>
          <w:sz w:val="15"/>
          <w:szCs w:val="15"/>
          <w:b w:val="1"/>
          <w:bCs w:val="1"/>
          <w:color w:val="205BA8"/>
        </w:rPr>
      </w:pPr>
      <w:r>
        <w:rPr>
          <w:rFonts w:ascii="Arial" w:cs="Arial" w:eastAsia="Arial" w:hAnsi="Arial"/>
          <w:sz w:val="15"/>
          <w:szCs w:val="15"/>
          <w:b w:val="1"/>
          <w:bCs w:val="1"/>
          <w:color w:val="auto"/>
        </w:rPr>
        <w:t xml:space="preserve">Stayed true to core principle of incentivizing </w:t>
      </w:r>
      <w:r>
        <w:rPr>
          <w:rFonts w:ascii="Arial" w:cs="Arial" w:eastAsia="Arial" w:hAnsi="Arial"/>
          <w:sz w:val="15"/>
          <w:szCs w:val="15"/>
          <w:b w:val="1"/>
          <w:bCs w:val="1"/>
          <w:u w:val="single" w:color="auto"/>
          <w:color w:val="auto"/>
        </w:rPr>
        <w:t>all</w:t>
      </w:r>
      <w:r>
        <w:rPr>
          <w:rFonts w:ascii="Arial" w:cs="Arial" w:eastAsia="Arial" w:hAnsi="Arial"/>
          <w:sz w:val="15"/>
          <w:szCs w:val="15"/>
          <w:b w:val="1"/>
          <w:bCs w:val="1"/>
          <w:color w:val="auto"/>
        </w:rPr>
        <w:t xml:space="preserve"> employees through an ownership stake (</w:t>
      </w:r>
      <w:r>
        <w:rPr>
          <w:rFonts w:ascii="Arial" w:cs="Arial" w:eastAsia="Arial" w:hAnsi="Arial"/>
          <w:sz w:val="15"/>
          <w:szCs w:val="15"/>
          <w:b w:val="1"/>
          <w:bCs w:val="1"/>
          <w:i w:val="1"/>
          <w:iCs w:val="1"/>
          <w:color w:val="auto"/>
        </w:rPr>
        <w:t>i.e.,</w:t>
      </w:r>
      <w:r>
        <w:rPr>
          <w:rFonts w:ascii="Arial" w:cs="Arial" w:eastAsia="Arial" w:hAnsi="Arial"/>
          <w:sz w:val="15"/>
          <w:szCs w:val="15"/>
          <w:b w:val="1"/>
          <w:bCs w:val="1"/>
          <w:color w:val="auto"/>
        </w:rPr>
        <w:t xml:space="preserve"> new-hire and/or annual equity awards)</w:t>
      </w:r>
    </w:p>
    <w:p>
      <w:pPr>
        <w:spacing w:after="0" w:line="151" w:lineRule="exact"/>
        <w:rPr>
          <w:rFonts w:ascii="Arial" w:cs="Arial" w:eastAsia="Arial" w:hAnsi="Arial"/>
          <w:sz w:val="15"/>
          <w:szCs w:val="15"/>
          <w:b w:val="1"/>
          <w:bCs w:val="1"/>
          <w:color w:val="205BA8"/>
        </w:rPr>
      </w:pPr>
    </w:p>
    <w:p>
      <w:pPr>
        <w:ind w:left="1040" w:hanging="168"/>
        <w:spacing w:after="0"/>
        <w:tabs>
          <w:tab w:leader="none" w:pos="1040" w:val="left"/>
        </w:tabs>
        <w:numPr>
          <w:ilvl w:val="1"/>
          <w:numId w:val="59"/>
        </w:numPr>
        <w:rPr>
          <w:rFonts w:ascii="Arial" w:cs="Arial" w:eastAsia="Arial" w:hAnsi="Arial"/>
          <w:sz w:val="15"/>
          <w:szCs w:val="15"/>
          <w:b w:val="1"/>
          <w:bCs w:val="1"/>
          <w:color w:val="205BA8"/>
        </w:rPr>
      </w:pPr>
      <w:r>
        <w:rPr>
          <w:rFonts w:ascii="Arial" w:cs="Arial" w:eastAsia="Arial" w:hAnsi="Arial"/>
          <w:sz w:val="15"/>
          <w:szCs w:val="15"/>
          <w:b w:val="1"/>
          <w:bCs w:val="1"/>
          <w:color w:val="auto"/>
        </w:rPr>
        <w:t>Awarded approximately 90% of 2020 annual equity grants to employees other than NEOs, similar to prior years</w:t>
      </w:r>
    </w:p>
    <w:p>
      <w:pPr>
        <w:spacing w:after="0" w:line="152" w:lineRule="exact"/>
        <w:rPr>
          <w:sz w:val="20"/>
          <w:szCs w:val="20"/>
          <w:color w:val="auto"/>
        </w:rPr>
      </w:pPr>
    </w:p>
    <w:p>
      <w:pPr>
        <w:ind w:left="880" w:hanging="332"/>
        <w:spacing w:after="0"/>
        <w:tabs>
          <w:tab w:leader="none" w:pos="880" w:val="left"/>
        </w:tabs>
        <w:numPr>
          <w:ilvl w:val="0"/>
          <w:numId w:val="60"/>
        </w:numPr>
        <w:rPr>
          <w:rFonts w:ascii="Arial" w:cs="Arial" w:eastAsia="Arial" w:hAnsi="Arial"/>
          <w:sz w:val="15"/>
          <w:szCs w:val="15"/>
          <w:b w:val="1"/>
          <w:bCs w:val="1"/>
          <w:color w:val="205BA8"/>
        </w:rPr>
      </w:pPr>
      <w:r>
        <w:rPr>
          <w:rFonts w:ascii="Arial" w:cs="Arial" w:eastAsia="Arial" w:hAnsi="Arial"/>
          <w:sz w:val="15"/>
          <w:szCs w:val="15"/>
          <w:b w:val="1"/>
          <w:bCs w:val="1"/>
          <w:color w:val="205BA8"/>
        </w:rPr>
        <w:t>Strong Connection Between Compensation and Strategy</w:t>
      </w:r>
    </w:p>
    <w:p>
      <w:pPr>
        <w:spacing w:after="0" w:line="151" w:lineRule="exact"/>
        <w:rPr>
          <w:rFonts w:ascii="Arial" w:cs="Arial" w:eastAsia="Arial" w:hAnsi="Arial"/>
          <w:sz w:val="15"/>
          <w:szCs w:val="15"/>
          <w:b w:val="1"/>
          <w:bCs w:val="1"/>
          <w:color w:val="205BA8"/>
        </w:rPr>
      </w:pPr>
    </w:p>
    <w:p>
      <w:pPr>
        <w:ind w:left="1040" w:right="720" w:hanging="168"/>
        <w:spacing w:after="0" w:line="267" w:lineRule="auto"/>
        <w:tabs>
          <w:tab w:leader="none" w:pos="1040" w:val="left"/>
        </w:tabs>
        <w:numPr>
          <w:ilvl w:val="1"/>
          <w:numId w:val="60"/>
        </w:numPr>
        <w:rPr>
          <w:rFonts w:ascii="Arial" w:cs="Arial" w:eastAsia="Arial" w:hAnsi="Arial"/>
          <w:sz w:val="15"/>
          <w:szCs w:val="15"/>
          <w:b w:val="1"/>
          <w:bCs w:val="1"/>
          <w:color w:val="205BA8"/>
        </w:rPr>
      </w:pPr>
      <w:r>
        <w:rPr>
          <w:rFonts w:ascii="Arial" w:cs="Arial" w:eastAsia="Arial" w:hAnsi="Arial"/>
          <w:sz w:val="15"/>
          <w:szCs w:val="15"/>
          <w:b w:val="1"/>
          <w:bCs w:val="1"/>
          <w:color w:val="auto"/>
        </w:rPr>
        <w:t>Compensation model designed to support strategy of creating and advancing a high-quality, internally developed product pipeline driving long-term, sustainable shareholder value creation</w:t>
      </w:r>
    </w:p>
    <w:p>
      <w:pPr>
        <w:spacing w:after="0" w:line="102" w:lineRule="exact"/>
        <w:rPr>
          <w:rFonts w:ascii="Arial" w:cs="Arial" w:eastAsia="Arial" w:hAnsi="Arial"/>
          <w:sz w:val="15"/>
          <w:szCs w:val="15"/>
          <w:b w:val="1"/>
          <w:bCs w:val="1"/>
          <w:color w:val="205BA8"/>
        </w:rPr>
      </w:pPr>
    </w:p>
    <w:p>
      <w:pPr>
        <w:ind w:left="1040" w:right="880" w:hanging="168"/>
        <w:spacing w:after="0" w:line="267" w:lineRule="auto"/>
        <w:tabs>
          <w:tab w:leader="none" w:pos="1040" w:val="left"/>
        </w:tabs>
        <w:numPr>
          <w:ilvl w:val="1"/>
          <w:numId w:val="60"/>
        </w:numPr>
        <w:rPr>
          <w:rFonts w:ascii="Arial" w:cs="Arial" w:eastAsia="Arial" w:hAnsi="Arial"/>
          <w:sz w:val="15"/>
          <w:szCs w:val="15"/>
          <w:b w:val="1"/>
          <w:bCs w:val="1"/>
          <w:color w:val="205BA8"/>
        </w:rPr>
      </w:pPr>
      <w:r>
        <w:rPr>
          <w:rFonts w:ascii="Arial" w:cs="Arial" w:eastAsia="Arial" w:hAnsi="Arial"/>
          <w:sz w:val="15"/>
          <w:szCs w:val="15"/>
          <w:b w:val="1"/>
          <w:bCs w:val="1"/>
          <w:color w:val="auto"/>
        </w:rPr>
        <w:t>Compensation model helped maintain an employee turnover rate of less than half the industry average and supported Company achievements in 2020 and prior years, including eight new products brought to patients in the last decade</w:t>
      </w:r>
    </w:p>
    <w:p>
      <w:pPr>
        <w:spacing w:after="0" w:line="280" w:lineRule="exact"/>
        <w:rPr>
          <w:sz w:val="20"/>
          <w:szCs w:val="20"/>
          <w:color w:val="auto"/>
        </w:rPr>
      </w:pPr>
    </w:p>
    <w:p>
      <w:pPr>
        <w:ind w:left="720" w:right="1120" w:hanging="172"/>
        <w:spacing w:after="0" w:line="187" w:lineRule="auto"/>
        <w:tabs>
          <w:tab w:leader="none" w:pos="720" w:val="left"/>
        </w:tabs>
        <w:numPr>
          <w:ilvl w:val="0"/>
          <w:numId w:val="61"/>
        </w:numPr>
        <w:rPr>
          <w:rFonts w:ascii="Arial" w:cs="Arial" w:eastAsia="Arial" w:hAnsi="Arial"/>
          <w:sz w:val="22"/>
          <w:szCs w:val="22"/>
          <w:b w:val="1"/>
          <w:bCs w:val="1"/>
          <w:color w:val="205BA8"/>
          <w:vertAlign w:val="subscript"/>
        </w:rPr>
      </w:pPr>
      <w:r>
        <w:rPr>
          <w:rFonts w:ascii="Arial" w:cs="Arial" w:eastAsia="Arial" w:hAnsi="Arial"/>
          <w:sz w:val="10"/>
          <w:szCs w:val="10"/>
          <w:color w:val="auto"/>
        </w:rPr>
        <w:t>Bottom-line growth represented by non-GAAP net income per share – diluted, which is not a measure calculated in accordance with U.S. Generally Accepted Accounting Principles (“GAAP”). See Appendix A for a definition of this measure and a reconciliation of this measure to the most directly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-280670</wp:posOffset>
            </wp:positionV>
            <wp:extent cx="64465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53</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64" w:name="page65"/>
    <w:bookmarkEnd w:id="64"/>
    <w:p>
      <w:pPr>
        <w:ind w:lef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0"/>
          <w:szCs w:val="20"/>
          <w:color w:val="auto"/>
        </w:rPr>
      </w:pPr>
    </w:p>
    <w:p>
      <w:pPr>
        <w:ind w:left="540" w:right="1880"/>
        <w:spacing w:after="0" w:line="269" w:lineRule="auto"/>
        <w:rPr>
          <w:sz w:val="20"/>
          <w:szCs w:val="20"/>
          <w:color w:val="auto"/>
        </w:rPr>
      </w:pPr>
      <w:r>
        <w:rPr>
          <w:rFonts w:ascii="Arial" w:cs="Arial" w:eastAsia="Arial" w:hAnsi="Arial"/>
          <w:sz w:val="65"/>
          <w:szCs w:val="65"/>
          <w:b w:val="1"/>
          <w:bCs w:val="1"/>
          <w:color w:val="205BA8"/>
        </w:rPr>
        <w:t>COMPENSATION PROGRAM OVERVIEW</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04C57"/>
        </w:rPr>
        <w:t>OUR CORPORATE CULTURE AND PAY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70" w:lineRule="exact"/>
        <w:rPr>
          <w:sz w:val="20"/>
          <w:szCs w:val="20"/>
          <w:color w:val="auto"/>
        </w:rPr>
      </w:pPr>
    </w:p>
    <w:p>
      <w:pPr>
        <w:ind w:left="540"/>
        <w:spacing w:after="0" w:line="226" w:lineRule="auto"/>
        <w:rPr>
          <w:sz w:val="20"/>
          <w:szCs w:val="20"/>
          <w:color w:val="auto"/>
        </w:rPr>
      </w:pPr>
      <w:r>
        <w:rPr>
          <w:rFonts w:ascii="Arial" w:cs="Arial" w:eastAsia="Arial" w:hAnsi="Arial"/>
          <w:sz w:val="15"/>
          <w:szCs w:val="15"/>
          <w:color w:val="auto"/>
        </w:rPr>
        <w:t xml:space="preserve">Our corporate culture and pay philosophy are inextricably linked. Regeneron’s culture is defined by loyal and motivated employees with an entrepreneurial spirit who are dedicated to the Company’s mission to use the power of science to invent medicines for people with serious diseases. To deliver on this mission, we manage our business for the long term and pursue our core strategy of creating and advancing a high-quality, internally developed product pipeline. Our employees’ engagement, commitment, and achievements are key drivers of pipeline success and therefore our long-term performance. For Regeneron to succeed, our compensation model must reward long-term, sustainable performance and reinforce a culture where employees are empowered to pursue fulfilling careers and focus on our mission and drug discovery and development. For that reason, a key part of our pay philosophy is to award equity-based pay to </w:t>
      </w:r>
      <w:r>
        <w:rPr>
          <w:rFonts w:ascii="Arial" w:cs="Arial" w:eastAsia="Arial" w:hAnsi="Arial"/>
          <w:sz w:val="15"/>
          <w:szCs w:val="15"/>
          <w:u w:val="single" w:color="auto"/>
          <w:color w:val="auto"/>
        </w:rPr>
        <w:t>all</w:t>
      </w:r>
      <w:r>
        <w:rPr>
          <w:rFonts w:ascii="Arial" w:cs="Arial" w:eastAsia="Arial" w:hAnsi="Arial"/>
          <w:sz w:val="15"/>
          <w:szCs w:val="15"/>
          <w:color w:val="auto"/>
        </w:rPr>
        <w:t xml:space="preserve"> eligible employees to ensure that when we deliver for patients and for shareholders, everyone shares in the upside growth. In each of the last five years,</w:t>
      </w:r>
    </w:p>
    <w:p>
      <w:pPr>
        <w:spacing w:after="0" w:line="5" w:lineRule="exact"/>
        <w:rPr>
          <w:sz w:val="20"/>
          <w:szCs w:val="20"/>
          <w:color w:val="auto"/>
        </w:rPr>
      </w:pPr>
    </w:p>
    <w:p>
      <w:pPr>
        <w:ind w:left="540" w:right="40"/>
        <w:spacing w:after="0" w:line="199" w:lineRule="auto"/>
        <w:rPr>
          <w:sz w:val="20"/>
          <w:szCs w:val="20"/>
          <w:color w:val="auto"/>
        </w:rPr>
      </w:pPr>
      <w:r>
        <w:rPr>
          <w:rFonts w:ascii="Arial" w:cs="Arial" w:eastAsia="Arial" w:hAnsi="Arial"/>
          <w:sz w:val="15"/>
          <w:szCs w:val="15"/>
          <w:color w:val="auto"/>
        </w:rPr>
        <w:t>approximately 90% of the employee equity grants were awarded to our employees other than our NEOs,</w:t>
      </w:r>
      <w:r>
        <w:rPr>
          <w:rFonts w:ascii="Arial" w:cs="Arial" w:eastAsia="Arial" w:hAnsi="Arial"/>
          <w:sz w:val="25"/>
          <w:szCs w:val="25"/>
          <w:color w:val="auto"/>
          <w:vertAlign w:val="superscript"/>
        </w:rPr>
        <w:t>4</w:t>
      </w:r>
      <w:r>
        <w:rPr>
          <w:rFonts w:ascii="Arial" w:cs="Arial" w:eastAsia="Arial" w:hAnsi="Arial"/>
          <w:sz w:val="15"/>
          <w:szCs w:val="15"/>
          <w:color w:val="auto"/>
        </w:rPr>
        <w:t xml:space="preserve"> which underscores the broad-based nature of our equity program. In addition, we have consistently outperformed the industry in employee retention in recent years, as demonstrated by our employee attrition rate of less than half</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industry average in each of the last five years.</w:t>
      </w:r>
      <w:r>
        <w:rPr>
          <w:rFonts w:ascii="Arial" w:cs="Arial" w:eastAsia="Arial" w:hAnsi="Arial"/>
          <w:sz w:val="25"/>
          <w:szCs w:val="25"/>
          <w:color w:val="auto"/>
          <w:vertAlign w:val="superscript"/>
        </w:rPr>
        <w:t>5</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right="720"/>
        <w:spacing w:after="0" w:line="248" w:lineRule="auto"/>
        <w:rPr>
          <w:sz w:val="20"/>
          <w:szCs w:val="20"/>
          <w:color w:val="auto"/>
        </w:rPr>
      </w:pPr>
      <w:r>
        <w:rPr>
          <w:rFonts w:ascii="Arial" w:cs="Arial" w:eastAsia="Arial" w:hAnsi="Arial"/>
          <w:sz w:val="14"/>
          <w:szCs w:val="14"/>
          <w:b w:val="1"/>
          <w:bCs w:val="1"/>
          <w:color w:val="205BA8"/>
        </w:rPr>
        <w:t xml:space="preserve">We focus on </w:t>
      </w:r>
      <w:r>
        <w:rPr>
          <w:rFonts w:ascii="Arial" w:cs="Arial" w:eastAsia="Arial" w:hAnsi="Arial"/>
          <w:sz w:val="14"/>
          <w:szCs w:val="14"/>
          <w:color w:val="C32167"/>
        </w:rPr>
        <w:t>long-term</w:t>
      </w:r>
      <w:r>
        <w:rPr>
          <w:rFonts w:ascii="Arial" w:cs="Arial" w:eastAsia="Arial" w:hAnsi="Arial"/>
          <w:sz w:val="14"/>
          <w:szCs w:val="14"/>
          <w:b w:val="1"/>
          <w:bCs w:val="1"/>
          <w:color w:val="205BA8"/>
        </w:rPr>
        <w:t xml:space="preserve"> </w:t>
      </w:r>
      <w:r>
        <w:rPr>
          <w:rFonts w:ascii="Arial" w:cs="Arial" w:eastAsia="Arial" w:hAnsi="Arial"/>
          <w:sz w:val="14"/>
          <w:szCs w:val="14"/>
          <w:color w:val="205BA8"/>
        </w:rPr>
        <w:t>growth</w:t>
      </w:r>
      <w:r>
        <w:rPr>
          <w:rFonts w:ascii="Arial" w:cs="Arial" w:eastAsia="Arial" w:hAnsi="Arial"/>
          <w:sz w:val="14"/>
          <w:szCs w:val="14"/>
          <w:b w:val="1"/>
          <w:bCs w:val="1"/>
          <w:color w:val="205BA8"/>
        </w:rPr>
        <w:t xml:space="preserve"> </w:t>
      </w:r>
      <w:r>
        <w:rPr>
          <w:rFonts w:ascii="Arial" w:cs="Arial" w:eastAsia="Arial" w:hAnsi="Arial"/>
          <w:sz w:val="14"/>
          <w:szCs w:val="14"/>
          <w:color w:val="205BA8"/>
        </w:rPr>
        <w:t xml:space="preserve">through </w:t>
      </w:r>
      <w:r>
        <w:rPr>
          <w:rFonts w:ascii="Arial" w:cs="Arial" w:eastAsia="Arial" w:hAnsi="Arial"/>
          <w:sz w:val="14"/>
          <w:szCs w:val="14"/>
          <w:color w:val="C32167"/>
        </w:rPr>
        <w:t>internal</w:t>
      </w:r>
      <w:r>
        <w:rPr>
          <w:rFonts w:ascii="Arial" w:cs="Arial" w:eastAsia="Arial" w:hAnsi="Arial"/>
          <w:sz w:val="14"/>
          <w:szCs w:val="14"/>
          <w:color w:val="205BA8"/>
        </w:rPr>
        <w:t xml:space="preserve"> innovation. Our compensation model and </w:t>
      </w:r>
      <w:r>
        <w:rPr>
          <w:rFonts w:ascii="Arial" w:cs="Arial" w:eastAsia="Arial" w:hAnsi="Arial"/>
          <w:sz w:val="14"/>
          <w:szCs w:val="14"/>
          <w:color w:val="C32167"/>
        </w:rPr>
        <w:t xml:space="preserve">broad-based equity </w:t>
      </w:r>
      <w:r>
        <w:rPr>
          <w:rFonts w:ascii="Arial" w:cs="Arial" w:eastAsia="Arial" w:hAnsi="Arial"/>
          <w:sz w:val="14"/>
          <w:szCs w:val="14"/>
          <w:color w:val="205BA8"/>
        </w:rPr>
        <w:t>program reinforce our</w:t>
      </w:r>
      <w:r>
        <w:rPr>
          <w:rFonts w:ascii="Arial" w:cs="Arial" w:eastAsia="Arial" w:hAnsi="Arial"/>
          <w:sz w:val="14"/>
          <w:szCs w:val="14"/>
          <w:color w:val="C32167"/>
        </w:rPr>
        <w:t xml:space="preserve"> </w:t>
      </w:r>
      <w:r>
        <w:rPr>
          <w:rFonts w:ascii="Arial" w:cs="Arial" w:eastAsia="Arial" w:hAnsi="Arial"/>
          <w:sz w:val="14"/>
          <w:szCs w:val="14"/>
          <w:color w:val="205BA8"/>
        </w:rPr>
        <w:t xml:space="preserve">company culture and are designed to reward </w:t>
      </w:r>
      <w:r>
        <w:rPr>
          <w:rFonts w:ascii="Arial" w:cs="Arial" w:eastAsia="Arial" w:hAnsi="Arial"/>
          <w:sz w:val="14"/>
          <w:szCs w:val="14"/>
          <w:color w:val="C32167"/>
        </w:rPr>
        <w:t>long-term, sustainable</w:t>
      </w:r>
      <w:r>
        <w:rPr>
          <w:rFonts w:ascii="Arial" w:cs="Arial" w:eastAsia="Arial" w:hAnsi="Arial"/>
          <w:sz w:val="14"/>
          <w:szCs w:val="14"/>
          <w:color w:val="205BA8"/>
        </w:rPr>
        <w:t xml:space="preserve"> </w:t>
      </w:r>
      <w:r>
        <w:rPr>
          <w:rFonts w:ascii="Arial" w:cs="Arial" w:eastAsia="Arial" w:hAnsi="Arial"/>
          <w:sz w:val="14"/>
          <w:szCs w:val="14"/>
          <w:color w:val="C32167"/>
        </w:rPr>
        <w:t>performance</w:t>
      </w:r>
      <w:r>
        <w:rPr>
          <w:rFonts w:ascii="Arial" w:cs="Arial" w:eastAsia="Arial" w:hAnsi="Arial"/>
          <w:sz w:val="14"/>
          <w:szCs w:val="14"/>
          <w:color w:val="205BA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-790575</wp:posOffset>
            </wp:positionV>
            <wp:extent cx="1594485" cy="8401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94485" cy="840105"/>
                    </a:xfrm>
                    <a:prstGeom prst="rect">
                      <a:avLst/>
                    </a:prstGeom>
                    <a:noFill/>
                  </pic:spPr>
                </pic:pic>
              </a:graphicData>
            </a:graphic>
          </wp:anchor>
        </w:drawing>
      </w:r>
    </w:p>
    <w:p>
      <w:pPr>
        <w:spacing w:after="0" w:line="1261" w:lineRule="exact"/>
        <w:rPr>
          <w:sz w:val="20"/>
          <w:szCs w:val="20"/>
          <w:color w:val="auto"/>
        </w:rPr>
      </w:pPr>
    </w:p>
    <w:p>
      <w:pPr>
        <w:sectPr>
          <w:pgSz w:w="11900" w:h="16838" w:orient="portrait"/>
          <w:cols w:equalWidth="0" w:num="2">
            <w:col w:w="8140" w:space="140"/>
            <w:col w:w="2960"/>
          </w:cols>
          <w:pgMar w:left="320" w:top="405" w:right="339" w:bottom="1440" w:gutter="0" w:footer="0" w:header="0"/>
          <w:type w:val="continuous"/>
        </w:sectPr>
      </w:pPr>
    </w:p>
    <w:p>
      <w:pPr>
        <w:ind w:left="540" w:right="760"/>
        <w:spacing w:after="0" w:line="231" w:lineRule="auto"/>
        <w:rPr>
          <w:sz w:val="20"/>
          <w:szCs w:val="20"/>
          <w:color w:val="auto"/>
        </w:rPr>
      </w:pPr>
      <w:r>
        <w:rPr>
          <w:rFonts w:ascii="Arial" w:cs="Arial" w:eastAsia="Arial" w:hAnsi="Arial"/>
          <w:sz w:val="15"/>
          <w:szCs w:val="15"/>
          <w:color w:val="auto"/>
        </w:rPr>
        <w:t>Our corporate culture also is shaped by our commitment to “Doing Well by Doing Good,” which has inspired the Company for over 30 years and is best exemplified in our fight against COVID-19. This commitment, paired with unrelenting focus on science and innovation, is reflected in our 2025 global responsibility goals. In 2020, we took important steps toward achieving these goals, including our goal to increase representation of qualified diverse individuals in leadership and foster inclusion across our organization. See “The Company – Corporate Governance – Corporate Responsibility” for more information.</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04C57"/>
        </w:rPr>
        <w:t>2020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37" w:lineRule="exact"/>
        <w:rPr>
          <w:sz w:val="20"/>
          <w:szCs w:val="20"/>
          <w:color w:val="auto"/>
        </w:rPr>
      </w:pPr>
    </w:p>
    <w:p>
      <w:pPr>
        <w:jc w:val="both"/>
        <w:ind w:left="540" w:right="620"/>
        <w:spacing w:after="0" w:line="229" w:lineRule="auto"/>
        <w:rPr>
          <w:sz w:val="20"/>
          <w:szCs w:val="20"/>
          <w:color w:val="auto"/>
        </w:rPr>
      </w:pPr>
      <w:r>
        <w:rPr>
          <w:rFonts w:ascii="Arial" w:cs="Arial" w:eastAsia="Arial" w:hAnsi="Arial"/>
          <w:sz w:val="15"/>
          <w:szCs w:val="15"/>
          <w:color w:val="auto"/>
        </w:rPr>
        <w:t>Despite the impact of the COVID-19 pandemic on the Company and our employees, we made significant progress in all key areas of our business in 2020. During this unprecedented public-health crisis, we also rapidly mobilized our significant scientific, development, manufacturing, and operational capabilities to bring REGEN-COV, our investigational dual antibody cocktail to the SARS-CoV-2 virus, to COVID-19 patients 10 months after program</w:t>
      </w:r>
    </w:p>
    <w:p>
      <w:pPr>
        <w:spacing w:after="0" w:line="2" w:lineRule="exact"/>
        <w:rPr>
          <w:sz w:val="20"/>
          <w:szCs w:val="20"/>
          <w:color w:val="auto"/>
        </w:rPr>
      </w:pPr>
    </w:p>
    <w:p>
      <w:pPr>
        <w:ind w:left="540" w:right="840"/>
        <w:spacing w:after="0" w:line="199" w:lineRule="auto"/>
        <w:rPr>
          <w:sz w:val="20"/>
          <w:szCs w:val="20"/>
          <w:color w:val="auto"/>
        </w:rPr>
      </w:pPr>
      <w:r>
        <w:rPr>
          <w:rFonts w:ascii="Arial" w:cs="Arial" w:eastAsia="Arial" w:hAnsi="Arial"/>
          <w:sz w:val="15"/>
          <w:szCs w:val="15"/>
          <w:color w:val="auto"/>
        </w:rPr>
        <w:t>inception when we secured an Emergency Use Authorization from the FDA. Last year also was marked by obtaining FDA approval for Inmazeb</w:t>
      </w:r>
      <w:r>
        <w:rPr>
          <w:rFonts w:ascii="Arial" w:cs="Arial" w:eastAsia="Arial" w:hAnsi="Arial"/>
          <w:sz w:val="25"/>
          <w:szCs w:val="25"/>
          <w:color w:val="auto"/>
          <w:vertAlign w:val="superscript"/>
        </w:rPr>
        <w:t>TM</w:t>
      </w:r>
      <w:r>
        <w:rPr>
          <w:rFonts w:ascii="Arial" w:cs="Arial" w:eastAsia="Arial" w:hAnsi="Arial"/>
          <w:sz w:val="15"/>
          <w:szCs w:val="15"/>
          <w:color w:val="auto"/>
        </w:rPr>
        <w:t xml:space="preserve"> (atoltivimab, maftivimab, and odesivimab-ebgn) Injection for the treatment of infection caused by </w:t>
      </w:r>
      <w:r>
        <w:rPr>
          <w:rFonts w:ascii="Arial" w:cs="Arial" w:eastAsia="Arial" w:hAnsi="Arial"/>
          <w:sz w:val="15"/>
          <w:szCs w:val="15"/>
          <w:i w:val="1"/>
          <w:iCs w:val="1"/>
          <w:color w:val="auto"/>
        </w:rPr>
        <w:t>Zaire ebolavirus,</w:t>
      </w:r>
      <w:r>
        <w:rPr>
          <w:rFonts w:ascii="Arial" w:cs="Arial" w:eastAsia="Arial" w:hAnsi="Arial"/>
          <w:sz w:val="15"/>
          <w:szCs w:val="15"/>
          <w:color w:val="auto"/>
        </w:rPr>
        <w:t xml:space="preserve"> submitting six marketing applications for new products or new indications for existing products, and advancing nine new product candidates into clinical development. In</w:t>
      </w:r>
    </w:p>
    <w:p>
      <w:pPr>
        <w:ind w:left="540"/>
        <w:spacing w:after="0" w:line="185" w:lineRule="auto"/>
        <w:rPr>
          <w:sz w:val="20"/>
          <w:szCs w:val="20"/>
          <w:color w:val="auto"/>
        </w:rPr>
      </w:pPr>
      <w:r>
        <w:rPr>
          <w:rFonts w:ascii="Arial" w:cs="Arial" w:eastAsia="Arial" w:hAnsi="Arial"/>
          <w:sz w:val="14"/>
          <w:szCs w:val="14"/>
          <w:color w:val="auto"/>
        </w:rPr>
        <w:t>addition, we grew the top line by 30% and the bottom line by 28%</w:t>
      </w:r>
      <w:r>
        <w:rPr>
          <w:rFonts w:ascii="Arial" w:cs="Arial" w:eastAsia="Arial" w:hAnsi="Arial"/>
          <w:sz w:val="23"/>
          <w:szCs w:val="23"/>
          <w:color w:val="auto"/>
          <w:vertAlign w:val="superscript"/>
        </w:rPr>
        <w:t>6</w:t>
      </w:r>
      <w:r>
        <w:rPr>
          <w:rFonts w:ascii="Arial" w:cs="Arial" w:eastAsia="Arial" w:hAnsi="Arial"/>
          <w:sz w:val="14"/>
          <w:szCs w:val="14"/>
          <w:color w:val="auto"/>
        </w:rPr>
        <w:t xml:space="preserve"> with an increasingly diversified set of revenue and earnings streams. Importantly,</w:t>
      </w:r>
    </w:p>
    <w:p>
      <w:pPr>
        <w:spacing w:after="0" w:line="1" w:lineRule="exact"/>
        <w:rPr>
          <w:sz w:val="20"/>
          <w:szCs w:val="20"/>
          <w:color w:val="auto"/>
        </w:rPr>
      </w:pPr>
    </w:p>
    <w:p>
      <w:pPr>
        <w:ind w:left="540" w:right="620"/>
        <w:spacing w:after="0" w:line="204" w:lineRule="auto"/>
        <w:rPr>
          <w:sz w:val="20"/>
          <w:szCs w:val="20"/>
          <w:color w:val="auto"/>
        </w:rPr>
      </w:pPr>
      <w:r>
        <w:rPr>
          <w:rFonts w:ascii="Arial" w:cs="Arial" w:eastAsia="Arial" w:hAnsi="Arial"/>
          <w:sz w:val="15"/>
          <w:szCs w:val="15"/>
          <w:color w:val="auto"/>
        </w:rPr>
        <w:t>more than 80% of our top-line growth came from products and revenues other than our flagship product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(aflibercept) Injection. We highlight select 2020 accomplishments below and provide a comprehensive overview of our 2020 achievements, as well as the Compensation Committee’s assessment of those achievements, in the subsection “Components of Executive Pay: What We Pay and Why We Pay It — Annual Cash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92075</wp:posOffset>
            </wp:positionV>
            <wp:extent cx="64465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305" w:lineRule="exact"/>
        <w:rPr>
          <w:sz w:val="20"/>
          <w:szCs w:val="20"/>
          <w:color w:val="auto"/>
        </w:rPr>
      </w:pPr>
    </w:p>
    <w:p>
      <w:pPr>
        <w:ind w:left="760" w:right="1000" w:hanging="172"/>
        <w:spacing w:after="0" w:line="258" w:lineRule="auto"/>
        <w:tabs>
          <w:tab w:leader="none" w:pos="760" w:val="left"/>
        </w:tabs>
        <w:numPr>
          <w:ilvl w:val="0"/>
          <w:numId w:val="62"/>
        </w:numPr>
        <w:rPr>
          <w:rFonts w:ascii="Arial" w:cs="Arial" w:eastAsia="Arial" w:hAnsi="Arial"/>
          <w:sz w:val="14"/>
          <w:szCs w:val="14"/>
          <w:b w:val="1"/>
          <w:bCs w:val="1"/>
          <w:color w:val="205BA8"/>
        </w:rPr>
      </w:pPr>
      <w:r>
        <w:rPr>
          <w:rFonts w:ascii="Arial" w:cs="Arial" w:eastAsia="Arial" w:hAnsi="Arial"/>
          <w:sz w:val="14"/>
          <w:szCs w:val="14"/>
          <w:color w:val="auto"/>
        </w:rPr>
        <w:t>Based on both the grant date fair value and the number of underlying shares. For purposes of this calculation, the five-year, front-loaded PSU awards granted to our CEO and CSO in 2020 were annualized.</w:t>
      </w:r>
    </w:p>
    <w:p>
      <w:pPr>
        <w:spacing w:after="0" w:line="135" w:lineRule="exact"/>
        <w:rPr>
          <w:sz w:val="20"/>
          <w:szCs w:val="20"/>
          <w:color w:val="auto"/>
        </w:rPr>
      </w:pPr>
    </w:p>
    <w:p>
      <w:pPr>
        <w:ind w:left="760" w:right="780" w:hanging="172"/>
        <w:spacing w:after="0" w:line="187" w:lineRule="auto"/>
        <w:tabs>
          <w:tab w:leader="none" w:pos="760" w:val="left"/>
        </w:tabs>
        <w:numPr>
          <w:ilvl w:val="0"/>
          <w:numId w:val="63"/>
        </w:numPr>
        <w:rPr>
          <w:rFonts w:ascii="Arial" w:cs="Arial" w:eastAsia="Arial" w:hAnsi="Arial"/>
          <w:sz w:val="29"/>
          <w:szCs w:val="29"/>
          <w:b w:val="1"/>
          <w:bCs w:val="1"/>
          <w:color w:val="205BA8"/>
          <w:vertAlign w:val="superscript"/>
        </w:rPr>
      </w:pPr>
      <w:r>
        <w:rPr>
          <w:rFonts w:ascii="Arial" w:cs="Arial" w:eastAsia="Arial" w:hAnsi="Arial"/>
          <w:sz w:val="14"/>
          <w:szCs w:val="14"/>
          <w:color w:val="auto"/>
        </w:rPr>
        <w:t>For example, our 2020 turnover rate was 5.6% (8.7% including the impact of the commercial organization restructuring relating to Praluent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(alirocumab) and Kevzara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(sarilumab)) compared to an industry average of 21.0%, with turnover in our research and preclinical development organization ranking among the lowest of all employee groups. Industry average is based on data of U.S. life sciences companies reported in Aon’s 2020 Salary Increase and Turnover Study.</w:t>
      </w:r>
    </w:p>
    <w:p>
      <w:pPr>
        <w:spacing w:after="0" w:line="152" w:lineRule="exact"/>
        <w:rPr>
          <w:sz w:val="20"/>
          <w:szCs w:val="20"/>
          <w:color w:val="auto"/>
        </w:rPr>
      </w:pPr>
    </w:p>
    <w:p>
      <w:pPr>
        <w:ind w:left="760" w:right="580" w:hanging="172"/>
        <w:spacing w:after="0" w:line="258" w:lineRule="auto"/>
        <w:tabs>
          <w:tab w:leader="none" w:pos="760" w:val="left"/>
        </w:tabs>
        <w:numPr>
          <w:ilvl w:val="0"/>
          <w:numId w:val="64"/>
        </w:numPr>
        <w:rPr>
          <w:rFonts w:ascii="Arial" w:cs="Arial" w:eastAsia="Arial" w:hAnsi="Arial"/>
          <w:sz w:val="14"/>
          <w:szCs w:val="14"/>
          <w:b w:val="1"/>
          <w:bCs w:val="1"/>
          <w:color w:val="205BA8"/>
        </w:rPr>
      </w:pPr>
      <w:r>
        <w:rPr>
          <w:rFonts w:ascii="Arial" w:cs="Arial" w:eastAsia="Arial" w:hAnsi="Arial"/>
          <w:sz w:val="14"/>
          <w:szCs w:val="14"/>
          <w:color w:val="auto"/>
        </w:rPr>
        <w:t>Bottom-line growth represented by non-GAAP net income per share – diluted, which is not a measure calculated in accordance with GAAP. See Appendix A for a definition of this measure and a reconciliation of this measure to the most directly comparable GAAP financial measure.</w:t>
      </w:r>
    </w:p>
    <w:p>
      <w:pPr>
        <w:spacing w:after="0" w:line="276"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54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65" w:name="page66"/>
    <w:bookmarkEnd w:id="65"/>
    <w:p>
      <w:pPr>
        <w:ind w:left="402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417830</wp:posOffset>
            </wp:positionV>
            <wp:extent cx="6446520" cy="3068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446520" cy="30689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205BA8"/>
        </w:rPr>
        <w:t>Regulatory Actions</w:t>
      </w:r>
    </w:p>
    <w:p>
      <w:pPr>
        <w:spacing w:after="0" w:line="154" w:lineRule="exact"/>
        <w:rPr>
          <w:sz w:val="20"/>
          <w:szCs w:val="20"/>
          <w:color w:val="auto"/>
        </w:rPr>
      </w:pPr>
    </w:p>
    <w:p>
      <w:pPr>
        <w:ind w:left="800" w:right="434" w:hanging="126"/>
        <w:spacing w:after="0" w:line="274" w:lineRule="auto"/>
        <w:tabs>
          <w:tab w:leader="none" w:pos="792" w:val="left"/>
        </w:tabs>
        <w:numPr>
          <w:ilvl w:val="0"/>
          <w:numId w:val="65"/>
        </w:numPr>
        <w:rPr>
          <w:rFonts w:ascii="Arial" w:cs="Arial" w:eastAsia="Arial" w:hAnsi="Arial"/>
          <w:sz w:val="13"/>
          <w:szCs w:val="13"/>
          <w:b w:val="1"/>
          <w:bCs w:val="1"/>
          <w:color w:val="205BA8"/>
        </w:rPr>
      </w:pPr>
      <w:r>
        <w:rPr>
          <w:rFonts w:ascii="Arial" w:cs="Arial" w:eastAsia="Arial" w:hAnsi="Arial"/>
          <w:sz w:val="13"/>
          <w:szCs w:val="13"/>
          <w:b w:val="1"/>
          <w:bCs w:val="1"/>
          <w:color w:val="auto"/>
        </w:rPr>
        <w:t xml:space="preserve">REGEN-COV: </w:t>
      </w:r>
      <w:r>
        <w:rPr>
          <w:rFonts w:ascii="Arial" w:cs="Arial" w:eastAsia="Arial" w:hAnsi="Arial"/>
          <w:sz w:val="13"/>
          <w:szCs w:val="13"/>
          <w:color w:val="auto"/>
        </w:rPr>
        <w:t>Emergency Use Authorization granted by the FDA for the</w:t>
      </w:r>
      <w:r>
        <w:rPr>
          <w:rFonts w:ascii="Arial" w:cs="Arial" w:eastAsia="Arial" w:hAnsi="Arial"/>
          <w:sz w:val="13"/>
          <w:szCs w:val="13"/>
          <w:b w:val="1"/>
          <w:bCs w:val="1"/>
          <w:color w:val="auto"/>
        </w:rPr>
        <w:t xml:space="preserve"> </w:t>
      </w:r>
      <w:r>
        <w:rPr>
          <w:rFonts w:ascii="Arial" w:cs="Arial" w:eastAsia="Arial" w:hAnsi="Arial"/>
          <w:sz w:val="13"/>
          <w:szCs w:val="13"/>
          <w:color w:val="auto"/>
        </w:rPr>
        <w:t>treatment of mild to moderate COVID-19</w:t>
      </w:r>
    </w:p>
    <w:p>
      <w:pPr>
        <w:spacing w:after="0" w:line="9" w:lineRule="exact"/>
        <w:rPr>
          <w:rFonts w:ascii="Arial" w:cs="Arial" w:eastAsia="Arial" w:hAnsi="Arial"/>
          <w:sz w:val="13"/>
          <w:szCs w:val="13"/>
          <w:b w:val="1"/>
          <w:bCs w:val="1"/>
          <w:color w:val="205BA8"/>
        </w:rPr>
      </w:pPr>
    </w:p>
    <w:p>
      <w:pPr>
        <w:ind w:left="800" w:right="574" w:hanging="126"/>
        <w:spacing w:after="0" w:line="274" w:lineRule="auto"/>
        <w:tabs>
          <w:tab w:leader="none" w:pos="792" w:val="left"/>
        </w:tabs>
        <w:numPr>
          <w:ilvl w:val="0"/>
          <w:numId w:val="65"/>
        </w:numPr>
        <w:rPr>
          <w:rFonts w:ascii="Arial" w:cs="Arial" w:eastAsia="Arial" w:hAnsi="Arial"/>
          <w:sz w:val="13"/>
          <w:szCs w:val="13"/>
          <w:b w:val="1"/>
          <w:bCs w:val="1"/>
          <w:color w:val="205BA8"/>
        </w:rPr>
      </w:pPr>
      <w:r>
        <w:rPr>
          <w:rFonts w:ascii="Arial" w:cs="Arial" w:eastAsia="Arial" w:hAnsi="Arial"/>
          <w:sz w:val="13"/>
          <w:szCs w:val="13"/>
          <w:b w:val="1"/>
          <w:bCs w:val="1"/>
          <w:color w:val="auto"/>
        </w:rPr>
        <w:t xml:space="preserve">Inmazeb: </w:t>
      </w:r>
      <w:r>
        <w:rPr>
          <w:rFonts w:ascii="Arial" w:cs="Arial" w:eastAsia="Arial" w:hAnsi="Arial"/>
          <w:sz w:val="13"/>
          <w:szCs w:val="13"/>
          <w:color w:val="auto"/>
        </w:rPr>
        <w:t>FDA approval for the treatment of infection caused by</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Zaire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ebolavirus</w:t>
      </w:r>
    </w:p>
    <w:p>
      <w:pPr>
        <w:spacing w:after="0" w:line="6" w:lineRule="exact"/>
        <w:rPr>
          <w:rFonts w:ascii="Arial" w:cs="Arial" w:eastAsia="Arial" w:hAnsi="Arial"/>
          <w:sz w:val="13"/>
          <w:szCs w:val="13"/>
          <w:b w:val="1"/>
          <w:bCs w:val="1"/>
          <w:color w:val="205BA8"/>
        </w:rPr>
      </w:pPr>
    </w:p>
    <w:p>
      <w:pPr>
        <w:ind w:left="800" w:hanging="126"/>
        <w:spacing w:after="0"/>
        <w:tabs>
          <w:tab w:leader="none" w:pos="800" w:val="left"/>
        </w:tabs>
        <w:numPr>
          <w:ilvl w:val="0"/>
          <w:numId w:val="65"/>
        </w:numPr>
        <w:rPr>
          <w:rFonts w:ascii="Arial" w:cs="Arial" w:eastAsia="Arial" w:hAnsi="Arial"/>
          <w:sz w:val="13"/>
          <w:szCs w:val="13"/>
          <w:b w:val="1"/>
          <w:bCs w:val="1"/>
          <w:color w:val="205BA8"/>
        </w:rPr>
      </w:pPr>
      <w:r>
        <w:rPr>
          <w:rFonts w:ascii="Arial" w:cs="Arial" w:eastAsia="Arial" w:hAnsi="Arial"/>
          <w:sz w:val="13"/>
          <w:szCs w:val="13"/>
          <w:b w:val="1"/>
          <w:bCs w:val="1"/>
          <w:color w:val="auto"/>
        </w:rPr>
        <w:t>Dupixent</w:t>
      </w:r>
      <w:r>
        <w:rPr>
          <w:rFonts w:ascii="Arial" w:cs="Arial" w:eastAsia="Arial" w:hAnsi="Arial"/>
          <w:sz w:val="21"/>
          <w:szCs w:val="21"/>
          <w:b w:val="1"/>
          <w:bCs w:val="1"/>
          <w:color w:val="auto"/>
          <w:vertAlign w:val="superscript"/>
        </w:rPr>
        <w:t>®</w:t>
      </w:r>
      <w:r>
        <w:rPr>
          <w:rFonts w:ascii="Arial" w:cs="Arial" w:eastAsia="Arial" w:hAnsi="Arial"/>
          <w:sz w:val="13"/>
          <w:szCs w:val="13"/>
          <w:b w:val="1"/>
          <w:bCs w:val="1"/>
          <w:color w:val="auto"/>
        </w:rPr>
        <w:t xml:space="preserve"> (dupilumab) Injection</w:t>
      </w:r>
    </w:p>
    <w:p>
      <w:pPr>
        <w:spacing w:after="0" w:line="7" w:lineRule="exact"/>
        <w:rPr>
          <w:rFonts w:ascii="Arial" w:cs="Arial" w:eastAsia="Arial" w:hAnsi="Arial"/>
          <w:sz w:val="13"/>
          <w:szCs w:val="13"/>
          <w:b w:val="1"/>
          <w:bCs w:val="1"/>
          <w:color w:val="205BA8"/>
        </w:rPr>
      </w:pPr>
    </w:p>
    <w:p>
      <w:pPr>
        <w:ind w:left="940" w:right="574" w:hanging="122"/>
        <w:spacing w:after="0" w:line="248" w:lineRule="auto"/>
        <w:tabs>
          <w:tab w:leader="none" w:pos="932" w:val="left"/>
        </w:tabs>
        <w:numPr>
          <w:ilvl w:val="1"/>
          <w:numId w:val="65"/>
        </w:numPr>
        <w:rPr>
          <w:rFonts w:ascii="Arial" w:cs="Arial" w:eastAsia="Arial" w:hAnsi="Arial"/>
          <w:sz w:val="13"/>
          <w:szCs w:val="13"/>
          <w:b w:val="1"/>
          <w:bCs w:val="1"/>
          <w:color w:val="205BA8"/>
        </w:rPr>
      </w:pPr>
      <w:r>
        <w:rPr>
          <w:rFonts w:ascii="Arial" w:cs="Arial" w:eastAsia="Arial" w:hAnsi="Arial"/>
          <w:sz w:val="13"/>
          <w:szCs w:val="13"/>
          <w:color w:val="auto"/>
        </w:rPr>
        <w:t>FDA and European Commission approvals for expanded atopic dermatitis (“AD”) indication in pediatric patients (6–11 years of age)</w:t>
      </w:r>
    </w:p>
    <w:p>
      <w:pPr>
        <w:spacing w:after="0" w:line="42" w:lineRule="exact"/>
        <w:rPr>
          <w:rFonts w:ascii="Arial" w:cs="Arial" w:eastAsia="Arial" w:hAnsi="Arial"/>
          <w:sz w:val="13"/>
          <w:szCs w:val="13"/>
          <w:b w:val="1"/>
          <w:bCs w:val="1"/>
          <w:color w:val="205BA8"/>
        </w:rPr>
      </w:pPr>
    </w:p>
    <w:p>
      <w:pPr>
        <w:ind w:left="940" w:right="454" w:hanging="122"/>
        <w:spacing w:after="0" w:line="248" w:lineRule="auto"/>
        <w:tabs>
          <w:tab w:leader="none" w:pos="932" w:val="left"/>
        </w:tabs>
        <w:numPr>
          <w:ilvl w:val="1"/>
          <w:numId w:val="65"/>
        </w:numPr>
        <w:rPr>
          <w:rFonts w:ascii="Arial" w:cs="Arial" w:eastAsia="Arial" w:hAnsi="Arial"/>
          <w:sz w:val="13"/>
          <w:szCs w:val="13"/>
          <w:b w:val="1"/>
          <w:bCs w:val="1"/>
          <w:color w:val="205BA8"/>
        </w:rPr>
      </w:pPr>
      <w:r>
        <w:rPr>
          <w:rFonts w:ascii="Arial" w:cs="Arial" w:eastAsia="Arial" w:hAnsi="Arial"/>
          <w:sz w:val="13"/>
          <w:szCs w:val="13"/>
          <w:color w:val="auto"/>
        </w:rPr>
        <w:t>National Medical Products Administration approval in China for adults with AD</w:t>
      </w:r>
    </w:p>
    <w:p>
      <w:pPr>
        <w:spacing w:after="0" w:line="42" w:lineRule="exact"/>
        <w:rPr>
          <w:rFonts w:ascii="Arial" w:cs="Arial" w:eastAsia="Arial" w:hAnsi="Arial"/>
          <w:sz w:val="13"/>
          <w:szCs w:val="13"/>
          <w:b w:val="1"/>
          <w:bCs w:val="1"/>
          <w:color w:val="205BA8"/>
        </w:rPr>
      </w:pPr>
    </w:p>
    <w:p>
      <w:pPr>
        <w:ind w:left="940" w:hanging="122"/>
        <w:spacing w:after="0"/>
        <w:tabs>
          <w:tab w:leader="none" w:pos="940" w:val="left"/>
        </w:tabs>
        <w:numPr>
          <w:ilvl w:val="1"/>
          <w:numId w:val="65"/>
        </w:numPr>
        <w:rPr>
          <w:rFonts w:ascii="Arial" w:cs="Arial" w:eastAsia="Arial" w:hAnsi="Arial"/>
          <w:sz w:val="13"/>
          <w:szCs w:val="13"/>
          <w:b w:val="1"/>
          <w:bCs w:val="1"/>
          <w:color w:val="205BA8"/>
        </w:rPr>
      </w:pPr>
      <w:r>
        <w:rPr>
          <w:rFonts w:ascii="Arial" w:cs="Arial" w:eastAsia="Arial" w:hAnsi="Arial"/>
          <w:sz w:val="13"/>
          <w:szCs w:val="13"/>
          <w:color w:val="auto"/>
        </w:rPr>
        <w:t>FDA approval of 300 mg single-dose pre-filled pen</w:t>
      </w:r>
    </w:p>
    <w:p>
      <w:pPr>
        <w:spacing w:after="0" w:line="53" w:lineRule="exact"/>
        <w:rPr>
          <w:rFonts w:ascii="Arial" w:cs="Arial" w:eastAsia="Arial" w:hAnsi="Arial"/>
          <w:sz w:val="13"/>
          <w:szCs w:val="13"/>
          <w:b w:val="1"/>
          <w:bCs w:val="1"/>
          <w:color w:val="205BA8"/>
        </w:rPr>
      </w:pPr>
    </w:p>
    <w:p>
      <w:pPr>
        <w:ind w:left="940" w:right="554" w:hanging="122"/>
        <w:spacing w:after="0" w:line="248" w:lineRule="auto"/>
        <w:tabs>
          <w:tab w:leader="none" w:pos="932" w:val="left"/>
        </w:tabs>
        <w:numPr>
          <w:ilvl w:val="1"/>
          <w:numId w:val="65"/>
        </w:numPr>
        <w:rPr>
          <w:rFonts w:ascii="Arial" w:cs="Arial" w:eastAsia="Arial" w:hAnsi="Arial"/>
          <w:sz w:val="13"/>
          <w:szCs w:val="13"/>
          <w:b w:val="1"/>
          <w:bCs w:val="1"/>
          <w:color w:val="205BA8"/>
        </w:rPr>
      </w:pPr>
      <w:r>
        <w:rPr>
          <w:rFonts w:ascii="Arial" w:cs="Arial" w:eastAsia="Arial" w:hAnsi="Arial"/>
          <w:sz w:val="13"/>
          <w:szCs w:val="13"/>
          <w:color w:val="auto"/>
        </w:rPr>
        <w:t>FDA grant of Breakthrough Therapy designation for the treatment of eosinophilic esophagitis (“EoE”)</w:t>
      </w:r>
    </w:p>
    <w:p>
      <w:pPr>
        <w:spacing w:after="0" w:line="22" w:lineRule="exact"/>
        <w:rPr>
          <w:rFonts w:ascii="Arial" w:cs="Arial" w:eastAsia="Arial" w:hAnsi="Arial"/>
          <w:sz w:val="13"/>
          <w:szCs w:val="13"/>
          <w:b w:val="1"/>
          <w:bCs w:val="1"/>
          <w:color w:val="205BA8"/>
        </w:rPr>
      </w:pPr>
    </w:p>
    <w:p>
      <w:pPr>
        <w:ind w:left="800" w:right="434" w:hanging="126"/>
        <w:spacing w:after="0" w:line="227" w:lineRule="auto"/>
        <w:tabs>
          <w:tab w:leader="none" w:pos="792" w:val="left"/>
        </w:tabs>
        <w:numPr>
          <w:ilvl w:val="0"/>
          <w:numId w:val="65"/>
        </w:numPr>
        <w:rPr>
          <w:rFonts w:ascii="Arial" w:cs="Arial" w:eastAsia="Arial" w:hAnsi="Arial"/>
          <w:sz w:val="13"/>
          <w:szCs w:val="13"/>
          <w:b w:val="1"/>
          <w:bCs w:val="1"/>
          <w:color w:val="205BA8"/>
        </w:rPr>
      </w:pPr>
      <w:r>
        <w:rPr>
          <w:rFonts w:ascii="Arial" w:cs="Arial" w:eastAsia="Arial" w:hAnsi="Arial"/>
          <w:sz w:val="13"/>
          <w:szCs w:val="13"/>
          <w:b w:val="1"/>
          <w:bCs w:val="1"/>
          <w:color w:val="auto"/>
        </w:rPr>
        <w:t>Libtayo</w:t>
      </w:r>
      <w:r>
        <w:rPr>
          <w:rFonts w:ascii="Arial" w:cs="Arial" w:eastAsia="Arial" w:hAnsi="Arial"/>
          <w:sz w:val="21"/>
          <w:szCs w:val="21"/>
          <w:b w:val="1"/>
          <w:bCs w:val="1"/>
          <w:color w:val="auto"/>
          <w:vertAlign w:val="superscript"/>
        </w:rPr>
        <w:t>®</w:t>
      </w:r>
      <w:r>
        <w:rPr>
          <w:rFonts w:ascii="Arial" w:cs="Arial" w:eastAsia="Arial" w:hAnsi="Arial"/>
          <w:sz w:val="13"/>
          <w:szCs w:val="13"/>
          <w:b w:val="1"/>
          <w:bCs w:val="1"/>
          <w:color w:val="auto"/>
        </w:rPr>
        <w:t xml:space="preserve"> (cemiplimab) Injection: </w:t>
      </w:r>
      <w:r>
        <w:rPr>
          <w:rFonts w:ascii="Arial" w:cs="Arial" w:eastAsia="Arial" w:hAnsi="Arial"/>
          <w:sz w:val="13"/>
          <w:szCs w:val="13"/>
          <w:color w:val="auto"/>
        </w:rPr>
        <w:t>FDA accepted for priority review a</w:t>
      </w:r>
      <w:r>
        <w:rPr>
          <w:rFonts w:ascii="Arial" w:cs="Arial" w:eastAsia="Arial" w:hAnsi="Arial"/>
          <w:sz w:val="13"/>
          <w:szCs w:val="13"/>
          <w:b w:val="1"/>
          <w:bCs w:val="1"/>
          <w:color w:val="auto"/>
        </w:rPr>
        <w:t xml:space="preserve"> </w:t>
      </w:r>
      <w:r>
        <w:rPr>
          <w:rFonts w:ascii="Arial" w:cs="Arial" w:eastAsia="Arial" w:hAnsi="Arial"/>
          <w:sz w:val="13"/>
          <w:szCs w:val="13"/>
          <w:color w:val="auto"/>
        </w:rPr>
        <w:t>supplemental Biologics License Application (“sBLA”) for the treatment of each of (i) first-line locally advanced or metastatic non-small cell lung cancer (“NSCLC”) and (ii) advanced or metastatic basal cell carcinoma (“BCC”) (FDA approval for NSCLC and BCC received in February 2021)</w:t>
      </w:r>
    </w:p>
    <w:p>
      <w:pPr>
        <w:spacing w:after="0" w:line="29" w:lineRule="exact"/>
        <w:rPr>
          <w:rFonts w:ascii="Arial" w:cs="Arial" w:eastAsia="Arial" w:hAnsi="Arial"/>
          <w:sz w:val="13"/>
          <w:szCs w:val="13"/>
          <w:b w:val="1"/>
          <w:bCs w:val="1"/>
          <w:color w:val="205BA8"/>
        </w:rPr>
      </w:pPr>
    </w:p>
    <w:p>
      <w:pPr>
        <w:ind w:left="800" w:right="414" w:hanging="126"/>
        <w:spacing w:after="0" w:line="225" w:lineRule="auto"/>
        <w:tabs>
          <w:tab w:leader="none" w:pos="792" w:val="left"/>
        </w:tabs>
        <w:numPr>
          <w:ilvl w:val="0"/>
          <w:numId w:val="65"/>
        </w:numPr>
        <w:rPr>
          <w:rFonts w:ascii="Arial" w:cs="Arial" w:eastAsia="Arial" w:hAnsi="Arial"/>
          <w:sz w:val="13"/>
          <w:szCs w:val="13"/>
          <w:b w:val="1"/>
          <w:bCs w:val="1"/>
          <w:color w:val="205BA8"/>
        </w:rPr>
      </w:pPr>
      <w:r>
        <w:rPr>
          <w:rFonts w:ascii="Arial" w:cs="Arial" w:eastAsia="Arial" w:hAnsi="Arial"/>
          <w:sz w:val="13"/>
          <w:szCs w:val="13"/>
          <w:b w:val="1"/>
          <w:bCs w:val="1"/>
          <w:color w:val="auto"/>
        </w:rPr>
        <w:t>Evkeeza</w:t>
      </w:r>
      <w:r>
        <w:rPr>
          <w:rFonts w:ascii="Arial" w:cs="Arial" w:eastAsia="Arial" w:hAnsi="Arial"/>
          <w:sz w:val="21"/>
          <w:szCs w:val="21"/>
          <w:b w:val="1"/>
          <w:bCs w:val="1"/>
          <w:color w:val="auto"/>
          <w:vertAlign w:val="superscript"/>
        </w:rPr>
        <w:t>TM</w:t>
      </w:r>
      <w:r>
        <w:rPr>
          <w:rFonts w:ascii="Arial" w:cs="Arial" w:eastAsia="Arial" w:hAnsi="Arial"/>
          <w:sz w:val="13"/>
          <w:szCs w:val="13"/>
          <w:b w:val="1"/>
          <w:bCs w:val="1"/>
          <w:color w:val="auto"/>
        </w:rPr>
        <w:t xml:space="preserve"> (evinacumab): </w:t>
      </w:r>
      <w:r>
        <w:rPr>
          <w:rFonts w:ascii="Arial" w:cs="Arial" w:eastAsia="Arial" w:hAnsi="Arial"/>
          <w:sz w:val="13"/>
          <w:szCs w:val="13"/>
          <w:color w:val="auto"/>
        </w:rPr>
        <w:t>FDA accepted for priority review an sBLA for</w:t>
      </w:r>
      <w:r>
        <w:rPr>
          <w:rFonts w:ascii="Arial" w:cs="Arial" w:eastAsia="Arial" w:hAnsi="Arial"/>
          <w:sz w:val="13"/>
          <w:szCs w:val="13"/>
          <w:b w:val="1"/>
          <w:bCs w:val="1"/>
          <w:color w:val="auto"/>
        </w:rPr>
        <w:t xml:space="preserve"> </w:t>
      </w:r>
      <w:r>
        <w:rPr>
          <w:rFonts w:ascii="Arial" w:cs="Arial" w:eastAsia="Arial" w:hAnsi="Arial"/>
          <w:sz w:val="13"/>
          <w:szCs w:val="13"/>
          <w:color w:val="auto"/>
        </w:rPr>
        <w:t>Evkeeza as an adjunct to other lipid-lowering therapies in patients with homozygous familial hypercholesterolemia (“HoFH”) (FDA approval received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559435</wp:posOffset>
            </wp:positionV>
            <wp:extent cx="2983230" cy="26574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983230" cy="2657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
        <w:spacing w:after="0"/>
        <w:rPr>
          <w:sz w:val="20"/>
          <w:szCs w:val="20"/>
          <w:color w:val="auto"/>
        </w:rPr>
      </w:pPr>
      <w:r>
        <w:rPr>
          <w:rFonts w:ascii="Arial" w:cs="Arial" w:eastAsia="Arial" w:hAnsi="Arial"/>
          <w:sz w:val="18"/>
          <w:szCs w:val="18"/>
          <w:b w:val="1"/>
          <w:bCs w:val="1"/>
          <w:color w:val="205BA8"/>
        </w:rPr>
        <w:t>Clinical Advances</w:t>
      </w:r>
    </w:p>
    <w:p>
      <w:pPr>
        <w:spacing w:after="0" w:line="154" w:lineRule="exact"/>
        <w:rPr>
          <w:sz w:val="20"/>
          <w:szCs w:val="20"/>
          <w:color w:val="auto"/>
        </w:rPr>
      </w:pPr>
    </w:p>
    <w:p>
      <w:pPr>
        <w:ind w:left="126" w:right="880" w:hanging="126"/>
        <w:spacing w:after="0" w:line="274" w:lineRule="auto"/>
        <w:tabs>
          <w:tab w:leader="none" w:pos="118" w:val="left"/>
        </w:tabs>
        <w:numPr>
          <w:ilvl w:val="0"/>
          <w:numId w:val="66"/>
        </w:numPr>
        <w:rPr>
          <w:rFonts w:ascii="Arial" w:cs="Arial" w:eastAsia="Arial" w:hAnsi="Arial"/>
          <w:sz w:val="13"/>
          <w:szCs w:val="13"/>
          <w:b w:val="1"/>
          <w:bCs w:val="1"/>
          <w:color w:val="205BA8"/>
        </w:rPr>
      </w:pPr>
      <w:r>
        <w:rPr>
          <w:rFonts w:ascii="Arial" w:cs="Arial" w:eastAsia="Arial" w:hAnsi="Arial"/>
          <w:sz w:val="13"/>
          <w:szCs w:val="13"/>
          <w:b w:val="1"/>
          <w:bCs w:val="1"/>
          <w:color w:val="auto"/>
        </w:rPr>
        <w:t xml:space="preserve">Investigational New Drug Applications: </w:t>
      </w:r>
      <w:r>
        <w:rPr>
          <w:rFonts w:ascii="Arial" w:cs="Arial" w:eastAsia="Arial" w:hAnsi="Arial"/>
          <w:sz w:val="13"/>
          <w:szCs w:val="13"/>
          <w:color w:val="auto"/>
        </w:rPr>
        <w:t>Nine new product candidates</w:t>
      </w:r>
      <w:r>
        <w:rPr>
          <w:rFonts w:ascii="Arial" w:cs="Arial" w:eastAsia="Arial" w:hAnsi="Arial"/>
          <w:sz w:val="13"/>
          <w:szCs w:val="13"/>
          <w:b w:val="1"/>
          <w:bCs w:val="1"/>
          <w:color w:val="auto"/>
        </w:rPr>
        <w:t xml:space="preserve"> </w:t>
      </w:r>
      <w:r>
        <w:rPr>
          <w:rFonts w:ascii="Arial" w:cs="Arial" w:eastAsia="Arial" w:hAnsi="Arial"/>
          <w:sz w:val="13"/>
          <w:szCs w:val="13"/>
          <w:color w:val="auto"/>
        </w:rPr>
        <w:t>advanced into clinical development</w:t>
      </w:r>
    </w:p>
    <w:p>
      <w:pPr>
        <w:spacing w:after="0" w:line="9" w:lineRule="exact"/>
        <w:rPr>
          <w:rFonts w:ascii="Arial" w:cs="Arial" w:eastAsia="Arial" w:hAnsi="Arial"/>
          <w:sz w:val="13"/>
          <w:szCs w:val="13"/>
          <w:b w:val="1"/>
          <w:bCs w:val="1"/>
          <w:color w:val="205BA8"/>
        </w:rPr>
      </w:pPr>
    </w:p>
    <w:p>
      <w:pPr>
        <w:ind w:left="126" w:right="660" w:hanging="126"/>
        <w:spacing w:after="0" w:line="274" w:lineRule="auto"/>
        <w:tabs>
          <w:tab w:leader="none" w:pos="118" w:val="left"/>
        </w:tabs>
        <w:numPr>
          <w:ilvl w:val="0"/>
          <w:numId w:val="66"/>
        </w:numPr>
        <w:rPr>
          <w:rFonts w:ascii="Arial" w:cs="Arial" w:eastAsia="Arial" w:hAnsi="Arial"/>
          <w:sz w:val="13"/>
          <w:szCs w:val="13"/>
          <w:b w:val="1"/>
          <w:bCs w:val="1"/>
          <w:color w:val="205BA8"/>
        </w:rPr>
      </w:pPr>
      <w:r>
        <w:rPr>
          <w:rFonts w:ascii="Arial" w:cs="Arial" w:eastAsia="Arial" w:hAnsi="Arial"/>
          <w:sz w:val="13"/>
          <w:szCs w:val="13"/>
          <w:b w:val="1"/>
          <w:bCs w:val="1"/>
          <w:color w:val="auto"/>
        </w:rPr>
        <w:t xml:space="preserve">Marketing Applications: </w:t>
      </w:r>
      <w:r>
        <w:rPr>
          <w:rFonts w:ascii="Arial" w:cs="Arial" w:eastAsia="Arial" w:hAnsi="Arial"/>
          <w:sz w:val="13"/>
          <w:szCs w:val="13"/>
          <w:color w:val="auto"/>
        </w:rPr>
        <w:t>Six marketing applications submitted for approval</w:t>
      </w:r>
      <w:r>
        <w:rPr>
          <w:rFonts w:ascii="Arial" w:cs="Arial" w:eastAsia="Arial" w:hAnsi="Arial"/>
          <w:sz w:val="13"/>
          <w:szCs w:val="13"/>
          <w:b w:val="1"/>
          <w:bCs w:val="1"/>
          <w:color w:val="auto"/>
        </w:rPr>
        <w:t xml:space="preserve"> </w:t>
      </w:r>
      <w:r>
        <w:rPr>
          <w:rFonts w:ascii="Arial" w:cs="Arial" w:eastAsia="Arial" w:hAnsi="Arial"/>
          <w:sz w:val="13"/>
          <w:szCs w:val="13"/>
          <w:color w:val="auto"/>
        </w:rPr>
        <w:t>of new products or new indications for existing products</w:t>
      </w:r>
    </w:p>
    <w:p>
      <w:pPr>
        <w:spacing w:after="0" w:line="9" w:lineRule="exact"/>
        <w:rPr>
          <w:rFonts w:ascii="Arial" w:cs="Arial" w:eastAsia="Arial" w:hAnsi="Arial"/>
          <w:sz w:val="13"/>
          <w:szCs w:val="13"/>
          <w:b w:val="1"/>
          <w:bCs w:val="1"/>
          <w:color w:val="205BA8"/>
        </w:rPr>
      </w:pPr>
    </w:p>
    <w:p>
      <w:pPr>
        <w:ind w:left="126" w:hanging="126"/>
        <w:spacing w:after="0"/>
        <w:tabs>
          <w:tab w:leader="none" w:pos="126" w:val="left"/>
        </w:tabs>
        <w:numPr>
          <w:ilvl w:val="0"/>
          <w:numId w:val="66"/>
        </w:numPr>
        <w:rPr>
          <w:rFonts w:ascii="Arial" w:cs="Arial" w:eastAsia="Arial" w:hAnsi="Arial"/>
          <w:sz w:val="13"/>
          <w:szCs w:val="13"/>
          <w:b w:val="1"/>
          <w:bCs w:val="1"/>
          <w:color w:val="205BA8"/>
        </w:rPr>
      </w:pPr>
      <w:r>
        <w:rPr>
          <w:rFonts w:ascii="Arial" w:cs="Arial" w:eastAsia="Arial" w:hAnsi="Arial"/>
          <w:sz w:val="13"/>
          <w:szCs w:val="13"/>
          <w:b w:val="1"/>
          <w:bCs w:val="1"/>
          <w:color w:val="auto"/>
        </w:rPr>
        <w:t>REGEN-COV</w:t>
      </w:r>
    </w:p>
    <w:p>
      <w:pPr>
        <w:spacing w:after="0" w:line="69" w:lineRule="exact"/>
        <w:rPr>
          <w:rFonts w:ascii="Arial" w:cs="Arial" w:eastAsia="Arial" w:hAnsi="Arial"/>
          <w:sz w:val="13"/>
          <w:szCs w:val="13"/>
          <w:b w:val="1"/>
          <w:bCs w:val="1"/>
          <w:color w:val="205BA8"/>
        </w:rPr>
      </w:pPr>
    </w:p>
    <w:p>
      <w:pPr>
        <w:ind w:left="266" w:right="860" w:hanging="122"/>
        <w:spacing w:after="0" w:line="243" w:lineRule="auto"/>
        <w:tabs>
          <w:tab w:leader="none" w:pos="258" w:val="left"/>
        </w:tabs>
        <w:numPr>
          <w:ilvl w:val="1"/>
          <w:numId w:val="66"/>
        </w:numPr>
        <w:rPr>
          <w:rFonts w:ascii="Arial" w:cs="Arial" w:eastAsia="Arial" w:hAnsi="Arial"/>
          <w:sz w:val="13"/>
          <w:szCs w:val="13"/>
          <w:b w:val="1"/>
          <w:bCs w:val="1"/>
          <w:color w:val="205BA8"/>
        </w:rPr>
      </w:pPr>
      <w:r>
        <w:rPr>
          <w:rFonts w:ascii="Arial" w:cs="Arial" w:eastAsia="Arial" w:hAnsi="Arial"/>
          <w:sz w:val="13"/>
          <w:szCs w:val="13"/>
          <w:color w:val="auto"/>
        </w:rPr>
        <w:t>Reported results from first 799 non-hospitalized COVID-19 patients in Phase 2/3 trial showing that the trial met primary and key secondary endpoints</w:t>
      </w:r>
    </w:p>
    <w:p>
      <w:pPr>
        <w:spacing w:after="0" w:line="45" w:lineRule="exact"/>
        <w:rPr>
          <w:rFonts w:ascii="Arial" w:cs="Arial" w:eastAsia="Arial" w:hAnsi="Arial"/>
          <w:sz w:val="13"/>
          <w:szCs w:val="13"/>
          <w:b w:val="1"/>
          <w:bCs w:val="1"/>
          <w:color w:val="205BA8"/>
        </w:rPr>
      </w:pPr>
    </w:p>
    <w:p>
      <w:pPr>
        <w:ind w:left="266" w:right="760" w:hanging="122"/>
        <w:spacing w:after="0" w:line="248" w:lineRule="auto"/>
        <w:tabs>
          <w:tab w:leader="none" w:pos="258" w:val="left"/>
        </w:tabs>
        <w:numPr>
          <w:ilvl w:val="1"/>
          <w:numId w:val="66"/>
        </w:numPr>
        <w:rPr>
          <w:rFonts w:ascii="Arial" w:cs="Arial" w:eastAsia="Arial" w:hAnsi="Arial"/>
          <w:sz w:val="13"/>
          <w:szCs w:val="13"/>
          <w:b w:val="1"/>
          <w:bCs w:val="1"/>
          <w:color w:val="205BA8"/>
        </w:rPr>
      </w:pPr>
      <w:r>
        <w:rPr>
          <w:rFonts w:ascii="Arial" w:cs="Arial" w:eastAsia="Arial" w:hAnsi="Arial"/>
          <w:sz w:val="13"/>
          <w:szCs w:val="13"/>
          <w:color w:val="auto"/>
        </w:rPr>
        <w:t>Reported data from Phase 1/2/3 trial in hospitalized COVID-19 patients requiring low-flow oxygen</w:t>
      </w:r>
    </w:p>
    <w:p>
      <w:pPr>
        <w:spacing w:after="0" w:line="42" w:lineRule="exact"/>
        <w:rPr>
          <w:rFonts w:ascii="Arial" w:cs="Arial" w:eastAsia="Arial" w:hAnsi="Arial"/>
          <w:sz w:val="13"/>
          <w:szCs w:val="13"/>
          <w:b w:val="1"/>
          <w:bCs w:val="1"/>
          <w:color w:val="205BA8"/>
        </w:rPr>
      </w:pPr>
    </w:p>
    <w:p>
      <w:pPr>
        <w:ind w:left="266" w:right="680" w:hanging="122"/>
        <w:spacing w:after="0" w:line="248" w:lineRule="auto"/>
        <w:tabs>
          <w:tab w:leader="none" w:pos="258" w:val="left"/>
        </w:tabs>
        <w:numPr>
          <w:ilvl w:val="1"/>
          <w:numId w:val="66"/>
        </w:numPr>
        <w:rPr>
          <w:rFonts w:ascii="Arial" w:cs="Arial" w:eastAsia="Arial" w:hAnsi="Arial"/>
          <w:sz w:val="13"/>
          <w:szCs w:val="13"/>
          <w:b w:val="1"/>
          <w:bCs w:val="1"/>
          <w:color w:val="205BA8"/>
        </w:rPr>
      </w:pPr>
      <w:r>
        <w:rPr>
          <w:rFonts w:ascii="Arial" w:cs="Arial" w:eastAsia="Arial" w:hAnsi="Arial"/>
          <w:sz w:val="13"/>
          <w:szCs w:val="13"/>
          <w:color w:val="auto"/>
        </w:rPr>
        <w:t>Initiated several other studies, including a Phase 3 COVID-19 prevention study</w:t>
      </w:r>
    </w:p>
    <w:p>
      <w:pPr>
        <w:spacing w:after="0" w:line="26" w:lineRule="exact"/>
        <w:rPr>
          <w:rFonts w:ascii="Arial" w:cs="Arial" w:eastAsia="Arial" w:hAnsi="Arial"/>
          <w:sz w:val="13"/>
          <w:szCs w:val="13"/>
          <w:b w:val="1"/>
          <w:bCs w:val="1"/>
          <w:color w:val="205BA8"/>
        </w:rPr>
      </w:pPr>
    </w:p>
    <w:p>
      <w:pPr>
        <w:ind w:left="126" w:hanging="126"/>
        <w:spacing w:after="0"/>
        <w:tabs>
          <w:tab w:leader="none" w:pos="126" w:val="left"/>
        </w:tabs>
        <w:numPr>
          <w:ilvl w:val="0"/>
          <w:numId w:val="66"/>
        </w:numPr>
        <w:rPr>
          <w:rFonts w:ascii="Arial" w:cs="Arial" w:eastAsia="Arial" w:hAnsi="Arial"/>
          <w:sz w:val="13"/>
          <w:szCs w:val="13"/>
          <w:b w:val="1"/>
          <w:bCs w:val="1"/>
          <w:color w:val="205BA8"/>
        </w:rPr>
      </w:pPr>
      <w:r>
        <w:rPr>
          <w:rFonts w:ascii="Arial" w:cs="Arial" w:eastAsia="Arial" w:hAnsi="Arial"/>
          <w:sz w:val="13"/>
          <w:szCs w:val="13"/>
          <w:b w:val="1"/>
          <w:bCs w:val="1"/>
          <w:color w:val="auto"/>
        </w:rPr>
        <w:t>Dupixent</w:t>
      </w:r>
    </w:p>
    <w:p>
      <w:pPr>
        <w:spacing w:after="0" w:line="69" w:lineRule="exact"/>
        <w:rPr>
          <w:rFonts w:ascii="Arial" w:cs="Arial" w:eastAsia="Arial" w:hAnsi="Arial"/>
          <w:sz w:val="13"/>
          <w:szCs w:val="13"/>
          <w:b w:val="1"/>
          <w:bCs w:val="1"/>
          <w:color w:val="205BA8"/>
        </w:rPr>
      </w:pPr>
    </w:p>
    <w:p>
      <w:pPr>
        <w:ind w:left="266" w:right="800" w:hanging="122"/>
        <w:spacing w:after="0" w:line="248" w:lineRule="auto"/>
        <w:tabs>
          <w:tab w:leader="none" w:pos="258" w:val="left"/>
        </w:tabs>
        <w:numPr>
          <w:ilvl w:val="1"/>
          <w:numId w:val="66"/>
        </w:numPr>
        <w:rPr>
          <w:rFonts w:ascii="Arial" w:cs="Arial" w:eastAsia="Arial" w:hAnsi="Arial"/>
          <w:sz w:val="13"/>
          <w:szCs w:val="13"/>
          <w:b w:val="1"/>
          <w:bCs w:val="1"/>
          <w:color w:val="205BA8"/>
        </w:rPr>
      </w:pPr>
      <w:r>
        <w:rPr>
          <w:rFonts w:ascii="Arial" w:cs="Arial" w:eastAsia="Arial" w:hAnsi="Arial"/>
          <w:sz w:val="13"/>
          <w:szCs w:val="13"/>
          <w:color w:val="auto"/>
        </w:rPr>
        <w:t>Reported that a Phase 3 trial for asthma in children aged 6 to 11 years met its primary and key secondary endpoints</w:t>
      </w:r>
    </w:p>
    <w:p>
      <w:pPr>
        <w:spacing w:after="0" w:line="42" w:lineRule="exact"/>
        <w:rPr>
          <w:rFonts w:ascii="Arial" w:cs="Arial" w:eastAsia="Arial" w:hAnsi="Arial"/>
          <w:sz w:val="13"/>
          <w:szCs w:val="13"/>
          <w:b w:val="1"/>
          <w:bCs w:val="1"/>
          <w:color w:val="205BA8"/>
        </w:rPr>
      </w:pPr>
    </w:p>
    <w:p>
      <w:pPr>
        <w:ind w:left="266" w:right="680" w:hanging="122"/>
        <w:spacing w:after="0" w:line="248" w:lineRule="auto"/>
        <w:tabs>
          <w:tab w:leader="none" w:pos="258" w:val="left"/>
        </w:tabs>
        <w:numPr>
          <w:ilvl w:val="1"/>
          <w:numId w:val="66"/>
        </w:numPr>
        <w:rPr>
          <w:rFonts w:ascii="Arial" w:cs="Arial" w:eastAsia="Arial" w:hAnsi="Arial"/>
          <w:sz w:val="13"/>
          <w:szCs w:val="13"/>
          <w:b w:val="1"/>
          <w:bCs w:val="1"/>
          <w:color w:val="205BA8"/>
        </w:rPr>
      </w:pPr>
      <w:r>
        <w:rPr>
          <w:rFonts w:ascii="Arial" w:cs="Arial" w:eastAsia="Arial" w:hAnsi="Arial"/>
          <w:sz w:val="13"/>
          <w:szCs w:val="13"/>
          <w:color w:val="auto"/>
        </w:rPr>
        <w:t>Reported that Part A of the Phase 3 trial in adult and adolescent patients with EoE met both coprimary endpoints</w:t>
      </w:r>
    </w:p>
    <w:p>
      <w:pPr>
        <w:spacing w:after="0" w:line="26" w:lineRule="exact"/>
        <w:rPr>
          <w:rFonts w:ascii="Arial" w:cs="Arial" w:eastAsia="Arial" w:hAnsi="Arial"/>
          <w:sz w:val="13"/>
          <w:szCs w:val="13"/>
          <w:b w:val="1"/>
          <w:bCs w:val="1"/>
          <w:color w:val="205BA8"/>
        </w:rPr>
      </w:pPr>
    </w:p>
    <w:p>
      <w:pPr>
        <w:ind w:left="126" w:right="760" w:hanging="126"/>
        <w:spacing w:after="0" w:line="256" w:lineRule="auto"/>
        <w:tabs>
          <w:tab w:leader="none" w:pos="118" w:val="left"/>
        </w:tabs>
        <w:numPr>
          <w:ilvl w:val="0"/>
          <w:numId w:val="66"/>
        </w:numPr>
        <w:rPr>
          <w:rFonts w:ascii="Arial" w:cs="Arial" w:eastAsia="Arial" w:hAnsi="Arial"/>
          <w:sz w:val="13"/>
          <w:szCs w:val="13"/>
          <w:b w:val="1"/>
          <w:bCs w:val="1"/>
          <w:color w:val="205BA8"/>
        </w:rPr>
      </w:pPr>
      <w:r>
        <w:rPr>
          <w:rFonts w:ascii="Arial" w:cs="Arial" w:eastAsia="Arial" w:hAnsi="Arial"/>
          <w:sz w:val="13"/>
          <w:szCs w:val="13"/>
          <w:b w:val="1"/>
          <w:bCs w:val="1"/>
          <w:color w:val="auto"/>
        </w:rPr>
        <w:t xml:space="preserve">Libtayo: </w:t>
      </w:r>
      <w:r>
        <w:rPr>
          <w:rFonts w:ascii="Arial" w:cs="Arial" w:eastAsia="Arial" w:hAnsi="Arial"/>
          <w:sz w:val="13"/>
          <w:szCs w:val="13"/>
          <w:color w:val="auto"/>
        </w:rPr>
        <w:t>Reported that Phase 3 monotherapy trial in first-line NSCLC met</w:t>
      </w:r>
      <w:r>
        <w:rPr>
          <w:rFonts w:ascii="Arial" w:cs="Arial" w:eastAsia="Arial" w:hAnsi="Arial"/>
          <w:sz w:val="13"/>
          <w:szCs w:val="13"/>
          <w:b w:val="1"/>
          <w:bCs w:val="1"/>
          <w:color w:val="auto"/>
        </w:rPr>
        <w:t xml:space="preserve"> </w:t>
      </w:r>
      <w:r>
        <w:rPr>
          <w:rFonts w:ascii="Arial" w:cs="Arial" w:eastAsia="Arial" w:hAnsi="Arial"/>
          <w:sz w:val="13"/>
          <w:szCs w:val="13"/>
          <w:color w:val="auto"/>
        </w:rPr>
        <w:t>primary endpoint and Phase 2 study in BCC demonstrated clinically-meaningful and durable responses</w:t>
      </w:r>
    </w:p>
    <w:p>
      <w:pPr>
        <w:spacing w:after="0" w:line="21" w:lineRule="exact"/>
        <w:rPr>
          <w:rFonts w:ascii="Arial" w:cs="Arial" w:eastAsia="Arial" w:hAnsi="Arial"/>
          <w:sz w:val="13"/>
          <w:szCs w:val="13"/>
          <w:b w:val="1"/>
          <w:bCs w:val="1"/>
          <w:color w:val="205BA8"/>
        </w:rPr>
      </w:pPr>
    </w:p>
    <w:p>
      <w:pPr>
        <w:ind w:left="126" w:right="820" w:hanging="126"/>
        <w:spacing w:after="0" w:line="274" w:lineRule="auto"/>
        <w:tabs>
          <w:tab w:leader="none" w:pos="118" w:val="left"/>
        </w:tabs>
        <w:numPr>
          <w:ilvl w:val="0"/>
          <w:numId w:val="66"/>
        </w:numPr>
        <w:rPr>
          <w:rFonts w:ascii="Arial" w:cs="Arial" w:eastAsia="Arial" w:hAnsi="Arial"/>
          <w:sz w:val="13"/>
          <w:szCs w:val="13"/>
          <w:b w:val="1"/>
          <w:bCs w:val="1"/>
          <w:color w:val="205BA8"/>
        </w:rPr>
      </w:pPr>
      <w:r>
        <w:rPr>
          <w:rFonts w:ascii="Arial" w:cs="Arial" w:eastAsia="Arial" w:hAnsi="Arial"/>
          <w:sz w:val="13"/>
          <w:szCs w:val="13"/>
          <w:b w:val="1"/>
          <w:bCs w:val="1"/>
          <w:color w:val="auto"/>
        </w:rPr>
        <w:t xml:space="preserve">Odronextamab </w:t>
      </w:r>
      <w:r>
        <w:rPr>
          <w:rFonts w:ascii="Arial" w:cs="Arial" w:eastAsia="Arial" w:hAnsi="Arial"/>
          <w:sz w:val="13"/>
          <w:szCs w:val="13"/>
          <w:color w:val="auto"/>
        </w:rPr>
        <w:t>(bispecific antibody targeting CD20 and CD3): Reported</w:t>
      </w:r>
      <w:r>
        <w:rPr>
          <w:rFonts w:ascii="Arial" w:cs="Arial" w:eastAsia="Arial" w:hAnsi="Arial"/>
          <w:sz w:val="13"/>
          <w:szCs w:val="13"/>
          <w:b w:val="1"/>
          <w:bCs w:val="1"/>
          <w:color w:val="auto"/>
        </w:rPr>
        <w:t xml:space="preserve"> </w:t>
      </w:r>
      <w:r>
        <w:rPr>
          <w:rFonts w:ascii="Arial" w:cs="Arial" w:eastAsia="Arial" w:hAnsi="Arial"/>
          <w:sz w:val="13"/>
          <w:szCs w:val="13"/>
          <w:color w:val="auto"/>
        </w:rPr>
        <w:t>updated data from non-Hodgkin lymphoma study</w:t>
      </w:r>
    </w:p>
    <w:p>
      <w:pPr>
        <w:spacing w:after="0" w:line="9" w:lineRule="exact"/>
        <w:rPr>
          <w:rFonts w:ascii="Arial" w:cs="Arial" w:eastAsia="Arial" w:hAnsi="Arial"/>
          <w:sz w:val="13"/>
          <w:szCs w:val="13"/>
          <w:b w:val="1"/>
          <w:bCs w:val="1"/>
          <w:color w:val="205BA8"/>
        </w:rPr>
      </w:pPr>
    </w:p>
    <w:p>
      <w:pPr>
        <w:ind w:left="126" w:right="1040" w:hanging="126"/>
        <w:spacing w:after="0" w:line="274" w:lineRule="auto"/>
        <w:tabs>
          <w:tab w:leader="none" w:pos="118" w:val="left"/>
        </w:tabs>
        <w:numPr>
          <w:ilvl w:val="0"/>
          <w:numId w:val="66"/>
        </w:numPr>
        <w:rPr>
          <w:rFonts w:ascii="Arial" w:cs="Arial" w:eastAsia="Arial" w:hAnsi="Arial"/>
          <w:sz w:val="13"/>
          <w:szCs w:val="13"/>
          <w:b w:val="1"/>
          <w:bCs w:val="1"/>
          <w:color w:val="205BA8"/>
        </w:rPr>
      </w:pPr>
      <w:r>
        <w:rPr>
          <w:rFonts w:ascii="Arial" w:cs="Arial" w:eastAsia="Arial" w:hAnsi="Arial"/>
          <w:sz w:val="13"/>
          <w:szCs w:val="13"/>
          <w:b w:val="1"/>
          <w:bCs w:val="1"/>
          <w:color w:val="auto"/>
        </w:rPr>
        <w:t xml:space="preserve">REGN5458 </w:t>
      </w:r>
      <w:r>
        <w:rPr>
          <w:rFonts w:ascii="Arial" w:cs="Arial" w:eastAsia="Arial" w:hAnsi="Arial"/>
          <w:sz w:val="13"/>
          <w:szCs w:val="13"/>
          <w:color w:val="auto"/>
        </w:rPr>
        <w:t>(bispecific antibody targeting BCMA and CD3): Reported</w:t>
      </w:r>
      <w:r>
        <w:rPr>
          <w:rFonts w:ascii="Arial" w:cs="Arial" w:eastAsia="Arial" w:hAnsi="Arial"/>
          <w:sz w:val="13"/>
          <w:szCs w:val="13"/>
          <w:b w:val="1"/>
          <w:bCs w:val="1"/>
          <w:color w:val="auto"/>
        </w:rPr>
        <w:t xml:space="preserve"> </w:t>
      </w:r>
      <w:r>
        <w:rPr>
          <w:rFonts w:ascii="Arial" w:cs="Arial" w:eastAsia="Arial" w:hAnsi="Arial"/>
          <w:sz w:val="13"/>
          <w:szCs w:val="13"/>
          <w:color w:val="auto"/>
        </w:rPr>
        <w:t>updated data from multiple myeloma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211455</wp:posOffset>
            </wp:positionV>
            <wp:extent cx="2991485" cy="26574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991485" cy="26574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94" w:space="720"/>
            <w:col w:w="5126"/>
          </w:cols>
          <w:pgMar w:left="320" w:top="405" w:right="339" w:bottom="1440" w:gutter="0" w:footer="0" w:header="0"/>
          <w:type w:val="continuous"/>
        </w:sect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205BA8"/>
        </w:rPr>
        <w:t>Commercial Execution</w:t>
      </w:r>
    </w:p>
    <w:p>
      <w:pPr>
        <w:spacing w:after="0" w:line="154" w:lineRule="exact"/>
        <w:rPr>
          <w:sz w:val="20"/>
          <w:szCs w:val="20"/>
          <w:color w:val="auto"/>
        </w:rPr>
      </w:pPr>
    </w:p>
    <w:p>
      <w:pPr>
        <w:ind w:left="800" w:hanging="126"/>
        <w:spacing w:after="0"/>
        <w:tabs>
          <w:tab w:leader="none" w:pos="800" w:val="left"/>
        </w:tabs>
        <w:numPr>
          <w:ilvl w:val="0"/>
          <w:numId w:val="67"/>
        </w:numPr>
        <w:rPr>
          <w:rFonts w:ascii="Arial" w:cs="Arial" w:eastAsia="Arial" w:hAnsi="Arial"/>
          <w:sz w:val="13"/>
          <w:szCs w:val="13"/>
          <w:b w:val="1"/>
          <w:bCs w:val="1"/>
          <w:color w:val="205BA8"/>
        </w:rPr>
      </w:pPr>
      <w:r>
        <w:rPr>
          <w:rFonts w:ascii="Arial" w:cs="Arial" w:eastAsia="Arial" w:hAnsi="Arial"/>
          <w:sz w:val="13"/>
          <w:szCs w:val="13"/>
          <w:b w:val="1"/>
          <w:bCs w:val="1"/>
          <w:color w:val="auto"/>
        </w:rPr>
        <w:t>EYLEA</w:t>
      </w:r>
    </w:p>
    <w:p>
      <w:pPr>
        <w:spacing w:after="0" w:line="69" w:lineRule="exact"/>
        <w:rPr>
          <w:rFonts w:ascii="Arial" w:cs="Arial" w:eastAsia="Arial" w:hAnsi="Arial"/>
          <w:sz w:val="13"/>
          <w:szCs w:val="13"/>
          <w:b w:val="1"/>
          <w:bCs w:val="1"/>
          <w:color w:val="205BA8"/>
        </w:rPr>
      </w:pPr>
    </w:p>
    <w:p>
      <w:pPr>
        <w:ind w:left="940" w:right="440" w:hanging="122"/>
        <w:spacing w:after="0" w:line="248" w:lineRule="auto"/>
        <w:tabs>
          <w:tab w:leader="none" w:pos="932" w:val="left"/>
        </w:tabs>
        <w:numPr>
          <w:ilvl w:val="1"/>
          <w:numId w:val="67"/>
        </w:numPr>
        <w:rPr>
          <w:rFonts w:ascii="Arial" w:cs="Arial" w:eastAsia="Arial" w:hAnsi="Arial"/>
          <w:sz w:val="13"/>
          <w:szCs w:val="13"/>
          <w:b w:val="1"/>
          <w:bCs w:val="1"/>
          <w:color w:val="205BA8"/>
        </w:rPr>
      </w:pPr>
      <w:r>
        <w:rPr>
          <w:rFonts w:ascii="Arial" w:cs="Arial" w:eastAsia="Arial" w:hAnsi="Arial"/>
          <w:sz w:val="13"/>
          <w:szCs w:val="13"/>
          <w:color w:val="auto"/>
        </w:rPr>
        <w:t>Full-year 2020 global net product sales increased 5% to $7.91 billion* versus 2019</w:t>
      </w:r>
    </w:p>
    <w:p>
      <w:pPr>
        <w:spacing w:after="0" w:line="42" w:lineRule="exact"/>
        <w:rPr>
          <w:rFonts w:ascii="Arial" w:cs="Arial" w:eastAsia="Arial" w:hAnsi="Arial"/>
          <w:sz w:val="13"/>
          <w:szCs w:val="13"/>
          <w:b w:val="1"/>
          <w:bCs w:val="1"/>
          <w:color w:val="205BA8"/>
        </w:rPr>
      </w:pPr>
    </w:p>
    <w:p>
      <w:pPr>
        <w:ind w:left="940" w:right="580" w:hanging="122"/>
        <w:spacing w:after="0" w:line="248" w:lineRule="auto"/>
        <w:tabs>
          <w:tab w:leader="none" w:pos="932" w:val="left"/>
        </w:tabs>
        <w:numPr>
          <w:ilvl w:val="1"/>
          <w:numId w:val="67"/>
        </w:numPr>
        <w:rPr>
          <w:rFonts w:ascii="Arial" w:cs="Arial" w:eastAsia="Arial" w:hAnsi="Arial"/>
          <w:sz w:val="13"/>
          <w:szCs w:val="13"/>
          <w:b w:val="1"/>
          <w:bCs w:val="1"/>
          <w:color w:val="205BA8"/>
        </w:rPr>
      </w:pPr>
      <w:r>
        <w:rPr>
          <w:rFonts w:ascii="Arial" w:cs="Arial" w:eastAsia="Arial" w:hAnsi="Arial"/>
          <w:sz w:val="13"/>
          <w:szCs w:val="13"/>
          <w:color w:val="auto"/>
        </w:rPr>
        <w:t>Full-year 2020 U.S. net product sales increased 7% to $4.95 billion versus 2019</w:t>
      </w:r>
    </w:p>
    <w:p>
      <w:pPr>
        <w:spacing w:after="0" w:line="42" w:lineRule="exact"/>
        <w:rPr>
          <w:rFonts w:ascii="Arial" w:cs="Arial" w:eastAsia="Arial" w:hAnsi="Arial"/>
          <w:sz w:val="13"/>
          <w:szCs w:val="13"/>
          <w:b w:val="1"/>
          <w:bCs w:val="1"/>
          <w:color w:val="205BA8"/>
        </w:rPr>
      </w:pPr>
    </w:p>
    <w:p>
      <w:pPr>
        <w:ind w:left="940" w:right="300" w:hanging="122"/>
        <w:spacing w:after="0" w:line="248" w:lineRule="auto"/>
        <w:tabs>
          <w:tab w:leader="none" w:pos="932" w:val="left"/>
        </w:tabs>
        <w:numPr>
          <w:ilvl w:val="1"/>
          <w:numId w:val="67"/>
        </w:numPr>
        <w:rPr>
          <w:rFonts w:ascii="Arial" w:cs="Arial" w:eastAsia="Arial" w:hAnsi="Arial"/>
          <w:sz w:val="13"/>
          <w:szCs w:val="13"/>
          <w:b w:val="1"/>
          <w:bCs w:val="1"/>
          <w:color w:val="205BA8"/>
        </w:rPr>
      </w:pPr>
      <w:r>
        <w:rPr>
          <w:rFonts w:ascii="Arial" w:cs="Arial" w:eastAsia="Arial" w:hAnsi="Arial"/>
          <w:sz w:val="13"/>
          <w:szCs w:val="13"/>
          <w:color w:val="auto"/>
        </w:rPr>
        <w:t>#1 prescribed anti-VEGF therapy in neovascular age-related macular degeneration (“wet AMD”) and diabetic eye disease in the United States</w:t>
      </w:r>
    </w:p>
    <w:p>
      <w:pPr>
        <w:spacing w:after="0" w:line="26" w:lineRule="exact"/>
        <w:rPr>
          <w:rFonts w:ascii="Arial" w:cs="Arial" w:eastAsia="Arial" w:hAnsi="Arial"/>
          <w:sz w:val="13"/>
          <w:szCs w:val="13"/>
          <w:b w:val="1"/>
          <w:bCs w:val="1"/>
          <w:color w:val="205BA8"/>
        </w:rPr>
      </w:pPr>
    </w:p>
    <w:p>
      <w:pPr>
        <w:ind w:left="800" w:right="300" w:hanging="126"/>
        <w:spacing w:after="0" w:line="274" w:lineRule="auto"/>
        <w:tabs>
          <w:tab w:leader="none" w:pos="792" w:val="left"/>
        </w:tabs>
        <w:numPr>
          <w:ilvl w:val="0"/>
          <w:numId w:val="67"/>
        </w:numPr>
        <w:rPr>
          <w:rFonts w:ascii="Arial" w:cs="Arial" w:eastAsia="Arial" w:hAnsi="Arial"/>
          <w:sz w:val="13"/>
          <w:szCs w:val="13"/>
          <w:b w:val="1"/>
          <w:bCs w:val="1"/>
          <w:color w:val="205BA8"/>
        </w:rPr>
      </w:pPr>
      <w:r>
        <w:rPr>
          <w:rFonts w:ascii="Arial" w:cs="Arial" w:eastAsia="Arial" w:hAnsi="Arial"/>
          <w:sz w:val="13"/>
          <w:szCs w:val="13"/>
          <w:b w:val="1"/>
          <w:bCs w:val="1"/>
          <w:color w:val="auto"/>
        </w:rPr>
        <w:t>Dupixent</w:t>
      </w:r>
      <w:r>
        <w:rPr>
          <w:rFonts w:ascii="Arial" w:cs="Arial" w:eastAsia="Arial" w:hAnsi="Arial"/>
          <w:sz w:val="13"/>
          <w:szCs w:val="13"/>
          <w:color w:val="auto"/>
        </w:rPr>
        <w:t>: Full-year 2020 global net product sales increased 75% to $4.04</w:t>
      </w:r>
      <w:r>
        <w:rPr>
          <w:rFonts w:ascii="Arial" w:cs="Arial" w:eastAsia="Arial" w:hAnsi="Arial"/>
          <w:sz w:val="13"/>
          <w:szCs w:val="13"/>
          <w:b w:val="1"/>
          <w:bCs w:val="1"/>
          <w:color w:val="auto"/>
        </w:rPr>
        <w:t xml:space="preserve"> </w:t>
      </w:r>
      <w:r>
        <w:rPr>
          <w:rFonts w:ascii="Arial" w:cs="Arial" w:eastAsia="Arial" w:hAnsi="Arial"/>
          <w:sz w:val="13"/>
          <w:szCs w:val="13"/>
          <w:color w:val="auto"/>
        </w:rPr>
        <w:t>billion** versus 2019</w:t>
      </w:r>
    </w:p>
    <w:p>
      <w:pPr>
        <w:spacing w:after="0" w:line="9" w:lineRule="exact"/>
        <w:rPr>
          <w:rFonts w:ascii="Arial" w:cs="Arial" w:eastAsia="Arial" w:hAnsi="Arial"/>
          <w:sz w:val="13"/>
          <w:szCs w:val="13"/>
          <w:b w:val="1"/>
          <w:bCs w:val="1"/>
          <w:color w:val="205BA8"/>
        </w:rPr>
      </w:pPr>
    </w:p>
    <w:p>
      <w:pPr>
        <w:ind w:left="800" w:hanging="126"/>
        <w:spacing w:after="0"/>
        <w:tabs>
          <w:tab w:leader="none" w:pos="800" w:val="left"/>
        </w:tabs>
        <w:numPr>
          <w:ilvl w:val="0"/>
          <w:numId w:val="67"/>
        </w:numPr>
        <w:rPr>
          <w:rFonts w:ascii="Arial" w:cs="Arial" w:eastAsia="Arial" w:hAnsi="Arial"/>
          <w:sz w:val="13"/>
          <w:szCs w:val="13"/>
          <w:b w:val="1"/>
          <w:bCs w:val="1"/>
          <w:color w:val="205BA8"/>
        </w:rPr>
      </w:pPr>
      <w:r>
        <w:rPr>
          <w:rFonts w:ascii="Arial" w:cs="Arial" w:eastAsia="Arial" w:hAnsi="Arial"/>
          <w:sz w:val="13"/>
          <w:szCs w:val="13"/>
          <w:b w:val="1"/>
          <w:bCs w:val="1"/>
          <w:color w:val="auto"/>
        </w:rPr>
        <w:t>Libtayo</w:t>
      </w:r>
    </w:p>
    <w:p>
      <w:pPr>
        <w:spacing w:after="0" w:line="69" w:lineRule="exact"/>
        <w:rPr>
          <w:rFonts w:ascii="Arial" w:cs="Arial" w:eastAsia="Arial" w:hAnsi="Arial"/>
          <w:sz w:val="13"/>
          <w:szCs w:val="13"/>
          <w:b w:val="1"/>
          <w:bCs w:val="1"/>
          <w:color w:val="205BA8"/>
        </w:rPr>
      </w:pPr>
    </w:p>
    <w:p>
      <w:pPr>
        <w:ind w:left="940" w:right="320" w:hanging="122"/>
        <w:spacing w:after="0" w:line="248" w:lineRule="auto"/>
        <w:tabs>
          <w:tab w:leader="none" w:pos="932" w:val="left"/>
        </w:tabs>
        <w:numPr>
          <w:ilvl w:val="1"/>
          <w:numId w:val="67"/>
        </w:numPr>
        <w:rPr>
          <w:rFonts w:ascii="Arial" w:cs="Arial" w:eastAsia="Arial" w:hAnsi="Arial"/>
          <w:sz w:val="13"/>
          <w:szCs w:val="13"/>
          <w:b w:val="1"/>
          <w:bCs w:val="1"/>
          <w:color w:val="205BA8"/>
        </w:rPr>
      </w:pPr>
      <w:r>
        <w:rPr>
          <w:rFonts w:ascii="Arial" w:cs="Arial" w:eastAsia="Arial" w:hAnsi="Arial"/>
          <w:sz w:val="13"/>
          <w:szCs w:val="13"/>
          <w:color w:val="auto"/>
        </w:rPr>
        <w:t>Full-year 2020 global net product sales increased 80% to $348 million** versus 2019</w:t>
      </w:r>
    </w:p>
    <w:p>
      <w:pPr>
        <w:spacing w:after="0" w:line="42" w:lineRule="exact"/>
        <w:rPr>
          <w:rFonts w:ascii="Arial" w:cs="Arial" w:eastAsia="Arial" w:hAnsi="Arial"/>
          <w:sz w:val="13"/>
          <w:szCs w:val="13"/>
          <w:b w:val="1"/>
          <w:bCs w:val="1"/>
          <w:color w:val="205BA8"/>
        </w:rPr>
      </w:pPr>
    </w:p>
    <w:p>
      <w:pPr>
        <w:ind w:left="940" w:right="540" w:hanging="122"/>
        <w:spacing w:after="0" w:line="248" w:lineRule="auto"/>
        <w:tabs>
          <w:tab w:leader="none" w:pos="932" w:val="left"/>
        </w:tabs>
        <w:numPr>
          <w:ilvl w:val="1"/>
          <w:numId w:val="67"/>
        </w:numPr>
        <w:rPr>
          <w:rFonts w:ascii="Arial" w:cs="Arial" w:eastAsia="Arial" w:hAnsi="Arial"/>
          <w:sz w:val="13"/>
          <w:szCs w:val="13"/>
          <w:b w:val="1"/>
          <w:bCs w:val="1"/>
          <w:color w:val="205BA8"/>
        </w:rPr>
      </w:pPr>
      <w:r>
        <w:rPr>
          <w:rFonts w:ascii="Arial" w:cs="Arial" w:eastAsia="Arial" w:hAnsi="Arial"/>
          <w:sz w:val="13"/>
          <w:szCs w:val="13"/>
          <w:color w:val="auto"/>
        </w:rPr>
        <w:t>#1 systemic treatment in cutaneous squamous cell carcinoma in the United States</w:t>
      </w:r>
    </w:p>
    <w:p>
      <w:pPr>
        <w:spacing w:after="0" w:line="26" w:lineRule="exact"/>
        <w:rPr>
          <w:rFonts w:ascii="Arial" w:cs="Arial" w:eastAsia="Arial" w:hAnsi="Arial"/>
          <w:sz w:val="13"/>
          <w:szCs w:val="13"/>
          <w:b w:val="1"/>
          <w:bCs w:val="1"/>
          <w:color w:val="205BA8"/>
        </w:rPr>
      </w:pPr>
    </w:p>
    <w:p>
      <w:pPr>
        <w:ind w:left="800" w:hanging="126"/>
        <w:spacing w:after="0"/>
        <w:tabs>
          <w:tab w:leader="none" w:pos="800" w:val="left"/>
        </w:tabs>
        <w:numPr>
          <w:ilvl w:val="0"/>
          <w:numId w:val="67"/>
        </w:numPr>
        <w:rPr>
          <w:rFonts w:ascii="Arial" w:cs="Arial" w:eastAsia="Arial" w:hAnsi="Arial"/>
          <w:sz w:val="13"/>
          <w:szCs w:val="13"/>
          <w:b w:val="1"/>
          <w:bCs w:val="1"/>
          <w:color w:val="205BA8"/>
        </w:rPr>
      </w:pPr>
      <w:r>
        <w:rPr>
          <w:rFonts w:ascii="Arial" w:cs="Arial" w:eastAsia="Arial" w:hAnsi="Arial"/>
          <w:sz w:val="13"/>
          <w:szCs w:val="13"/>
          <w:b w:val="1"/>
          <w:bCs w:val="1"/>
          <w:color w:val="auto"/>
        </w:rPr>
        <w:t>REGEN-COV</w:t>
      </w:r>
    </w:p>
    <w:p>
      <w:pPr>
        <w:spacing w:after="0" w:line="69" w:lineRule="exact"/>
        <w:rPr>
          <w:rFonts w:ascii="Arial" w:cs="Arial" w:eastAsia="Arial" w:hAnsi="Arial"/>
          <w:sz w:val="13"/>
          <w:szCs w:val="13"/>
          <w:b w:val="1"/>
          <w:bCs w:val="1"/>
          <w:color w:val="205BA8"/>
        </w:rPr>
      </w:pPr>
    </w:p>
    <w:p>
      <w:pPr>
        <w:ind w:left="940" w:right="320" w:hanging="122"/>
        <w:spacing w:after="0" w:line="243" w:lineRule="auto"/>
        <w:tabs>
          <w:tab w:leader="none" w:pos="932" w:val="left"/>
        </w:tabs>
        <w:numPr>
          <w:ilvl w:val="1"/>
          <w:numId w:val="67"/>
        </w:numPr>
        <w:rPr>
          <w:rFonts w:ascii="Arial" w:cs="Arial" w:eastAsia="Arial" w:hAnsi="Arial"/>
          <w:sz w:val="13"/>
          <w:szCs w:val="13"/>
          <w:b w:val="1"/>
          <w:bCs w:val="1"/>
          <w:color w:val="205BA8"/>
        </w:rPr>
      </w:pPr>
      <w:r>
        <w:rPr>
          <w:rFonts w:ascii="Arial" w:cs="Arial" w:eastAsia="Arial" w:hAnsi="Arial"/>
          <w:sz w:val="13"/>
          <w:szCs w:val="13"/>
          <w:color w:val="auto"/>
        </w:rPr>
        <w:t>Entered into supply agreements pursuant to which the U.S. government purchased the initial 300,000 doses of REGEN-COV and agreed to purchase up to an additional 1.25 million doses</w:t>
      </w:r>
    </w:p>
    <w:p>
      <w:pPr>
        <w:spacing w:after="0" w:line="45" w:lineRule="exact"/>
        <w:rPr>
          <w:rFonts w:ascii="Arial" w:cs="Arial" w:eastAsia="Arial" w:hAnsi="Arial"/>
          <w:sz w:val="13"/>
          <w:szCs w:val="13"/>
          <w:b w:val="1"/>
          <w:bCs w:val="1"/>
          <w:color w:val="205BA8"/>
        </w:rPr>
      </w:pPr>
    </w:p>
    <w:p>
      <w:pPr>
        <w:ind w:left="940" w:right="660" w:hanging="122"/>
        <w:spacing w:after="0" w:line="248" w:lineRule="auto"/>
        <w:tabs>
          <w:tab w:leader="none" w:pos="932" w:val="left"/>
        </w:tabs>
        <w:numPr>
          <w:ilvl w:val="1"/>
          <w:numId w:val="67"/>
        </w:numPr>
        <w:rPr>
          <w:rFonts w:ascii="Arial" w:cs="Arial" w:eastAsia="Arial" w:hAnsi="Arial"/>
          <w:sz w:val="13"/>
          <w:szCs w:val="13"/>
          <w:b w:val="1"/>
          <w:bCs w:val="1"/>
          <w:color w:val="205BA8"/>
        </w:rPr>
      </w:pPr>
      <w:r>
        <w:rPr>
          <w:rFonts w:ascii="Arial" w:cs="Arial" w:eastAsia="Arial" w:hAnsi="Arial"/>
          <w:sz w:val="13"/>
          <w:szCs w:val="13"/>
          <w:color w:val="auto"/>
        </w:rPr>
        <w:t>Entered into a collaboration agreement with Roche to significantly increase the global supply of REGEN-COV</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05BA8"/>
        </w:rPr>
        <w:t>Financial Execution and Talent Management</w:t>
      </w:r>
    </w:p>
    <w:p>
      <w:pPr>
        <w:spacing w:after="0" w:line="154" w:lineRule="exact"/>
        <w:rPr>
          <w:sz w:val="20"/>
          <w:szCs w:val="20"/>
          <w:color w:val="auto"/>
        </w:rPr>
      </w:pPr>
    </w:p>
    <w:p>
      <w:pPr>
        <w:ind w:left="140" w:right="780" w:hanging="126"/>
        <w:spacing w:after="0" w:line="274" w:lineRule="auto"/>
        <w:tabs>
          <w:tab w:leader="none" w:pos="132" w:val="left"/>
        </w:tabs>
        <w:numPr>
          <w:ilvl w:val="0"/>
          <w:numId w:val="68"/>
        </w:numPr>
        <w:rPr>
          <w:rFonts w:ascii="Arial" w:cs="Arial" w:eastAsia="Arial" w:hAnsi="Arial"/>
          <w:sz w:val="13"/>
          <w:szCs w:val="13"/>
          <w:b w:val="1"/>
          <w:bCs w:val="1"/>
          <w:color w:val="205BA8"/>
        </w:rPr>
      </w:pPr>
      <w:r>
        <w:rPr>
          <w:rFonts w:ascii="Arial" w:cs="Arial" w:eastAsia="Arial" w:hAnsi="Arial"/>
          <w:sz w:val="13"/>
          <w:szCs w:val="13"/>
          <w:b w:val="1"/>
          <w:bCs w:val="1"/>
          <w:color w:val="auto"/>
        </w:rPr>
        <w:t xml:space="preserve">Revenue: </w:t>
      </w:r>
      <w:r>
        <w:rPr>
          <w:rFonts w:ascii="Arial" w:cs="Arial" w:eastAsia="Arial" w:hAnsi="Arial"/>
          <w:sz w:val="13"/>
          <w:szCs w:val="13"/>
          <w:color w:val="auto"/>
        </w:rPr>
        <w:t>Full-year 2020 revenues increased 30% to $8.50 billion versus</w:t>
      </w:r>
      <w:r>
        <w:rPr>
          <w:rFonts w:ascii="Arial" w:cs="Arial" w:eastAsia="Arial" w:hAnsi="Arial"/>
          <w:sz w:val="13"/>
          <w:szCs w:val="13"/>
          <w:b w:val="1"/>
          <w:bCs w:val="1"/>
          <w:color w:val="auto"/>
        </w:rPr>
        <w:t xml:space="preserve"> </w:t>
      </w:r>
      <w:r>
        <w:rPr>
          <w:rFonts w:ascii="Arial" w:cs="Arial" w:eastAsia="Arial" w:hAnsi="Arial"/>
          <w:sz w:val="13"/>
          <w:szCs w:val="13"/>
          <w:color w:val="auto"/>
        </w:rPr>
        <w:t>2019</w:t>
      </w:r>
    </w:p>
    <w:p>
      <w:pPr>
        <w:spacing w:after="0" w:line="9" w:lineRule="exact"/>
        <w:rPr>
          <w:rFonts w:ascii="Arial" w:cs="Arial" w:eastAsia="Arial" w:hAnsi="Arial"/>
          <w:sz w:val="13"/>
          <w:szCs w:val="13"/>
          <w:b w:val="1"/>
          <w:bCs w:val="1"/>
          <w:color w:val="205BA8"/>
        </w:rPr>
      </w:pPr>
    </w:p>
    <w:p>
      <w:pPr>
        <w:ind w:left="140" w:right="860" w:hanging="126"/>
        <w:spacing w:after="0" w:line="274" w:lineRule="auto"/>
        <w:tabs>
          <w:tab w:leader="none" w:pos="132" w:val="left"/>
        </w:tabs>
        <w:numPr>
          <w:ilvl w:val="0"/>
          <w:numId w:val="68"/>
        </w:numPr>
        <w:rPr>
          <w:rFonts w:ascii="Arial" w:cs="Arial" w:eastAsia="Arial" w:hAnsi="Arial"/>
          <w:sz w:val="13"/>
          <w:szCs w:val="13"/>
          <w:b w:val="1"/>
          <w:bCs w:val="1"/>
          <w:color w:val="205BA8"/>
        </w:rPr>
      </w:pPr>
      <w:r>
        <w:rPr>
          <w:rFonts w:ascii="Arial" w:cs="Arial" w:eastAsia="Arial" w:hAnsi="Arial"/>
          <w:sz w:val="13"/>
          <w:szCs w:val="13"/>
          <w:b w:val="1"/>
          <w:bCs w:val="1"/>
          <w:color w:val="auto"/>
        </w:rPr>
        <w:t xml:space="preserve">Non-GAAP Diluted EPS: </w:t>
      </w:r>
      <w:r>
        <w:rPr>
          <w:rFonts w:ascii="Arial" w:cs="Arial" w:eastAsia="Arial" w:hAnsi="Arial"/>
          <w:sz w:val="13"/>
          <w:szCs w:val="13"/>
          <w:color w:val="auto"/>
        </w:rPr>
        <w:t>Non-GAAP net income per share, or EPS, for</w:t>
      </w:r>
      <w:r>
        <w:rPr>
          <w:rFonts w:ascii="Arial" w:cs="Arial" w:eastAsia="Arial" w:hAnsi="Arial"/>
          <w:sz w:val="13"/>
          <w:szCs w:val="13"/>
          <w:b w:val="1"/>
          <w:bCs w:val="1"/>
          <w:color w:val="auto"/>
        </w:rPr>
        <w:t xml:space="preserve"> </w:t>
      </w:r>
      <w:r>
        <w:rPr>
          <w:rFonts w:ascii="Arial" w:cs="Arial" w:eastAsia="Arial" w:hAnsi="Arial"/>
          <w:sz w:val="13"/>
          <w:szCs w:val="13"/>
          <w:color w:val="auto"/>
        </w:rPr>
        <w:t>full-year 2020 increased 28% versus 2019***</w:t>
      </w:r>
    </w:p>
    <w:p>
      <w:pPr>
        <w:spacing w:after="0" w:line="9" w:lineRule="exact"/>
        <w:rPr>
          <w:rFonts w:ascii="Arial" w:cs="Arial" w:eastAsia="Arial" w:hAnsi="Arial"/>
          <w:sz w:val="13"/>
          <w:szCs w:val="13"/>
          <w:b w:val="1"/>
          <w:bCs w:val="1"/>
          <w:color w:val="205BA8"/>
        </w:rPr>
      </w:pPr>
    </w:p>
    <w:p>
      <w:pPr>
        <w:ind w:left="140" w:right="780" w:hanging="126"/>
        <w:spacing w:after="0" w:line="250" w:lineRule="auto"/>
        <w:tabs>
          <w:tab w:leader="none" w:pos="132" w:val="left"/>
        </w:tabs>
        <w:numPr>
          <w:ilvl w:val="0"/>
          <w:numId w:val="68"/>
        </w:numPr>
        <w:rPr>
          <w:rFonts w:ascii="Arial" w:cs="Arial" w:eastAsia="Arial" w:hAnsi="Arial"/>
          <w:sz w:val="13"/>
          <w:szCs w:val="13"/>
          <w:b w:val="1"/>
          <w:bCs w:val="1"/>
          <w:color w:val="205BA8"/>
        </w:rPr>
      </w:pPr>
      <w:r>
        <w:rPr>
          <w:rFonts w:ascii="Arial" w:cs="Arial" w:eastAsia="Arial" w:hAnsi="Arial"/>
          <w:sz w:val="13"/>
          <w:szCs w:val="13"/>
          <w:b w:val="1"/>
          <w:bCs w:val="1"/>
          <w:color w:val="auto"/>
        </w:rPr>
        <w:t xml:space="preserve">Sanofi Disposition: </w:t>
      </w:r>
      <w:r>
        <w:rPr>
          <w:rFonts w:ascii="Arial" w:cs="Arial" w:eastAsia="Arial" w:hAnsi="Arial"/>
          <w:sz w:val="13"/>
          <w:szCs w:val="13"/>
          <w:color w:val="auto"/>
        </w:rPr>
        <w:t>Completed secondary offering of 13,014,646 shares</w:t>
      </w:r>
      <w:r>
        <w:rPr>
          <w:rFonts w:ascii="Arial" w:cs="Arial" w:eastAsia="Arial" w:hAnsi="Arial"/>
          <w:sz w:val="13"/>
          <w:szCs w:val="13"/>
          <w:b w:val="1"/>
          <w:bCs w:val="1"/>
          <w:color w:val="auto"/>
        </w:rPr>
        <w:t xml:space="preserve"> </w:t>
      </w:r>
      <w:r>
        <w:rPr>
          <w:rFonts w:ascii="Arial" w:cs="Arial" w:eastAsia="Arial" w:hAnsi="Arial"/>
          <w:sz w:val="13"/>
          <w:szCs w:val="13"/>
          <w:color w:val="auto"/>
        </w:rPr>
        <w:t>of Regeneron common stock held by Sanofi and purchased 9,806,805 shares of our common stock directly from Sanofi (for an aggregate purchase price of $5 billion)</w:t>
      </w:r>
    </w:p>
    <w:p>
      <w:pPr>
        <w:spacing w:after="0" w:line="25" w:lineRule="exact"/>
        <w:rPr>
          <w:rFonts w:ascii="Arial" w:cs="Arial" w:eastAsia="Arial" w:hAnsi="Arial"/>
          <w:sz w:val="13"/>
          <w:szCs w:val="13"/>
          <w:b w:val="1"/>
          <w:bCs w:val="1"/>
          <w:color w:val="205BA8"/>
        </w:rPr>
      </w:pPr>
    </w:p>
    <w:p>
      <w:pPr>
        <w:ind w:left="140" w:right="820" w:hanging="126"/>
        <w:spacing w:after="0" w:line="274" w:lineRule="auto"/>
        <w:tabs>
          <w:tab w:leader="none" w:pos="132" w:val="left"/>
        </w:tabs>
        <w:numPr>
          <w:ilvl w:val="0"/>
          <w:numId w:val="68"/>
        </w:numPr>
        <w:rPr>
          <w:rFonts w:ascii="Arial" w:cs="Arial" w:eastAsia="Arial" w:hAnsi="Arial"/>
          <w:sz w:val="13"/>
          <w:szCs w:val="13"/>
          <w:b w:val="1"/>
          <w:bCs w:val="1"/>
          <w:color w:val="205BA8"/>
        </w:rPr>
      </w:pPr>
      <w:r>
        <w:rPr>
          <w:rFonts w:ascii="Arial" w:cs="Arial" w:eastAsia="Arial" w:hAnsi="Arial"/>
          <w:sz w:val="13"/>
          <w:szCs w:val="13"/>
          <w:b w:val="1"/>
          <w:bCs w:val="1"/>
          <w:color w:val="auto"/>
        </w:rPr>
        <w:t xml:space="preserve">Senior Notes Issuance: </w:t>
      </w:r>
      <w:r>
        <w:rPr>
          <w:rFonts w:ascii="Arial" w:cs="Arial" w:eastAsia="Arial" w:hAnsi="Arial"/>
          <w:sz w:val="13"/>
          <w:szCs w:val="13"/>
          <w:color w:val="auto"/>
        </w:rPr>
        <w:t>Issued and sold $2.0 billion aggregate principal</w:t>
      </w:r>
      <w:r>
        <w:rPr>
          <w:rFonts w:ascii="Arial" w:cs="Arial" w:eastAsia="Arial" w:hAnsi="Arial"/>
          <w:sz w:val="13"/>
          <w:szCs w:val="13"/>
          <w:b w:val="1"/>
          <w:bCs w:val="1"/>
          <w:color w:val="auto"/>
        </w:rPr>
        <w:t xml:space="preserve"> </w:t>
      </w:r>
      <w:r>
        <w:rPr>
          <w:rFonts w:ascii="Arial" w:cs="Arial" w:eastAsia="Arial" w:hAnsi="Arial"/>
          <w:sz w:val="13"/>
          <w:szCs w:val="13"/>
          <w:color w:val="auto"/>
        </w:rPr>
        <w:t>amount of senior unsecured notes</w:t>
      </w:r>
    </w:p>
    <w:p>
      <w:pPr>
        <w:spacing w:after="0" w:line="9" w:lineRule="exact"/>
        <w:rPr>
          <w:rFonts w:ascii="Arial" w:cs="Arial" w:eastAsia="Arial" w:hAnsi="Arial"/>
          <w:sz w:val="13"/>
          <w:szCs w:val="13"/>
          <w:b w:val="1"/>
          <w:bCs w:val="1"/>
          <w:color w:val="205BA8"/>
        </w:rPr>
      </w:pPr>
    </w:p>
    <w:p>
      <w:pPr>
        <w:ind w:left="140" w:right="980" w:hanging="126"/>
        <w:spacing w:after="0" w:line="274" w:lineRule="auto"/>
        <w:tabs>
          <w:tab w:leader="none" w:pos="132" w:val="left"/>
        </w:tabs>
        <w:numPr>
          <w:ilvl w:val="0"/>
          <w:numId w:val="68"/>
        </w:numPr>
        <w:rPr>
          <w:rFonts w:ascii="Arial" w:cs="Arial" w:eastAsia="Arial" w:hAnsi="Arial"/>
          <w:sz w:val="13"/>
          <w:szCs w:val="13"/>
          <w:b w:val="1"/>
          <w:bCs w:val="1"/>
          <w:color w:val="205BA8"/>
        </w:rPr>
      </w:pPr>
      <w:r>
        <w:rPr>
          <w:rFonts w:ascii="Arial" w:cs="Arial" w:eastAsia="Arial" w:hAnsi="Arial"/>
          <w:sz w:val="13"/>
          <w:szCs w:val="13"/>
          <w:b w:val="1"/>
          <w:bCs w:val="1"/>
          <w:color w:val="auto"/>
        </w:rPr>
        <w:t xml:space="preserve">Share Repurchase Program: </w:t>
      </w:r>
      <w:r>
        <w:rPr>
          <w:rFonts w:ascii="Arial" w:cs="Arial" w:eastAsia="Arial" w:hAnsi="Arial"/>
          <w:sz w:val="13"/>
          <w:szCs w:val="13"/>
          <w:color w:val="auto"/>
        </w:rPr>
        <w:t>Completed $1 billion share repurchase</w:t>
      </w:r>
      <w:r>
        <w:rPr>
          <w:rFonts w:ascii="Arial" w:cs="Arial" w:eastAsia="Arial" w:hAnsi="Arial"/>
          <w:sz w:val="13"/>
          <w:szCs w:val="13"/>
          <w:b w:val="1"/>
          <w:bCs w:val="1"/>
          <w:color w:val="auto"/>
        </w:rPr>
        <w:t xml:space="preserve"> </w:t>
      </w:r>
      <w:r>
        <w:rPr>
          <w:rFonts w:ascii="Arial" w:cs="Arial" w:eastAsia="Arial" w:hAnsi="Arial"/>
          <w:sz w:val="13"/>
          <w:szCs w:val="13"/>
          <w:color w:val="auto"/>
        </w:rPr>
        <w:t>program ($746 million of which was repurchased in 2020)</w:t>
      </w:r>
    </w:p>
    <w:p>
      <w:pPr>
        <w:spacing w:after="0" w:line="9" w:lineRule="exact"/>
        <w:rPr>
          <w:rFonts w:ascii="Arial" w:cs="Arial" w:eastAsia="Arial" w:hAnsi="Arial"/>
          <w:sz w:val="13"/>
          <w:szCs w:val="13"/>
          <w:b w:val="1"/>
          <w:bCs w:val="1"/>
          <w:color w:val="205BA8"/>
        </w:rPr>
      </w:pPr>
    </w:p>
    <w:p>
      <w:pPr>
        <w:ind w:left="140" w:right="820" w:hanging="126"/>
        <w:spacing w:after="0" w:line="256" w:lineRule="auto"/>
        <w:tabs>
          <w:tab w:leader="none" w:pos="132" w:val="left"/>
        </w:tabs>
        <w:numPr>
          <w:ilvl w:val="0"/>
          <w:numId w:val="68"/>
        </w:numPr>
        <w:rPr>
          <w:rFonts w:ascii="Arial" w:cs="Arial" w:eastAsia="Arial" w:hAnsi="Arial"/>
          <w:sz w:val="13"/>
          <w:szCs w:val="13"/>
          <w:b w:val="1"/>
          <w:bCs w:val="1"/>
          <w:color w:val="205BA8"/>
        </w:rPr>
      </w:pPr>
      <w:r>
        <w:rPr>
          <w:rFonts w:ascii="Arial" w:cs="Arial" w:eastAsia="Arial" w:hAnsi="Arial"/>
          <w:sz w:val="13"/>
          <w:szCs w:val="13"/>
          <w:b w:val="1"/>
          <w:bCs w:val="1"/>
          <w:color w:val="auto"/>
        </w:rPr>
        <w:t xml:space="preserve">Global Growth and Retention: </w:t>
      </w:r>
      <w:r>
        <w:rPr>
          <w:rFonts w:ascii="Arial" w:cs="Arial" w:eastAsia="Arial" w:hAnsi="Arial"/>
          <w:sz w:val="13"/>
          <w:szCs w:val="13"/>
          <w:color w:val="auto"/>
        </w:rPr>
        <w:t>Headcount exceeded 9,000 employees,</w:t>
      </w:r>
      <w:r>
        <w:rPr>
          <w:rFonts w:ascii="Arial" w:cs="Arial" w:eastAsia="Arial" w:hAnsi="Arial"/>
          <w:sz w:val="13"/>
          <w:szCs w:val="13"/>
          <w:b w:val="1"/>
          <w:bCs w:val="1"/>
          <w:color w:val="auto"/>
        </w:rPr>
        <w:t xml:space="preserve"> </w:t>
      </w:r>
      <w:r>
        <w:rPr>
          <w:rFonts w:ascii="Arial" w:cs="Arial" w:eastAsia="Arial" w:hAnsi="Arial"/>
          <w:sz w:val="13"/>
          <w:szCs w:val="13"/>
          <w:color w:val="auto"/>
        </w:rPr>
        <w:t>up 12% year-over-year, while turnover rate stayed at less than half the industry average</w:t>
      </w:r>
    </w:p>
    <w:p>
      <w:pPr>
        <w:spacing w:after="0" w:line="1207" w:lineRule="exact"/>
        <w:rPr>
          <w:sz w:val="20"/>
          <w:szCs w:val="20"/>
          <w:color w:val="auto"/>
        </w:rPr>
      </w:pPr>
    </w:p>
    <w:p>
      <w:pPr>
        <w:sectPr>
          <w:pgSz w:w="11900" w:h="16838" w:orient="portrait"/>
          <w:cols w:equalWidth="0" w:num="2">
            <w:col w:w="5380" w:space="720"/>
            <w:col w:w="5140"/>
          </w:cols>
          <w:pgMar w:left="320" w:top="405" w:right="339" w:bottom="1440" w:gutter="0" w:footer="0" w:header="0"/>
          <w:type w:val="continuous"/>
        </w:sectPr>
      </w:pPr>
    </w:p>
    <w:p>
      <w:pPr>
        <w:spacing w:after="0" w:line="221" w:lineRule="exact"/>
        <w:rPr>
          <w:sz w:val="20"/>
          <w:szCs w:val="20"/>
          <w:color w:val="auto"/>
        </w:rPr>
      </w:pPr>
    </w:p>
    <w:p>
      <w:pPr>
        <w:ind w:left="880" w:hanging="332"/>
        <w:spacing w:after="0"/>
        <w:tabs>
          <w:tab w:leader="none" w:pos="8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Our collaborator Bayer records net product sales of EYLEA outside the United States.</w:t>
      </w:r>
    </w:p>
    <w:p>
      <w:pPr>
        <w:spacing w:after="0" w:line="1" w:lineRule="exact"/>
        <w:rPr>
          <w:sz w:val="20"/>
          <w:szCs w:val="20"/>
          <w:color w:val="auto"/>
        </w:rPr>
      </w:pPr>
    </w:p>
    <w:p>
      <w:pPr>
        <w:ind w:left="880" w:hanging="332"/>
        <w:spacing w:after="0"/>
        <w:tabs>
          <w:tab w:leader="none" w:pos="8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Our collaborator Sanofi records global net product sales of Dupixent and net product sales of Libtayo outside the United States.</w:t>
      </w:r>
    </w:p>
    <w:p>
      <w:pPr>
        <w:spacing w:after="0" w:line="1" w:lineRule="exact"/>
        <w:rPr>
          <w:rFonts w:ascii="Arial" w:cs="Arial" w:eastAsia="Arial" w:hAnsi="Arial"/>
          <w:sz w:val="14"/>
          <w:szCs w:val="14"/>
          <w:color w:val="auto"/>
        </w:rPr>
      </w:pPr>
    </w:p>
    <w:p>
      <w:pPr>
        <w:ind w:left="880" w:right="560" w:hanging="332"/>
        <w:spacing w:after="0" w:line="258" w:lineRule="auto"/>
        <w:tabs>
          <w:tab w:leader="none" w:pos="8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Non-GAAP net income and non-GAAP net income per share, or EPS, are not measures calculated in accordance with GAAP. See Appendix A for a definition of these measures and a reconciliation of each of these measures to the most directly comparable GAAP financial measure.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55</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66" w:name="page67"/>
    <w:bookmarkEnd w:id="66"/>
    <w:p>
      <w:pPr>
        <w:ind w:lef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288925</wp:posOffset>
            </wp:positionV>
            <wp:extent cx="6446520" cy="6343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46520" cy="63436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both"/>
        <w:ind w:left="720" w:right="820"/>
        <w:spacing w:after="0" w:line="258" w:lineRule="auto"/>
        <w:rPr>
          <w:sz w:val="20"/>
          <w:szCs w:val="20"/>
          <w:color w:val="auto"/>
        </w:rPr>
      </w:pPr>
      <w:r>
        <w:rPr>
          <w:rFonts w:ascii="Arial" w:cs="Arial" w:eastAsia="Arial" w:hAnsi="Arial"/>
          <w:sz w:val="19"/>
          <w:szCs w:val="19"/>
          <w:b w:val="1"/>
          <w:bCs w:val="1"/>
          <w:color w:val="205BA8"/>
        </w:rPr>
        <w:t xml:space="preserve">In 2020, while investing </w:t>
      </w:r>
      <w:r>
        <w:rPr>
          <w:rFonts w:ascii="Arial" w:cs="Arial" w:eastAsia="Arial" w:hAnsi="Arial"/>
          <w:sz w:val="19"/>
          <w:szCs w:val="19"/>
          <w:b w:val="1"/>
          <w:bCs w:val="1"/>
          <w:color w:val="C32167"/>
        </w:rPr>
        <w:t>$2.7 billion</w:t>
      </w:r>
      <w:r>
        <w:rPr>
          <w:rFonts w:ascii="Arial" w:cs="Arial" w:eastAsia="Arial" w:hAnsi="Arial"/>
          <w:sz w:val="19"/>
          <w:szCs w:val="19"/>
          <w:b w:val="1"/>
          <w:bCs w:val="1"/>
          <w:color w:val="205BA8"/>
        </w:rPr>
        <w:t xml:space="preserve"> in research and development and </w:t>
      </w:r>
      <w:r>
        <w:rPr>
          <w:rFonts w:ascii="Arial" w:cs="Arial" w:eastAsia="Arial" w:hAnsi="Arial"/>
          <w:sz w:val="19"/>
          <w:szCs w:val="19"/>
          <w:b w:val="1"/>
          <w:bCs w:val="1"/>
          <w:color w:val="C32167"/>
        </w:rPr>
        <w:t>$615 million</w:t>
      </w:r>
      <w:r>
        <w:rPr>
          <w:rFonts w:ascii="Arial" w:cs="Arial" w:eastAsia="Arial" w:hAnsi="Arial"/>
          <w:sz w:val="19"/>
          <w:szCs w:val="19"/>
          <w:b w:val="1"/>
          <w:bCs w:val="1"/>
          <w:color w:val="205BA8"/>
        </w:rPr>
        <w:t xml:space="preserve"> in capital expenditures, we also allocated </w:t>
      </w:r>
      <w:r>
        <w:rPr>
          <w:rFonts w:ascii="Arial" w:cs="Arial" w:eastAsia="Arial" w:hAnsi="Arial"/>
          <w:sz w:val="19"/>
          <w:szCs w:val="19"/>
          <w:b w:val="1"/>
          <w:bCs w:val="1"/>
          <w:color w:val="C32167"/>
        </w:rPr>
        <w:t>$5.7 billion</w:t>
      </w:r>
      <w:r>
        <w:rPr>
          <w:rFonts w:ascii="Arial" w:cs="Arial" w:eastAsia="Arial" w:hAnsi="Arial"/>
          <w:sz w:val="19"/>
          <w:szCs w:val="19"/>
          <w:b w:val="1"/>
          <w:bCs w:val="1"/>
          <w:color w:val="205BA8"/>
        </w:rPr>
        <w:t xml:space="preserve"> to repurchase </w:t>
      </w:r>
      <w:r>
        <w:rPr>
          <w:rFonts w:ascii="Arial" w:cs="Arial" w:eastAsia="Arial" w:hAnsi="Arial"/>
          <w:sz w:val="19"/>
          <w:szCs w:val="19"/>
          <w:b w:val="1"/>
          <w:bCs w:val="1"/>
          <w:color w:val="C32167"/>
        </w:rPr>
        <w:t>11 million shares</w:t>
      </w:r>
      <w:r>
        <w:rPr>
          <w:rFonts w:ascii="Arial" w:cs="Arial" w:eastAsia="Arial" w:hAnsi="Arial"/>
          <w:sz w:val="19"/>
          <w:szCs w:val="19"/>
          <w:b w:val="1"/>
          <w:bCs w:val="1"/>
          <w:color w:val="205BA8"/>
        </w:rPr>
        <w:t xml:space="preserve"> through a share repurchase program and a negotiated stock repurchase.</w:t>
      </w:r>
    </w:p>
    <w:p>
      <w:pPr>
        <w:spacing w:after="0" w:line="301" w:lineRule="exact"/>
        <w:rPr>
          <w:sz w:val="20"/>
          <w:szCs w:val="20"/>
          <w:color w:val="auto"/>
        </w:rPr>
      </w:pPr>
    </w:p>
    <w:p>
      <w:pPr>
        <w:ind w:left="540" w:right="540"/>
        <w:spacing w:after="0" w:line="231" w:lineRule="auto"/>
        <w:rPr>
          <w:sz w:val="20"/>
          <w:szCs w:val="20"/>
          <w:color w:val="auto"/>
        </w:rPr>
      </w:pPr>
      <w:r>
        <w:rPr>
          <w:rFonts w:ascii="Arial" w:cs="Arial" w:eastAsia="Arial" w:hAnsi="Arial"/>
          <w:sz w:val="15"/>
          <w:szCs w:val="15"/>
          <w:color w:val="auto"/>
        </w:rPr>
        <w:t>Our stock performed well in 2020, delivering a TSR of 29% and outperforming the S&amp;P 500 Index and our Peer Group. In addition, our stock significantly outperformed each of the benchmarks shown in the chart below over the 10-year period ended December 31, 2020. While we cannot predict or control the performance of our stock price in any particular period, we believe that our Company’s performance is best assessed from a long-term perspective, consistent with the long-term nature of the drug discovery and development cycle. We also believe that if we continue to deliver pipeline, operational, and financial results, the creation of shareholder value and stock price appreciation will follow.</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C44E5E"/>
        </w:rPr>
        <w:t>Regeneron TSR vs.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107315</wp:posOffset>
            </wp:positionV>
            <wp:extent cx="6429375" cy="16116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42937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04C57"/>
        </w:rPr>
        <w:t>2020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40" w:right="940"/>
        <w:spacing w:after="0" w:line="242" w:lineRule="auto"/>
        <w:rPr>
          <w:sz w:val="20"/>
          <w:szCs w:val="20"/>
          <w:color w:val="auto"/>
        </w:rPr>
      </w:pPr>
      <w:r>
        <w:rPr>
          <w:rFonts w:ascii="Arial" w:cs="Arial" w:eastAsia="Arial" w:hAnsi="Arial"/>
          <w:sz w:val="15"/>
          <w:szCs w:val="15"/>
          <w:color w:val="auto"/>
        </w:rPr>
        <w:t>Our compensation program continues to evolve as the Company grows, our competition changes, and our business and operating environments transform. In 2020, our Compensation Committee took the significant actions summarized below.</w:t>
      </w:r>
    </w:p>
    <w:p>
      <w:pPr>
        <w:spacing w:after="0" w:line="174" w:lineRule="exact"/>
        <w:rPr>
          <w:sz w:val="20"/>
          <w:szCs w:val="20"/>
          <w:color w:val="auto"/>
        </w:rPr>
      </w:pPr>
    </w:p>
    <w:p>
      <w:pPr>
        <w:ind w:left="580" w:right="560" w:firstLine="4"/>
        <w:spacing w:after="0" w:line="231" w:lineRule="auto"/>
        <w:tabs>
          <w:tab w:leader="none" w:pos="750" w:val="left"/>
        </w:tabs>
        <w:numPr>
          <w:ilvl w:val="0"/>
          <w:numId w:val="72"/>
        </w:numPr>
        <w:rPr>
          <w:rFonts w:ascii="Arial" w:cs="Arial" w:eastAsia="Arial" w:hAnsi="Arial"/>
          <w:sz w:val="15"/>
          <w:szCs w:val="15"/>
          <w:b w:val="1"/>
          <w:bCs w:val="1"/>
          <w:color w:val="205BA8"/>
        </w:rPr>
      </w:pPr>
      <w:r>
        <w:rPr>
          <w:rFonts w:ascii="Arial" w:cs="Arial" w:eastAsia="Arial" w:hAnsi="Arial"/>
          <w:sz w:val="15"/>
          <w:szCs w:val="15"/>
          <w:b w:val="1"/>
          <w:bCs w:val="1"/>
          <w:color w:val="205BA8"/>
        </w:rPr>
        <w:t xml:space="preserve">Front-Loaded PSU Awards for CEO and CSO Replacing Five Years of CEO and CSO Equity Awards. </w:t>
      </w:r>
      <w:r>
        <w:rPr>
          <w:rFonts w:ascii="Arial" w:cs="Arial" w:eastAsia="Arial" w:hAnsi="Arial"/>
          <w:sz w:val="15"/>
          <w:szCs w:val="15"/>
          <w:color w:val="000000"/>
        </w:rPr>
        <w:t>In lieu of five years of annual equity</w:t>
      </w:r>
      <w:r>
        <w:rPr>
          <w:rFonts w:ascii="Arial" w:cs="Arial" w:eastAsia="Arial" w:hAnsi="Arial"/>
          <w:sz w:val="15"/>
          <w:szCs w:val="15"/>
          <w:b w:val="1"/>
          <w:bCs w:val="1"/>
          <w:color w:val="205BA8"/>
        </w:rPr>
        <w:t xml:space="preserve"> </w:t>
      </w:r>
      <w:r>
        <w:rPr>
          <w:rFonts w:ascii="Arial" w:cs="Arial" w:eastAsia="Arial" w:hAnsi="Arial"/>
          <w:sz w:val="15"/>
          <w:szCs w:val="15"/>
          <w:color w:val="000000"/>
        </w:rPr>
        <w:t>awards, our Compensation Committee granted, and the non-employee members of the board of directors approved, a five-year, front-loaded PSU award to each of our CEO and CSO. The PSUs can be earned upon achievement of ambitious, predetermined cumulative TSR goals over a primary performance period of five years (target TSR of 65.6% over five years, corresponding to a compound annual growth rate (“CAGR”) of 10.6%; and maximum TSR of 140.4%, corresponding to a CAGR of 19.2%). In developing the compensation structure for our CEO and CSO, the board and the Compensation Committee took into account shareholder preference for this type of performance-based award, as discussed further below. The board also recognized the Company’s long track record of success for patients, shareholders, and employees achieved under the leadership of these executives, as well as the board’s confidence in their vision for the Company and in their ability to leverage Regeneron’s technology platforms, product pipeline, and commercialized assets to create long-term shareholder value.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PSUs are 100% performance-based and are designed to:</w:t>
      </w:r>
    </w:p>
    <w:p>
      <w:pPr>
        <w:spacing w:after="0" w:line="214" w:lineRule="exact"/>
        <w:rPr>
          <w:sz w:val="20"/>
          <w:szCs w:val="20"/>
          <w:color w:val="auto"/>
        </w:rPr>
      </w:pPr>
    </w:p>
    <w:p>
      <w:pPr>
        <w:ind w:left="720" w:right="880" w:hanging="172"/>
        <w:spacing w:after="0" w:line="217" w:lineRule="auto"/>
        <w:tabs>
          <w:tab w:leader="none" w:pos="720" w:val="left"/>
        </w:tabs>
        <w:numPr>
          <w:ilvl w:val="0"/>
          <w:numId w:val="73"/>
        </w:numPr>
        <w:rPr>
          <w:rFonts w:ascii="Arial" w:cs="Arial" w:eastAsia="Arial" w:hAnsi="Arial"/>
          <w:sz w:val="18"/>
          <w:szCs w:val="18"/>
          <w:b w:val="1"/>
          <w:bCs w:val="1"/>
          <w:color w:val="205BA8"/>
        </w:rPr>
      </w:pPr>
      <w:r>
        <w:rPr>
          <w:rFonts w:ascii="Arial" w:cs="Arial" w:eastAsia="Arial" w:hAnsi="Arial"/>
          <w:sz w:val="14"/>
          <w:szCs w:val="14"/>
          <w:color w:val="auto"/>
        </w:rPr>
        <w:t>further align CEO and CSO interests with those of Regeneron’s long-term shareholders by rewarding top performance and eliminating time-based stock options from their compensation program;</w:t>
      </w:r>
    </w:p>
    <w:p>
      <w:pPr>
        <w:spacing w:after="0" w:line="58" w:lineRule="exact"/>
        <w:rPr>
          <w:rFonts w:ascii="Arial" w:cs="Arial" w:eastAsia="Arial" w:hAnsi="Arial"/>
          <w:sz w:val="18"/>
          <w:szCs w:val="18"/>
          <w:b w:val="1"/>
          <w:bCs w:val="1"/>
          <w:color w:val="205BA8"/>
        </w:rPr>
      </w:pPr>
    </w:p>
    <w:p>
      <w:pPr>
        <w:ind w:left="720" w:right="600" w:hanging="172"/>
        <w:spacing w:after="0" w:line="227" w:lineRule="auto"/>
        <w:tabs>
          <w:tab w:leader="none" w:pos="720" w:val="left"/>
        </w:tabs>
        <w:numPr>
          <w:ilvl w:val="0"/>
          <w:numId w:val="73"/>
        </w:numPr>
        <w:rPr>
          <w:rFonts w:ascii="Arial" w:cs="Arial" w:eastAsia="Arial" w:hAnsi="Arial"/>
          <w:sz w:val="18"/>
          <w:szCs w:val="18"/>
          <w:b w:val="1"/>
          <w:bCs w:val="1"/>
          <w:color w:val="205BA8"/>
        </w:rPr>
      </w:pPr>
      <w:r>
        <w:rPr>
          <w:rFonts w:ascii="Arial" w:cs="Arial" w:eastAsia="Arial" w:hAnsi="Arial"/>
          <w:sz w:val="14"/>
          <w:szCs w:val="14"/>
          <w:color w:val="auto"/>
        </w:rPr>
        <w:t>reward exceptional shareholder value creation over the next eight years (</w:t>
      </w:r>
      <w:r>
        <w:rPr>
          <w:rFonts w:ascii="Arial" w:cs="Arial" w:eastAsia="Arial" w:hAnsi="Arial"/>
          <w:sz w:val="14"/>
          <w:szCs w:val="14"/>
          <w:i w:val="1"/>
          <w:iCs w:val="1"/>
          <w:color w:val="auto"/>
        </w:rPr>
        <w:t>i.e.,</w:t>
      </w:r>
      <w:r>
        <w:rPr>
          <w:rFonts w:ascii="Arial" w:cs="Arial" w:eastAsia="Arial" w:hAnsi="Arial"/>
          <w:sz w:val="14"/>
          <w:szCs w:val="14"/>
          <w:color w:val="auto"/>
        </w:rPr>
        <w:t xml:space="preserve"> over a five-year performance period and the subsequent three-year mandatory deferral and holding period); and</w:t>
      </w:r>
    </w:p>
    <w:p>
      <w:pPr>
        <w:spacing w:after="0" w:line="70" w:lineRule="exact"/>
        <w:rPr>
          <w:rFonts w:ascii="Arial" w:cs="Arial" w:eastAsia="Arial" w:hAnsi="Arial"/>
          <w:sz w:val="18"/>
          <w:szCs w:val="18"/>
          <w:b w:val="1"/>
          <w:bCs w:val="1"/>
          <w:color w:val="205BA8"/>
        </w:rPr>
      </w:pPr>
    </w:p>
    <w:p>
      <w:pPr>
        <w:ind w:left="720" w:right="1380" w:hanging="172"/>
        <w:spacing w:after="0" w:line="217" w:lineRule="auto"/>
        <w:tabs>
          <w:tab w:leader="none" w:pos="720" w:val="left"/>
        </w:tabs>
        <w:numPr>
          <w:ilvl w:val="0"/>
          <w:numId w:val="73"/>
        </w:numPr>
        <w:rPr>
          <w:rFonts w:ascii="Arial" w:cs="Arial" w:eastAsia="Arial" w:hAnsi="Arial"/>
          <w:sz w:val="18"/>
          <w:szCs w:val="18"/>
          <w:b w:val="1"/>
          <w:bCs w:val="1"/>
          <w:color w:val="205BA8"/>
        </w:rPr>
      </w:pPr>
      <w:r>
        <w:rPr>
          <w:rFonts w:ascii="Arial" w:cs="Arial" w:eastAsia="Arial" w:hAnsi="Arial"/>
          <w:sz w:val="14"/>
          <w:szCs w:val="14"/>
          <w:color w:val="auto"/>
        </w:rPr>
        <w:t>ensure stability and continuity of leadership to support the achievement of the next phase of Regeneron’s ambitious product, pipeline, and talent development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94615</wp:posOffset>
            </wp:positionV>
            <wp:extent cx="64465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30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TSR data reflect total returns (stock price appreciation and, if applicable, reinvested dividends).</w:t>
      </w:r>
    </w:p>
    <w:p>
      <w:pPr>
        <w:spacing w:after="0" w:line="299"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56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7" w:name="page68"/>
    <w:bookmarkEnd w:id="67"/>
    <w:p>
      <w:pPr>
        <w:jc w:val="right"/>
        <w:ind w:righ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7894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 shown in the chart below, the PSUs are designed so that nearly all of the incremental value created is delivered to our shareholders.</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C44E5E"/>
        </w:rPr>
        <w:t>Shareholder and CEO/CSO Value Creation from PSUs</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C44E5E"/>
        </w:rPr>
        <w:t>($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88900</wp:posOffset>
            </wp:positionV>
            <wp:extent cx="3797300" cy="18599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79730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40" w:right="780"/>
        <w:spacing w:after="0" w:line="242" w:lineRule="auto"/>
        <w:rPr>
          <w:sz w:val="20"/>
          <w:szCs w:val="20"/>
          <w:color w:val="auto"/>
        </w:rPr>
      </w:pPr>
      <w:r>
        <w:rPr>
          <w:rFonts w:ascii="Arial" w:cs="Arial" w:eastAsia="Arial" w:hAnsi="Arial"/>
          <w:sz w:val="15"/>
          <w:szCs w:val="15"/>
          <w:color w:val="auto"/>
        </w:rPr>
        <w:t>See “Compensation Discussion and Analysis – Components of Executive Pay: What We Pay and Why We Pay It –Annual Equity Awards” for more information on these awards.</w:t>
      </w:r>
    </w:p>
    <w:p>
      <w:pPr>
        <w:spacing w:after="0" w:line="120" w:lineRule="exact"/>
        <w:rPr>
          <w:sz w:val="20"/>
          <w:szCs w:val="20"/>
          <w:color w:val="auto"/>
        </w:rPr>
      </w:pPr>
    </w:p>
    <w:p>
      <w:pPr>
        <w:ind w:left="580" w:right="560"/>
        <w:spacing w:after="0" w:line="231" w:lineRule="auto"/>
        <w:rPr>
          <w:sz w:val="20"/>
          <w:szCs w:val="20"/>
          <w:color w:val="auto"/>
        </w:rPr>
      </w:pPr>
      <w:r>
        <w:rPr>
          <w:rFonts w:ascii="Arial" w:cs="Arial" w:eastAsia="Arial" w:hAnsi="Arial"/>
          <w:sz w:val="15"/>
          <w:szCs w:val="15"/>
          <w:b w:val="1"/>
          <w:bCs w:val="1"/>
          <w:color w:val="205BA8"/>
        </w:rPr>
        <w:t>2</w:t>
      </w:r>
      <w:r>
        <w:rPr>
          <w:rFonts w:ascii="Arial" w:cs="Arial" w:eastAsia="Arial" w:hAnsi="Arial"/>
          <w:sz w:val="15"/>
          <w:szCs w:val="15"/>
          <w:color w:val="205BA8"/>
        </w:rPr>
        <w:t>.</w:t>
      </w:r>
      <w:r>
        <w:rPr>
          <w:rFonts w:ascii="Arial" w:cs="Arial" w:eastAsia="Arial" w:hAnsi="Arial"/>
          <w:sz w:val="15"/>
          <w:szCs w:val="15"/>
          <w:b w:val="1"/>
          <w:bCs w:val="1"/>
          <w:color w:val="205BA8"/>
        </w:rPr>
        <w:t xml:space="preserve"> Further Reduction of Burn Rate through Calibration of Equity Award Mix and Grant Size Reductions. </w:t>
      </w:r>
      <w:r>
        <w:rPr>
          <w:rFonts w:ascii="Arial" w:cs="Arial" w:eastAsia="Arial" w:hAnsi="Arial"/>
          <w:sz w:val="15"/>
          <w:szCs w:val="15"/>
          <w:color w:val="000000"/>
        </w:rPr>
        <w:t>In 2020, the Compensation</w:t>
      </w:r>
      <w:r>
        <w:rPr>
          <w:rFonts w:ascii="Arial" w:cs="Arial" w:eastAsia="Arial" w:hAnsi="Arial"/>
          <w:sz w:val="15"/>
          <w:szCs w:val="15"/>
          <w:b w:val="1"/>
          <w:bCs w:val="1"/>
          <w:color w:val="205BA8"/>
        </w:rPr>
        <w:t xml:space="preserve"> </w:t>
      </w:r>
      <w:r>
        <w:rPr>
          <w:rFonts w:ascii="Arial" w:cs="Arial" w:eastAsia="Arial" w:hAnsi="Arial"/>
          <w:sz w:val="15"/>
          <w:szCs w:val="15"/>
          <w:color w:val="000000"/>
        </w:rPr>
        <w:t>Committee, in part based on shareholder input and feedback, used a mix of stock options and full-value equity awards for NEOs below the CEO/CSO level and for other employees. Such full-value awards consisted of restricted stock awards, or RSAs, and, for employees outside the United States, restricted stock units, or RSUs. For the 2020 annual equity grants, we reduced by approximately 20% the number of stock options granted per recipient and kept RSA/RSU grant date fair value per recipient at 2019 levels, which allowed us to further reduce the Company’s burn rate to 3.3%, the lowest level in the last eight years. These reductions were realized despite our broad-based equity program and an increase in the number of employees by 12% year-over-year, as shown in the chart below. This recalibrated mix of equity awards was designed to better balance incentivization of growth and employee retention. In 2020, we also strategically deployed special RSAs/RSUs, in addition to annual awards, to reward exceptional performance and/or to further promote employee retention. We expect to continue to assess equity award mix in light of our business performance, competitive environment, and other relevant considerations in future years.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C32167"/>
        </w:rPr>
        <w:t>Regeneron Stock Utilization vs. Headcount*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107315</wp:posOffset>
            </wp:positionV>
            <wp:extent cx="6446520" cy="20231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44652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20" w:right="560" w:hanging="172"/>
        <w:spacing w:after="0" w:line="247" w:lineRule="auto"/>
        <w:tabs>
          <w:tab w:leader="none" w:pos="7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Burn rate calculated by dividing the number of shares subject to equity awards (stock options, RSAs, and RSUs) granted during the year by the basic weighted-average number of shares of common stock and Class A stock outstanding during the year. PSUs are to be reflected in the burn rate calculation for the year in which they are earned and, therefore, do not impact the burn rate shown in the chart. Headcount numbers based on the number of employees as of December 31 of the applicable year.</w:t>
      </w:r>
    </w:p>
    <w:p>
      <w:pPr>
        <w:spacing w:after="0" w:line="175" w:lineRule="exact"/>
        <w:rPr>
          <w:rFonts w:ascii="Arial" w:cs="Arial" w:eastAsia="Arial" w:hAnsi="Arial"/>
          <w:sz w:val="14"/>
          <w:szCs w:val="14"/>
          <w:color w:val="auto"/>
        </w:rPr>
      </w:pPr>
    </w:p>
    <w:p>
      <w:pPr>
        <w:ind w:left="580" w:right="720" w:firstLine="4"/>
        <w:spacing w:after="0" w:line="232" w:lineRule="auto"/>
        <w:tabs>
          <w:tab w:leader="none" w:pos="750" w:val="left"/>
        </w:tabs>
        <w:numPr>
          <w:ilvl w:val="1"/>
          <w:numId w:val="74"/>
        </w:numPr>
        <w:rPr>
          <w:rFonts w:ascii="Arial" w:cs="Arial" w:eastAsia="Arial" w:hAnsi="Arial"/>
          <w:sz w:val="15"/>
          <w:szCs w:val="15"/>
          <w:b w:val="1"/>
          <w:bCs w:val="1"/>
          <w:color w:val="205BA8"/>
        </w:rPr>
      </w:pPr>
      <w:r>
        <w:rPr>
          <w:rFonts w:ascii="Arial" w:cs="Arial" w:eastAsia="Arial" w:hAnsi="Arial"/>
          <w:sz w:val="15"/>
          <w:szCs w:val="15"/>
          <w:b w:val="1"/>
          <w:bCs w:val="1"/>
          <w:color w:val="205BA8"/>
        </w:rPr>
        <w:t xml:space="preserve">Larger Annual Cash Incentive Awards in Recognition of Outstanding Company Performance. </w:t>
      </w:r>
      <w:r>
        <w:rPr>
          <w:rFonts w:ascii="Arial" w:cs="Arial" w:eastAsia="Arial" w:hAnsi="Arial"/>
          <w:sz w:val="15"/>
          <w:szCs w:val="15"/>
          <w:color w:val="000000"/>
        </w:rPr>
        <w:t>For 2020, the Compensation Committee set</w:t>
      </w:r>
      <w:r>
        <w:rPr>
          <w:rFonts w:ascii="Arial" w:cs="Arial" w:eastAsia="Arial" w:hAnsi="Arial"/>
          <w:sz w:val="15"/>
          <w:szCs w:val="15"/>
          <w:b w:val="1"/>
          <w:bCs w:val="1"/>
          <w:color w:val="205BA8"/>
        </w:rPr>
        <w:t xml:space="preserve"> </w:t>
      </w:r>
      <w:r>
        <w:rPr>
          <w:rFonts w:ascii="Arial" w:cs="Arial" w:eastAsia="Arial" w:hAnsi="Arial"/>
          <w:sz w:val="15"/>
          <w:szCs w:val="15"/>
          <w:color w:val="000000"/>
        </w:rPr>
        <w:t>the Company performance multiplier for annual cash incentive awards to all eligible employees at 2.25. In exceeding the range historically used for this multiplier (0 to 2.0), the Compensation Committee recognized the Company’s outstanding performance in the face of the COVID-19 pandemic, including the achievements discussed above and in the subsection “Components of Executive Pay: What We Pay and Why We Pay It — Annual Cash Incentives.” In the case of our NEOs, their annual cash incentive awards were capped at the amounts previously allocated to such executives by the Compensation Committee in March 2020 under our Cash Incentive Bonus Plan, resulting in lower awards to Drs. Schleifer and Yancopoulos and Messrs. Landry and Van Plew than would have otherwise been earned utilizing the 2.25 Company performance multiplier and any applicable personal performance multiplier.</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57</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68" w:name="page69"/>
    <w:bookmarkEnd w:id="68"/>
    <w:p>
      <w:pPr>
        <w:ind w:lef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04C57"/>
        </w:rPr>
        <w:t>SHAREHOLDER ENGAGEMENT AND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40" w:right="620"/>
        <w:spacing w:after="0" w:line="231" w:lineRule="auto"/>
        <w:rPr>
          <w:sz w:val="20"/>
          <w:szCs w:val="20"/>
          <w:color w:val="auto"/>
        </w:rPr>
      </w:pPr>
      <w:r>
        <w:rPr>
          <w:rFonts w:ascii="Arial" w:cs="Arial" w:eastAsia="Arial" w:hAnsi="Arial"/>
          <w:sz w:val="15"/>
          <w:szCs w:val="15"/>
          <w:color w:val="auto"/>
        </w:rPr>
        <w:t>In addition to establishing an executive compensation program that aligns with our corporate culture and pay philosophy, we seek the views of our shareholders and annually engage with our investor base to solicit ideas, input, and direct feedback. We do this not only formally through our triennial say-on-pay vote but also through direct discussions with our shareholders and informal exchanges in other settings. Feedback from these outreach efforts informs the Compensation Committee’s decision-making when evaluating our current compensation program and considering any potential modifications.</w:t>
      </w:r>
    </w:p>
    <w:p>
      <w:pPr>
        <w:spacing w:after="0" w:line="142" w:lineRule="exact"/>
        <w:rPr>
          <w:sz w:val="20"/>
          <w:szCs w:val="20"/>
          <w:color w:val="auto"/>
        </w:rPr>
      </w:pPr>
    </w:p>
    <w:p>
      <w:pPr>
        <w:ind w:left="540" w:right="660"/>
        <w:spacing w:after="0" w:line="233" w:lineRule="auto"/>
        <w:rPr>
          <w:sz w:val="20"/>
          <w:szCs w:val="20"/>
          <w:color w:val="auto"/>
        </w:rPr>
      </w:pPr>
      <w:r>
        <w:rPr>
          <w:rFonts w:ascii="Arial" w:cs="Arial" w:eastAsia="Arial" w:hAnsi="Arial"/>
          <w:sz w:val="15"/>
          <w:szCs w:val="15"/>
          <w:color w:val="auto"/>
        </w:rPr>
        <w:t>At our 2020 annual shareholder meeting, our say-on-pay proposal received the support of 70.2% of votes cast. The Compensation Committee believes that our compensation program has been appropriately structured to attract, retain, and motivate our executive team, aligning executive interests with those of shareholders. Nevertheless, in light of the most recent say-on-pay result, the Committee continued to engage with investors to better understand how we could strengthen the alignment of our executive pay program with shareholder perspectives and interests.</w:t>
      </w:r>
    </w:p>
    <w:p>
      <w:pPr>
        <w:spacing w:after="0" w:line="140" w:lineRule="exact"/>
        <w:rPr>
          <w:sz w:val="20"/>
          <w:szCs w:val="20"/>
          <w:color w:val="auto"/>
        </w:rPr>
      </w:pPr>
    </w:p>
    <w:p>
      <w:pPr>
        <w:ind w:left="540" w:right="780"/>
        <w:spacing w:after="0" w:line="233" w:lineRule="auto"/>
        <w:rPr>
          <w:sz w:val="20"/>
          <w:szCs w:val="20"/>
          <w:color w:val="auto"/>
        </w:rPr>
      </w:pPr>
      <w:r>
        <w:rPr>
          <w:rFonts w:ascii="Arial" w:cs="Arial" w:eastAsia="Arial" w:hAnsi="Arial"/>
          <w:sz w:val="15"/>
          <w:szCs w:val="15"/>
          <w:color w:val="auto"/>
        </w:rPr>
        <w:t>In 2020, we actively engaged with our shareholders to solicit feedback, engaging in direct one-on-one discussions with shareholders collectively representing over 60% of the shares of common stock outstanding as of December 31, 2020 (excluding shares held by our directors and executive officers). Our Compensation Committee Chair led many of these discussions and reported feedback from shareholders to the Compensation Committee and the board of directors. This feedback has resulted in specific changes implemented in 2020, as outlined below.</w:t>
      </w:r>
    </w:p>
    <w:p>
      <w:pPr>
        <w:spacing w:after="0" w:line="144" w:lineRule="exact"/>
        <w:rPr>
          <w:sz w:val="20"/>
          <w:szCs w:val="20"/>
          <w:color w:val="auto"/>
        </w:rPr>
      </w:pPr>
    </w:p>
    <w:tbl>
      <w:tblPr>
        <w:tblLayout w:type="fixed"/>
        <w:tblInd w:w="540" w:type="dxa"/>
        <w:tblCellMar>
          <w:top w:w="0" w:type="dxa"/>
          <w:left w:w="0" w:type="dxa"/>
          <w:bottom w:w="0" w:type="dxa"/>
          <w:right w:w="0" w:type="dxa"/>
        </w:tblCellMar>
      </w:tblPr>
      <w:tr>
        <w:trPr>
          <w:trHeight w:val="208"/>
        </w:trPr>
        <w:tc>
          <w:tcPr>
            <w:tcW w:w="2960" w:type="dxa"/>
            <w:vAlign w:val="bottom"/>
            <w:gridSpan w:val="2"/>
          </w:tcPr>
          <w:p>
            <w:pPr>
              <w:ind w:left="100"/>
              <w:spacing w:after="0"/>
              <w:rPr>
                <w:sz w:val="20"/>
                <w:szCs w:val="20"/>
                <w:color w:val="auto"/>
              </w:rPr>
            </w:pPr>
            <w:r>
              <w:rPr>
                <w:rFonts w:ascii="Arial" w:cs="Arial" w:eastAsia="Arial" w:hAnsi="Arial"/>
                <w:sz w:val="11"/>
                <w:szCs w:val="11"/>
                <w:b w:val="1"/>
                <w:bCs w:val="1"/>
                <w:color w:val="205BA8"/>
              </w:rPr>
              <w:t>What We Heard</w:t>
            </w:r>
          </w:p>
        </w:tc>
        <w:tc>
          <w:tcPr>
            <w:tcW w:w="100" w:type="dxa"/>
            <w:vAlign w:val="bottom"/>
            <w:shd w:val="clear" w:color="auto" w:fill="1F5AA8"/>
          </w:tcPr>
          <w:p>
            <w:pPr>
              <w:spacing w:after="0"/>
              <w:rPr>
                <w:sz w:val="18"/>
                <w:szCs w:val="18"/>
                <w:color w:val="auto"/>
              </w:rPr>
            </w:pPr>
          </w:p>
        </w:tc>
        <w:tc>
          <w:tcPr>
            <w:tcW w:w="7100" w:type="dxa"/>
            <w:vAlign w:val="bottom"/>
            <w:gridSpan w:val="2"/>
            <w:shd w:val="clear" w:color="auto" w:fill="205BA8"/>
          </w:tcPr>
          <w:p>
            <w:pPr>
              <w:ind w:left="80"/>
              <w:spacing w:after="0"/>
              <w:rPr>
                <w:sz w:val="20"/>
                <w:szCs w:val="20"/>
                <w:color w:val="auto"/>
              </w:rPr>
            </w:pPr>
            <w:r>
              <w:rPr>
                <w:rFonts w:ascii="Arial" w:cs="Arial" w:eastAsia="Arial" w:hAnsi="Arial"/>
                <w:sz w:val="11"/>
                <w:szCs w:val="11"/>
                <w:b w:val="1"/>
                <w:bCs w:val="1"/>
                <w:color w:val="FFFFFF"/>
              </w:rPr>
              <w:t>What We Have Done</w:t>
            </w:r>
          </w:p>
        </w:tc>
        <w:tc>
          <w:tcPr>
            <w:tcW w:w="0" w:type="dxa"/>
            <w:vAlign w:val="bottom"/>
          </w:tcPr>
          <w:p>
            <w:pPr>
              <w:spacing w:after="0"/>
              <w:rPr>
                <w:sz w:val="1"/>
                <w:szCs w:val="1"/>
                <w:color w:val="auto"/>
              </w:rPr>
            </w:pPr>
          </w:p>
        </w:tc>
      </w:tr>
      <w:tr>
        <w:trPr>
          <w:trHeight w:val="70"/>
        </w:trPr>
        <w:tc>
          <w:tcPr>
            <w:tcW w:w="2960" w:type="dxa"/>
            <w:vAlign w:val="bottom"/>
            <w:tcBorders>
              <w:bottom w:val="single" w:sz="8" w:color="1F5AA8"/>
            </w:tcBorders>
            <w:gridSpan w:val="2"/>
          </w:tcPr>
          <w:p>
            <w:pPr>
              <w:spacing w:after="0"/>
              <w:rPr>
                <w:sz w:val="6"/>
                <w:szCs w:val="6"/>
                <w:color w:val="auto"/>
              </w:rPr>
            </w:pPr>
          </w:p>
        </w:tc>
        <w:tc>
          <w:tcPr>
            <w:tcW w:w="100" w:type="dxa"/>
            <w:vAlign w:val="bottom"/>
            <w:tcBorders>
              <w:bottom w:val="single" w:sz="8" w:color="1F5AA8"/>
            </w:tcBorders>
            <w:shd w:val="clear" w:color="auto" w:fill="1F5AA8"/>
          </w:tcPr>
          <w:p>
            <w:pPr>
              <w:spacing w:after="0"/>
              <w:rPr>
                <w:sz w:val="6"/>
                <w:szCs w:val="6"/>
                <w:color w:val="auto"/>
              </w:rPr>
            </w:pPr>
          </w:p>
        </w:tc>
        <w:tc>
          <w:tcPr>
            <w:tcW w:w="7100" w:type="dxa"/>
            <w:vAlign w:val="bottom"/>
            <w:tcBorders>
              <w:bottom w:val="single" w:sz="8" w:color="1F5AA8"/>
            </w:tcBorders>
            <w:gridSpan w:val="2"/>
            <w:shd w:val="clear" w:color="auto" w:fill="205BA8"/>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960" w:type="dxa"/>
            <w:vAlign w:val="bottom"/>
            <w:gridSpan w:val="2"/>
          </w:tcPr>
          <w:p>
            <w:pPr>
              <w:ind w:left="100"/>
              <w:spacing w:after="0"/>
              <w:rPr>
                <w:sz w:val="20"/>
                <w:szCs w:val="20"/>
                <w:color w:val="auto"/>
              </w:rPr>
            </w:pPr>
            <w:r>
              <w:rPr>
                <w:rFonts w:ascii="Arial" w:cs="Arial" w:eastAsia="Arial" w:hAnsi="Arial"/>
                <w:sz w:val="13"/>
                <w:szCs w:val="13"/>
                <w:b w:val="1"/>
                <w:bCs w:val="1"/>
                <w:color w:val="auto"/>
              </w:rPr>
              <w:t>Preference for further pay-for- performance</w:t>
            </w:r>
          </w:p>
        </w:tc>
        <w:tc>
          <w:tcPr>
            <w:tcW w:w="100" w:type="dxa"/>
            <w:vAlign w:val="bottom"/>
            <w:shd w:val="clear" w:color="auto" w:fill="CBD0E9"/>
          </w:tcPr>
          <w:p>
            <w:pPr>
              <w:spacing w:after="0"/>
              <w:rPr>
                <w:sz w:val="17"/>
                <w:szCs w:val="17"/>
                <w:color w:val="auto"/>
              </w:rPr>
            </w:pPr>
          </w:p>
        </w:tc>
        <w:tc>
          <w:tcPr>
            <w:tcW w:w="7100" w:type="dxa"/>
            <w:vAlign w:val="bottom"/>
            <w:gridSpan w:val="2"/>
            <w:shd w:val="clear" w:color="auto" w:fill="CBD0E9"/>
          </w:tcPr>
          <w:p>
            <w:pPr>
              <w:ind w:left="80"/>
              <w:spacing w:after="0"/>
              <w:rPr>
                <w:sz w:val="20"/>
                <w:szCs w:val="20"/>
                <w:color w:val="auto"/>
              </w:rPr>
            </w:pPr>
            <w:r>
              <w:rPr>
                <w:rFonts w:ascii="Arial" w:cs="Arial" w:eastAsia="Arial" w:hAnsi="Arial"/>
                <w:sz w:val="13"/>
                <w:szCs w:val="13"/>
                <w:color w:val="auto"/>
              </w:rPr>
              <w:t>Replaced five years of CEO and CSO annual equity awards (</w:t>
            </w:r>
            <w:r>
              <w:rPr>
                <w:rFonts w:ascii="Arial" w:cs="Arial" w:eastAsia="Arial" w:hAnsi="Arial"/>
                <w:sz w:val="13"/>
                <w:szCs w:val="13"/>
                <w:i w:val="1"/>
                <w:iCs w:val="1"/>
                <w:color w:val="auto"/>
              </w:rPr>
              <w:t>i.e.,</w:t>
            </w:r>
            <w:r>
              <w:rPr>
                <w:rFonts w:ascii="Arial" w:cs="Arial" w:eastAsia="Arial" w:hAnsi="Arial"/>
                <w:sz w:val="13"/>
                <w:szCs w:val="13"/>
                <w:color w:val="auto"/>
              </w:rPr>
              <w:t xml:space="preserve"> until the Company’s regular year-end grant cycle in</w:t>
            </w:r>
          </w:p>
        </w:tc>
        <w:tc>
          <w:tcPr>
            <w:tcW w:w="0" w:type="dxa"/>
            <w:vAlign w:val="bottom"/>
          </w:tcPr>
          <w:p>
            <w:pPr>
              <w:spacing w:after="0"/>
              <w:rPr>
                <w:sz w:val="1"/>
                <w:szCs w:val="1"/>
                <w:color w:val="auto"/>
              </w:rPr>
            </w:pPr>
          </w:p>
        </w:tc>
      </w:tr>
      <w:tr>
        <w:trPr>
          <w:trHeight w:val="148"/>
        </w:trPr>
        <w:tc>
          <w:tcPr>
            <w:tcW w:w="2960" w:type="dxa"/>
            <w:vAlign w:val="bottom"/>
            <w:gridSpan w:val="2"/>
          </w:tcPr>
          <w:p>
            <w:pPr>
              <w:ind w:left="100"/>
              <w:spacing w:after="0"/>
              <w:rPr>
                <w:sz w:val="20"/>
                <w:szCs w:val="20"/>
                <w:color w:val="auto"/>
              </w:rPr>
            </w:pPr>
            <w:r>
              <w:rPr>
                <w:rFonts w:ascii="Arial" w:cs="Arial" w:eastAsia="Arial" w:hAnsi="Arial"/>
                <w:sz w:val="13"/>
                <w:szCs w:val="13"/>
                <w:b w:val="1"/>
                <w:bCs w:val="1"/>
                <w:color w:val="auto"/>
              </w:rPr>
              <w:t>alignment; support for PSUs introduced for</w:t>
            </w:r>
          </w:p>
        </w:tc>
        <w:tc>
          <w:tcPr>
            <w:tcW w:w="100" w:type="dxa"/>
            <w:vAlign w:val="bottom"/>
            <w:shd w:val="clear" w:color="auto" w:fill="CBD0E9"/>
          </w:tcPr>
          <w:p>
            <w:pPr>
              <w:spacing w:after="0"/>
              <w:rPr>
                <w:sz w:val="12"/>
                <w:szCs w:val="12"/>
                <w:color w:val="auto"/>
              </w:rPr>
            </w:pPr>
          </w:p>
        </w:tc>
        <w:tc>
          <w:tcPr>
            <w:tcW w:w="7100" w:type="dxa"/>
            <w:vAlign w:val="bottom"/>
            <w:gridSpan w:val="2"/>
            <w:shd w:val="clear" w:color="auto" w:fill="CBD0E9"/>
          </w:tcPr>
          <w:p>
            <w:pPr>
              <w:ind w:left="80"/>
              <w:spacing w:after="0"/>
              <w:rPr>
                <w:sz w:val="20"/>
                <w:szCs w:val="20"/>
                <w:color w:val="auto"/>
              </w:rPr>
            </w:pPr>
            <w:r>
              <w:rPr>
                <w:rFonts w:ascii="Arial" w:cs="Arial" w:eastAsia="Arial" w:hAnsi="Arial"/>
                <w:sz w:val="13"/>
                <w:szCs w:val="13"/>
                <w:color w:val="auto"/>
              </w:rPr>
              <w:t>December 2025) with a single grant of front-loaded PSUs incorporating rigorous absolute TSR performance goals over a</w:t>
            </w:r>
          </w:p>
        </w:tc>
        <w:tc>
          <w:tcPr>
            <w:tcW w:w="0" w:type="dxa"/>
            <w:vAlign w:val="bottom"/>
          </w:tcPr>
          <w:p>
            <w:pPr>
              <w:spacing w:after="0"/>
              <w:rPr>
                <w:sz w:val="1"/>
                <w:szCs w:val="1"/>
                <w:color w:val="auto"/>
              </w:rPr>
            </w:pPr>
          </w:p>
        </w:tc>
      </w:tr>
      <w:tr>
        <w:trPr>
          <w:trHeight w:val="229"/>
        </w:trPr>
        <w:tc>
          <w:tcPr>
            <w:tcW w:w="2960" w:type="dxa"/>
            <w:vAlign w:val="bottom"/>
            <w:gridSpan w:val="2"/>
          </w:tcPr>
          <w:p>
            <w:pPr>
              <w:ind w:left="100"/>
              <w:spacing w:after="0"/>
              <w:rPr>
                <w:sz w:val="20"/>
                <w:szCs w:val="20"/>
                <w:color w:val="auto"/>
              </w:rPr>
            </w:pPr>
            <w:r>
              <w:rPr>
                <w:rFonts w:ascii="Arial" w:cs="Arial" w:eastAsia="Arial" w:hAnsi="Arial"/>
                <w:sz w:val="13"/>
                <w:szCs w:val="13"/>
                <w:b w:val="1"/>
                <w:bCs w:val="1"/>
                <w:color w:val="auto"/>
              </w:rPr>
              <w:t>CEO and CSO in 2019 but preference for:</w:t>
            </w:r>
          </w:p>
        </w:tc>
        <w:tc>
          <w:tcPr>
            <w:tcW w:w="100" w:type="dxa"/>
            <w:vAlign w:val="bottom"/>
            <w:tcBorders>
              <w:bottom w:val="single" w:sz="8" w:color="CBD0E9"/>
            </w:tcBorders>
            <w:shd w:val="clear" w:color="auto" w:fill="CBD0E9"/>
          </w:tcPr>
          <w:p>
            <w:pPr>
              <w:spacing w:after="0"/>
              <w:rPr>
                <w:sz w:val="19"/>
                <w:szCs w:val="19"/>
                <w:color w:val="auto"/>
              </w:rPr>
            </w:pPr>
          </w:p>
        </w:tc>
        <w:tc>
          <w:tcPr>
            <w:tcW w:w="7100" w:type="dxa"/>
            <w:vAlign w:val="bottom"/>
            <w:tcBorders>
              <w:bottom w:val="single" w:sz="8" w:color="CBD0E9"/>
            </w:tcBorders>
            <w:gridSpan w:val="2"/>
            <w:shd w:val="clear" w:color="auto" w:fill="CBD0E9"/>
          </w:tcPr>
          <w:p>
            <w:pPr>
              <w:ind w:left="80"/>
              <w:spacing w:after="0"/>
              <w:rPr>
                <w:sz w:val="20"/>
                <w:szCs w:val="20"/>
                <w:color w:val="auto"/>
              </w:rPr>
            </w:pPr>
            <w:r>
              <w:rPr>
                <w:rFonts w:ascii="Arial" w:cs="Arial" w:eastAsia="Arial" w:hAnsi="Arial"/>
                <w:sz w:val="13"/>
                <w:szCs w:val="13"/>
                <w:color w:val="auto"/>
              </w:rPr>
              <w:t>five-year performance period</w:t>
            </w:r>
          </w:p>
        </w:tc>
        <w:tc>
          <w:tcPr>
            <w:tcW w:w="0" w:type="dxa"/>
            <w:vAlign w:val="bottom"/>
          </w:tcPr>
          <w:p>
            <w:pPr>
              <w:spacing w:after="0"/>
              <w:rPr>
                <w:sz w:val="1"/>
                <w:szCs w:val="1"/>
                <w:color w:val="auto"/>
              </w:rPr>
            </w:pPr>
          </w:p>
        </w:tc>
      </w:tr>
      <w:tr>
        <w:trPr>
          <w:trHeight w:val="213"/>
        </w:trPr>
        <w:tc>
          <w:tcPr>
            <w:tcW w:w="260" w:type="dxa"/>
            <w:vAlign w:val="bottom"/>
            <w:tcBorders>
              <w:top w:val="single" w:sz="8" w:color="auto"/>
            </w:tcBorders>
          </w:tcPr>
          <w:p>
            <w:pPr>
              <w:ind w:left="180"/>
              <w:spacing w:after="0"/>
              <w:rPr>
                <w:sz w:val="20"/>
                <w:szCs w:val="20"/>
                <w:color w:val="auto"/>
              </w:rPr>
            </w:pPr>
            <w:r>
              <w:rPr>
                <w:rFonts w:ascii="Arial" w:cs="Arial" w:eastAsia="Arial" w:hAnsi="Arial"/>
                <w:sz w:val="13"/>
                <w:szCs w:val="13"/>
                <w:b w:val="1"/>
                <w:bCs w:val="1"/>
                <w:color w:val="205BA8"/>
              </w:rPr>
              <w:t>•</w:t>
            </w:r>
          </w:p>
        </w:tc>
        <w:tc>
          <w:tcPr>
            <w:tcW w:w="2700" w:type="dxa"/>
            <w:vAlign w:val="bottom"/>
            <w:tcBorders>
              <w:top w:val="single" w:sz="8" w:color="auto"/>
            </w:tcBorders>
          </w:tcPr>
          <w:p>
            <w:pPr>
              <w:ind w:left="40"/>
              <w:spacing w:after="0"/>
              <w:rPr>
                <w:sz w:val="20"/>
                <w:szCs w:val="20"/>
                <w:color w:val="auto"/>
              </w:rPr>
            </w:pPr>
            <w:r>
              <w:rPr>
                <w:rFonts w:ascii="Arial" w:cs="Arial" w:eastAsia="Arial" w:hAnsi="Arial"/>
                <w:sz w:val="13"/>
                <w:szCs w:val="13"/>
                <w:i w:val="1"/>
                <w:iCs w:val="1"/>
                <w:color w:val="auto"/>
              </w:rPr>
              <w:t>Exclusive use of PSUs</w:t>
            </w:r>
          </w:p>
        </w:tc>
        <w:tc>
          <w:tcPr>
            <w:tcW w:w="100" w:type="dxa"/>
            <w:vAlign w:val="bottom"/>
            <w:tcBorders>
              <w:top w:val="single" w:sz="8" w:color="auto"/>
            </w:tcBorders>
            <w:shd w:val="clear" w:color="auto" w:fill="CBD0E9"/>
          </w:tcPr>
          <w:p>
            <w:pPr>
              <w:spacing w:after="0"/>
              <w:rPr>
                <w:sz w:val="18"/>
                <w:szCs w:val="18"/>
                <w:color w:val="auto"/>
              </w:rPr>
            </w:pPr>
          </w:p>
        </w:tc>
        <w:tc>
          <w:tcPr>
            <w:tcW w:w="7100" w:type="dxa"/>
            <w:vAlign w:val="bottom"/>
            <w:tcBorders>
              <w:top w:val="single" w:sz="8" w:color="auto"/>
            </w:tcBorders>
            <w:gridSpan w:val="2"/>
            <w:shd w:val="clear" w:color="auto" w:fill="CBD0E9"/>
          </w:tcPr>
          <w:p>
            <w:pPr>
              <w:ind w:left="80"/>
              <w:spacing w:after="0"/>
              <w:rPr>
                <w:sz w:val="20"/>
                <w:szCs w:val="20"/>
                <w:color w:val="auto"/>
              </w:rPr>
            </w:pPr>
            <w:r>
              <w:rPr>
                <w:rFonts w:ascii="Arial" w:cs="Arial" w:eastAsia="Arial" w:hAnsi="Arial"/>
                <w:sz w:val="13"/>
                <w:szCs w:val="13"/>
                <w:color w:val="auto"/>
              </w:rPr>
              <w:t>Granted 100% of CEO and CSO equity awards in the form of PSUs (significant increase compared to 2019, when the</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Borders>
              <w:bottom w:val="single" w:sz="8" w:color="CBD0E9"/>
            </w:tcBorders>
            <w:shd w:val="clear" w:color="auto" w:fill="CBD0E9"/>
          </w:tcPr>
          <w:p>
            <w:pPr>
              <w:spacing w:after="0"/>
              <w:rPr>
                <w:sz w:val="18"/>
                <w:szCs w:val="18"/>
                <w:color w:val="auto"/>
              </w:rPr>
            </w:pPr>
          </w:p>
        </w:tc>
        <w:tc>
          <w:tcPr>
            <w:tcW w:w="7100" w:type="dxa"/>
            <w:vAlign w:val="bottom"/>
            <w:tcBorders>
              <w:bottom w:val="single" w:sz="8" w:color="CBD0E9"/>
            </w:tcBorders>
            <w:gridSpan w:val="2"/>
            <w:shd w:val="clear" w:color="auto" w:fill="CBD0E9"/>
          </w:tcPr>
          <w:p>
            <w:pPr>
              <w:ind w:left="80"/>
              <w:spacing w:after="0"/>
              <w:rPr>
                <w:sz w:val="20"/>
                <w:szCs w:val="20"/>
                <w:color w:val="auto"/>
              </w:rPr>
            </w:pPr>
            <w:r>
              <w:rPr>
                <w:rFonts w:ascii="Arial" w:cs="Arial" w:eastAsia="Arial" w:hAnsi="Arial"/>
                <w:sz w:val="13"/>
                <w:szCs w:val="13"/>
                <w:color w:val="auto"/>
              </w:rPr>
              <w:t>CEO/CSO equity mix consisted of 30% PSUs and 70% stock options)</w:t>
            </w:r>
          </w:p>
        </w:tc>
        <w:tc>
          <w:tcPr>
            <w:tcW w:w="0" w:type="dxa"/>
            <w:vAlign w:val="bottom"/>
          </w:tcPr>
          <w:p>
            <w:pPr>
              <w:spacing w:after="0"/>
              <w:rPr>
                <w:sz w:val="1"/>
                <w:szCs w:val="1"/>
                <w:color w:val="auto"/>
              </w:rPr>
            </w:pPr>
          </w:p>
        </w:tc>
      </w:tr>
      <w:tr>
        <w:trPr>
          <w:trHeight w:val="213"/>
        </w:trPr>
        <w:tc>
          <w:tcPr>
            <w:tcW w:w="260" w:type="dxa"/>
            <w:vAlign w:val="bottom"/>
            <w:tcBorders>
              <w:top w:val="single" w:sz="8" w:color="auto"/>
            </w:tcBorders>
          </w:tcPr>
          <w:p>
            <w:pPr>
              <w:ind w:left="180"/>
              <w:spacing w:after="0"/>
              <w:rPr>
                <w:sz w:val="20"/>
                <w:szCs w:val="20"/>
                <w:color w:val="auto"/>
              </w:rPr>
            </w:pPr>
            <w:r>
              <w:rPr>
                <w:rFonts w:ascii="Arial" w:cs="Arial" w:eastAsia="Arial" w:hAnsi="Arial"/>
                <w:sz w:val="13"/>
                <w:szCs w:val="13"/>
                <w:b w:val="1"/>
                <w:bCs w:val="1"/>
                <w:color w:val="205BA8"/>
              </w:rPr>
              <w:t>•</w:t>
            </w:r>
          </w:p>
        </w:tc>
        <w:tc>
          <w:tcPr>
            <w:tcW w:w="2700" w:type="dxa"/>
            <w:vAlign w:val="bottom"/>
            <w:tcBorders>
              <w:top w:val="single" w:sz="8" w:color="auto"/>
            </w:tcBorders>
          </w:tcPr>
          <w:p>
            <w:pPr>
              <w:ind w:left="40"/>
              <w:spacing w:after="0"/>
              <w:rPr>
                <w:sz w:val="20"/>
                <w:szCs w:val="20"/>
                <w:color w:val="auto"/>
              </w:rPr>
            </w:pPr>
            <w:r>
              <w:rPr>
                <w:rFonts w:ascii="Arial" w:cs="Arial" w:eastAsia="Arial" w:hAnsi="Arial"/>
                <w:sz w:val="13"/>
                <w:szCs w:val="13"/>
                <w:i w:val="1"/>
                <w:iCs w:val="1"/>
                <w:color w:val="auto"/>
              </w:rPr>
              <w:t>More ambitious PSU goals</w:t>
            </w:r>
          </w:p>
        </w:tc>
        <w:tc>
          <w:tcPr>
            <w:tcW w:w="100" w:type="dxa"/>
            <w:vAlign w:val="bottom"/>
            <w:tcBorders>
              <w:top w:val="single" w:sz="8" w:color="auto"/>
            </w:tcBorders>
            <w:shd w:val="clear" w:color="auto" w:fill="CBD0E9"/>
          </w:tcPr>
          <w:p>
            <w:pPr>
              <w:spacing w:after="0"/>
              <w:rPr>
                <w:sz w:val="18"/>
                <w:szCs w:val="18"/>
                <w:color w:val="auto"/>
              </w:rPr>
            </w:pPr>
          </w:p>
        </w:tc>
        <w:tc>
          <w:tcPr>
            <w:tcW w:w="7100" w:type="dxa"/>
            <w:vAlign w:val="bottom"/>
            <w:tcBorders>
              <w:top w:val="single" w:sz="8" w:color="auto"/>
            </w:tcBorders>
            <w:gridSpan w:val="2"/>
            <w:shd w:val="clear" w:color="auto" w:fill="CBD0E9"/>
          </w:tcPr>
          <w:p>
            <w:pPr>
              <w:ind w:left="80"/>
              <w:spacing w:after="0"/>
              <w:rPr>
                <w:sz w:val="20"/>
                <w:szCs w:val="20"/>
                <w:color w:val="auto"/>
              </w:rPr>
            </w:pPr>
            <w:r>
              <w:rPr>
                <w:rFonts w:ascii="Arial" w:cs="Arial" w:eastAsia="Arial" w:hAnsi="Arial"/>
                <w:sz w:val="13"/>
                <w:szCs w:val="13"/>
                <w:color w:val="auto"/>
              </w:rPr>
              <w:t>Increased target TSR from 61% to 65.6%; increased TSR goal for maximum payout from 101% to 140.4% (in each case</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Borders>
              <w:bottom w:val="single" w:sz="8" w:color="CBD0E9"/>
            </w:tcBorders>
            <w:shd w:val="clear" w:color="auto" w:fill="CBD0E9"/>
          </w:tcPr>
          <w:p>
            <w:pPr>
              <w:spacing w:after="0"/>
              <w:rPr>
                <w:sz w:val="18"/>
                <w:szCs w:val="18"/>
                <w:color w:val="auto"/>
              </w:rPr>
            </w:pPr>
          </w:p>
        </w:tc>
        <w:tc>
          <w:tcPr>
            <w:tcW w:w="7100" w:type="dxa"/>
            <w:vAlign w:val="bottom"/>
            <w:tcBorders>
              <w:bottom w:val="single" w:sz="8" w:color="CBD0E9"/>
            </w:tcBorders>
            <w:gridSpan w:val="2"/>
            <w:shd w:val="clear" w:color="auto" w:fill="CBD0E9"/>
          </w:tcPr>
          <w:p>
            <w:pPr>
              <w:ind w:left="80"/>
              <w:spacing w:after="0"/>
              <w:rPr>
                <w:sz w:val="20"/>
                <w:szCs w:val="20"/>
                <w:color w:val="auto"/>
              </w:rPr>
            </w:pPr>
            <w:r>
              <w:rPr>
                <w:rFonts w:ascii="Arial" w:cs="Arial" w:eastAsia="Arial" w:hAnsi="Arial"/>
                <w:sz w:val="13"/>
                <w:szCs w:val="13"/>
                <w:color w:val="auto"/>
              </w:rPr>
              <w:t>compared to the terms of the PSUs granted in 2019)</w:t>
            </w:r>
          </w:p>
        </w:tc>
        <w:tc>
          <w:tcPr>
            <w:tcW w:w="0" w:type="dxa"/>
            <w:vAlign w:val="bottom"/>
          </w:tcPr>
          <w:p>
            <w:pPr>
              <w:spacing w:after="0"/>
              <w:rPr>
                <w:sz w:val="1"/>
                <w:szCs w:val="1"/>
                <w:color w:val="auto"/>
              </w:rPr>
            </w:pPr>
          </w:p>
        </w:tc>
      </w:tr>
      <w:tr>
        <w:trPr>
          <w:trHeight w:val="213"/>
        </w:trPr>
        <w:tc>
          <w:tcPr>
            <w:tcW w:w="260" w:type="dxa"/>
            <w:vAlign w:val="bottom"/>
            <w:tcBorders>
              <w:top w:val="single" w:sz="8" w:color="auto"/>
            </w:tcBorders>
          </w:tcPr>
          <w:p>
            <w:pPr>
              <w:ind w:left="180"/>
              <w:spacing w:after="0"/>
              <w:rPr>
                <w:sz w:val="20"/>
                <w:szCs w:val="20"/>
                <w:color w:val="auto"/>
              </w:rPr>
            </w:pPr>
            <w:r>
              <w:rPr>
                <w:rFonts w:ascii="Arial" w:cs="Arial" w:eastAsia="Arial" w:hAnsi="Arial"/>
                <w:sz w:val="13"/>
                <w:szCs w:val="13"/>
                <w:b w:val="1"/>
                <w:bCs w:val="1"/>
                <w:color w:val="205BA8"/>
              </w:rPr>
              <w:t>•</w:t>
            </w:r>
          </w:p>
        </w:tc>
        <w:tc>
          <w:tcPr>
            <w:tcW w:w="2700" w:type="dxa"/>
            <w:vAlign w:val="bottom"/>
            <w:tcBorders>
              <w:top w:val="single" w:sz="8" w:color="auto"/>
            </w:tcBorders>
          </w:tcPr>
          <w:p>
            <w:pPr>
              <w:ind w:left="40"/>
              <w:spacing w:after="0"/>
              <w:rPr>
                <w:sz w:val="20"/>
                <w:szCs w:val="20"/>
                <w:color w:val="auto"/>
              </w:rPr>
            </w:pPr>
            <w:r>
              <w:rPr>
                <w:rFonts w:ascii="Arial" w:cs="Arial" w:eastAsia="Arial" w:hAnsi="Arial"/>
                <w:sz w:val="13"/>
                <w:szCs w:val="13"/>
                <w:i w:val="1"/>
                <w:iCs w:val="1"/>
                <w:color w:val="auto"/>
              </w:rPr>
              <w:t>Other PSU design enhancements</w:t>
            </w:r>
          </w:p>
        </w:tc>
        <w:tc>
          <w:tcPr>
            <w:tcW w:w="100" w:type="dxa"/>
            <w:vAlign w:val="bottom"/>
            <w:tcBorders>
              <w:top w:val="single" w:sz="8" w:color="auto"/>
            </w:tcBorders>
            <w:shd w:val="clear" w:color="auto" w:fill="CBD0E9"/>
          </w:tcPr>
          <w:p>
            <w:pPr>
              <w:spacing w:after="0"/>
              <w:rPr>
                <w:sz w:val="18"/>
                <w:szCs w:val="18"/>
                <w:color w:val="auto"/>
              </w:rPr>
            </w:pPr>
          </w:p>
        </w:tc>
        <w:tc>
          <w:tcPr>
            <w:tcW w:w="7100" w:type="dxa"/>
            <w:vAlign w:val="bottom"/>
            <w:tcBorders>
              <w:top w:val="single" w:sz="8" w:color="auto"/>
            </w:tcBorders>
            <w:gridSpan w:val="2"/>
            <w:shd w:val="clear" w:color="auto" w:fill="CBD0E9"/>
          </w:tcPr>
          <w:p>
            <w:pPr>
              <w:ind w:left="80"/>
              <w:spacing w:after="0"/>
              <w:rPr>
                <w:sz w:val="20"/>
                <w:szCs w:val="20"/>
                <w:color w:val="auto"/>
              </w:rPr>
            </w:pPr>
            <w:r>
              <w:rPr>
                <w:rFonts w:ascii="Arial" w:cs="Arial" w:eastAsia="Arial" w:hAnsi="Arial"/>
                <w:sz w:val="13"/>
                <w:szCs w:val="13"/>
                <w:color w:val="auto"/>
              </w:rPr>
              <w:t>Eliminated secondary 4-year performance period in favor of a single performance period of five years (with any earned</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Borders>
              <w:bottom w:val="single" w:sz="8" w:color="CBD0E9"/>
            </w:tcBorders>
            <w:shd w:val="clear" w:color="auto" w:fill="CBD0E9"/>
          </w:tcPr>
          <w:p>
            <w:pPr>
              <w:spacing w:after="0"/>
              <w:rPr>
                <w:sz w:val="18"/>
                <w:szCs w:val="18"/>
                <w:color w:val="auto"/>
              </w:rPr>
            </w:pPr>
          </w:p>
        </w:tc>
        <w:tc>
          <w:tcPr>
            <w:tcW w:w="7100" w:type="dxa"/>
            <w:vAlign w:val="bottom"/>
            <w:tcBorders>
              <w:bottom w:val="single" w:sz="8" w:color="CBD0E9"/>
            </w:tcBorders>
            <w:gridSpan w:val="2"/>
            <w:shd w:val="clear" w:color="auto" w:fill="CBD0E9"/>
          </w:tcPr>
          <w:p>
            <w:pPr>
              <w:ind w:left="80"/>
              <w:spacing w:after="0"/>
              <w:rPr>
                <w:sz w:val="20"/>
                <w:szCs w:val="20"/>
                <w:color w:val="auto"/>
              </w:rPr>
            </w:pPr>
            <w:r>
              <w:rPr>
                <w:rFonts w:ascii="Arial" w:cs="Arial" w:eastAsia="Arial" w:hAnsi="Arial"/>
                <w:sz w:val="13"/>
                <w:szCs w:val="13"/>
                <w:color w:val="auto"/>
              </w:rPr>
              <w:t>PSUs vesting at the end of such performance period); included a 3-year holding period after vesting</w:t>
            </w:r>
          </w:p>
        </w:tc>
        <w:tc>
          <w:tcPr>
            <w:tcW w:w="0" w:type="dxa"/>
            <w:vAlign w:val="bottom"/>
          </w:tcPr>
          <w:p>
            <w:pPr>
              <w:spacing w:after="0"/>
              <w:rPr>
                <w:sz w:val="1"/>
                <w:szCs w:val="1"/>
                <w:color w:val="auto"/>
              </w:rPr>
            </w:pPr>
          </w:p>
        </w:tc>
      </w:tr>
      <w:tr>
        <w:trPr>
          <w:trHeight w:val="197"/>
        </w:trPr>
        <w:tc>
          <w:tcPr>
            <w:tcW w:w="296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Investor interest in management team</w:t>
            </w:r>
          </w:p>
        </w:tc>
        <w:tc>
          <w:tcPr>
            <w:tcW w:w="100" w:type="dxa"/>
            <w:vAlign w:val="bottom"/>
            <w:tcBorders>
              <w:top w:val="single" w:sz="8" w:color="auto"/>
            </w:tcBorders>
            <w:shd w:val="clear" w:color="auto" w:fill="CBD0E9"/>
          </w:tcPr>
          <w:p>
            <w:pPr>
              <w:spacing w:after="0"/>
              <w:rPr>
                <w:sz w:val="17"/>
                <w:szCs w:val="17"/>
                <w:color w:val="auto"/>
              </w:rPr>
            </w:pPr>
          </w:p>
        </w:tc>
        <w:tc>
          <w:tcPr>
            <w:tcW w:w="7100" w:type="dxa"/>
            <w:vAlign w:val="bottom"/>
            <w:tcBorders>
              <w:top w:val="single" w:sz="8" w:color="auto"/>
            </w:tcBorders>
            <w:gridSpan w:val="2"/>
            <w:shd w:val="clear" w:color="auto" w:fill="CBD0E9"/>
          </w:tcPr>
          <w:p>
            <w:pPr>
              <w:ind w:left="80"/>
              <w:spacing w:after="0"/>
              <w:rPr>
                <w:sz w:val="20"/>
                <w:szCs w:val="20"/>
                <w:color w:val="auto"/>
              </w:rPr>
            </w:pPr>
            <w:r>
              <w:rPr>
                <w:rFonts w:ascii="Arial" w:cs="Arial" w:eastAsia="Arial" w:hAnsi="Arial"/>
                <w:sz w:val="13"/>
                <w:szCs w:val="13"/>
                <w:color w:val="auto"/>
              </w:rPr>
              <w:t>Increased holding/vesting requirements for 2020 CEO and CSO PSUs by incorporating a five-year performance period</w:t>
            </w:r>
          </w:p>
        </w:tc>
        <w:tc>
          <w:tcPr>
            <w:tcW w:w="0" w:type="dxa"/>
            <w:vAlign w:val="bottom"/>
          </w:tcPr>
          <w:p>
            <w:pPr>
              <w:spacing w:after="0"/>
              <w:rPr>
                <w:sz w:val="1"/>
                <w:szCs w:val="1"/>
                <w:color w:val="auto"/>
              </w:rPr>
            </w:pPr>
          </w:p>
        </w:tc>
      </w:tr>
      <w:tr>
        <w:trPr>
          <w:trHeight w:val="229"/>
        </w:trPr>
        <w:tc>
          <w:tcPr>
            <w:tcW w:w="2960" w:type="dxa"/>
            <w:vAlign w:val="bottom"/>
            <w:gridSpan w:val="2"/>
          </w:tcPr>
          <w:p>
            <w:pPr>
              <w:ind w:left="100"/>
              <w:spacing w:after="0"/>
              <w:rPr>
                <w:sz w:val="20"/>
                <w:szCs w:val="20"/>
                <w:color w:val="auto"/>
              </w:rPr>
            </w:pPr>
            <w:r>
              <w:rPr>
                <w:rFonts w:ascii="Arial" w:cs="Arial" w:eastAsia="Arial" w:hAnsi="Arial"/>
                <w:sz w:val="13"/>
                <w:szCs w:val="13"/>
                <w:b w:val="1"/>
                <w:bCs w:val="1"/>
                <w:color w:val="auto"/>
              </w:rPr>
              <w:t>stability and long-term value creation</w:t>
            </w:r>
          </w:p>
        </w:tc>
        <w:tc>
          <w:tcPr>
            <w:tcW w:w="100" w:type="dxa"/>
            <w:vAlign w:val="bottom"/>
            <w:tcBorders>
              <w:bottom w:val="single" w:sz="8" w:color="CBD0E9"/>
            </w:tcBorders>
            <w:shd w:val="clear" w:color="auto" w:fill="CBD0E9"/>
          </w:tcPr>
          <w:p>
            <w:pPr>
              <w:spacing w:after="0"/>
              <w:rPr>
                <w:sz w:val="19"/>
                <w:szCs w:val="19"/>
                <w:color w:val="auto"/>
              </w:rPr>
            </w:pPr>
          </w:p>
        </w:tc>
        <w:tc>
          <w:tcPr>
            <w:tcW w:w="7100" w:type="dxa"/>
            <w:vAlign w:val="bottom"/>
            <w:tcBorders>
              <w:bottom w:val="single" w:sz="8" w:color="CBD0E9"/>
            </w:tcBorders>
            <w:gridSpan w:val="2"/>
            <w:shd w:val="clear" w:color="auto" w:fill="CBD0E9"/>
          </w:tcPr>
          <w:p>
            <w:pPr>
              <w:ind w:left="80"/>
              <w:spacing w:after="0"/>
              <w:rPr>
                <w:sz w:val="20"/>
                <w:szCs w:val="20"/>
                <w:color w:val="auto"/>
              </w:rPr>
            </w:pPr>
            <w:r>
              <w:rPr>
                <w:rFonts w:ascii="Arial" w:cs="Arial" w:eastAsia="Arial" w:hAnsi="Arial"/>
                <w:sz w:val="13"/>
                <w:szCs w:val="13"/>
                <w:color w:val="auto"/>
              </w:rPr>
              <w:t>and a subsequent three-year holding period</w:t>
            </w:r>
          </w:p>
        </w:tc>
        <w:tc>
          <w:tcPr>
            <w:tcW w:w="0" w:type="dxa"/>
            <w:vAlign w:val="bottom"/>
          </w:tcPr>
          <w:p>
            <w:pPr>
              <w:spacing w:after="0"/>
              <w:rPr>
                <w:sz w:val="1"/>
                <w:szCs w:val="1"/>
                <w:color w:val="auto"/>
              </w:rPr>
            </w:pPr>
          </w:p>
        </w:tc>
      </w:tr>
      <w:tr>
        <w:trPr>
          <w:trHeight w:val="145"/>
        </w:trPr>
        <w:tc>
          <w:tcPr>
            <w:tcW w:w="29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Support for broad-based equity program but</w:t>
            </w:r>
          </w:p>
        </w:tc>
        <w:tc>
          <w:tcPr>
            <w:tcW w:w="100" w:type="dxa"/>
            <w:vAlign w:val="bottom"/>
            <w:tcBorders>
              <w:top w:val="single" w:sz="8" w:color="auto"/>
            </w:tcBorders>
            <w:shd w:val="clear" w:color="auto" w:fill="CBD0E9"/>
          </w:tcPr>
          <w:p>
            <w:pPr>
              <w:spacing w:after="0"/>
              <w:rPr>
                <w:sz w:val="12"/>
                <w:szCs w:val="12"/>
                <w:color w:val="auto"/>
              </w:rPr>
            </w:pPr>
          </w:p>
        </w:tc>
        <w:tc>
          <w:tcPr>
            <w:tcW w:w="180" w:type="dxa"/>
            <w:vAlign w:val="bottom"/>
            <w:tcBorders>
              <w:top w:val="single" w:sz="8" w:color="auto"/>
            </w:tcBorders>
            <w:shd w:val="clear" w:color="auto" w:fill="CBD0E9"/>
          </w:tcPr>
          <w:p>
            <w:pPr>
              <w:ind w:left="80"/>
              <w:spacing w:after="0" w:line="146" w:lineRule="exact"/>
              <w:rPr>
                <w:sz w:val="20"/>
                <w:szCs w:val="20"/>
                <w:color w:val="auto"/>
              </w:rPr>
            </w:pPr>
            <w:r>
              <w:rPr>
                <w:rFonts w:ascii="Arial" w:cs="Arial" w:eastAsia="Arial" w:hAnsi="Arial"/>
                <w:sz w:val="13"/>
                <w:szCs w:val="13"/>
                <w:b w:val="1"/>
                <w:bCs w:val="1"/>
                <w:color w:val="205BA8"/>
              </w:rPr>
              <w:t>•</w:t>
            </w:r>
          </w:p>
        </w:tc>
        <w:tc>
          <w:tcPr>
            <w:tcW w:w="6920" w:type="dxa"/>
            <w:vAlign w:val="bottom"/>
            <w:tcBorders>
              <w:top w:val="single" w:sz="8" w:color="auto"/>
            </w:tcBorders>
            <w:shd w:val="clear" w:color="auto" w:fill="CBD0E9"/>
          </w:tcPr>
          <w:p>
            <w:pPr>
              <w:ind w:left="20"/>
              <w:spacing w:after="0" w:line="146" w:lineRule="exact"/>
              <w:rPr>
                <w:sz w:val="20"/>
                <w:szCs w:val="20"/>
                <w:color w:val="auto"/>
              </w:rPr>
            </w:pPr>
            <w:r>
              <w:rPr>
                <w:rFonts w:ascii="Arial" w:cs="Arial" w:eastAsia="Arial" w:hAnsi="Arial"/>
                <w:sz w:val="13"/>
                <w:szCs w:val="13"/>
                <w:color w:val="auto"/>
              </w:rPr>
              <w:t>Decreased by approximately 20% the number of stock options granted per recipient and maintained RSA/RSU grant</w:t>
            </w:r>
          </w:p>
        </w:tc>
        <w:tc>
          <w:tcPr>
            <w:tcW w:w="0" w:type="dxa"/>
            <w:vAlign w:val="bottom"/>
          </w:tcPr>
          <w:p>
            <w:pPr>
              <w:spacing w:after="0"/>
              <w:rPr>
                <w:sz w:val="1"/>
                <w:szCs w:val="1"/>
                <w:color w:val="auto"/>
              </w:rPr>
            </w:pPr>
          </w:p>
        </w:tc>
      </w:tr>
      <w:tr>
        <w:trPr>
          <w:trHeight w:val="52"/>
        </w:trPr>
        <w:tc>
          <w:tcPr>
            <w:tcW w:w="2960" w:type="dxa"/>
            <w:vAlign w:val="bottom"/>
            <w:gridSpan w:val="2"/>
            <w:vMerge w:val="continue"/>
          </w:tcPr>
          <w:p>
            <w:pPr>
              <w:spacing w:after="0"/>
              <w:rPr>
                <w:sz w:val="4"/>
                <w:szCs w:val="4"/>
                <w:color w:val="auto"/>
              </w:rPr>
            </w:pPr>
          </w:p>
        </w:tc>
        <w:tc>
          <w:tcPr>
            <w:tcW w:w="100" w:type="dxa"/>
            <w:vAlign w:val="bottom"/>
            <w:shd w:val="clear" w:color="auto" w:fill="CBD0E9"/>
          </w:tcPr>
          <w:p>
            <w:pPr>
              <w:spacing w:after="0"/>
              <w:rPr>
                <w:sz w:val="4"/>
                <w:szCs w:val="4"/>
                <w:color w:val="auto"/>
              </w:rPr>
            </w:pPr>
          </w:p>
        </w:tc>
        <w:tc>
          <w:tcPr>
            <w:tcW w:w="180" w:type="dxa"/>
            <w:vAlign w:val="bottom"/>
            <w:shd w:val="clear" w:color="auto" w:fill="CBD0E9"/>
          </w:tcPr>
          <w:p>
            <w:pPr>
              <w:spacing w:after="0"/>
              <w:rPr>
                <w:sz w:val="4"/>
                <w:szCs w:val="4"/>
                <w:color w:val="auto"/>
              </w:rPr>
            </w:pPr>
          </w:p>
        </w:tc>
        <w:tc>
          <w:tcPr>
            <w:tcW w:w="6920" w:type="dxa"/>
            <w:vAlign w:val="bottom"/>
            <w:vMerge w:val="restart"/>
            <w:shd w:val="clear" w:color="auto" w:fill="CBD0E9"/>
          </w:tcPr>
          <w:p>
            <w:pPr>
              <w:ind w:left="60"/>
              <w:spacing w:after="0"/>
              <w:rPr>
                <w:sz w:val="20"/>
                <w:szCs w:val="20"/>
                <w:color w:val="auto"/>
              </w:rPr>
            </w:pPr>
            <w:r>
              <w:rPr>
                <w:rFonts w:ascii="Arial" w:cs="Arial" w:eastAsia="Arial" w:hAnsi="Arial"/>
                <w:sz w:val="13"/>
                <w:szCs w:val="13"/>
                <w:color w:val="auto"/>
              </w:rPr>
              <w:t>date fair value per recipient at 2019 levels, thus reducing burn rate to 3.3%, the lowest level in the last eight years</w:t>
            </w:r>
          </w:p>
        </w:tc>
        <w:tc>
          <w:tcPr>
            <w:tcW w:w="0" w:type="dxa"/>
            <w:vAlign w:val="bottom"/>
          </w:tcPr>
          <w:p>
            <w:pPr>
              <w:spacing w:after="0"/>
              <w:rPr>
                <w:sz w:val="1"/>
                <w:szCs w:val="1"/>
                <w:color w:val="auto"/>
              </w:rPr>
            </w:pPr>
          </w:p>
        </w:tc>
      </w:tr>
      <w:tr>
        <w:trPr>
          <w:trHeight w:val="105"/>
        </w:trPr>
        <w:tc>
          <w:tcPr>
            <w:tcW w:w="29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concern about burn rate and reliance on</w:t>
            </w:r>
          </w:p>
        </w:tc>
        <w:tc>
          <w:tcPr>
            <w:tcW w:w="100" w:type="dxa"/>
            <w:vAlign w:val="bottom"/>
            <w:shd w:val="clear" w:color="auto" w:fill="CBD0E9"/>
          </w:tcPr>
          <w:p>
            <w:pPr>
              <w:spacing w:after="0"/>
              <w:rPr>
                <w:sz w:val="9"/>
                <w:szCs w:val="9"/>
                <w:color w:val="auto"/>
              </w:rPr>
            </w:pPr>
          </w:p>
        </w:tc>
        <w:tc>
          <w:tcPr>
            <w:tcW w:w="180" w:type="dxa"/>
            <w:vAlign w:val="bottom"/>
            <w:shd w:val="clear" w:color="auto" w:fill="CBD0E9"/>
          </w:tcPr>
          <w:p>
            <w:pPr>
              <w:spacing w:after="0"/>
              <w:rPr>
                <w:sz w:val="9"/>
                <w:szCs w:val="9"/>
                <w:color w:val="auto"/>
              </w:rPr>
            </w:pPr>
          </w:p>
        </w:tc>
        <w:tc>
          <w:tcPr>
            <w:tcW w:w="6920" w:type="dxa"/>
            <w:vAlign w:val="bottom"/>
            <w:vMerge w:val="continue"/>
            <w:shd w:val="clear" w:color="auto" w:fill="CBD0E9"/>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960" w:type="dxa"/>
            <w:vAlign w:val="bottom"/>
            <w:gridSpan w:val="2"/>
            <w:vMerge w:val="continue"/>
          </w:tcPr>
          <w:p>
            <w:pPr>
              <w:spacing w:after="0"/>
              <w:rPr>
                <w:sz w:val="3"/>
                <w:szCs w:val="3"/>
                <w:color w:val="auto"/>
              </w:rPr>
            </w:pPr>
          </w:p>
        </w:tc>
        <w:tc>
          <w:tcPr>
            <w:tcW w:w="100" w:type="dxa"/>
            <w:vAlign w:val="bottom"/>
            <w:shd w:val="clear" w:color="auto" w:fill="CBD0E9"/>
          </w:tcPr>
          <w:p>
            <w:pPr>
              <w:spacing w:after="0"/>
              <w:rPr>
                <w:sz w:val="3"/>
                <w:szCs w:val="3"/>
                <w:color w:val="auto"/>
              </w:rPr>
            </w:pPr>
          </w:p>
        </w:tc>
        <w:tc>
          <w:tcPr>
            <w:tcW w:w="180" w:type="dxa"/>
            <w:vAlign w:val="bottom"/>
            <w:shd w:val="clear" w:color="auto" w:fill="CBD0E9"/>
          </w:tcPr>
          <w:p>
            <w:pPr>
              <w:spacing w:after="0"/>
              <w:rPr>
                <w:sz w:val="3"/>
                <w:szCs w:val="3"/>
                <w:color w:val="auto"/>
              </w:rPr>
            </w:pPr>
          </w:p>
        </w:tc>
        <w:tc>
          <w:tcPr>
            <w:tcW w:w="6920" w:type="dxa"/>
            <w:vAlign w:val="bottom"/>
            <w:shd w:val="clear" w:color="auto" w:fill="CBD0E9"/>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960" w:type="dxa"/>
            <w:vAlign w:val="bottom"/>
            <w:gridSpan w:val="2"/>
          </w:tcPr>
          <w:p>
            <w:pPr>
              <w:ind w:left="100"/>
              <w:spacing w:after="0"/>
              <w:rPr>
                <w:sz w:val="20"/>
                <w:szCs w:val="20"/>
                <w:color w:val="auto"/>
              </w:rPr>
            </w:pPr>
            <w:r>
              <w:rPr>
                <w:rFonts w:ascii="Arial" w:cs="Arial" w:eastAsia="Arial" w:hAnsi="Arial"/>
                <w:sz w:val="13"/>
                <w:szCs w:val="13"/>
                <w:b w:val="1"/>
                <w:bCs w:val="1"/>
                <w:color w:val="auto"/>
              </w:rPr>
              <w:t>stock options</w:t>
            </w:r>
          </w:p>
        </w:tc>
        <w:tc>
          <w:tcPr>
            <w:tcW w:w="100" w:type="dxa"/>
            <w:vAlign w:val="bottom"/>
            <w:shd w:val="clear" w:color="auto" w:fill="CBD0E9"/>
          </w:tcPr>
          <w:p>
            <w:pPr>
              <w:spacing w:after="0"/>
              <w:rPr>
                <w:sz w:val="14"/>
                <w:szCs w:val="14"/>
                <w:color w:val="auto"/>
              </w:rPr>
            </w:pPr>
          </w:p>
        </w:tc>
        <w:tc>
          <w:tcPr>
            <w:tcW w:w="180" w:type="dxa"/>
            <w:vAlign w:val="bottom"/>
            <w:vMerge w:val="restart"/>
            <w:shd w:val="clear" w:color="auto" w:fill="CBD0E9"/>
          </w:tcPr>
          <w:p>
            <w:pPr>
              <w:ind w:left="80"/>
              <w:spacing w:after="0"/>
              <w:rPr>
                <w:sz w:val="20"/>
                <w:szCs w:val="20"/>
                <w:color w:val="auto"/>
              </w:rPr>
            </w:pPr>
            <w:r>
              <w:rPr>
                <w:rFonts w:ascii="Arial" w:cs="Arial" w:eastAsia="Arial" w:hAnsi="Arial"/>
                <w:sz w:val="13"/>
                <w:szCs w:val="13"/>
                <w:b w:val="1"/>
                <w:bCs w:val="1"/>
                <w:color w:val="205BA8"/>
              </w:rPr>
              <w:t>•</w:t>
            </w:r>
          </w:p>
        </w:tc>
        <w:tc>
          <w:tcPr>
            <w:tcW w:w="6920" w:type="dxa"/>
            <w:vAlign w:val="bottom"/>
            <w:vMerge w:val="restart"/>
            <w:shd w:val="clear" w:color="auto" w:fill="CBD0E9"/>
          </w:tcPr>
          <w:p>
            <w:pPr>
              <w:ind w:left="20"/>
              <w:spacing w:after="0"/>
              <w:rPr>
                <w:sz w:val="20"/>
                <w:szCs w:val="20"/>
                <w:color w:val="auto"/>
              </w:rPr>
            </w:pPr>
            <w:r>
              <w:rPr>
                <w:rFonts w:ascii="Arial" w:cs="Arial" w:eastAsia="Arial" w:hAnsi="Arial"/>
                <w:sz w:val="13"/>
                <w:szCs w:val="13"/>
                <w:color w:val="auto"/>
              </w:rPr>
              <w:t>Recalibrated equity award mix (stock options and RSAs/RSUs) for NEOs below the CEO/CSO level and other</w:t>
            </w:r>
          </w:p>
        </w:tc>
        <w:tc>
          <w:tcPr>
            <w:tcW w:w="0" w:type="dxa"/>
            <w:vAlign w:val="bottom"/>
          </w:tcPr>
          <w:p>
            <w:pPr>
              <w:spacing w:after="0"/>
              <w:rPr>
                <w:sz w:val="1"/>
                <w:szCs w:val="1"/>
                <w:color w:val="auto"/>
              </w:rPr>
            </w:pPr>
          </w:p>
        </w:tc>
      </w:tr>
      <w:tr>
        <w:trPr>
          <w:trHeight w:val="73"/>
        </w:trPr>
        <w:tc>
          <w:tcPr>
            <w:tcW w:w="2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00" w:type="dxa"/>
            <w:vAlign w:val="bottom"/>
            <w:shd w:val="clear" w:color="auto" w:fill="CBD0E9"/>
          </w:tcPr>
          <w:p>
            <w:pPr>
              <w:spacing w:after="0"/>
              <w:rPr>
                <w:sz w:val="6"/>
                <w:szCs w:val="6"/>
                <w:color w:val="auto"/>
              </w:rPr>
            </w:pPr>
          </w:p>
        </w:tc>
        <w:tc>
          <w:tcPr>
            <w:tcW w:w="180" w:type="dxa"/>
            <w:vAlign w:val="bottom"/>
            <w:vMerge w:val="continue"/>
            <w:shd w:val="clear" w:color="auto" w:fill="CBD0E9"/>
          </w:tcPr>
          <w:p>
            <w:pPr>
              <w:spacing w:after="0"/>
              <w:rPr>
                <w:sz w:val="6"/>
                <w:szCs w:val="6"/>
                <w:color w:val="auto"/>
              </w:rPr>
            </w:pPr>
          </w:p>
        </w:tc>
        <w:tc>
          <w:tcPr>
            <w:tcW w:w="6920" w:type="dxa"/>
            <w:vAlign w:val="bottom"/>
            <w:vMerge w:val="continue"/>
            <w:shd w:val="clear" w:color="auto" w:fill="CBD0E9"/>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shd w:val="clear" w:color="auto" w:fill="CBD0E9"/>
          </w:tcPr>
          <w:p>
            <w:pPr>
              <w:spacing w:after="0"/>
              <w:rPr>
                <w:sz w:val="13"/>
                <w:szCs w:val="13"/>
                <w:color w:val="auto"/>
              </w:rPr>
            </w:pPr>
          </w:p>
        </w:tc>
        <w:tc>
          <w:tcPr>
            <w:tcW w:w="180" w:type="dxa"/>
            <w:vAlign w:val="bottom"/>
            <w:shd w:val="clear" w:color="auto" w:fill="CBD0E9"/>
          </w:tcPr>
          <w:p>
            <w:pPr>
              <w:spacing w:after="0"/>
              <w:rPr>
                <w:sz w:val="13"/>
                <w:szCs w:val="13"/>
                <w:color w:val="auto"/>
              </w:rPr>
            </w:pPr>
          </w:p>
        </w:tc>
        <w:tc>
          <w:tcPr>
            <w:tcW w:w="6920" w:type="dxa"/>
            <w:vAlign w:val="bottom"/>
            <w:shd w:val="clear" w:color="auto" w:fill="CBD0E9"/>
          </w:tcPr>
          <w:p>
            <w:pPr>
              <w:ind w:left="60"/>
              <w:spacing w:after="0"/>
              <w:rPr>
                <w:sz w:val="20"/>
                <w:szCs w:val="20"/>
                <w:color w:val="auto"/>
              </w:rPr>
            </w:pPr>
            <w:r>
              <w:rPr>
                <w:rFonts w:ascii="Arial" w:cs="Arial" w:eastAsia="Arial" w:hAnsi="Arial"/>
                <w:sz w:val="13"/>
                <w:szCs w:val="13"/>
                <w:color w:val="auto"/>
              </w:rPr>
              <w:t>employees to better balance incentivization of growth and employee retention</w:t>
            </w:r>
          </w:p>
        </w:tc>
        <w:tc>
          <w:tcPr>
            <w:tcW w:w="0" w:type="dxa"/>
            <w:vAlign w:val="bottom"/>
          </w:tcPr>
          <w:p>
            <w:pPr>
              <w:spacing w:after="0"/>
              <w:rPr>
                <w:sz w:val="1"/>
                <w:szCs w:val="1"/>
                <w:color w:val="auto"/>
              </w:rPr>
            </w:pPr>
          </w:p>
        </w:tc>
      </w:tr>
      <w:tr>
        <w:trPr>
          <w:trHeight w:val="289"/>
        </w:trPr>
        <w:tc>
          <w:tcPr>
            <w:tcW w:w="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shd w:val="clear" w:color="auto" w:fill="CBD0E9"/>
          </w:tcPr>
          <w:p>
            <w:pPr>
              <w:spacing w:after="0"/>
              <w:rPr>
                <w:sz w:val="24"/>
                <w:szCs w:val="24"/>
                <w:color w:val="auto"/>
              </w:rPr>
            </w:pPr>
          </w:p>
        </w:tc>
        <w:tc>
          <w:tcPr>
            <w:tcW w:w="180" w:type="dxa"/>
            <w:vAlign w:val="bottom"/>
            <w:shd w:val="clear" w:color="auto" w:fill="CBD0E9"/>
          </w:tcPr>
          <w:p>
            <w:pPr>
              <w:ind w:left="80"/>
              <w:spacing w:after="0"/>
              <w:rPr>
                <w:sz w:val="20"/>
                <w:szCs w:val="20"/>
                <w:color w:val="auto"/>
              </w:rPr>
            </w:pPr>
            <w:r>
              <w:rPr>
                <w:rFonts w:ascii="Arial" w:cs="Arial" w:eastAsia="Arial" w:hAnsi="Arial"/>
                <w:sz w:val="13"/>
                <w:szCs w:val="13"/>
                <w:b w:val="1"/>
                <w:bCs w:val="1"/>
                <w:color w:val="205BA8"/>
              </w:rPr>
              <w:t>•</w:t>
            </w:r>
          </w:p>
        </w:tc>
        <w:tc>
          <w:tcPr>
            <w:tcW w:w="6920" w:type="dxa"/>
            <w:vAlign w:val="bottom"/>
            <w:shd w:val="clear" w:color="auto" w:fill="CBD0E9"/>
          </w:tcPr>
          <w:p>
            <w:pPr>
              <w:ind w:left="20"/>
              <w:spacing w:after="0"/>
              <w:rPr>
                <w:sz w:val="20"/>
                <w:szCs w:val="20"/>
                <w:color w:val="auto"/>
              </w:rPr>
            </w:pPr>
            <w:r>
              <w:rPr>
                <w:rFonts w:ascii="Arial" w:cs="Arial" w:eastAsia="Arial" w:hAnsi="Arial"/>
                <w:sz w:val="13"/>
                <w:szCs w:val="13"/>
                <w:color w:val="auto"/>
              </w:rPr>
              <w:t>Strategically deployed special RSAs/RSUs to reward exceptional performance and/or to further promote employee</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shd w:val="clear" w:color="auto" w:fill="CBD0E9"/>
          </w:tcPr>
          <w:p>
            <w:pPr>
              <w:spacing w:after="0"/>
              <w:rPr>
                <w:sz w:val="13"/>
                <w:szCs w:val="13"/>
                <w:color w:val="auto"/>
              </w:rPr>
            </w:pPr>
          </w:p>
        </w:tc>
        <w:tc>
          <w:tcPr>
            <w:tcW w:w="180" w:type="dxa"/>
            <w:vAlign w:val="bottom"/>
            <w:shd w:val="clear" w:color="auto" w:fill="CBD0E9"/>
          </w:tcPr>
          <w:p>
            <w:pPr>
              <w:spacing w:after="0"/>
              <w:rPr>
                <w:sz w:val="13"/>
                <w:szCs w:val="13"/>
                <w:color w:val="auto"/>
              </w:rPr>
            </w:pPr>
          </w:p>
        </w:tc>
        <w:tc>
          <w:tcPr>
            <w:tcW w:w="6920" w:type="dxa"/>
            <w:vAlign w:val="bottom"/>
            <w:shd w:val="clear" w:color="auto" w:fill="CBD0E9"/>
          </w:tcPr>
          <w:p>
            <w:pPr>
              <w:ind w:left="60"/>
              <w:spacing w:after="0"/>
              <w:rPr>
                <w:sz w:val="20"/>
                <w:szCs w:val="20"/>
                <w:color w:val="auto"/>
              </w:rPr>
            </w:pPr>
            <w:r>
              <w:rPr>
                <w:rFonts w:ascii="Arial" w:cs="Arial" w:eastAsia="Arial" w:hAnsi="Arial"/>
                <w:sz w:val="13"/>
                <w:szCs w:val="13"/>
                <w:color w:val="auto"/>
              </w:rPr>
              <w:t>retention</w:t>
            </w:r>
          </w:p>
        </w:tc>
        <w:tc>
          <w:tcPr>
            <w:tcW w:w="0" w:type="dxa"/>
            <w:vAlign w:val="bottom"/>
          </w:tcPr>
          <w:p>
            <w:pPr>
              <w:spacing w:after="0"/>
              <w:rPr>
                <w:sz w:val="1"/>
                <w:szCs w:val="1"/>
                <w:color w:val="auto"/>
              </w:rPr>
            </w:pPr>
          </w:p>
        </w:tc>
      </w:tr>
      <w:tr>
        <w:trPr>
          <w:trHeight w:val="138"/>
        </w:trPr>
        <w:tc>
          <w:tcPr>
            <w:tcW w:w="260" w:type="dxa"/>
            <w:vAlign w:val="bottom"/>
            <w:tcBorders>
              <w:bottom w:val="single" w:sz="8" w:color="1F5AA8"/>
            </w:tcBorders>
          </w:tcPr>
          <w:p>
            <w:pPr>
              <w:spacing w:after="0"/>
              <w:rPr>
                <w:sz w:val="11"/>
                <w:szCs w:val="11"/>
                <w:color w:val="auto"/>
              </w:rPr>
            </w:pPr>
          </w:p>
        </w:tc>
        <w:tc>
          <w:tcPr>
            <w:tcW w:w="2700" w:type="dxa"/>
            <w:vAlign w:val="bottom"/>
            <w:tcBorders>
              <w:bottom w:val="single" w:sz="8" w:color="1F5AA8"/>
            </w:tcBorders>
          </w:tcPr>
          <w:p>
            <w:pPr>
              <w:spacing w:after="0"/>
              <w:rPr>
                <w:sz w:val="11"/>
                <w:szCs w:val="11"/>
                <w:color w:val="auto"/>
              </w:rPr>
            </w:pPr>
          </w:p>
        </w:tc>
        <w:tc>
          <w:tcPr>
            <w:tcW w:w="100" w:type="dxa"/>
            <w:vAlign w:val="bottom"/>
            <w:tcBorders>
              <w:bottom w:val="single" w:sz="8" w:color="1F5AA8"/>
            </w:tcBorders>
            <w:shd w:val="clear" w:color="auto" w:fill="CBD0E9"/>
          </w:tcPr>
          <w:p>
            <w:pPr>
              <w:spacing w:after="0"/>
              <w:rPr>
                <w:sz w:val="11"/>
                <w:szCs w:val="11"/>
                <w:color w:val="auto"/>
              </w:rPr>
            </w:pPr>
          </w:p>
        </w:tc>
        <w:tc>
          <w:tcPr>
            <w:tcW w:w="180" w:type="dxa"/>
            <w:vAlign w:val="bottom"/>
            <w:tcBorders>
              <w:bottom w:val="single" w:sz="8" w:color="1F5AA8"/>
            </w:tcBorders>
            <w:shd w:val="clear" w:color="auto" w:fill="CBD0E9"/>
          </w:tcPr>
          <w:p>
            <w:pPr>
              <w:spacing w:after="0"/>
              <w:rPr>
                <w:sz w:val="11"/>
                <w:szCs w:val="11"/>
                <w:color w:val="auto"/>
              </w:rPr>
            </w:pPr>
          </w:p>
        </w:tc>
        <w:tc>
          <w:tcPr>
            <w:tcW w:w="6920" w:type="dxa"/>
            <w:vAlign w:val="bottom"/>
            <w:tcBorders>
              <w:bottom w:val="single" w:sz="8" w:color="1F5AA8"/>
            </w:tcBorders>
            <w:shd w:val="clear" w:color="auto" w:fill="CBD0E9"/>
          </w:tcPr>
          <w:p>
            <w:pPr>
              <w:spacing w:after="0"/>
              <w:rPr>
                <w:sz w:val="11"/>
                <w:szCs w:val="11"/>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540" w:right="860"/>
        <w:spacing w:after="0" w:line="242" w:lineRule="auto"/>
        <w:rPr>
          <w:sz w:val="20"/>
          <w:szCs w:val="20"/>
          <w:color w:val="auto"/>
        </w:rPr>
      </w:pPr>
      <w:r>
        <w:rPr>
          <w:rFonts w:ascii="Arial" w:cs="Arial" w:eastAsia="Arial" w:hAnsi="Arial"/>
          <w:sz w:val="15"/>
          <w:szCs w:val="15"/>
          <w:color w:val="auto"/>
        </w:rPr>
        <w:t>These are just the latest examples of how our compensation program has evolved. See the subsection “Compensation Discussion and Analysis – Compensation Processes – Shareholder Input and Outreach” for additional information on changes adopted based on shareholder feedback.</w:t>
      </w:r>
    </w:p>
    <w:p>
      <w:pPr>
        <w:spacing w:after="0" w:line="200" w:lineRule="exact"/>
        <w:rPr>
          <w:sz w:val="20"/>
          <w:szCs w:val="20"/>
          <w:color w:val="auto"/>
        </w:rPr>
      </w:pPr>
    </w:p>
    <w:p>
      <w:pPr>
        <w:spacing w:after="0" w:line="244"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58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9" w:name="page70"/>
    <w:bookmarkEnd w:id="69"/>
    <w:p>
      <w:pPr>
        <w:ind w:left="402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04C57"/>
        </w:rPr>
        <w:t>HOW OUR PAY PROGRAM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40" w:right="740"/>
        <w:spacing w:after="0" w:line="235" w:lineRule="auto"/>
        <w:rPr>
          <w:sz w:val="20"/>
          <w:szCs w:val="20"/>
          <w:color w:val="auto"/>
        </w:rPr>
      </w:pPr>
      <w:r>
        <w:rPr>
          <w:rFonts w:ascii="Arial" w:cs="Arial" w:eastAsia="Arial" w:hAnsi="Arial"/>
          <w:sz w:val="15"/>
          <w:szCs w:val="15"/>
          <w:color w:val="auto"/>
        </w:rPr>
        <w:t>As discussed above, our compensation program’s structure and design are shaped by how closely we tie our pay practices to our mission, strategy, and business model; our ongoing, company-wide pay philosophy; and our process for seeking and carefully considering valuable shareholder feedback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92075</wp:posOffset>
            </wp:positionV>
            <wp:extent cx="6429375" cy="20916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42937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40" w:right="680"/>
        <w:spacing w:after="0" w:line="242" w:lineRule="auto"/>
        <w:rPr>
          <w:sz w:val="20"/>
          <w:szCs w:val="20"/>
          <w:color w:val="auto"/>
        </w:rPr>
      </w:pPr>
      <w:r>
        <w:rPr>
          <w:rFonts w:ascii="Arial" w:cs="Arial" w:eastAsia="Arial" w:hAnsi="Arial"/>
          <w:sz w:val="15"/>
          <w:szCs w:val="15"/>
          <w:color w:val="auto"/>
        </w:rPr>
        <w:t>To create an effective executive compensation structure, our Compensation Committee relied on the following compensation elements for our NEOs in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tcPr>
          <w:p>
            <w:pPr>
              <w:ind w:left="80"/>
              <w:spacing w:after="0"/>
              <w:rPr>
                <w:sz w:val="20"/>
                <w:szCs w:val="20"/>
                <w:color w:val="auto"/>
              </w:rPr>
            </w:pPr>
            <w:r>
              <w:rPr>
                <w:rFonts w:ascii="Arial" w:cs="Arial" w:eastAsia="Arial" w:hAnsi="Arial"/>
                <w:sz w:val="12"/>
                <w:szCs w:val="12"/>
                <w:b w:val="1"/>
                <w:bCs w:val="1"/>
                <w:color w:val="205BA8"/>
              </w:rPr>
              <w:t>Period</w:t>
            </w:r>
          </w:p>
        </w:tc>
        <w:tc>
          <w:tcPr>
            <w:tcW w:w="1520" w:type="dxa"/>
            <w:vAlign w:val="bottom"/>
          </w:tcPr>
          <w:p>
            <w:pPr>
              <w:ind w:left="80"/>
              <w:spacing w:after="0"/>
              <w:rPr>
                <w:sz w:val="20"/>
                <w:szCs w:val="20"/>
                <w:color w:val="auto"/>
              </w:rPr>
            </w:pPr>
            <w:r>
              <w:rPr>
                <w:rFonts w:ascii="Arial" w:cs="Arial" w:eastAsia="Arial" w:hAnsi="Arial"/>
                <w:sz w:val="12"/>
                <w:szCs w:val="12"/>
                <w:b w:val="1"/>
                <w:bCs w:val="1"/>
                <w:color w:val="205BA8"/>
              </w:rPr>
              <w:t>Element</w:t>
            </w:r>
          </w:p>
        </w:tc>
        <w:tc>
          <w:tcPr>
            <w:tcW w:w="3040" w:type="dxa"/>
            <w:vAlign w:val="bottom"/>
          </w:tcPr>
          <w:p>
            <w:pPr>
              <w:ind w:left="100"/>
              <w:spacing w:after="0"/>
              <w:rPr>
                <w:sz w:val="20"/>
                <w:szCs w:val="20"/>
                <w:color w:val="auto"/>
              </w:rPr>
            </w:pPr>
            <w:r>
              <w:rPr>
                <w:rFonts w:ascii="Arial" w:cs="Arial" w:eastAsia="Arial" w:hAnsi="Arial"/>
                <w:sz w:val="12"/>
                <w:szCs w:val="12"/>
                <w:b w:val="1"/>
                <w:bCs w:val="1"/>
                <w:color w:val="205BA8"/>
              </w:rPr>
              <w:t>Objective</w:t>
            </w:r>
          </w:p>
        </w:tc>
        <w:tc>
          <w:tcPr>
            <w:tcW w:w="3580" w:type="dxa"/>
            <w:vAlign w:val="bottom"/>
            <w:gridSpan w:val="2"/>
          </w:tcPr>
          <w:p>
            <w:pPr>
              <w:ind w:left="100"/>
              <w:spacing w:after="0"/>
              <w:rPr>
                <w:sz w:val="20"/>
                <w:szCs w:val="20"/>
                <w:color w:val="auto"/>
              </w:rPr>
            </w:pPr>
            <w:r>
              <w:rPr>
                <w:rFonts w:ascii="Arial" w:cs="Arial" w:eastAsia="Arial" w:hAnsi="Arial"/>
                <w:sz w:val="12"/>
                <w:szCs w:val="12"/>
                <w:b w:val="1"/>
                <w:bCs w:val="1"/>
                <w:color w:val="205BA8"/>
              </w:rPr>
              <w:t>Performance Measured/Rewarded</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540" w:type="dxa"/>
            <w:vAlign w:val="bottom"/>
            <w:tcBorders>
              <w:top w:val="single" w:sz="8" w:color="1F5AA8"/>
            </w:tcBorders>
            <w:vMerge w:val="restart"/>
            <w:shd w:val="clear" w:color="auto" w:fill="CCCCCC"/>
          </w:tcPr>
          <w:p>
            <w:pPr>
              <w:jc w:val="center"/>
              <w:spacing w:after="0"/>
              <w:rPr>
                <w:sz w:val="20"/>
                <w:szCs w:val="20"/>
                <w:color w:val="auto"/>
              </w:rPr>
            </w:pPr>
            <w:r>
              <w:rPr>
                <w:rFonts w:ascii="Arial" w:cs="Arial" w:eastAsia="Arial" w:hAnsi="Arial"/>
                <w:sz w:val="13"/>
                <w:szCs w:val="13"/>
                <w:b w:val="1"/>
                <w:bCs w:val="1"/>
                <w:color w:val="C32167"/>
                <w:w w:val="99"/>
              </w:rPr>
              <w:t>FIXED</w:t>
            </w:r>
          </w:p>
        </w:tc>
        <w:tc>
          <w:tcPr>
            <w:tcW w:w="1020" w:type="dxa"/>
            <w:vAlign w:val="bottom"/>
            <w:tcBorders>
              <w:top w:val="single" w:sz="8" w:color="1F5AA8"/>
            </w:tcBorders>
            <w:shd w:val="clear" w:color="auto" w:fill="EBEBEB"/>
          </w:tcPr>
          <w:p>
            <w:pPr>
              <w:ind w:left="80"/>
              <w:spacing w:after="0"/>
              <w:rPr>
                <w:sz w:val="20"/>
                <w:szCs w:val="20"/>
                <w:color w:val="auto"/>
              </w:rPr>
            </w:pPr>
            <w:r>
              <w:rPr>
                <w:rFonts w:ascii="Arial" w:cs="Arial" w:eastAsia="Arial" w:hAnsi="Arial"/>
                <w:sz w:val="13"/>
                <w:szCs w:val="13"/>
                <w:color w:val="auto"/>
              </w:rPr>
              <w:t>Annual</w:t>
            </w:r>
          </w:p>
        </w:tc>
        <w:tc>
          <w:tcPr>
            <w:tcW w:w="1520" w:type="dxa"/>
            <w:vAlign w:val="bottom"/>
            <w:tcBorders>
              <w:top w:val="single" w:sz="8" w:color="1F5AA8"/>
            </w:tcBorders>
            <w:shd w:val="clear" w:color="auto" w:fill="EBEBEB"/>
          </w:tcPr>
          <w:p>
            <w:pPr>
              <w:ind w:left="80"/>
              <w:spacing w:after="0"/>
              <w:rPr>
                <w:sz w:val="20"/>
                <w:szCs w:val="20"/>
                <w:color w:val="auto"/>
              </w:rPr>
            </w:pPr>
            <w:r>
              <w:rPr>
                <w:rFonts w:ascii="Arial" w:cs="Arial" w:eastAsia="Arial" w:hAnsi="Arial"/>
                <w:sz w:val="13"/>
                <w:szCs w:val="13"/>
                <w:b w:val="1"/>
                <w:bCs w:val="1"/>
                <w:color w:val="auto"/>
              </w:rPr>
              <w:t>Base Salary</w:t>
            </w:r>
          </w:p>
        </w:tc>
        <w:tc>
          <w:tcPr>
            <w:tcW w:w="3040" w:type="dxa"/>
            <w:vAlign w:val="bottom"/>
            <w:tcBorders>
              <w:top w:val="single" w:sz="8" w:color="1F5AA8"/>
            </w:tcBorders>
            <w:shd w:val="clear" w:color="auto" w:fill="EBEBEB"/>
          </w:tcPr>
          <w:p>
            <w:pPr>
              <w:ind w:left="100"/>
              <w:spacing w:after="0"/>
              <w:rPr>
                <w:sz w:val="20"/>
                <w:szCs w:val="20"/>
                <w:color w:val="auto"/>
              </w:rPr>
            </w:pPr>
            <w:r>
              <w:rPr>
                <w:rFonts w:ascii="Arial" w:cs="Arial" w:eastAsia="Arial" w:hAnsi="Arial"/>
                <w:sz w:val="13"/>
                <w:szCs w:val="13"/>
                <w:color w:val="auto"/>
              </w:rPr>
              <w:t>Recognizes an individual’s role and</w:t>
            </w:r>
          </w:p>
        </w:tc>
        <w:tc>
          <w:tcPr>
            <w:tcW w:w="3040" w:type="dxa"/>
            <w:vAlign w:val="bottom"/>
            <w:tcBorders>
              <w:top w:val="single" w:sz="8" w:color="1F5AA8"/>
            </w:tcBorders>
            <w:shd w:val="clear" w:color="auto" w:fill="EBEBEB"/>
          </w:tcPr>
          <w:p>
            <w:pPr>
              <w:ind w:left="100"/>
              <w:spacing w:after="0"/>
              <w:rPr>
                <w:sz w:val="20"/>
                <w:szCs w:val="20"/>
                <w:color w:val="auto"/>
              </w:rPr>
            </w:pPr>
            <w:r>
              <w:rPr>
                <w:rFonts w:ascii="Arial" w:cs="Arial" w:eastAsia="Arial" w:hAnsi="Arial"/>
                <w:sz w:val="13"/>
                <w:szCs w:val="13"/>
                <w:color w:val="auto"/>
              </w:rPr>
              <w:t>Reviewed annually and set based on market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540" w:type="dxa"/>
            <w:vAlign w:val="bottom"/>
            <w:vMerge w:val="continue"/>
            <w:shd w:val="clear" w:color="auto" w:fill="CCCCCC"/>
          </w:tcPr>
          <w:p>
            <w:pPr>
              <w:spacing w:after="0"/>
              <w:rPr>
                <w:sz w:val="12"/>
                <w:szCs w:val="12"/>
                <w:color w:val="auto"/>
              </w:rPr>
            </w:pPr>
          </w:p>
        </w:tc>
        <w:tc>
          <w:tcPr>
            <w:tcW w:w="1020" w:type="dxa"/>
            <w:vAlign w:val="bottom"/>
            <w:shd w:val="clear" w:color="auto" w:fill="EBEBEB"/>
          </w:tcPr>
          <w:p>
            <w:pPr>
              <w:spacing w:after="0"/>
              <w:rPr>
                <w:sz w:val="12"/>
                <w:szCs w:val="12"/>
                <w:color w:val="auto"/>
              </w:rPr>
            </w:pPr>
          </w:p>
        </w:tc>
        <w:tc>
          <w:tcPr>
            <w:tcW w:w="1520" w:type="dxa"/>
            <w:vAlign w:val="bottom"/>
            <w:shd w:val="clear" w:color="auto" w:fill="EBEBEB"/>
          </w:tcPr>
          <w:p>
            <w:pPr>
              <w:spacing w:after="0"/>
              <w:rPr>
                <w:sz w:val="12"/>
                <w:szCs w:val="12"/>
                <w:color w:val="auto"/>
              </w:rPr>
            </w:pPr>
          </w:p>
        </w:tc>
        <w:tc>
          <w:tcPr>
            <w:tcW w:w="3040" w:type="dxa"/>
            <w:vAlign w:val="bottom"/>
            <w:shd w:val="clear" w:color="auto" w:fill="EBEBEB"/>
          </w:tcPr>
          <w:p>
            <w:pPr>
              <w:ind w:left="100"/>
              <w:spacing w:after="0"/>
              <w:rPr>
                <w:sz w:val="20"/>
                <w:szCs w:val="20"/>
                <w:color w:val="auto"/>
              </w:rPr>
            </w:pPr>
            <w:r>
              <w:rPr>
                <w:rFonts w:ascii="Arial" w:cs="Arial" w:eastAsia="Arial" w:hAnsi="Arial"/>
                <w:sz w:val="13"/>
                <w:szCs w:val="13"/>
                <w:color w:val="auto"/>
              </w:rPr>
              <w:t>responsibilities and serves as an important</w:t>
            </w:r>
          </w:p>
        </w:tc>
        <w:tc>
          <w:tcPr>
            <w:tcW w:w="3040" w:type="dxa"/>
            <w:vAlign w:val="bottom"/>
            <w:shd w:val="clear" w:color="auto" w:fill="EBEBEB"/>
          </w:tcPr>
          <w:p>
            <w:pPr>
              <w:ind w:left="100"/>
              <w:spacing w:after="0"/>
              <w:rPr>
                <w:sz w:val="20"/>
                <w:szCs w:val="20"/>
                <w:color w:val="auto"/>
              </w:rPr>
            </w:pPr>
            <w:r>
              <w:rPr>
                <w:rFonts w:ascii="Arial" w:cs="Arial" w:eastAsia="Arial" w:hAnsi="Arial"/>
                <w:sz w:val="13"/>
                <w:szCs w:val="13"/>
                <w:color w:val="auto"/>
              </w:rPr>
              <w:t>competitiveness, individual performance, and</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540" w:type="dxa"/>
            <w:vAlign w:val="bottom"/>
            <w:tcBorders>
              <w:bottom w:val="single" w:sz="8" w:color="auto"/>
            </w:tcBorders>
            <w:shd w:val="clear" w:color="auto" w:fill="CCCCCC"/>
          </w:tcPr>
          <w:p>
            <w:pPr>
              <w:spacing w:after="0"/>
              <w:rPr>
                <w:sz w:val="14"/>
                <w:szCs w:val="14"/>
                <w:color w:val="auto"/>
              </w:rPr>
            </w:pPr>
          </w:p>
        </w:tc>
        <w:tc>
          <w:tcPr>
            <w:tcW w:w="1020" w:type="dxa"/>
            <w:vAlign w:val="bottom"/>
            <w:tcBorders>
              <w:bottom w:val="single" w:sz="8" w:color="auto"/>
            </w:tcBorders>
            <w:shd w:val="clear" w:color="auto" w:fill="EBEBEB"/>
          </w:tcPr>
          <w:p>
            <w:pPr>
              <w:spacing w:after="0"/>
              <w:rPr>
                <w:sz w:val="14"/>
                <w:szCs w:val="14"/>
                <w:color w:val="auto"/>
              </w:rPr>
            </w:pPr>
          </w:p>
        </w:tc>
        <w:tc>
          <w:tcPr>
            <w:tcW w:w="1520" w:type="dxa"/>
            <w:vAlign w:val="bottom"/>
            <w:tcBorders>
              <w:bottom w:val="single" w:sz="8" w:color="auto"/>
            </w:tcBorders>
            <w:shd w:val="clear" w:color="auto" w:fill="EBEBEB"/>
          </w:tcPr>
          <w:p>
            <w:pPr>
              <w:spacing w:after="0"/>
              <w:rPr>
                <w:sz w:val="14"/>
                <w:szCs w:val="14"/>
                <w:color w:val="auto"/>
              </w:rPr>
            </w:pPr>
          </w:p>
        </w:tc>
        <w:tc>
          <w:tcPr>
            <w:tcW w:w="3040" w:type="dxa"/>
            <w:vAlign w:val="bottom"/>
            <w:tcBorders>
              <w:bottom w:val="single" w:sz="8" w:color="auto"/>
            </w:tcBorders>
            <w:shd w:val="clear" w:color="auto" w:fill="EBEBEB"/>
          </w:tcPr>
          <w:p>
            <w:pPr>
              <w:ind w:left="100"/>
              <w:spacing w:after="0"/>
              <w:rPr>
                <w:sz w:val="20"/>
                <w:szCs w:val="20"/>
                <w:color w:val="auto"/>
              </w:rPr>
            </w:pPr>
            <w:r>
              <w:rPr>
                <w:rFonts w:ascii="Arial" w:cs="Arial" w:eastAsia="Arial" w:hAnsi="Arial"/>
                <w:sz w:val="13"/>
                <w:szCs w:val="13"/>
                <w:color w:val="auto"/>
              </w:rPr>
              <w:t>retention vehicle</w:t>
            </w:r>
          </w:p>
        </w:tc>
        <w:tc>
          <w:tcPr>
            <w:tcW w:w="3040" w:type="dxa"/>
            <w:vAlign w:val="bottom"/>
            <w:tcBorders>
              <w:bottom w:val="single" w:sz="8" w:color="auto"/>
            </w:tcBorders>
            <w:shd w:val="clear" w:color="auto" w:fill="EBEBEB"/>
          </w:tcPr>
          <w:p>
            <w:pPr>
              <w:ind w:left="100"/>
              <w:spacing w:after="0"/>
              <w:rPr>
                <w:sz w:val="20"/>
                <w:szCs w:val="20"/>
                <w:color w:val="auto"/>
              </w:rPr>
            </w:pPr>
            <w:r>
              <w:rPr>
                <w:rFonts w:ascii="Arial" w:cs="Arial" w:eastAsia="Arial" w:hAnsi="Arial"/>
                <w:sz w:val="13"/>
                <w:szCs w:val="13"/>
                <w:color w:val="auto"/>
              </w:rPr>
              <w:t>other internal considerations</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40" w:type="dxa"/>
            <w:vAlign w:val="bottom"/>
          </w:tcPr>
          <w:p>
            <w:pPr>
              <w:spacing w:after="0"/>
              <w:rPr>
                <w:sz w:val="13"/>
                <w:szCs w:val="13"/>
                <w:color w:val="auto"/>
              </w:rPr>
            </w:pPr>
          </w:p>
        </w:tc>
        <w:tc>
          <w:tcPr>
            <w:tcW w:w="1540" w:type="dxa"/>
            <w:vAlign w:val="bottom"/>
            <w:shd w:val="clear" w:color="auto" w:fill="D0DBFE"/>
          </w:tcPr>
          <w:p>
            <w:pPr>
              <w:spacing w:after="0"/>
              <w:rPr>
                <w:sz w:val="13"/>
                <w:szCs w:val="13"/>
                <w:color w:val="auto"/>
              </w:rPr>
            </w:pPr>
          </w:p>
        </w:tc>
        <w:tc>
          <w:tcPr>
            <w:tcW w:w="1020" w:type="dxa"/>
            <w:vAlign w:val="bottom"/>
            <w:shd w:val="clear" w:color="auto" w:fill="E8EDFF"/>
          </w:tcPr>
          <w:p>
            <w:pPr>
              <w:ind w:left="80"/>
              <w:spacing w:after="0"/>
              <w:rPr>
                <w:sz w:val="20"/>
                <w:szCs w:val="20"/>
                <w:color w:val="auto"/>
              </w:rPr>
            </w:pPr>
            <w:r>
              <w:rPr>
                <w:rFonts w:ascii="Arial" w:cs="Arial" w:eastAsia="Arial" w:hAnsi="Arial"/>
                <w:sz w:val="13"/>
                <w:szCs w:val="13"/>
                <w:color w:val="auto"/>
              </w:rPr>
              <w:t>Annual</w:t>
            </w:r>
          </w:p>
        </w:tc>
        <w:tc>
          <w:tcPr>
            <w:tcW w:w="1520" w:type="dxa"/>
            <w:vAlign w:val="bottom"/>
            <w:shd w:val="clear" w:color="auto" w:fill="E8EDFF"/>
          </w:tcPr>
          <w:p>
            <w:pPr>
              <w:ind w:left="80"/>
              <w:spacing w:after="0"/>
              <w:rPr>
                <w:sz w:val="20"/>
                <w:szCs w:val="20"/>
                <w:color w:val="auto"/>
              </w:rPr>
            </w:pPr>
            <w:r>
              <w:rPr>
                <w:rFonts w:ascii="Arial" w:cs="Arial" w:eastAsia="Arial" w:hAnsi="Arial"/>
                <w:sz w:val="13"/>
                <w:szCs w:val="13"/>
                <w:b w:val="1"/>
                <w:bCs w:val="1"/>
                <w:color w:val="auto"/>
              </w:rPr>
              <w:t>Annual Cash</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Motivates and rewards our executives for short-</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Corporate performance (CEO and CSO);</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 w:type="dxa"/>
            <w:vAlign w:val="bottom"/>
          </w:tcPr>
          <w:p>
            <w:pPr>
              <w:spacing w:after="0"/>
              <w:rPr>
                <w:sz w:val="14"/>
                <w:szCs w:val="14"/>
                <w:color w:val="auto"/>
              </w:rPr>
            </w:pPr>
          </w:p>
        </w:tc>
        <w:tc>
          <w:tcPr>
            <w:tcW w:w="1540" w:type="dxa"/>
            <w:vAlign w:val="bottom"/>
            <w:shd w:val="clear" w:color="auto" w:fill="D0DBFE"/>
          </w:tcPr>
          <w:p>
            <w:pPr>
              <w:spacing w:after="0"/>
              <w:rPr>
                <w:sz w:val="14"/>
                <w:szCs w:val="14"/>
                <w:color w:val="auto"/>
              </w:rPr>
            </w:pPr>
          </w:p>
        </w:tc>
        <w:tc>
          <w:tcPr>
            <w:tcW w:w="1020" w:type="dxa"/>
            <w:vAlign w:val="bottom"/>
            <w:shd w:val="clear" w:color="auto" w:fill="E8EDFF"/>
          </w:tcPr>
          <w:p>
            <w:pPr>
              <w:spacing w:after="0"/>
              <w:rPr>
                <w:sz w:val="14"/>
                <w:szCs w:val="14"/>
                <w:color w:val="auto"/>
              </w:rPr>
            </w:pPr>
          </w:p>
        </w:tc>
        <w:tc>
          <w:tcPr>
            <w:tcW w:w="1520" w:type="dxa"/>
            <w:vAlign w:val="bottom"/>
            <w:shd w:val="clear" w:color="auto" w:fill="E8EDFF"/>
          </w:tcPr>
          <w:p>
            <w:pPr>
              <w:ind w:left="80"/>
              <w:spacing w:after="0"/>
              <w:rPr>
                <w:sz w:val="20"/>
                <w:szCs w:val="20"/>
                <w:color w:val="auto"/>
              </w:rPr>
            </w:pPr>
            <w:r>
              <w:rPr>
                <w:rFonts w:ascii="Arial" w:cs="Arial" w:eastAsia="Arial" w:hAnsi="Arial"/>
                <w:sz w:val="13"/>
                <w:szCs w:val="13"/>
                <w:b w:val="1"/>
                <w:bCs w:val="1"/>
                <w:color w:val="auto"/>
              </w:rPr>
              <w:t>Incentive</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term achievements and milestones towards our</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corporate performance and individual</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540" w:type="dxa"/>
            <w:vAlign w:val="bottom"/>
            <w:tcBorders>
              <w:bottom w:val="single" w:sz="8" w:color="D0DBFE"/>
            </w:tcBorders>
            <w:shd w:val="clear" w:color="auto" w:fill="D0DBFE"/>
          </w:tcPr>
          <w:p>
            <w:pPr>
              <w:spacing w:after="0"/>
              <w:rPr>
                <w:sz w:val="14"/>
                <w:szCs w:val="14"/>
                <w:color w:val="auto"/>
              </w:rPr>
            </w:pPr>
          </w:p>
        </w:tc>
        <w:tc>
          <w:tcPr>
            <w:tcW w:w="1020" w:type="dxa"/>
            <w:vAlign w:val="bottom"/>
            <w:tcBorders>
              <w:bottom w:val="single" w:sz="8" w:color="auto"/>
            </w:tcBorders>
            <w:shd w:val="clear" w:color="auto" w:fill="E8EDFF"/>
          </w:tcPr>
          <w:p>
            <w:pPr>
              <w:spacing w:after="0"/>
              <w:rPr>
                <w:sz w:val="14"/>
                <w:szCs w:val="14"/>
                <w:color w:val="auto"/>
              </w:rPr>
            </w:pPr>
          </w:p>
        </w:tc>
        <w:tc>
          <w:tcPr>
            <w:tcW w:w="1520" w:type="dxa"/>
            <w:vAlign w:val="bottom"/>
            <w:tcBorders>
              <w:bottom w:val="single" w:sz="8" w:color="auto"/>
            </w:tcBorders>
            <w:shd w:val="clear" w:color="auto" w:fill="E8EDFF"/>
          </w:tcPr>
          <w:p>
            <w:pPr>
              <w:spacing w:after="0"/>
              <w:rPr>
                <w:sz w:val="14"/>
                <w:szCs w:val="14"/>
                <w:color w:val="auto"/>
              </w:rPr>
            </w:pPr>
          </w:p>
        </w:tc>
        <w:tc>
          <w:tcPr>
            <w:tcW w:w="3040" w:type="dxa"/>
            <w:vAlign w:val="bottom"/>
            <w:tcBorders>
              <w:bottom w:val="single" w:sz="8" w:color="auto"/>
            </w:tcBorders>
            <w:shd w:val="clear" w:color="auto" w:fill="E8EDFF"/>
          </w:tcPr>
          <w:p>
            <w:pPr>
              <w:ind w:left="100"/>
              <w:spacing w:after="0"/>
              <w:rPr>
                <w:sz w:val="20"/>
                <w:szCs w:val="20"/>
                <w:color w:val="auto"/>
              </w:rPr>
            </w:pPr>
            <w:r>
              <w:rPr>
                <w:rFonts w:ascii="Arial" w:cs="Arial" w:eastAsia="Arial" w:hAnsi="Arial"/>
                <w:sz w:val="13"/>
                <w:szCs w:val="13"/>
                <w:color w:val="auto"/>
              </w:rPr>
              <w:t>long-term goals</w:t>
            </w:r>
          </w:p>
        </w:tc>
        <w:tc>
          <w:tcPr>
            <w:tcW w:w="3040" w:type="dxa"/>
            <w:vAlign w:val="bottom"/>
            <w:tcBorders>
              <w:bottom w:val="single" w:sz="8" w:color="auto"/>
            </w:tcBorders>
            <w:shd w:val="clear" w:color="auto" w:fill="E8EDFF"/>
          </w:tcPr>
          <w:p>
            <w:pPr>
              <w:ind w:left="100"/>
              <w:spacing w:after="0"/>
              <w:rPr>
                <w:sz w:val="20"/>
                <w:szCs w:val="20"/>
                <w:color w:val="auto"/>
              </w:rPr>
            </w:pPr>
            <w:r>
              <w:rPr>
                <w:rFonts w:ascii="Arial" w:cs="Arial" w:eastAsia="Arial" w:hAnsi="Arial"/>
                <w:sz w:val="13"/>
                <w:szCs w:val="13"/>
                <w:color w:val="auto"/>
              </w:rPr>
              <w:t>contributions to that achievement (other NEOs)</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540" w:type="dxa"/>
            <w:vAlign w:val="bottom"/>
            <w:shd w:val="clear" w:color="auto" w:fill="D0DBFE"/>
          </w:tcPr>
          <w:p>
            <w:pPr>
              <w:spacing w:after="0"/>
              <w:rPr>
                <w:sz w:val="15"/>
                <w:szCs w:val="15"/>
                <w:color w:val="auto"/>
              </w:rPr>
            </w:pPr>
          </w:p>
        </w:tc>
        <w:tc>
          <w:tcPr>
            <w:tcW w:w="1020" w:type="dxa"/>
            <w:vAlign w:val="bottom"/>
            <w:shd w:val="clear" w:color="auto" w:fill="E8EDFF"/>
          </w:tcPr>
          <w:p>
            <w:pPr>
              <w:ind w:left="80"/>
              <w:spacing w:after="0"/>
              <w:rPr>
                <w:sz w:val="20"/>
                <w:szCs w:val="20"/>
                <w:color w:val="auto"/>
              </w:rPr>
            </w:pPr>
            <w:r>
              <w:rPr>
                <w:rFonts w:ascii="Arial" w:cs="Arial" w:eastAsia="Arial" w:hAnsi="Arial"/>
                <w:sz w:val="13"/>
                <w:szCs w:val="13"/>
                <w:color w:val="auto"/>
              </w:rPr>
              <w:t>Long-Term</w:t>
            </w:r>
          </w:p>
        </w:tc>
        <w:tc>
          <w:tcPr>
            <w:tcW w:w="1520" w:type="dxa"/>
            <w:vAlign w:val="bottom"/>
            <w:shd w:val="clear" w:color="auto" w:fill="E8EDFF"/>
          </w:tcPr>
          <w:p>
            <w:pPr>
              <w:ind w:left="80"/>
              <w:spacing w:after="0"/>
              <w:rPr>
                <w:sz w:val="20"/>
                <w:szCs w:val="20"/>
                <w:color w:val="auto"/>
              </w:rPr>
            </w:pPr>
            <w:r>
              <w:rPr>
                <w:rFonts w:ascii="Arial" w:cs="Arial" w:eastAsia="Arial" w:hAnsi="Arial"/>
                <w:sz w:val="13"/>
                <w:szCs w:val="13"/>
                <w:b w:val="1"/>
                <w:bCs w:val="1"/>
                <w:color w:val="auto"/>
              </w:rPr>
              <w:t xml:space="preserve">PSUs </w:t>
            </w:r>
            <w:r>
              <w:rPr>
                <w:rFonts w:ascii="Arial" w:cs="Arial" w:eastAsia="Arial" w:hAnsi="Arial"/>
                <w:sz w:val="13"/>
                <w:szCs w:val="13"/>
                <w:color w:val="auto"/>
              </w:rPr>
              <w:t>(CEO and</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Aligns the interests of CEO and CSO and</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Five-year absolute TSR goals as primary</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540" w:type="dxa"/>
            <w:vAlign w:val="bottom"/>
            <w:shd w:val="clear" w:color="auto" w:fill="D0DBFE"/>
          </w:tcPr>
          <w:p>
            <w:pPr>
              <w:spacing w:after="0"/>
              <w:rPr>
                <w:sz w:val="12"/>
                <w:szCs w:val="12"/>
                <w:color w:val="auto"/>
              </w:rPr>
            </w:pPr>
          </w:p>
        </w:tc>
        <w:tc>
          <w:tcPr>
            <w:tcW w:w="1020" w:type="dxa"/>
            <w:vAlign w:val="bottom"/>
            <w:shd w:val="clear" w:color="auto" w:fill="E8EDFF"/>
          </w:tcPr>
          <w:p>
            <w:pPr>
              <w:spacing w:after="0"/>
              <w:rPr>
                <w:sz w:val="12"/>
                <w:szCs w:val="12"/>
                <w:color w:val="auto"/>
              </w:rPr>
            </w:pPr>
          </w:p>
        </w:tc>
        <w:tc>
          <w:tcPr>
            <w:tcW w:w="1520" w:type="dxa"/>
            <w:vAlign w:val="bottom"/>
            <w:shd w:val="clear" w:color="auto" w:fill="E8EDFF"/>
          </w:tcPr>
          <w:p>
            <w:pPr>
              <w:ind w:left="80"/>
              <w:spacing w:after="0"/>
              <w:rPr>
                <w:sz w:val="20"/>
                <w:szCs w:val="20"/>
                <w:color w:val="auto"/>
              </w:rPr>
            </w:pPr>
            <w:r>
              <w:rPr>
                <w:rFonts w:ascii="Arial" w:cs="Arial" w:eastAsia="Arial" w:hAnsi="Arial"/>
                <w:sz w:val="13"/>
                <w:szCs w:val="13"/>
                <w:color w:val="auto"/>
              </w:rPr>
              <w:t>CSO)</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shareholders; rewards strong TSR performance</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performance metric, with 5-year performance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540" w:type="dxa"/>
            <w:vAlign w:val="bottom"/>
            <w:shd w:val="clear" w:color="auto" w:fill="D0DBFE"/>
          </w:tcPr>
          <w:p>
            <w:pPr>
              <w:spacing w:after="0"/>
              <w:rPr>
                <w:sz w:val="12"/>
                <w:szCs w:val="12"/>
                <w:color w:val="auto"/>
              </w:rPr>
            </w:pPr>
          </w:p>
        </w:tc>
        <w:tc>
          <w:tcPr>
            <w:tcW w:w="1020" w:type="dxa"/>
            <w:vAlign w:val="bottom"/>
            <w:shd w:val="clear" w:color="auto" w:fill="E8EDFF"/>
          </w:tcPr>
          <w:p>
            <w:pPr>
              <w:spacing w:after="0"/>
              <w:rPr>
                <w:sz w:val="12"/>
                <w:szCs w:val="12"/>
                <w:color w:val="auto"/>
              </w:rPr>
            </w:pPr>
          </w:p>
        </w:tc>
        <w:tc>
          <w:tcPr>
            <w:tcW w:w="1520" w:type="dxa"/>
            <w:vAlign w:val="bottom"/>
            <w:shd w:val="clear" w:color="auto" w:fill="E8EDFF"/>
          </w:tcPr>
          <w:p>
            <w:pPr>
              <w:spacing w:after="0"/>
              <w:rPr>
                <w:sz w:val="12"/>
                <w:szCs w:val="12"/>
                <w:color w:val="auto"/>
              </w:rPr>
            </w:pPr>
          </w:p>
        </w:tc>
        <w:tc>
          <w:tcPr>
            <w:tcW w:w="3040" w:type="dxa"/>
            <w:vAlign w:val="bottom"/>
            <w:shd w:val="clear" w:color="auto" w:fill="E8EDFF"/>
          </w:tcPr>
          <w:p>
            <w:pPr>
              <w:spacing w:after="0"/>
              <w:rPr>
                <w:sz w:val="12"/>
                <w:szCs w:val="12"/>
                <w:color w:val="auto"/>
              </w:rPr>
            </w:pP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and vesting periods and a 3-year post-vesting</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540" w:type="dxa"/>
            <w:vAlign w:val="bottom"/>
            <w:tcBorders>
              <w:bottom w:val="single" w:sz="8" w:color="D0DBFE"/>
            </w:tcBorders>
            <w:shd w:val="clear" w:color="auto" w:fill="D0DBFE"/>
          </w:tcPr>
          <w:p>
            <w:pPr>
              <w:spacing w:after="0"/>
              <w:rPr>
                <w:sz w:val="14"/>
                <w:szCs w:val="14"/>
                <w:color w:val="auto"/>
              </w:rPr>
            </w:pPr>
          </w:p>
        </w:tc>
        <w:tc>
          <w:tcPr>
            <w:tcW w:w="1020" w:type="dxa"/>
            <w:vAlign w:val="bottom"/>
            <w:tcBorders>
              <w:bottom w:val="single" w:sz="8" w:color="auto"/>
            </w:tcBorders>
            <w:shd w:val="clear" w:color="auto" w:fill="E8EDFF"/>
          </w:tcPr>
          <w:p>
            <w:pPr>
              <w:spacing w:after="0"/>
              <w:rPr>
                <w:sz w:val="14"/>
                <w:szCs w:val="14"/>
                <w:color w:val="auto"/>
              </w:rPr>
            </w:pPr>
          </w:p>
        </w:tc>
        <w:tc>
          <w:tcPr>
            <w:tcW w:w="1520" w:type="dxa"/>
            <w:vAlign w:val="bottom"/>
            <w:tcBorders>
              <w:bottom w:val="single" w:sz="8" w:color="auto"/>
            </w:tcBorders>
            <w:shd w:val="clear" w:color="auto" w:fill="E8EDFF"/>
          </w:tcPr>
          <w:p>
            <w:pPr>
              <w:spacing w:after="0"/>
              <w:rPr>
                <w:sz w:val="14"/>
                <w:szCs w:val="14"/>
                <w:color w:val="auto"/>
              </w:rPr>
            </w:pPr>
          </w:p>
        </w:tc>
        <w:tc>
          <w:tcPr>
            <w:tcW w:w="3040" w:type="dxa"/>
            <w:vAlign w:val="bottom"/>
            <w:tcBorders>
              <w:bottom w:val="single" w:sz="8" w:color="auto"/>
            </w:tcBorders>
            <w:shd w:val="clear" w:color="auto" w:fill="E8EDFF"/>
          </w:tcPr>
          <w:p>
            <w:pPr>
              <w:spacing w:after="0"/>
              <w:rPr>
                <w:sz w:val="14"/>
                <w:szCs w:val="14"/>
                <w:color w:val="auto"/>
              </w:rPr>
            </w:pPr>
          </w:p>
        </w:tc>
        <w:tc>
          <w:tcPr>
            <w:tcW w:w="3040" w:type="dxa"/>
            <w:vAlign w:val="bottom"/>
            <w:tcBorders>
              <w:bottom w:val="single" w:sz="8" w:color="auto"/>
            </w:tcBorders>
            <w:shd w:val="clear" w:color="auto" w:fill="E8EDFF"/>
          </w:tcPr>
          <w:p>
            <w:pPr>
              <w:ind w:left="100"/>
              <w:spacing w:after="0"/>
              <w:rPr>
                <w:sz w:val="20"/>
                <w:szCs w:val="20"/>
                <w:color w:val="auto"/>
              </w:rPr>
            </w:pPr>
            <w:r>
              <w:rPr>
                <w:rFonts w:ascii="Arial" w:cs="Arial" w:eastAsia="Arial" w:hAnsi="Arial"/>
                <w:sz w:val="13"/>
                <w:szCs w:val="13"/>
                <w:color w:val="auto"/>
              </w:rPr>
              <w:t>holding period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540" w:type="dxa"/>
            <w:vAlign w:val="bottom"/>
            <w:vMerge w:val="restart"/>
            <w:shd w:val="clear" w:color="auto" w:fill="D0DBFE"/>
          </w:tcPr>
          <w:p>
            <w:pPr>
              <w:jc w:val="center"/>
              <w:spacing w:after="0"/>
              <w:rPr>
                <w:sz w:val="20"/>
                <w:szCs w:val="20"/>
                <w:color w:val="auto"/>
              </w:rPr>
            </w:pPr>
            <w:r>
              <w:rPr>
                <w:rFonts w:ascii="Arial" w:cs="Arial" w:eastAsia="Arial" w:hAnsi="Arial"/>
                <w:sz w:val="13"/>
                <w:szCs w:val="13"/>
                <w:b w:val="1"/>
                <w:bCs w:val="1"/>
                <w:color w:val="C32167"/>
              </w:rPr>
              <w:t>PERFORMANCE</w:t>
            </w:r>
          </w:p>
        </w:tc>
        <w:tc>
          <w:tcPr>
            <w:tcW w:w="1020" w:type="dxa"/>
            <w:vAlign w:val="bottom"/>
            <w:shd w:val="clear" w:color="auto" w:fill="E8EDFF"/>
          </w:tcPr>
          <w:p>
            <w:pPr>
              <w:ind w:left="80"/>
              <w:spacing w:after="0"/>
              <w:rPr>
                <w:sz w:val="20"/>
                <w:szCs w:val="20"/>
                <w:color w:val="auto"/>
              </w:rPr>
            </w:pPr>
            <w:r>
              <w:rPr>
                <w:rFonts w:ascii="Arial" w:cs="Arial" w:eastAsia="Arial" w:hAnsi="Arial"/>
                <w:sz w:val="13"/>
                <w:szCs w:val="13"/>
                <w:color w:val="auto"/>
              </w:rPr>
              <w:t>Long-Term</w:t>
            </w:r>
          </w:p>
        </w:tc>
        <w:tc>
          <w:tcPr>
            <w:tcW w:w="1520" w:type="dxa"/>
            <w:vAlign w:val="bottom"/>
            <w:shd w:val="clear" w:color="auto" w:fill="E8EDFF"/>
          </w:tcPr>
          <w:p>
            <w:pPr>
              <w:ind w:left="80"/>
              <w:spacing w:after="0"/>
              <w:rPr>
                <w:sz w:val="20"/>
                <w:szCs w:val="20"/>
                <w:color w:val="auto"/>
              </w:rPr>
            </w:pPr>
            <w:r>
              <w:rPr>
                <w:rFonts w:ascii="Arial" w:cs="Arial" w:eastAsia="Arial" w:hAnsi="Arial"/>
                <w:sz w:val="13"/>
                <w:szCs w:val="13"/>
                <w:b w:val="1"/>
                <w:bCs w:val="1"/>
                <w:color w:val="auto"/>
              </w:rPr>
              <w:t>Stock Options</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Aligns the interests of other NEOs and</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Vest in equal increments over four years; 10-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540" w:type="dxa"/>
            <w:vAlign w:val="bottom"/>
          </w:tcPr>
          <w:p>
            <w:pPr>
              <w:spacing w:after="0"/>
              <w:rPr>
                <w:sz w:val="4"/>
                <w:szCs w:val="4"/>
                <w:color w:val="auto"/>
              </w:rPr>
            </w:pPr>
          </w:p>
        </w:tc>
        <w:tc>
          <w:tcPr>
            <w:tcW w:w="1540" w:type="dxa"/>
            <w:vAlign w:val="bottom"/>
            <w:vMerge w:val="continue"/>
            <w:shd w:val="clear" w:color="auto" w:fill="D0DBFE"/>
          </w:tcPr>
          <w:p>
            <w:pPr>
              <w:spacing w:after="0"/>
              <w:rPr>
                <w:sz w:val="4"/>
                <w:szCs w:val="4"/>
                <w:color w:val="auto"/>
              </w:rPr>
            </w:pPr>
          </w:p>
        </w:tc>
        <w:tc>
          <w:tcPr>
            <w:tcW w:w="1020" w:type="dxa"/>
            <w:vAlign w:val="bottom"/>
            <w:shd w:val="clear" w:color="auto" w:fill="E8EDFF"/>
          </w:tcPr>
          <w:p>
            <w:pPr>
              <w:spacing w:after="0"/>
              <w:rPr>
                <w:sz w:val="4"/>
                <w:szCs w:val="4"/>
                <w:color w:val="auto"/>
              </w:rPr>
            </w:pPr>
          </w:p>
        </w:tc>
        <w:tc>
          <w:tcPr>
            <w:tcW w:w="1520" w:type="dxa"/>
            <w:vAlign w:val="bottom"/>
            <w:vMerge w:val="restart"/>
            <w:shd w:val="clear" w:color="auto" w:fill="E8EDFF"/>
          </w:tcPr>
          <w:p>
            <w:pPr>
              <w:ind w:left="80"/>
              <w:spacing w:after="0"/>
              <w:rPr>
                <w:sz w:val="20"/>
                <w:szCs w:val="20"/>
                <w:color w:val="auto"/>
              </w:rPr>
            </w:pPr>
            <w:r>
              <w:rPr>
                <w:rFonts w:ascii="Arial" w:cs="Arial" w:eastAsia="Arial" w:hAnsi="Arial"/>
                <w:sz w:val="13"/>
                <w:szCs w:val="13"/>
                <w:color w:val="auto"/>
              </w:rPr>
              <w:t>(NEOs other than</w:t>
            </w:r>
          </w:p>
        </w:tc>
        <w:tc>
          <w:tcPr>
            <w:tcW w:w="3040" w:type="dxa"/>
            <w:vAlign w:val="bottom"/>
            <w:vMerge w:val="restart"/>
            <w:shd w:val="clear" w:color="auto" w:fill="E8EDFF"/>
          </w:tcPr>
          <w:p>
            <w:pPr>
              <w:ind w:left="100"/>
              <w:spacing w:after="0"/>
              <w:rPr>
                <w:sz w:val="20"/>
                <w:szCs w:val="20"/>
                <w:color w:val="auto"/>
              </w:rPr>
            </w:pPr>
            <w:r>
              <w:rPr>
                <w:rFonts w:ascii="Arial" w:cs="Arial" w:eastAsia="Arial" w:hAnsi="Arial"/>
                <w:sz w:val="13"/>
                <w:szCs w:val="13"/>
                <w:color w:val="auto"/>
              </w:rPr>
              <w:t>shareholders; rewards shareholder value</w:t>
            </w:r>
          </w:p>
        </w:tc>
        <w:tc>
          <w:tcPr>
            <w:tcW w:w="3040" w:type="dxa"/>
            <w:vAlign w:val="bottom"/>
            <w:vMerge w:val="restart"/>
            <w:shd w:val="clear" w:color="auto" w:fill="E8EDFF"/>
          </w:tcPr>
          <w:p>
            <w:pPr>
              <w:ind w:left="100"/>
              <w:spacing w:after="0"/>
              <w:rPr>
                <w:sz w:val="20"/>
                <w:szCs w:val="20"/>
                <w:color w:val="auto"/>
              </w:rPr>
            </w:pPr>
            <w:r>
              <w:rPr>
                <w:rFonts w:ascii="Arial" w:cs="Arial" w:eastAsia="Arial" w:hAnsi="Arial"/>
                <w:sz w:val="13"/>
                <w:szCs w:val="13"/>
                <w:color w:val="auto"/>
              </w:rPr>
              <w:t>year term</w:t>
            </w: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540" w:type="dxa"/>
            <w:vAlign w:val="bottom"/>
          </w:tcPr>
          <w:p>
            <w:pPr>
              <w:spacing w:after="0"/>
              <w:rPr>
                <w:sz w:val="8"/>
                <w:szCs w:val="8"/>
                <w:color w:val="auto"/>
              </w:rPr>
            </w:pPr>
          </w:p>
        </w:tc>
        <w:tc>
          <w:tcPr>
            <w:tcW w:w="1540" w:type="dxa"/>
            <w:vAlign w:val="bottom"/>
            <w:vMerge w:val="restart"/>
            <w:shd w:val="clear" w:color="auto" w:fill="D0DBFE"/>
          </w:tcPr>
          <w:p>
            <w:pPr>
              <w:jc w:val="center"/>
              <w:spacing w:after="0"/>
              <w:rPr>
                <w:sz w:val="20"/>
                <w:szCs w:val="20"/>
                <w:color w:val="auto"/>
              </w:rPr>
            </w:pPr>
            <w:r>
              <w:rPr>
                <w:rFonts w:ascii="Arial" w:cs="Arial" w:eastAsia="Arial" w:hAnsi="Arial"/>
                <w:sz w:val="13"/>
                <w:szCs w:val="13"/>
                <w:b w:val="1"/>
                <w:bCs w:val="1"/>
                <w:color w:val="C32167"/>
              </w:rPr>
              <w:t>BASED</w:t>
            </w:r>
          </w:p>
        </w:tc>
        <w:tc>
          <w:tcPr>
            <w:tcW w:w="1020" w:type="dxa"/>
            <w:vAlign w:val="bottom"/>
            <w:shd w:val="clear" w:color="auto" w:fill="E8EDFF"/>
          </w:tcPr>
          <w:p>
            <w:pPr>
              <w:spacing w:after="0"/>
              <w:rPr>
                <w:sz w:val="8"/>
                <w:szCs w:val="8"/>
                <w:color w:val="auto"/>
              </w:rPr>
            </w:pPr>
          </w:p>
        </w:tc>
        <w:tc>
          <w:tcPr>
            <w:tcW w:w="1520" w:type="dxa"/>
            <w:vAlign w:val="bottom"/>
            <w:vMerge w:val="continue"/>
            <w:shd w:val="clear" w:color="auto" w:fill="E8EDFF"/>
          </w:tcPr>
          <w:p>
            <w:pPr>
              <w:spacing w:after="0"/>
              <w:rPr>
                <w:sz w:val="8"/>
                <w:szCs w:val="8"/>
                <w:color w:val="auto"/>
              </w:rPr>
            </w:pPr>
          </w:p>
        </w:tc>
        <w:tc>
          <w:tcPr>
            <w:tcW w:w="3040" w:type="dxa"/>
            <w:vAlign w:val="bottom"/>
            <w:vMerge w:val="continue"/>
            <w:shd w:val="clear" w:color="auto" w:fill="E8EDFF"/>
          </w:tcPr>
          <w:p>
            <w:pPr>
              <w:spacing w:after="0"/>
              <w:rPr>
                <w:sz w:val="8"/>
                <w:szCs w:val="8"/>
                <w:color w:val="auto"/>
              </w:rPr>
            </w:pPr>
          </w:p>
        </w:tc>
        <w:tc>
          <w:tcPr>
            <w:tcW w:w="3040" w:type="dxa"/>
            <w:vAlign w:val="bottom"/>
            <w:vMerge w:val="continue"/>
            <w:shd w:val="clear" w:color="auto" w:fill="E8EDFF"/>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1540" w:type="dxa"/>
            <w:vAlign w:val="bottom"/>
            <w:vMerge w:val="continue"/>
            <w:shd w:val="clear" w:color="auto" w:fill="D0DBFE"/>
          </w:tcPr>
          <w:p>
            <w:pPr>
              <w:spacing w:after="0"/>
              <w:rPr>
                <w:sz w:val="7"/>
                <w:szCs w:val="7"/>
                <w:color w:val="auto"/>
              </w:rPr>
            </w:pPr>
          </w:p>
        </w:tc>
        <w:tc>
          <w:tcPr>
            <w:tcW w:w="1020" w:type="dxa"/>
            <w:vAlign w:val="bottom"/>
            <w:shd w:val="clear" w:color="auto" w:fill="E8EDFF"/>
          </w:tcPr>
          <w:p>
            <w:pPr>
              <w:spacing w:after="0"/>
              <w:rPr>
                <w:sz w:val="7"/>
                <w:szCs w:val="7"/>
                <w:color w:val="auto"/>
              </w:rPr>
            </w:pPr>
          </w:p>
        </w:tc>
        <w:tc>
          <w:tcPr>
            <w:tcW w:w="1520" w:type="dxa"/>
            <w:vAlign w:val="bottom"/>
            <w:vMerge w:val="restart"/>
            <w:shd w:val="clear" w:color="auto" w:fill="E8EDFF"/>
          </w:tcPr>
          <w:p>
            <w:pPr>
              <w:ind w:left="80"/>
              <w:spacing w:after="0"/>
              <w:rPr>
                <w:sz w:val="20"/>
                <w:szCs w:val="20"/>
                <w:color w:val="auto"/>
              </w:rPr>
            </w:pPr>
            <w:r>
              <w:rPr>
                <w:rFonts w:ascii="Arial" w:cs="Arial" w:eastAsia="Arial" w:hAnsi="Arial"/>
                <w:sz w:val="13"/>
                <w:szCs w:val="13"/>
                <w:color w:val="auto"/>
              </w:rPr>
              <w:t>CEO and CSO)</w:t>
            </w:r>
          </w:p>
        </w:tc>
        <w:tc>
          <w:tcPr>
            <w:tcW w:w="3040" w:type="dxa"/>
            <w:vAlign w:val="bottom"/>
            <w:vMerge w:val="restart"/>
            <w:shd w:val="clear" w:color="auto" w:fill="E8EDFF"/>
          </w:tcPr>
          <w:p>
            <w:pPr>
              <w:ind w:left="100"/>
              <w:spacing w:after="0"/>
              <w:rPr>
                <w:sz w:val="20"/>
                <w:szCs w:val="20"/>
                <w:color w:val="auto"/>
              </w:rPr>
            </w:pPr>
            <w:r>
              <w:rPr>
                <w:rFonts w:ascii="Arial" w:cs="Arial" w:eastAsia="Arial" w:hAnsi="Arial"/>
                <w:sz w:val="13"/>
                <w:szCs w:val="13"/>
                <w:color w:val="auto"/>
              </w:rPr>
              <w:t>creation after the date of grant</w:t>
            </w:r>
          </w:p>
        </w:tc>
        <w:tc>
          <w:tcPr>
            <w:tcW w:w="3040" w:type="dxa"/>
            <w:vAlign w:val="bottom"/>
            <w:shd w:val="clear" w:color="auto" w:fill="E8EDFF"/>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1540" w:type="dxa"/>
            <w:vAlign w:val="bottom"/>
            <w:shd w:val="clear" w:color="auto" w:fill="D0DBFE"/>
          </w:tcPr>
          <w:p>
            <w:pPr>
              <w:spacing w:after="0"/>
              <w:rPr>
                <w:sz w:val="7"/>
                <w:szCs w:val="7"/>
                <w:color w:val="auto"/>
              </w:rPr>
            </w:pPr>
          </w:p>
        </w:tc>
        <w:tc>
          <w:tcPr>
            <w:tcW w:w="1020" w:type="dxa"/>
            <w:vAlign w:val="bottom"/>
            <w:shd w:val="clear" w:color="auto" w:fill="E8EDFF"/>
          </w:tcPr>
          <w:p>
            <w:pPr>
              <w:spacing w:after="0"/>
              <w:rPr>
                <w:sz w:val="7"/>
                <w:szCs w:val="7"/>
                <w:color w:val="auto"/>
              </w:rPr>
            </w:pPr>
          </w:p>
        </w:tc>
        <w:tc>
          <w:tcPr>
            <w:tcW w:w="1520" w:type="dxa"/>
            <w:vAlign w:val="bottom"/>
            <w:vMerge w:val="continue"/>
            <w:shd w:val="clear" w:color="auto" w:fill="E8EDFF"/>
          </w:tcPr>
          <w:p>
            <w:pPr>
              <w:spacing w:after="0"/>
              <w:rPr>
                <w:sz w:val="7"/>
                <w:szCs w:val="7"/>
                <w:color w:val="auto"/>
              </w:rPr>
            </w:pPr>
          </w:p>
        </w:tc>
        <w:tc>
          <w:tcPr>
            <w:tcW w:w="3040" w:type="dxa"/>
            <w:vAlign w:val="bottom"/>
            <w:vMerge w:val="continue"/>
            <w:shd w:val="clear" w:color="auto" w:fill="E8EDFF"/>
          </w:tcPr>
          <w:p>
            <w:pPr>
              <w:spacing w:after="0"/>
              <w:rPr>
                <w:sz w:val="7"/>
                <w:szCs w:val="7"/>
                <w:color w:val="auto"/>
              </w:rPr>
            </w:pPr>
          </w:p>
        </w:tc>
        <w:tc>
          <w:tcPr>
            <w:tcW w:w="3040" w:type="dxa"/>
            <w:vAlign w:val="bottom"/>
            <w:shd w:val="clear" w:color="auto" w:fill="E8EDFF"/>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540" w:type="dxa"/>
            <w:vAlign w:val="bottom"/>
          </w:tcPr>
          <w:p>
            <w:pPr>
              <w:spacing w:after="0"/>
              <w:rPr>
                <w:sz w:val="14"/>
                <w:szCs w:val="14"/>
                <w:color w:val="auto"/>
              </w:rPr>
            </w:pPr>
          </w:p>
        </w:tc>
        <w:tc>
          <w:tcPr>
            <w:tcW w:w="1540" w:type="dxa"/>
            <w:vAlign w:val="bottom"/>
            <w:tcBorders>
              <w:bottom w:val="single" w:sz="8" w:color="D0DBFE"/>
            </w:tcBorders>
            <w:shd w:val="clear" w:color="auto" w:fill="D0DBFE"/>
          </w:tcPr>
          <w:p>
            <w:pPr>
              <w:spacing w:after="0"/>
              <w:rPr>
                <w:sz w:val="14"/>
                <w:szCs w:val="14"/>
                <w:color w:val="auto"/>
              </w:rPr>
            </w:pPr>
          </w:p>
        </w:tc>
        <w:tc>
          <w:tcPr>
            <w:tcW w:w="1020" w:type="dxa"/>
            <w:vAlign w:val="bottom"/>
            <w:tcBorders>
              <w:bottom w:val="single" w:sz="8" w:color="auto"/>
            </w:tcBorders>
            <w:shd w:val="clear" w:color="auto" w:fill="E8EDFF"/>
          </w:tcPr>
          <w:p>
            <w:pPr>
              <w:spacing w:after="0"/>
              <w:rPr>
                <w:sz w:val="14"/>
                <w:szCs w:val="14"/>
                <w:color w:val="auto"/>
              </w:rPr>
            </w:pPr>
          </w:p>
        </w:tc>
        <w:tc>
          <w:tcPr>
            <w:tcW w:w="1520" w:type="dxa"/>
            <w:vAlign w:val="bottom"/>
            <w:tcBorders>
              <w:bottom w:val="single" w:sz="8" w:color="auto"/>
            </w:tcBorders>
            <w:shd w:val="clear" w:color="auto" w:fill="E8EDFF"/>
          </w:tcPr>
          <w:p>
            <w:pPr>
              <w:spacing w:after="0"/>
              <w:rPr>
                <w:sz w:val="14"/>
                <w:szCs w:val="14"/>
                <w:color w:val="auto"/>
              </w:rPr>
            </w:pPr>
          </w:p>
        </w:tc>
        <w:tc>
          <w:tcPr>
            <w:tcW w:w="3040" w:type="dxa"/>
            <w:vAlign w:val="bottom"/>
            <w:tcBorders>
              <w:bottom w:val="single" w:sz="8" w:color="auto"/>
            </w:tcBorders>
            <w:shd w:val="clear" w:color="auto" w:fill="E8EDFF"/>
          </w:tcPr>
          <w:p>
            <w:pPr>
              <w:spacing w:after="0"/>
              <w:rPr>
                <w:sz w:val="14"/>
                <w:szCs w:val="14"/>
                <w:color w:val="auto"/>
              </w:rPr>
            </w:pPr>
          </w:p>
        </w:tc>
        <w:tc>
          <w:tcPr>
            <w:tcW w:w="3040" w:type="dxa"/>
            <w:vAlign w:val="bottom"/>
            <w:tcBorders>
              <w:bottom w:val="single" w:sz="8" w:color="auto"/>
            </w:tcBorders>
            <w:shd w:val="clear" w:color="auto" w:fill="E8EDFF"/>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 w:type="dxa"/>
            <w:vAlign w:val="bottom"/>
          </w:tcPr>
          <w:p>
            <w:pPr>
              <w:spacing w:after="0"/>
              <w:rPr>
                <w:sz w:val="14"/>
                <w:szCs w:val="14"/>
                <w:color w:val="auto"/>
              </w:rPr>
            </w:pPr>
          </w:p>
        </w:tc>
        <w:tc>
          <w:tcPr>
            <w:tcW w:w="1540" w:type="dxa"/>
            <w:vAlign w:val="bottom"/>
            <w:shd w:val="clear" w:color="auto" w:fill="D0DBFE"/>
          </w:tcPr>
          <w:p>
            <w:pPr>
              <w:spacing w:after="0"/>
              <w:rPr>
                <w:sz w:val="14"/>
                <w:szCs w:val="14"/>
                <w:color w:val="auto"/>
              </w:rPr>
            </w:pPr>
          </w:p>
        </w:tc>
        <w:tc>
          <w:tcPr>
            <w:tcW w:w="1020" w:type="dxa"/>
            <w:vAlign w:val="bottom"/>
            <w:shd w:val="clear" w:color="auto" w:fill="E8EDFF"/>
          </w:tcPr>
          <w:p>
            <w:pPr>
              <w:ind w:left="80"/>
              <w:spacing w:after="0"/>
              <w:rPr>
                <w:sz w:val="20"/>
                <w:szCs w:val="20"/>
                <w:color w:val="auto"/>
              </w:rPr>
            </w:pPr>
            <w:r>
              <w:rPr>
                <w:rFonts w:ascii="Arial" w:cs="Arial" w:eastAsia="Arial" w:hAnsi="Arial"/>
                <w:sz w:val="13"/>
                <w:szCs w:val="13"/>
                <w:color w:val="auto"/>
              </w:rPr>
              <w:t>Long-Term</w:t>
            </w:r>
          </w:p>
        </w:tc>
        <w:tc>
          <w:tcPr>
            <w:tcW w:w="1520" w:type="dxa"/>
            <w:vAlign w:val="bottom"/>
            <w:shd w:val="clear" w:color="auto" w:fill="E8EDFF"/>
          </w:tcPr>
          <w:p>
            <w:pPr>
              <w:ind w:left="80"/>
              <w:spacing w:after="0"/>
              <w:rPr>
                <w:sz w:val="20"/>
                <w:szCs w:val="20"/>
                <w:color w:val="auto"/>
              </w:rPr>
            </w:pPr>
            <w:r>
              <w:rPr>
                <w:rFonts w:ascii="Arial" w:cs="Arial" w:eastAsia="Arial" w:hAnsi="Arial"/>
                <w:sz w:val="13"/>
                <w:szCs w:val="13"/>
                <w:b w:val="1"/>
                <w:bCs w:val="1"/>
                <w:color w:val="auto"/>
              </w:rPr>
              <w:t xml:space="preserve">Annual RSAs </w:t>
            </w:r>
            <w:r>
              <w:rPr>
                <w:rFonts w:ascii="Arial" w:cs="Arial" w:eastAsia="Arial" w:hAnsi="Arial"/>
                <w:sz w:val="13"/>
                <w:szCs w:val="13"/>
                <w:color w:val="auto"/>
              </w:rPr>
              <w:t>(NEOs</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Reinforces long-term focus and rewards high</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Annual awards RSAs vest 50% on the second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540" w:type="dxa"/>
            <w:vAlign w:val="bottom"/>
            <w:shd w:val="clear" w:color="auto" w:fill="D0DBFE"/>
          </w:tcPr>
          <w:p>
            <w:pPr>
              <w:spacing w:after="0"/>
              <w:rPr>
                <w:sz w:val="12"/>
                <w:szCs w:val="12"/>
                <w:color w:val="auto"/>
              </w:rPr>
            </w:pPr>
          </w:p>
        </w:tc>
        <w:tc>
          <w:tcPr>
            <w:tcW w:w="1020" w:type="dxa"/>
            <w:vAlign w:val="bottom"/>
            <w:shd w:val="clear" w:color="auto" w:fill="E8EDFF"/>
          </w:tcPr>
          <w:p>
            <w:pPr>
              <w:spacing w:after="0"/>
              <w:rPr>
                <w:sz w:val="12"/>
                <w:szCs w:val="12"/>
                <w:color w:val="auto"/>
              </w:rPr>
            </w:pPr>
          </w:p>
        </w:tc>
        <w:tc>
          <w:tcPr>
            <w:tcW w:w="1520" w:type="dxa"/>
            <w:vAlign w:val="bottom"/>
            <w:shd w:val="clear" w:color="auto" w:fill="E8EDFF"/>
          </w:tcPr>
          <w:p>
            <w:pPr>
              <w:ind w:left="80"/>
              <w:spacing w:after="0"/>
              <w:rPr>
                <w:sz w:val="20"/>
                <w:szCs w:val="20"/>
                <w:color w:val="auto"/>
              </w:rPr>
            </w:pPr>
            <w:r>
              <w:rPr>
                <w:rFonts w:ascii="Arial" w:cs="Arial" w:eastAsia="Arial" w:hAnsi="Arial"/>
                <w:sz w:val="13"/>
                <w:szCs w:val="13"/>
                <w:color w:val="auto"/>
              </w:rPr>
              <w:t>other than CEO and</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performance</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anniversary of the date of grant and 50% on</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540" w:type="dxa"/>
            <w:vAlign w:val="bottom"/>
            <w:shd w:val="clear" w:color="auto" w:fill="D0DBFE"/>
          </w:tcPr>
          <w:p>
            <w:pPr>
              <w:spacing w:after="0"/>
              <w:rPr>
                <w:sz w:val="14"/>
                <w:szCs w:val="14"/>
                <w:color w:val="auto"/>
              </w:rPr>
            </w:pPr>
          </w:p>
        </w:tc>
        <w:tc>
          <w:tcPr>
            <w:tcW w:w="1020" w:type="dxa"/>
            <w:vAlign w:val="bottom"/>
            <w:shd w:val="clear" w:color="auto" w:fill="E8EDFF"/>
          </w:tcPr>
          <w:p>
            <w:pPr>
              <w:spacing w:after="0"/>
              <w:rPr>
                <w:sz w:val="14"/>
                <w:szCs w:val="14"/>
                <w:color w:val="auto"/>
              </w:rPr>
            </w:pPr>
          </w:p>
        </w:tc>
        <w:tc>
          <w:tcPr>
            <w:tcW w:w="1520" w:type="dxa"/>
            <w:vAlign w:val="bottom"/>
            <w:shd w:val="clear" w:color="auto" w:fill="E8EDFF"/>
          </w:tcPr>
          <w:p>
            <w:pPr>
              <w:ind w:left="80"/>
              <w:spacing w:after="0"/>
              <w:rPr>
                <w:sz w:val="20"/>
                <w:szCs w:val="20"/>
                <w:color w:val="auto"/>
              </w:rPr>
            </w:pPr>
            <w:r>
              <w:rPr>
                <w:rFonts w:ascii="Arial" w:cs="Arial" w:eastAsia="Arial" w:hAnsi="Arial"/>
                <w:sz w:val="13"/>
                <w:szCs w:val="13"/>
                <w:color w:val="auto"/>
              </w:rPr>
              <w:t>CSO)</w:t>
            </w:r>
          </w:p>
        </w:tc>
        <w:tc>
          <w:tcPr>
            <w:tcW w:w="3040" w:type="dxa"/>
            <w:vAlign w:val="bottom"/>
            <w:shd w:val="clear" w:color="auto" w:fill="E8EDFF"/>
          </w:tcPr>
          <w:p>
            <w:pPr>
              <w:spacing w:after="0"/>
              <w:rPr>
                <w:sz w:val="14"/>
                <w:szCs w:val="14"/>
                <w:color w:val="auto"/>
              </w:rPr>
            </w:pP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fourth anniversary of the date of grant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1540" w:type="dxa"/>
            <w:vAlign w:val="bottom"/>
            <w:shd w:val="clear" w:color="auto" w:fill="D0DBFE"/>
          </w:tcPr>
          <w:p>
            <w:pPr>
              <w:spacing w:after="0"/>
              <w:rPr>
                <w:sz w:val="16"/>
                <w:szCs w:val="16"/>
                <w:color w:val="auto"/>
              </w:rPr>
            </w:pPr>
          </w:p>
        </w:tc>
        <w:tc>
          <w:tcPr>
            <w:tcW w:w="1020" w:type="dxa"/>
            <w:vAlign w:val="bottom"/>
            <w:shd w:val="clear" w:color="auto" w:fill="E8EDFF"/>
          </w:tcPr>
          <w:p>
            <w:pPr>
              <w:spacing w:after="0"/>
              <w:rPr>
                <w:sz w:val="16"/>
                <w:szCs w:val="16"/>
                <w:color w:val="auto"/>
              </w:rPr>
            </w:pPr>
          </w:p>
        </w:tc>
        <w:tc>
          <w:tcPr>
            <w:tcW w:w="1520" w:type="dxa"/>
            <w:vAlign w:val="bottom"/>
            <w:shd w:val="clear" w:color="auto" w:fill="E8EDFF"/>
          </w:tcPr>
          <w:p>
            <w:pPr>
              <w:ind w:left="80"/>
              <w:spacing w:after="0"/>
              <w:rPr>
                <w:sz w:val="20"/>
                <w:szCs w:val="20"/>
                <w:color w:val="auto"/>
              </w:rPr>
            </w:pPr>
            <w:r>
              <w:rPr>
                <w:rFonts w:ascii="Arial" w:cs="Arial" w:eastAsia="Arial" w:hAnsi="Arial"/>
                <w:sz w:val="13"/>
                <w:szCs w:val="13"/>
                <w:b w:val="1"/>
                <w:bCs w:val="1"/>
                <w:color w:val="auto"/>
              </w:rPr>
              <w:t>Special RSAs</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Rewards exceptional performance; further</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Special RSAs vest in their entirety on the fifth</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540" w:type="dxa"/>
            <w:vAlign w:val="bottom"/>
            <w:shd w:val="clear" w:color="auto" w:fill="D0DBFE"/>
          </w:tcPr>
          <w:p>
            <w:pPr>
              <w:spacing w:after="0"/>
              <w:rPr>
                <w:sz w:val="12"/>
                <w:szCs w:val="12"/>
                <w:color w:val="auto"/>
              </w:rPr>
            </w:pPr>
          </w:p>
        </w:tc>
        <w:tc>
          <w:tcPr>
            <w:tcW w:w="1020" w:type="dxa"/>
            <w:vAlign w:val="bottom"/>
            <w:shd w:val="clear" w:color="auto" w:fill="E8EDFF"/>
          </w:tcPr>
          <w:p>
            <w:pPr>
              <w:spacing w:after="0"/>
              <w:rPr>
                <w:sz w:val="12"/>
                <w:szCs w:val="12"/>
                <w:color w:val="auto"/>
              </w:rPr>
            </w:pPr>
          </w:p>
        </w:tc>
        <w:tc>
          <w:tcPr>
            <w:tcW w:w="1520" w:type="dxa"/>
            <w:vAlign w:val="bottom"/>
            <w:shd w:val="clear" w:color="auto" w:fill="E8EDFF"/>
          </w:tcPr>
          <w:p>
            <w:pPr>
              <w:ind w:left="80"/>
              <w:spacing w:after="0"/>
              <w:rPr>
                <w:sz w:val="20"/>
                <w:szCs w:val="20"/>
                <w:color w:val="auto"/>
              </w:rPr>
            </w:pPr>
            <w:r>
              <w:rPr>
                <w:rFonts w:ascii="Arial" w:cs="Arial" w:eastAsia="Arial" w:hAnsi="Arial"/>
                <w:sz w:val="13"/>
                <w:szCs w:val="13"/>
                <w:color w:val="auto"/>
              </w:rPr>
              <w:t>(certain NEOs other</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promotes employee retention</w:t>
            </w:r>
          </w:p>
        </w:tc>
        <w:tc>
          <w:tcPr>
            <w:tcW w:w="3040" w:type="dxa"/>
            <w:vAlign w:val="bottom"/>
            <w:shd w:val="clear" w:color="auto" w:fill="E8EDFF"/>
          </w:tcPr>
          <w:p>
            <w:pPr>
              <w:ind w:left="100"/>
              <w:spacing w:after="0"/>
              <w:rPr>
                <w:sz w:val="20"/>
                <w:szCs w:val="20"/>
                <w:color w:val="auto"/>
              </w:rPr>
            </w:pPr>
            <w:r>
              <w:rPr>
                <w:rFonts w:ascii="Arial" w:cs="Arial" w:eastAsia="Arial" w:hAnsi="Arial"/>
                <w:sz w:val="13"/>
                <w:szCs w:val="13"/>
                <w:color w:val="auto"/>
              </w:rPr>
              <w:t>anniversary of the date of grant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540" w:type="dxa"/>
            <w:vAlign w:val="bottom"/>
            <w:tcBorders>
              <w:bottom w:val="single" w:sz="8" w:color="1F5AA8"/>
            </w:tcBorders>
            <w:shd w:val="clear" w:color="auto" w:fill="D0DBFE"/>
          </w:tcPr>
          <w:p>
            <w:pPr>
              <w:spacing w:after="0"/>
              <w:rPr>
                <w:sz w:val="14"/>
                <w:szCs w:val="14"/>
                <w:color w:val="auto"/>
              </w:rPr>
            </w:pPr>
          </w:p>
        </w:tc>
        <w:tc>
          <w:tcPr>
            <w:tcW w:w="1020" w:type="dxa"/>
            <w:vAlign w:val="bottom"/>
            <w:tcBorders>
              <w:bottom w:val="single" w:sz="8" w:color="1F5AA8"/>
            </w:tcBorders>
            <w:shd w:val="clear" w:color="auto" w:fill="E8EDFF"/>
          </w:tcPr>
          <w:p>
            <w:pPr>
              <w:spacing w:after="0"/>
              <w:rPr>
                <w:sz w:val="14"/>
                <w:szCs w:val="14"/>
                <w:color w:val="auto"/>
              </w:rPr>
            </w:pPr>
          </w:p>
        </w:tc>
        <w:tc>
          <w:tcPr>
            <w:tcW w:w="1520" w:type="dxa"/>
            <w:vAlign w:val="bottom"/>
            <w:tcBorders>
              <w:bottom w:val="single" w:sz="8" w:color="1F5AA8"/>
            </w:tcBorders>
            <w:shd w:val="clear" w:color="auto" w:fill="E8EDFF"/>
          </w:tcPr>
          <w:p>
            <w:pPr>
              <w:ind w:left="80"/>
              <w:spacing w:after="0"/>
              <w:rPr>
                <w:sz w:val="20"/>
                <w:szCs w:val="20"/>
                <w:color w:val="auto"/>
              </w:rPr>
            </w:pPr>
            <w:r>
              <w:rPr>
                <w:rFonts w:ascii="Arial" w:cs="Arial" w:eastAsia="Arial" w:hAnsi="Arial"/>
                <w:sz w:val="13"/>
                <w:szCs w:val="13"/>
                <w:color w:val="auto"/>
              </w:rPr>
              <w:t>than CEO and CSO)</w:t>
            </w:r>
          </w:p>
        </w:tc>
        <w:tc>
          <w:tcPr>
            <w:tcW w:w="3040" w:type="dxa"/>
            <w:vAlign w:val="bottom"/>
            <w:tcBorders>
              <w:bottom w:val="single" w:sz="8" w:color="1F5AA8"/>
            </w:tcBorders>
            <w:shd w:val="clear" w:color="auto" w:fill="E8EDFF"/>
          </w:tcPr>
          <w:p>
            <w:pPr>
              <w:spacing w:after="0"/>
              <w:rPr>
                <w:sz w:val="14"/>
                <w:szCs w:val="14"/>
                <w:color w:val="auto"/>
              </w:rPr>
            </w:pPr>
          </w:p>
        </w:tc>
        <w:tc>
          <w:tcPr>
            <w:tcW w:w="3040" w:type="dxa"/>
            <w:vAlign w:val="bottom"/>
            <w:tcBorders>
              <w:bottom w:val="single" w:sz="8" w:color="1F5AA8"/>
            </w:tcBorders>
            <w:shd w:val="clear" w:color="auto" w:fill="E8EDFF"/>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5"/>
        </w:trPr>
        <w:tc>
          <w:tcPr>
            <w:tcW w:w="7660" w:type="dxa"/>
            <w:vAlign w:val="bottom"/>
            <w:gridSpan w:val="5"/>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3580" w:type="dxa"/>
            <w:vAlign w:val="bottom"/>
            <w:gridSpan w:val="2"/>
          </w:tcPr>
          <w:p>
            <w:pPr>
              <w:ind w:left="3260"/>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59</w:t>
            </w:r>
          </w:p>
        </w:tc>
        <w:tc>
          <w:tcPr>
            <w:tcW w:w="0" w:type="dxa"/>
            <w:vAlign w:val="bottom"/>
          </w:tcPr>
          <w:p>
            <w:pPr>
              <w:spacing w:after="0"/>
              <w:rPr>
                <w:sz w:val="1"/>
                <w:szCs w:val="1"/>
                <w:color w:val="auto"/>
              </w:rPr>
            </w:pPr>
          </w:p>
        </w:tc>
      </w:tr>
      <w:tr>
        <w:trPr>
          <w:trHeight w:val="258"/>
        </w:trPr>
        <w:tc>
          <w:tcPr>
            <w:tcW w:w="540" w:type="dxa"/>
            <w:vAlign w:val="bottom"/>
            <w:tcBorders>
              <w:bottom w:val="single" w:sz="8" w:color="C0C0C0"/>
            </w:tcBorders>
          </w:tcPr>
          <w:p>
            <w:pPr>
              <w:spacing w:after="0"/>
              <w:rPr>
                <w:sz w:val="22"/>
                <w:szCs w:val="22"/>
                <w:color w:val="auto"/>
              </w:rPr>
            </w:pPr>
          </w:p>
        </w:tc>
        <w:tc>
          <w:tcPr>
            <w:tcW w:w="1540" w:type="dxa"/>
            <w:vAlign w:val="bottom"/>
            <w:tcBorders>
              <w:bottom w:val="single" w:sz="8" w:color="C0C0C0"/>
            </w:tcBorders>
          </w:tcPr>
          <w:p>
            <w:pPr>
              <w:spacing w:after="0"/>
              <w:rPr>
                <w:sz w:val="22"/>
                <w:szCs w:val="22"/>
                <w:color w:val="auto"/>
              </w:rPr>
            </w:pPr>
          </w:p>
        </w:tc>
        <w:tc>
          <w:tcPr>
            <w:tcW w:w="1020" w:type="dxa"/>
            <w:vAlign w:val="bottom"/>
            <w:tcBorders>
              <w:bottom w:val="single" w:sz="8" w:color="C0C0C0"/>
            </w:tcBorders>
          </w:tcPr>
          <w:p>
            <w:pPr>
              <w:spacing w:after="0"/>
              <w:rPr>
                <w:sz w:val="22"/>
                <w:szCs w:val="22"/>
                <w:color w:val="auto"/>
              </w:rPr>
            </w:pPr>
          </w:p>
        </w:tc>
        <w:tc>
          <w:tcPr>
            <w:tcW w:w="152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c>
          <w:tcPr>
            <w:tcW w:w="54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sectPr>
      </w:pPr>
    </w:p>
    <w:bookmarkStart w:id="70" w:name="page71"/>
    <w:bookmarkEnd w:id="70"/>
    <w:p>
      <w:pPr>
        <w:ind w:lef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04C57"/>
        </w:rPr>
        <w:t>KEY GOVERNANCE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left="540" w:right="1040"/>
        <w:spacing w:after="0" w:line="235" w:lineRule="auto"/>
        <w:rPr>
          <w:sz w:val="20"/>
          <w:szCs w:val="20"/>
          <w:color w:val="auto"/>
        </w:rPr>
      </w:pPr>
      <w:r>
        <w:rPr>
          <w:rFonts w:ascii="Arial" w:cs="Arial" w:eastAsia="Arial" w:hAnsi="Arial"/>
          <w:sz w:val="15"/>
          <w:szCs w:val="15"/>
          <w:color w:val="auto"/>
        </w:rPr>
        <w:t>Our Compensation Committee independently oversees the executive compensation program with the support of an independent compensation consultant and management. Our compensation program demonstrates strong governance, minimizing inappropriate risk-taking behavior while protecting shareholder rights and interests. The following is a summary of some of our executive compensation best practices and policies.</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25"/>
          <w:szCs w:val="25"/>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-179705</wp:posOffset>
            </wp:positionV>
            <wp:extent cx="6446520" cy="2228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46520" cy="22288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0" w:type="dxa"/>
            <w:vAlign w:val="bottom"/>
          </w:tcPr>
          <w:p>
            <w:pPr>
              <w:spacing w:after="0"/>
              <w:rPr>
                <w:sz w:val="19"/>
                <w:szCs w:val="19"/>
                <w:color w:val="auto"/>
              </w:rPr>
            </w:pPr>
          </w:p>
        </w:tc>
        <w:tc>
          <w:tcPr>
            <w:tcW w:w="4560" w:type="dxa"/>
            <w:vAlign w:val="bottom"/>
          </w:tcPr>
          <w:p>
            <w:pPr>
              <w:ind w:left="520"/>
              <w:spacing w:after="0"/>
              <w:rPr>
                <w:sz w:val="20"/>
                <w:szCs w:val="20"/>
                <w:color w:val="auto"/>
              </w:rPr>
            </w:pPr>
            <w:r>
              <w:rPr>
                <w:rFonts w:ascii="Arial" w:cs="Arial" w:eastAsia="Arial" w:hAnsi="Arial"/>
                <w:sz w:val="17"/>
                <w:szCs w:val="17"/>
                <w:b w:val="1"/>
                <w:bCs w:val="1"/>
                <w:color w:val="C32167"/>
              </w:rPr>
              <w:t>Align pay with performance</w:t>
            </w:r>
          </w:p>
        </w:tc>
        <w:tc>
          <w:tcPr>
            <w:tcW w:w="6140" w:type="dxa"/>
            <w:vAlign w:val="bottom"/>
            <w:gridSpan w:val="2"/>
          </w:tcPr>
          <w:p>
            <w:pPr>
              <w:ind w:left="1240"/>
              <w:spacing w:after="0"/>
              <w:rPr>
                <w:sz w:val="20"/>
                <w:szCs w:val="20"/>
                <w:color w:val="auto"/>
              </w:rPr>
            </w:pPr>
            <w:r>
              <w:rPr>
                <w:rFonts w:ascii="Arial" w:cs="Arial" w:eastAsia="Arial" w:hAnsi="Arial"/>
                <w:sz w:val="17"/>
                <w:szCs w:val="17"/>
                <w:b w:val="1"/>
                <w:bCs w:val="1"/>
                <w:color w:val="C32167"/>
              </w:rPr>
              <w:t>Maintain a strong recoupment (clawback) policy</w:t>
            </w:r>
          </w:p>
        </w:tc>
      </w:tr>
      <w:tr>
        <w:trPr>
          <w:trHeight w:val="486"/>
        </w:trPr>
        <w:tc>
          <w:tcPr>
            <w:tcW w:w="540" w:type="dxa"/>
            <w:vAlign w:val="bottom"/>
          </w:tcPr>
          <w:p>
            <w:pPr>
              <w:spacing w:after="0"/>
              <w:rPr>
                <w:sz w:val="24"/>
                <w:szCs w:val="24"/>
                <w:color w:val="auto"/>
              </w:rPr>
            </w:pPr>
          </w:p>
        </w:tc>
        <w:tc>
          <w:tcPr>
            <w:tcW w:w="4560" w:type="dxa"/>
            <w:vAlign w:val="bottom"/>
          </w:tcPr>
          <w:p>
            <w:pPr>
              <w:ind w:left="520"/>
              <w:spacing w:after="0"/>
              <w:rPr>
                <w:sz w:val="20"/>
                <w:szCs w:val="20"/>
                <w:color w:val="auto"/>
              </w:rPr>
            </w:pPr>
            <w:r>
              <w:rPr>
                <w:rFonts w:ascii="Arial" w:cs="Arial" w:eastAsia="Arial" w:hAnsi="Arial"/>
                <w:sz w:val="17"/>
                <w:szCs w:val="17"/>
                <w:b w:val="1"/>
                <w:bCs w:val="1"/>
                <w:color w:val="C32167"/>
              </w:rPr>
              <w:t>Align management and shareholder interests</w:t>
            </w:r>
          </w:p>
        </w:tc>
        <w:tc>
          <w:tcPr>
            <w:tcW w:w="6140" w:type="dxa"/>
            <w:vAlign w:val="bottom"/>
            <w:gridSpan w:val="2"/>
          </w:tcPr>
          <w:p>
            <w:pPr>
              <w:ind w:left="1240"/>
              <w:spacing w:after="0"/>
              <w:rPr>
                <w:sz w:val="20"/>
                <w:szCs w:val="20"/>
                <w:color w:val="auto"/>
              </w:rPr>
            </w:pPr>
            <w:r>
              <w:rPr>
                <w:rFonts w:ascii="Arial" w:cs="Arial" w:eastAsia="Arial" w:hAnsi="Arial"/>
                <w:sz w:val="17"/>
                <w:szCs w:val="17"/>
                <w:b w:val="1"/>
                <w:bCs w:val="1"/>
                <w:color w:val="C32167"/>
              </w:rPr>
              <w:t>Retain an independent compensation consultant</w:t>
            </w:r>
          </w:p>
        </w:tc>
      </w:tr>
      <w:tr>
        <w:trPr>
          <w:trHeight w:val="450"/>
        </w:trPr>
        <w:tc>
          <w:tcPr>
            <w:tcW w:w="540" w:type="dxa"/>
            <w:vAlign w:val="bottom"/>
          </w:tcPr>
          <w:p>
            <w:pPr>
              <w:spacing w:after="0"/>
              <w:rPr>
                <w:sz w:val="24"/>
                <w:szCs w:val="24"/>
                <w:color w:val="auto"/>
              </w:rPr>
            </w:pPr>
          </w:p>
        </w:tc>
        <w:tc>
          <w:tcPr>
            <w:tcW w:w="4560" w:type="dxa"/>
            <w:vAlign w:val="bottom"/>
          </w:tcPr>
          <w:p>
            <w:pPr>
              <w:ind w:left="520"/>
              <w:spacing w:after="0"/>
              <w:rPr>
                <w:sz w:val="20"/>
                <w:szCs w:val="20"/>
                <w:color w:val="auto"/>
              </w:rPr>
            </w:pPr>
            <w:r>
              <w:rPr>
                <w:rFonts w:ascii="Arial" w:cs="Arial" w:eastAsia="Arial" w:hAnsi="Arial"/>
                <w:sz w:val="17"/>
                <w:szCs w:val="17"/>
                <w:b w:val="1"/>
                <w:bCs w:val="1"/>
                <w:color w:val="C32167"/>
              </w:rPr>
              <w:t>Maintain robust stock ownership guidelines</w:t>
            </w:r>
          </w:p>
        </w:tc>
        <w:tc>
          <w:tcPr>
            <w:tcW w:w="6140" w:type="dxa"/>
            <w:vAlign w:val="bottom"/>
            <w:gridSpan w:val="2"/>
          </w:tcPr>
          <w:p>
            <w:pPr>
              <w:ind w:left="1240"/>
              <w:spacing w:after="0"/>
              <w:rPr>
                <w:sz w:val="20"/>
                <w:szCs w:val="20"/>
                <w:color w:val="auto"/>
              </w:rPr>
            </w:pPr>
            <w:r>
              <w:rPr>
                <w:rFonts w:ascii="Arial" w:cs="Arial" w:eastAsia="Arial" w:hAnsi="Arial"/>
                <w:sz w:val="17"/>
                <w:szCs w:val="17"/>
                <w:b w:val="1"/>
                <w:bCs w:val="1"/>
                <w:color w:val="C32167"/>
              </w:rPr>
              <w:t>Actively and regularly engage with shareholders on</w:t>
            </w:r>
          </w:p>
        </w:tc>
      </w:tr>
      <w:tr>
        <w:trPr>
          <w:trHeight w:val="225"/>
        </w:trPr>
        <w:tc>
          <w:tcPr>
            <w:tcW w:w="5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140" w:type="dxa"/>
            <w:vAlign w:val="bottom"/>
            <w:gridSpan w:val="2"/>
          </w:tcPr>
          <w:p>
            <w:pPr>
              <w:ind w:left="1240"/>
              <w:spacing w:after="0"/>
              <w:rPr>
                <w:sz w:val="20"/>
                <w:szCs w:val="20"/>
                <w:color w:val="auto"/>
              </w:rPr>
            </w:pPr>
            <w:r>
              <w:rPr>
                <w:rFonts w:ascii="Arial" w:cs="Arial" w:eastAsia="Arial" w:hAnsi="Arial"/>
                <w:sz w:val="17"/>
                <w:szCs w:val="17"/>
                <w:b w:val="1"/>
                <w:bCs w:val="1"/>
                <w:color w:val="C32167"/>
              </w:rPr>
              <w:t>executive compensation matters</w:t>
            </w:r>
          </w:p>
        </w:tc>
      </w:tr>
      <w:tr>
        <w:trPr>
          <w:trHeight w:val="179"/>
        </w:trPr>
        <w:tc>
          <w:tcPr>
            <w:tcW w:w="5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51"/>
        </w:trPr>
        <w:tc>
          <w:tcPr>
            <w:tcW w:w="540" w:type="dxa"/>
            <w:vAlign w:val="bottom"/>
          </w:tcPr>
          <w:p>
            <w:pPr>
              <w:spacing w:after="0"/>
              <w:rPr>
                <w:sz w:val="24"/>
                <w:szCs w:val="24"/>
                <w:color w:val="auto"/>
              </w:rPr>
            </w:pPr>
          </w:p>
        </w:tc>
        <w:tc>
          <w:tcPr>
            <w:tcW w:w="4560" w:type="dxa"/>
            <w:vAlign w:val="bottom"/>
            <w:shd w:val="clear" w:color="auto" w:fill="205BA8"/>
          </w:tcPr>
          <w:p>
            <w:pPr>
              <w:ind w:left="100"/>
              <w:spacing w:after="0"/>
              <w:rPr>
                <w:sz w:val="20"/>
                <w:szCs w:val="20"/>
                <w:color w:val="auto"/>
              </w:rPr>
            </w:pPr>
            <w:r>
              <w:rPr>
                <w:rFonts w:ascii="Arial" w:cs="Arial" w:eastAsia="Arial" w:hAnsi="Arial"/>
                <w:sz w:val="25"/>
                <w:szCs w:val="25"/>
                <w:b w:val="1"/>
                <w:bCs w:val="1"/>
                <w:color w:val="FFFFFF"/>
              </w:rPr>
              <w:t>WHAT WE DON’T DO</w:t>
            </w:r>
          </w:p>
        </w:tc>
        <w:tc>
          <w:tcPr>
            <w:tcW w:w="5600" w:type="dxa"/>
            <w:vAlign w:val="bottom"/>
            <w:shd w:val="clear" w:color="auto" w:fill="205BA8"/>
          </w:tcPr>
          <w:p>
            <w:pPr>
              <w:spacing w:after="0"/>
              <w:rPr>
                <w:sz w:val="24"/>
                <w:szCs w:val="24"/>
                <w:color w:val="auto"/>
              </w:rPr>
            </w:pPr>
          </w:p>
        </w:tc>
        <w:tc>
          <w:tcPr>
            <w:tcW w:w="540" w:type="dxa"/>
            <w:vAlign w:val="bottom"/>
          </w:tcPr>
          <w:p>
            <w:pPr>
              <w:spacing w:after="0"/>
              <w:rPr>
                <w:sz w:val="24"/>
                <w:szCs w:val="24"/>
                <w:color w:val="auto"/>
              </w:rPr>
            </w:pPr>
          </w:p>
        </w:tc>
      </w:tr>
      <w:tr>
        <w:trPr>
          <w:trHeight w:val="352"/>
        </w:trPr>
        <w:tc>
          <w:tcPr>
            <w:tcW w:w="540" w:type="dxa"/>
            <w:vAlign w:val="bottom"/>
          </w:tcPr>
          <w:p>
            <w:pPr>
              <w:spacing w:after="0"/>
              <w:rPr>
                <w:sz w:val="24"/>
                <w:szCs w:val="24"/>
                <w:color w:val="auto"/>
              </w:rPr>
            </w:pPr>
          </w:p>
        </w:tc>
        <w:tc>
          <w:tcPr>
            <w:tcW w:w="4560" w:type="dxa"/>
            <w:vAlign w:val="bottom"/>
          </w:tcPr>
          <w:p>
            <w:pPr>
              <w:ind w:left="520"/>
              <w:spacing w:after="0"/>
              <w:rPr>
                <w:sz w:val="20"/>
                <w:szCs w:val="20"/>
                <w:color w:val="auto"/>
              </w:rPr>
            </w:pPr>
            <w:r>
              <w:rPr>
                <w:rFonts w:ascii="Arial" w:cs="Arial" w:eastAsia="Arial" w:hAnsi="Arial"/>
                <w:sz w:val="17"/>
                <w:szCs w:val="17"/>
                <w:b w:val="1"/>
                <w:bCs w:val="1"/>
                <w:color w:val="C32167"/>
              </w:rPr>
              <w:t>Reprice or exchange stock options</w:t>
            </w:r>
          </w:p>
        </w:tc>
        <w:tc>
          <w:tcPr>
            <w:tcW w:w="6140" w:type="dxa"/>
            <w:vAlign w:val="bottom"/>
            <w:gridSpan w:val="2"/>
          </w:tcPr>
          <w:p>
            <w:pPr>
              <w:ind w:left="1240"/>
              <w:spacing w:after="0"/>
              <w:rPr>
                <w:sz w:val="20"/>
                <w:szCs w:val="20"/>
                <w:color w:val="auto"/>
              </w:rPr>
            </w:pPr>
            <w:r>
              <w:rPr>
                <w:rFonts w:ascii="Arial" w:cs="Arial" w:eastAsia="Arial" w:hAnsi="Arial"/>
                <w:sz w:val="17"/>
                <w:szCs w:val="17"/>
                <w:b w:val="1"/>
                <w:bCs w:val="1"/>
                <w:color w:val="C32167"/>
              </w:rPr>
              <w:t>Provide excise tax gross-ups in any new</w:t>
            </w:r>
          </w:p>
        </w:tc>
      </w:tr>
      <w:tr>
        <w:trPr>
          <w:trHeight w:val="225"/>
        </w:trPr>
        <w:tc>
          <w:tcPr>
            <w:tcW w:w="5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140" w:type="dxa"/>
            <w:vAlign w:val="bottom"/>
            <w:gridSpan w:val="2"/>
          </w:tcPr>
          <w:p>
            <w:pPr>
              <w:ind w:left="1240"/>
              <w:spacing w:after="0"/>
              <w:rPr>
                <w:sz w:val="20"/>
                <w:szCs w:val="20"/>
                <w:color w:val="auto"/>
              </w:rPr>
            </w:pPr>
            <w:r>
              <w:rPr>
                <w:rFonts w:ascii="Arial" w:cs="Arial" w:eastAsia="Arial" w:hAnsi="Arial"/>
                <w:sz w:val="17"/>
                <w:szCs w:val="17"/>
                <w:b w:val="1"/>
                <w:bCs w:val="1"/>
                <w:color w:val="C32167"/>
              </w:rPr>
              <w:t>compensation plans or arrangements</w:t>
            </w:r>
          </w:p>
        </w:tc>
      </w:tr>
      <w:tr>
        <w:trPr>
          <w:trHeight w:val="378"/>
        </w:trPr>
        <w:tc>
          <w:tcPr>
            <w:tcW w:w="540" w:type="dxa"/>
            <w:vAlign w:val="bottom"/>
          </w:tcPr>
          <w:p>
            <w:pPr>
              <w:spacing w:after="0"/>
              <w:rPr>
                <w:sz w:val="24"/>
                <w:szCs w:val="24"/>
                <w:color w:val="auto"/>
              </w:rPr>
            </w:pPr>
          </w:p>
        </w:tc>
        <w:tc>
          <w:tcPr>
            <w:tcW w:w="4560" w:type="dxa"/>
            <w:vAlign w:val="bottom"/>
          </w:tcPr>
          <w:p>
            <w:pPr>
              <w:ind w:left="520"/>
              <w:spacing w:after="0"/>
              <w:rPr>
                <w:sz w:val="20"/>
                <w:szCs w:val="20"/>
                <w:color w:val="auto"/>
              </w:rPr>
            </w:pPr>
            <w:r>
              <w:rPr>
                <w:rFonts w:ascii="Arial" w:cs="Arial" w:eastAsia="Arial" w:hAnsi="Arial"/>
                <w:sz w:val="17"/>
                <w:szCs w:val="17"/>
                <w:b w:val="1"/>
                <w:bCs w:val="1"/>
                <w:color w:val="C32167"/>
              </w:rPr>
              <w:t>Provide excessive perquisites</w:t>
            </w:r>
          </w:p>
        </w:tc>
        <w:tc>
          <w:tcPr>
            <w:tcW w:w="6140" w:type="dxa"/>
            <w:vAlign w:val="bottom"/>
            <w:gridSpan w:val="2"/>
          </w:tcPr>
          <w:p>
            <w:pPr>
              <w:ind w:left="1240"/>
              <w:spacing w:after="0"/>
              <w:rPr>
                <w:sz w:val="20"/>
                <w:szCs w:val="20"/>
                <w:color w:val="auto"/>
              </w:rPr>
            </w:pPr>
            <w:r>
              <w:rPr>
                <w:rFonts w:ascii="Arial" w:cs="Arial" w:eastAsia="Arial" w:hAnsi="Arial"/>
                <w:sz w:val="17"/>
                <w:szCs w:val="17"/>
                <w:b w:val="1"/>
                <w:bCs w:val="1"/>
                <w:color w:val="C32167"/>
              </w:rPr>
              <w:t>Allow hedging or pledging of securities</w:t>
            </w:r>
          </w:p>
        </w:tc>
      </w:tr>
      <w:tr>
        <w:trPr>
          <w:trHeight w:val="603"/>
        </w:trPr>
        <w:tc>
          <w:tcPr>
            <w:tcW w:w="540" w:type="dxa"/>
            <w:vAlign w:val="bottom"/>
          </w:tcPr>
          <w:p>
            <w:pPr>
              <w:jc w:val="right"/>
              <w:ind w:right="148"/>
              <w:spacing w:after="0"/>
              <w:rPr>
                <w:sz w:val="20"/>
                <w:szCs w:val="20"/>
                <w:color w:val="auto"/>
              </w:rPr>
            </w:pPr>
            <w:r>
              <w:rPr>
                <w:rFonts w:ascii="Arial" w:cs="Arial" w:eastAsia="Arial" w:hAnsi="Arial"/>
                <w:sz w:val="14"/>
                <w:szCs w:val="14"/>
                <w:b w:val="1"/>
                <w:bCs w:val="1"/>
                <w:color w:val="00A5EC"/>
              </w:rPr>
              <w:t xml:space="preserve">60  </w:t>
            </w:r>
            <w:r>
              <w:rPr>
                <w:rFonts w:ascii="Arial" w:cs="Arial" w:eastAsia="Arial" w:hAnsi="Arial"/>
                <w:sz w:val="14"/>
                <w:szCs w:val="14"/>
                <w:color w:val="00A5EC"/>
              </w:rPr>
              <w:t>/</w:t>
            </w:r>
          </w:p>
        </w:tc>
        <w:tc>
          <w:tcPr>
            <w:tcW w:w="4560" w:type="dxa"/>
            <w:vAlign w:val="bottom"/>
          </w:tcPr>
          <w:p>
            <w:pPr>
              <w:spacing w:after="0"/>
              <w:rPr>
                <w:sz w:val="24"/>
                <w:szCs w:val="24"/>
                <w:color w:val="auto"/>
              </w:rPr>
            </w:pPr>
          </w:p>
        </w:tc>
        <w:tc>
          <w:tcPr>
            <w:tcW w:w="6140" w:type="dxa"/>
            <w:vAlign w:val="bottom"/>
            <w:gridSpan w:val="2"/>
          </w:tcPr>
          <w:p>
            <w:pPr>
              <w:ind w:left="36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r>
      <w:tr>
        <w:trPr>
          <w:trHeight w:val="258"/>
        </w:trPr>
        <w:tc>
          <w:tcPr>
            <w:tcW w:w="540" w:type="dxa"/>
            <w:vAlign w:val="bottom"/>
            <w:tcBorders>
              <w:bottom w:val="single" w:sz="8" w:color="C0C0C0"/>
            </w:tcBorders>
          </w:tcPr>
          <w:p>
            <w:pPr>
              <w:spacing w:after="0"/>
              <w:rPr>
                <w:sz w:val="22"/>
                <w:szCs w:val="22"/>
                <w:color w:val="auto"/>
              </w:rPr>
            </w:pPr>
          </w:p>
        </w:tc>
        <w:tc>
          <w:tcPr>
            <w:tcW w:w="4560" w:type="dxa"/>
            <w:vAlign w:val="bottom"/>
            <w:tcBorders>
              <w:bottom w:val="single" w:sz="8" w:color="C0C0C0"/>
            </w:tcBorders>
          </w:tcPr>
          <w:p>
            <w:pPr>
              <w:spacing w:after="0"/>
              <w:rPr>
                <w:sz w:val="22"/>
                <w:szCs w:val="22"/>
                <w:color w:val="auto"/>
              </w:rPr>
            </w:pPr>
          </w:p>
        </w:tc>
        <w:tc>
          <w:tcPr>
            <w:tcW w:w="5600" w:type="dxa"/>
            <w:vAlign w:val="bottom"/>
            <w:tcBorders>
              <w:bottom w:val="single" w:sz="8" w:color="C0C0C0"/>
            </w:tcBorders>
          </w:tcPr>
          <w:p>
            <w:pPr>
              <w:spacing w:after="0"/>
              <w:rPr>
                <w:sz w:val="22"/>
                <w:szCs w:val="22"/>
                <w:color w:val="auto"/>
              </w:rPr>
            </w:pPr>
          </w:p>
        </w:tc>
        <w:tc>
          <w:tcPr>
            <w:tcW w:w="54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-2365375</wp:posOffset>
            </wp:positionV>
            <wp:extent cx="188595" cy="188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-2365375</wp:posOffset>
            </wp:positionV>
            <wp:extent cx="188595"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-2056765</wp:posOffset>
            </wp:positionV>
            <wp:extent cx="188595"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-2056765</wp:posOffset>
            </wp:positionV>
            <wp:extent cx="188595" cy="1885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-1748155</wp:posOffset>
            </wp:positionV>
            <wp:extent cx="188595" cy="1885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-1748155</wp:posOffset>
            </wp:positionV>
            <wp:extent cx="188595" cy="1885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-1045210</wp:posOffset>
            </wp:positionV>
            <wp:extent cx="188595" cy="188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-1045210</wp:posOffset>
            </wp:positionV>
            <wp:extent cx="188595" cy="188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-685165</wp:posOffset>
            </wp:positionV>
            <wp:extent cx="188595" cy="188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-685165</wp:posOffset>
            </wp:positionV>
            <wp:extent cx="188595" cy="1885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1" w:name="page72"/>
    <w:bookmarkEnd w:id="71"/>
    <w:p>
      <w:pPr>
        <w:jc w:val="right"/>
        <w:ind w:righ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0"/>
          <w:szCs w:val="20"/>
          <w:color w:val="auto"/>
        </w:rPr>
      </w:pPr>
    </w:p>
    <w:p>
      <w:pPr>
        <w:ind w:left="540" w:right="2620"/>
        <w:spacing w:after="0" w:line="278" w:lineRule="auto"/>
        <w:rPr>
          <w:sz w:val="20"/>
          <w:szCs w:val="20"/>
          <w:color w:val="auto"/>
        </w:rPr>
      </w:pPr>
      <w:r>
        <w:rPr>
          <w:rFonts w:ascii="Arial" w:cs="Arial" w:eastAsia="Arial" w:hAnsi="Arial"/>
          <w:sz w:val="59"/>
          <w:szCs w:val="59"/>
          <w:b w:val="1"/>
          <w:bCs w:val="1"/>
          <w:color w:val="205BA8"/>
        </w:rPr>
        <w:t>COMPENSATION PROGRAM OBJECTIVES</w:t>
      </w:r>
    </w:p>
    <w:p>
      <w:pPr>
        <w:spacing w:after="0" w:line="64" w:lineRule="exact"/>
        <w:rPr>
          <w:sz w:val="20"/>
          <w:szCs w:val="20"/>
          <w:color w:val="auto"/>
        </w:rPr>
      </w:pPr>
    </w:p>
    <w:p>
      <w:pPr>
        <w:ind w:left="540" w:right="560"/>
        <w:spacing w:after="0" w:line="229" w:lineRule="auto"/>
        <w:rPr>
          <w:sz w:val="20"/>
          <w:szCs w:val="20"/>
          <w:color w:val="auto"/>
        </w:rPr>
      </w:pPr>
      <w:r>
        <w:rPr>
          <w:rFonts w:ascii="Arial" w:cs="Arial" w:eastAsia="Arial" w:hAnsi="Arial"/>
          <w:sz w:val="15"/>
          <w:szCs w:val="15"/>
          <w:color w:val="auto"/>
        </w:rPr>
        <w:t>Our executive compensation program is designed to pay for performance, drive the creation of long-term, sustainable shareholder value, deliver compensation that is competitively positioned amongst our peers, and align with the pursuit and achievement of both our short-term and long-term strategic goals. Our pay program must attract and retain talented leaders who can innovate and execute. Managing our business for the long term is a core Company belief, as demonstrated by our history of growing through innovation and through a pipeline of internally developed medicines. Further, the compensation program also must support the board’s and management’s broader objectives, such as those relating to research and product development; commercialization and access; manufacturing operations; and human capital management, including promotion of a diverse and inclusive workplace. We strive to achieve these objectives by considering the following key compensation program tenets when designing and determining appropriate compensation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92075</wp:posOffset>
            </wp:positionV>
            <wp:extent cx="3094355" cy="21259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094355" cy="2125980"/>
                    </a:xfrm>
                    <a:prstGeom prst="rect">
                      <a:avLst/>
                    </a:prstGeom>
                    <a:noFill/>
                  </pic:spPr>
                </pic:pic>
              </a:graphicData>
            </a:graphic>
          </wp:anchor>
        </w:drawing>
      </w:r>
    </w:p>
    <w:p>
      <w:pPr>
        <w:spacing w:after="0" w:line="125" w:lineRule="exact"/>
        <w:rPr>
          <w:sz w:val="20"/>
          <w:szCs w:val="20"/>
          <w:color w:val="auto"/>
        </w:rPr>
      </w:pPr>
    </w:p>
    <w:tbl>
      <w:tblPr>
        <w:tblLayout w:type="fixed"/>
        <w:tblInd w:w="540" w:type="dxa"/>
        <w:tblCellMar>
          <w:top w:w="0" w:type="dxa"/>
          <w:left w:w="0" w:type="dxa"/>
          <w:bottom w:w="0" w:type="dxa"/>
          <w:right w:w="0" w:type="dxa"/>
        </w:tblCellMar>
      </w:tblPr>
      <w:tr>
        <w:trPr>
          <w:trHeight w:val="297"/>
        </w:trPr>
        <w:tc>
          <w:tcPr>
            <w:tcW w:w="4880" w:type="dxa"/>
            <w:vAlign w:val="bottom"/>
            <w:shd w:val="clear" w:color="auto" w:fill="D0EDFC"/>
          </w:tcPr>
          <w:p>
            <w:pPr>
              <w:ind w:left="100"/>
              <w:spacing w:after="0"/>
              <w:rPr>
                <w:sz w:val="20"/>
                <w:szCs w:val="20"/>
                <w:color w:val="auto"/>
              </w:rPr>
            </w:pPr>
            <w:r>
              <w:rPr>
                <w:rFonts w:ascii="Arial" w:cs="Arial" w:eastAsia="Arial" w:hAnsi="Arial"/>
                <w:sz w:val="18"/>
                <w:szCs w:val="18"/>
                <w:b w:val="1"/>
                <w:bCs w:val="1"/>
                <w:color w:val="205BA8"/>
              </w:rPr>
              <w:t>Drive innovation through ownership culture</w:t>
            </w:r>
          </w:p>
        </w:tc>
        <w:tc>
          <w:tcPr>
            <w:tcW w:w="5280" w:type="dxa"/>
            <w:vAlign w:val="bottom"/>
            <w:shd w:val="clear" w:color="auto" w:fill="D0EDFC"/>
          </w:tcPr>
          <w:p>
            <w:pPr>
              <w:ind w:left="200"/>
              <w:spacing w:after="0"/>
              <w:rPr>
                <w:sz w:val="20"/>
                <w:szCs w:val="20"/>
                <w:color w:val="auto"/>
              </w:rPr>
            </w:pPr>
            <w:r>
              <w:rPr>
                <w:rFonts w:ascii="Arial" w:cs="Arial" w:eastAsia="Arial" w:hAnsi="Arial"/>
                <w:sz w:val="18"/>
                <w:szCs w:val="18"/>
                <w:b w:val="1"/>
                <w:bCs w:val="1"/>
                <w:color w:val="205BA8"/>
              </w:rPr>
              <w:t>Prioritize design simplicity and long-term orientation</w:t>
            </w:r>
          </w:p>
        </w:tc>
        <w:tc>
          <w:tcPr>
            <w:tcW w:w="0" w:type="dxa"/>
            <w:vAlign w:val="bottom"/>
          </w:tcPr>
          <w:p>
            <w:pPr>
              <w:spacing w:after="0"/>
              <w:rPr>
                <w:sz w:val="1"/>
                <w:szCs w:val="1"/>
                <w:color w:val="auto"/>
              </w:rPr>
            </w:pPr>
          </w:p>
        </w:tc>
      </w:tr>
      <w:tr>
        <w:trPr>
          <w:trHeight w:val="67"/>
        </w:trPr>
        <w:tc>
          <w:tcPr>
            <w:tcW w:w="4880" w:type="dxa"/>
            <w:vAlign w:val="bottom"/>
            <w:shd w:val="clear" w:color="auto" w:fill="D0EDFC"/>
          </w:tcPr>
          <w:p>
            <w:pPr>
              <w:spacing w:after="0"/>
              <w:rPr>
                <w:sz w:val="5"/>
                <w:szCs w:val="5"/>
                <w:color w:val="auto"/>
              </w:rPr>
            </w:pPr>
          </w:p>
        </w:tc>
        <w:tc>
          <w:tcPr>
            <w:tcW w:w="5280" w:type="dxa"/>
            <w:vAlign w:val="bottom"/>
            <w:vMerge w:val="restart"/>
            <w:shd w:val="clear" w:color="auto" w:fill="D0EDFC"/>
          </w:tcPr>
          <w:p>
            <w:pPr>
              <w:ind w:left="200"/>
              <w:spacing w:after="0"/>
              <w:rPr>
                <w:sz w:val="20"/>
                <w:szCs w:val="20"/>
                <w:color w:val="auto"/>
              </w:rPr>
            </w:pPr>
            <w:r>
              <w:rPr>
                <w:rFonts w:ascii="Arial" w:cs="Arial" w:eastAsia="Arial" w:hAnsi="Arial"/>
                <w:sz w:val="13"/>
                <w:szCs w:val="13"/>
                <w:color w:val="auto"/>
              </w:rPr>
              <w:t>Tying compensation to long-term, Company-wide success and straightforward</w:t>
            </w:r>
          </w:p>
        </w:tc>
        <w:tc>
          <w:tcPr>
            <w:tcW w:w="0" w:type="dxa"/>
            <w:vAlign w:val="bottom"/>
          </w:tcPr>
          <w:p>
            <w:pPr>
              <w:spacing w:after="0"/>
              <w:rPr>
                <w:sz w:val="1"/>
                <w:szCs w:val="1"/>
                <w:color w:val="auto"/>
              </w:rPr>
            </w:pPr>
          </w:p>
        </w:tc>
      </w:tr>
      <w:tr>
        <w:trPr>
          <w:trHeight w:val="152"/>
        </w:trPr>
        <w:tc>
          <w:tcPr>
            <w:tcW w:w="4880" w:type="dxa"/>
            <w:vAlign w:val="bottom"/>
          </w:tcPr>
          <w:p>
            <w:pPr>
              <w:ind w:left="100"/>
              <w:spacing w:after="0"/>
              <w:rPr>
                <w:sz w:val="20"/>
                <w:szCs w:val="20"/>
                <w:color w:val="auto"/>
              </w:rPr>
            </w:pPr>
            <w:r>
              <w:rPr>
                <w:rFonts w:ascii="Arial" w:cs="Arial" w:eastAsia="Arial" w:hAnsi="Arial"/>
                <w:sz w:val="13"/>
                <w:szCs w:val="13"/>
                <w:color w:val="auto"/>
              </w:rPr>
              <w:t>Our objective is to create and reinforce an ownership culture where employees</w:t>
            </w:r>
          </w:p>
        </w:tc>
        <w:tc>
          <w:tcPr>
            <w:tcW w:w="5280" w:type="dxa"/>
            <w:vAlign w:val="bottom"/>
            <w:vMerge w:val="continue"/>
            <w:shd w:val="clear" w:color="auto" w:fill="D0ED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tcPr>
          <w:p>
            <w:pPr>
              <w:ind w:left="100"/>
              <w:spacing w:after="0"/>
              <w:rPr>
                <w:sz w:val="20"/>
                <w:szCs w:val="20"/>
                <w:color w:val="auto"/>
              </w:rPr>
            </w:pPr>
            <w:r>
              <w:rPr>
                <w:rFonts w:ascii="Arial" w:cs="Arial" w:eastAsia="Arial" w:hAnsi="Arial"/>
                <w:sz w:val="13"/>
                <w:szCs w:val="13"/>
                <w:color w:val="auto"/>
              </w:rPr>
              <w:t>are empowered to pursue fulfilling careers and focus on our mission and drug</w:t>
            </w:r>
          </w:p>
        </w:tc>
        <w:tc>
          <w:tcPr>
            <w:tcW w:w="5280" w:type="dxa"/>
            <w:vAlign w:val="bottom"/>
            <w:shd w:val="clear" w:color="auto" w:fill="D0EDFC"/>
          </w:tcPr>
          <w:p>
            <w:pPr>
              <w:ind w:left="200"/>
              <w:spacing w:after="0"/>
              <w:rPr>
                <w:sz w:val="20"/>
                <w:szCs w:val="20"/>
                <w:color w:val="auto"/>
              </w:rPr>
            </w:pPr>
            <w:r>
              <w:rPr>
                <w:rFonts w:ascii="Arial" w:cs="Arial" w:eastAsia="Arial" w:hAnsi="Arial"/>
                <w:sz w:val="13"/>
                <w:szCs w:val="13"/>
                <w:color w:val="auto"/>
              </w:rPr>
              <w:t>Company goals has enabled us to encourage decision-making that we believe is</w:t>
            </w:r>
          </w:p>
        </w:tc>
        <w:tc>
          <w:tcPr>
            <w:tcW w:w="0" w:type="dxa"/>
            <w:vAlign w:val="bottom"/>
          </w:tcPr>
          <w:p>
            <w:pPr>
              <w:spacing w:after="0"/>
              <w:rPr>
                <w:sz w:val="1"/>
                <w:szCs w:val="1"/>
                <w:color w:val="auto"/>
              </w:rPr>
            </w:pPr>
          </w:p>
        </w:tc>
      </w:tr>
      <w:tr>
        <w:trPr>
          <w:trHeight w:val="148"/>
        </w:trPr>
        <w:tc>
          <w:tcPr>
            <w:tcW w:w="4880" w:type="dxa"/>
            <w:vAlign w:val="bottom"/>
          </w:tcPr>
          <w:p>
            <w:pPr>
              <w:ind w:left="100"/>
              <w:spacing w:after="0"/>
              <w:rPr>
                <w:sz w:val="20"/>
                <w:szCs w:val="20"/>
                <w:color w:val="auto"/>
              </w:rPr>
            </w:pPr>
            <w:r>
              <w:rPr>
                <w:rFonts w:ascii="Arial" w:cs="Arial" w:eastAsia="Arial" w:hAnsi="Arial"/>
                <w:sz w:val="13"/>
                <w:szCs w:val="13"/>
                <w:color w:val="auto"/>
              </w:rPr>
              <w:t>discovery and development. We believe a broad-based equity program that</w:t>
            </w:r>
          </w:p>
        </w:tc>
        <w:tc>
          <w:tcPr>
            <w:tcW w:w="5280" w:type="dxa"/>
            <w:vAlign w:val="bottom"/>
            <w:shd w:val="clear" w:color="auto" w:fill="D0EDFC"/>
          </w:tcPr>
          <w:p>
            <w:pPr>
              <w:ind w:left="200"/>
              <w:spacing w:after="0"/>
              <w:rPr>
                <w:sz w:val="20"/>
                <w:szCs w:val="20"/>
                <w:color w:val="auto"/>
              </w:rPr>
            </w:pPr>
            <w:r>
              <w:rPr>
                <w:rFonts w:ascii="Arial" w:cs="Arial" w:eastAsia="Arial" w:hAnsi="Arial"/>
                <w:sz w:val="13"/>
                <w:szCs w:val="13"/>
                <w:color w:val="auto"/>
              </w:rPr>
              <w:t>consistent with the long-term sustainability of our Company and our reputation. Our</w:t>
            </w:r>
          </w:p>
        </w:tc>
        <w:tc>
          <w:tcPr>
            <w:tcW w:w="0" w:type="dxa"/>
            <w:vAlign w:val="bottom"/>
          </w:tcPr>
          <w:p>
            <w:pPr>
              <w:spacing w:after="0"/>
              <w:rPr>
                <w:sz w:val="1"/>
                <w:szCs w:val="1"/>
                <w:color w:val="auto"/>
              </w:rPr>
            </w:pPr>
          </w:p>
        </w:tc>
      </w:tr>
      <w:tr>
        <w:trPr>
          <w:trHeight w:val="148"/>
        </w:trPr>
        <w:tc>
          <w:tcPr>
            <w:tcW w:w="4880" w:type="dxa"/>
            <w:vAlign w:val="bottom"/>
          </w:tcPr>
          <w:p>
            <w:pPr>
              <w:ind w:left="100"/>
              <w:spacing w:after="0"/>
              <w:rPr>
                <w:sz w:val="20"/>
                <w:szCs w:val="20"/>
                <w:color w:val="auto"/>
              </w:rPr>
            </w:pPr>
            <w:r>
              <w:rPr>
                <w:rFonts w:ascii="Arial" w:cs="Arial" w:eastAsia="Arial" w:hAnsi="Arial"/>
                <w:sz w:val="13"/>
                <w:szCs w:val="13"/>
                <w:color w:val="auto"/>
              </w:rPr>
              <w:t>incentivizes long-term performance and promotes employee retention is a key</w:t>
            </w:r>
          </w:p>
        </w:tc>
        <w:tc>
          <w:tcPr>
            <w:tcW w:w="5280" w:type="dxa"/>
            <w:vAlign w:val="bottom"/>
            <w:shd w:val="clear" w:color="auto" w:fill="D0EDFC"/>
          </w:tcPr>
          <w:p>
            <w:pPr>
              <w:ind w:left="200"/>
              <w:spacing w:after="0"/>
              <w:rPr>
                <w:sz w:val="20"/>
                <w:szCs w:val="20"/>
                <w:color w:val="auto"/>
              </w:rPr>
            </w:pPr>
            <w:r>
              <w:rPr>
                <w:rFonts w:ascii="Arial" w:cs="Arial" w:eastAsia="Arial" w:hAnsi="Arial"/>
                <w:sz w:val="13"/>
                <w:szCs w:val="13"/>
                <w:color w:val="auto"/>
              </w:rPr>
              <w:t>objective is to remain nimble and to have the ability to pivot quickly if needed, without</w:t>
            </w:r>
          </w:p>
        </w:tc>
        <w:tc>
          <w:tcPr>
            <w:tcW w:w="0" w:type="dxa"/>
            <w:vAlign w:val="bottom"/>
          </w:tcPr>
          <w:p>
            <w:pPr>
              <w:spacing w:after="0"/>
              <w:rPr>
                <w:sz w:val="1"/>
                <w:szCs w:val="1"/>
                <w:color w:val="auto"/>
              </w:rPr>
            </w:pPr>
          </w:p>
        </w:tc>
      </w:tr>
      <w:tr>
        <w:trPr>
          <w:trHeight w:val="156"/>
        </w:trPr>
        <w:tc>
          <w:tcPr>
            <w:tcW w:w="4880" w:type="dxa"/>
            <w:vAlign w:val="bottom"/>
          </w:tcPr>
          <w:p>
            <w:pPr>
              <w:ind w:left="100"/>
              <w:spacing w:after="0"/>
              <w:rPr>
                <w:sz w:val="20"/>
                <w:szCs w:val="20"/>
                <w:color w:val="auto"/>
              </w:rPr>
            </w:pPr>
            <w:r>
              <w:rPr>
                <w:rFonts w:ascii="Arial" w:cs="Arial" w:eastAsia="Arial" w:hAnsi="Arial"/>
                <w:sz w:val="13"/>
                <w:szCs w:val="13"/>
                <w:color w:val="auto"/>
              </w:rPr>
              <w:t>ingredient in achieving this culture of ownership and innovation.</w:t>
            </w:r>
          </w:p>
        </w:tc>
        <w:tc>
          <w:tcPr>
            <w:tcW w:w="5280" w:type="dxa"/>
            <w:vAlign w:val="bottom"/>
            <w:shd w:val="clear" w:color="auto" w:fill="D0EDFC"/>
          </w:tcPr>
          <w:p>
            <w:pPr>
              <w:ind w:left="200"/>
              <w:spacing w:after="0"/>
              <w:rPr>
                <w:sz w:val="20"/>
                <w:szCs w:val="20"/>
                <w:color w:val="auto"/>
              </w:rPr>
            </w:pPr>
            <w:r>
              <w:rPr>
                <w:rFonts w:ascii="Arial" w:cs="Arial" w:eastAsia="Arial" w:hAnsi="Arial"/>
                <w:sz w:val="13"/>
                <w:szCs w:val="13"/>
                <w:color w:val="auto"/>
              </w:rPr>
              <w:t>being hindered by overly complex compensation structures.</w:t>
            </w:r>
          </w:p>
        </w:tc>
        <w:tc>
          <w:tcPr>
            <w:tcW w:w="0" w:type="dxa"/>
            <w:vAlign w:val="bottom"/>
          </w:tcPr>
          <w:p>
            <w:pPr>
              <w:spacing w:after="0"/>
              <w:rPr>
                <w:sz w:val="1"/>
                <w:szCs w:val="1"/>
                <w:color w:val="auto"/>
              </w:rPr>
            </w:pPr>
          </w:p>
        </w:tc>
      </w:tr>
      <w:tr>
        <w:trPr>
          <w:trHeight w:val="70"/>
        </w:trPr>
        <w:tc>
          <w:tcPr>
            <w:tcW w:w="4880" w:type="dxa"/>
            <w:vAlign w:val="bottom"/>
          </w:tcPr>
          <w:p>
            <w:pPr>
              <w:spacing w:after="0"/>
              <w:rPr>
                <w:sz w:val="6"/>
                <w:szCs w:val="6"/>
                <w:color w:val="auto"/>
              </w:rPr>
            </w:pPr>
          </w:p>
        </w:tc>
        <w:tc>
          <w:tcPr>
            <w:tcW w:w="5280" w:type="dxa"/>
            <w:vAlign w:val="bottom"/>
            <w:shd w:val="clear" w:color="auto" w:fill="D0EDFC"/>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-522605</wp:posOffset>
            </wp:positionV>
            <wp:extent cx="3351530" cy="18948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51530" cy="189484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7" w:lineRule="exact"/>
        <w:rPr>
          <w:sz w:val="20"/>
          <w:szCs w:val="20"/>
          <w:color w:val="auto"/>
        </w:rPr>
      </w:pPr>
    </w:p>
    <w:p>
      <w:pPr>
        <w:ind w:left="640" w:right="600"/>
        <w:spacing w:after="0" w:line="271" w:lineRule="auto"/>
        <w:rPr>
          <w:sz w:val="20"/>
          <w:szCs w:val="20"/>
          <w:color w:val="auto"/>
        </w:rPr>
      </w:pPr>
      <w:r>
        <w:rPr>
          <w:rFonts w:ascii="Arial" w:cs="Arial" w:eastAsia="Arial" w:hAnsi="Arial"/>
          <w:sz w:val="18"/>
          <w:szCs w:val="18"/>
          <w:b w:val="1"/>
          <w:bCs w:val="1"/>
          <w:color w:val="205BA8"/>
        </w:rPr>
        <w:t>Provide at-risk, performance-based equity to all employees</w:t>
      </w:r>
    </w:p>
    <w:p>
      <w:pPr>
        <w:spacing w:after="0" w:line="4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 key part of our pay philosophy since our inception has been to award equity-based pay to all employees, not just senior executives, to ensure that when we deliver for patients and for shareholders, everyone shares in the potential upside growth. In line with this goal, approximately 90% of the employee equity grants in each of the last five years were awarded to our employees other than our NEOs. We believe this approach represents one of our competitive advantages.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05BA8"/>
        </w:rPr>
        <w:t>Align with shareholder interests</w:t>
      </w:r>
    </w:p>
    <w:p>
      <w:pPr>
        <w:spacing w:after="0" w:line="305" w:lineRule="exact"/>
        <w:rPr>
          <w:sz w:val="20"/>
          <w:szCs w:val="20"/>
          <w:color w:val="auto"/>
        </w:rPr>
      </w:pPr>
    </w:p>
    <w:p>
      <w:pPr>
        <w:ind w:right="660"/>
        <w:spacing w:after="0" w:line="235" w:lineRule="auto"/>
        <w:rPr>
          <w:sz w:val="20"/>
          <w:szCs w:val="20"/>
          <w:color w:val="auto"/>
        </w:rPr>
      </w:pPr>
      <w:r>
        <w:rPr>
          <w:rFonts w:ascii="Arial" w:cs="Arial" w:eastAsia="Arial" w:hAnsi="Arial"/>
          <w:sz w:val="13"/>
          <w:szCs w:val="13"/>
          <w:color w:val="auto"/>
        </w:rPr>
        <w:t>Our objective has always been to ensure close alignment with shareholder interests. All of the direct pay of our CEO and CSO, except for base salary, depends on performance and is “at-risk.” For our CEO, at-risk pay comprised 95% of his direct pay in 2020, which is significantly higher than the percentage of at-risk compensation for</w:t>
      </w:r>
    </w:p>
    <w:p>
      <w:pPr>
        <w:spacing w:after="0" w:line="1" w:lineRule="exact"/>
        <w:rPr>
          <w:sz w:val="20"/>
          <w:szCs w:val="20"/>
          <w:color w:val="auto"/>
        </w:rPr>
      </w:pPr>
    </w:p>
    <w:p>
      <w:pPr>
        <w:ind w:right="640"/>
        <w:spacing w:after="0" w:line="224" w:lineRule="auto"/>
        <w:rPr>
          <w:sz w:val="20"/>
          <w:szCs w:val="20"/>
          <w:color w:val="auto"/>
        </w:rPr>
      </w:pPr>
      <w:r>
        <w:rPr>
          <w:rFonts w:ascii="Arial" w:cs="Arial" w:eastAsia="Arial" w:hAnsi="Arial"/>
          <w:sz w:val="13"/>
          <w:szCs w:val="13"/>
          <w:color w:val="auto"/>
        </w:rPr>
        <w:t>CEOs in our Peer Group, as shown in the charts below.</w:t>
      </w:r>
      <w:r>
        <w:rPr>
          <w:rFonts w:ascii="Arial" w:cs="Arial" w:eastAsia="Arial" w:hAnsi="Arial"/>
          <w:sz w:val="21"/>
          <w:szCs w:val="21"/>
          <w:color w:val="auto"/>
          <w:vertAlign w:val="superscript"/>
        </w:rPr>
        <w:t>7</w:t>
      </w:r>
      <w:r>
        <w:rPr>
          <w:rFonts w:ascii="Arial" w:cs="Arial" w:eastAsia="Arial" w:hAnsi="Arial"/>
          <w:sz w:val="13"/>
          <w:szCs w:val="13"/>
          <w:color w:val="auto"/>
        </w:rPr>
        <w:t xml:space="preserve"> The new equity design used for our CEO and CSO in 2020 further aligns their interests with those of long-term shareholders. More broadly, the long-term nature of our equity program is consistent with the drug discovery and development cycle and, therefore, helps drive the creation of long-term shareholder value.</w:t>
      </w:r>
    </w:p>
    <w:p>
      <w:pPr>
        <w:spacing w:after="0" w:line="200" w:lineRule="exact"/>
        <w:rPr>
          <w:sz w:val="20"/>
          <w:szCs w:val="20"/>
          <w:color w:val="auto"/>
        </w:rPr>
      </w:pPr>
    </w:p>
    <w:p>
      <w:pPr>
        <w:sectPr>
          <w:pgSz w:w="11900" w:h="16838" w:orient="portrait"/>
          <w:cols w:equalWidth="0" w:num="2">
            <w:col w:w="5300" w:space="320"/>
            <w:col w:w="5620"/>
          </w:cols>
          <w:pgMar w:left="320" w:top="405" w:right="339" w:bottom="1440" w:gutter="0" w:footer="0" w:header="0"/>
          <w:type w:val="continuous"/>
        </w:sectPr>
      </w:pPr>
    </w:p>
    <w:p>
      <w:pPr>
        <w:spacing w:after="0" w:line="20" w:lineRule="exact"/>
        <w:rPr>
          <w:sz w:val="20"/>
          <w:szCs w:val="20"/>
          <w:color w:val="auto"/>
        </w:rPr>
      </w:pPr>
    </w:p>
    <w:p>
      <w:pPr>
        <w:ind w:left="540"/>
        <w:spacing w:after="0"/>
        <w:tabs>
          <w:tab w:leader="none" w:pos="5600" w:val="left"/>
        </w:tabs>
        <w:rPr>
          <w:sz w:val="20"/>
          <w:szCs w:val="20"/>
          <w:color w:val="auto"/>
        </w:rPr>
      </w:pPr>
      <w:r>
        <w:rPr>
          <w:rFonts w:ascii="Arial" w:cs="Arial" w:eastAsia="Arial" w:hAnsi="Arial"/>
          <w:sz w:val="13"/>
          <w:szCs w:val="13"/>
          <w:b w:val="1"/>
          <w:bCs w:val="1"/>
          <w:color w:val="C32167"/>
        </w:rPr>
        <w:t>Regeneron CEO Pay Mix</w:t>
      </w:r>
      <w:r>
        <w:rPr>
          <w:rFonts w:ascii="Arial" w:cs="Arial" w:eastAsia="Arial" w:hAnsi="Arial"/>
          <w:sz w:val="20"/>
          <w:szCs w:val="20"/>
          <w:b w:val="1"/>
          <w:bCs w:val="1"/>
          <w:color w:val="C32167"/>
          <w:vertAlign w:val="superscript"/>
        </w:rPr>
        <w:t>8</w:t>
      </w:r>
      <w:r>
        <w:rPr>
          <w:sz w:val="20"/>
          <w:szCs w:val="20"/>
          <w:color w:val="auto"/>
        </w:rPr>
        <w:tab/>
      </w:r>
      <w:r>
        <w:rPr>
          <w:rFonts w:ascii="Arial" w:cs="Arial" w:eastAsia="Arial" w:hAnsi="Arial"/>
          <w:sz w:val="12"/>
          <w:szCs w:val="12"/>
          <w:b w:val="1"/>
          <w:bCs w:val="1"/>
          <w:color w:val="C32167"/>
        </w:rPr>
        <w:t>Peer Group Average CEO Pay Mix</w:t>
      </w:r>
      <w:r>
        <w:rPr>
          <w:rFonts w:ascii="Arial" w:cs="Arial" w:eastAsia="Arial" w:hAnsi="Arial"/>
          <w:sz w:val="19"/>
          <w:szCs w:val="19"/>
          <w:b w:val="1"/>
          <w:bCs w:val="1"/>
          <w:color w:val="C32167"/>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24765</wp:posOffset>
            </wp:positionV>
            <wp:extent cx="6446520" cy="1405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44652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60" w:right="600" w:hanging="312"/>
        <w:spacing w:after="0" w:line="241" w:lineRule="auto"/>
        <w:tabs>
          <w:tab w:leader="none" w:pos="860" w:val="left"/>
        </w:tabs>
        <w:numPr>
          <w:ilvl w:val="0"/>
          <w:numId w:val="75"/>
        </w:numPr>
        <w:rPr>
          <w:rFonts w:ascii="Arial" w:cs="Arial" w:eastAsia="Arial" w:hAnsi="Arial"/>
          <w:sz w:val="14"/>
          <w:szCs w:val="14"/>
          <w:b w:val="1"/>
          <w:bCs w:val="1"/>
          <w:color w:val="205BA8"/>
        </w:rPr>
      </w:pPr>
      <w:r>
        <w:rPr>
          <w:rFonts w:ascii="Arial" w:cs="Arial" w:eastAsia="Arial" w:hAnsi="Arial"/>
          <w:sz w:val="14"/>
          <w:szCs w:val="14"/>
          <w:color w:val="auto"/>
        </w:rPr>
        <w:t>We define “direct pay” or “direct compensation” as total compensation as reported in the Summary Compensation Table in the applicable proxy statement, other than the amounts reported as “All other compensation” and (if applicable) amounts reported under “Change in pension value and nonqualified</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deferred compensation earnings.” Peer Group CEO pay mix based on median for each compensation component using data reported for 2019.</w:t>
      </w:r>
    </w:p>
    <w:p>
      <w:pPr>
        <w:spacing w:after="0" w:line="1" w:lineRule="exact"/>
        <w:rPr>
          <w:sz w:val="20"/>
          <w:szCs w:val="20"/>
          <w:color w:val="auto"/>
        </w:rPr>
      </w:pPr>
    </w:p>
    <w:p>
      <w:pPr>
        <w:ind w:left="860" w:right="580" w:hanging="312"/>
        <w:spacing w:after="0" w:line="245" w:lineRule="auto"/>
        <w:tabs>
          <w:tab w:leader="none" w:pos="860" w:val="left"/>
        </w:tabs>
        <w:numPr>
          <w:ilvl w:val="0"/>
          <w:numId w:val="76"/>
        </w:numPr>
        <w:rPr>
          <w:rFonts w:ascii="Arial" w:cs="Arial" w:eastAsia="Arial" w:hAnsi="Arial"/>
          <w:sz w:val="14"/>
          <w:szCs w:val="14"/>
          <w:b w:val="1"/>
          <w:bCs w:val="1"/>
          <w:color w:val="205BA8"/>
        </w:rPr>
      </w:pPr>
      <w:r>
        <w:rPr>
          <w:rFonts w:ascii="Arial" w:cs="Arial" w:eastAsia="Arial" w:hAnsi="Arial"/>
          <w:sz w:val="14"/>
          <w:szCs w:val="14"/>
          <w:color w:val="auto"/>
        </w:rPr>
        <w:t>“At-risk Equity” consists of stock options and any equity awards with performance-based vesting conditions (such as PSUs). For purposes of this chart, we annualized the five-year, front-loaded PSU award to our CEO. “Other Equity” consists of all other equity awards, such as time-based RSAs and RSUs. “At-risk Equity” and “Other Equity” reflect the grant date fair value of such equity awards. “STIP” consists of bonus and/or other applicable compensation provided under short-term, non-equity incentive plans. “At-risk” compensation consists of STIP and At-risk Equity. Total compensation amounts reflect direct compensation (total reported compensation, other than amounts reported as “All other compensation”).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61</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72" w:name="page73"/>
    <w:bookmarkEnd w:id="72"/>
    <w:p>
      <w:pPr>
        <w:ind w:lef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0"/>
          <w:szCs w:val="20"/>
          <w:color w:val="auto"/>
        </w:rPr>
      </w:pPr>
    </w:p>
    <w:p>
      <w:pPr>
        <w:ind w:left="540" w:right="980"/>
        <w:spacing w:after="0" w:line="258" w:lineRule="auto"/>
        <w:rPr>
          <w:sz w:val="20"/>
          <w:szCs w:val="20"/>
          <w:color w:val="auto"/>
        </w:rPr>
      </w:pPr>
      <w:r>
        <w:rPr>
          <w:rFonts w:ascii="Arial" w:cs="Arial" w:eastAsia="Arial" w:hAnsi="Arial"/>
          <w:sz w:val="59"/>
          <w:szCs w:val="59"/>
          <w:b w:val="1"/>
          <w:bCs w:val="1"/>
          <w:color w:val="205BA8"/>
        </w:rPr>
        <w:t>COMPONENTS OF EXECUTIVE PAY: WHAT WE PAY AND WHY WE PAY IT</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OUR NEO COMPENSATION HAS FIVE PRINCIPAL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130810</wp:posOffset>
            </wp:positionV>
            <wp:extent cx="5143500" cy="643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0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C44E5E"/>
        </w:rPr>
        <w:t>We use these pay components to achieve the following objectives: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300" w:type="dxa"/>
            <w:vAlign w:val="bottom"/>
            <w:tcBorders>
              <w:bottom w:val="single" w:sz="8" w:color="1F5AA8"/>
            </w:tcBorders>
          </w:tcPr>
          <w:p>
            <w:pPr>
              <w:spacing w:after="0"/>
              <w:rPr>
                <w:sz w:val="15"/>
                <w:szCs w:val="15"/>
                <w:color w:val="auto"/>
              </w:rPr>
            </w:pPr>
          </w:p>
        </w:tc>
        <w:tc>
          <w:tcPr>
            <w:tcW w:w="3720" w:type="dxa"/>
            <w:vAlign w:val="bottom"/>
            <w:tcBorders>
              <w:bottom w:val="single" w:sz="8" w:color="1F5AA8"/>
            </w:tcBorders>
            <w:gridSpan w:val="3"/>
          </w:tcPr>
          <w:p>
            <w:pPr>
              <w:ind w:left="540"/>
              <w:spacing w:after="0"/>
              <w:rPr>
                <w:sz w:val="20"/>
                <w:szCs w:val="20"/>
                <w:color w:val="auto"/>
              </w:rPr>
            </w:pPr>
            <w:r>
              <w:rPr>
                <w:rFonts w:ascii="Arial" w:cs="Arial" w:eastAsia="Arial" w:hAnsi="Arial"/>
                <w:sz w:val="14"/>
                <w:szCs w:val="14"/>
                <w:b w:val="1"/>
                <w:bCs w:val="1"/>
                <w:color w:val="205BA8"/>
              </w:rPr>
              <w:t>COMPENSATION COMPONENTS</w:t>
            </w:r>
          </w:p>
        </w:tc>
        <w:tc>
          <w:tcPr>
            <w:tcW w:w="900" w:type="dxa"/>
            <w:vAlign w:val="bottom"/>
            <w:tcBorders>
              <w:bottom w:val="single" w:sz="8" w:color="1F5AA8"/>
            </w:tcBorders>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Arial" w:cs="Arial" w:eastAsia="Arial" w:hAnsi="Arial"/>
                <w:sz w:val="14"/>
                <w:szCs w:val="14"/>
                <w:b w:val="1"/>
                <w:bCs w:val="1"/>
                <w:color w:val="205BA8"/>
              </w:rPr>
              <w:t>Potential</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205BA8"/>
              </w:rPr>
              <w:t>Annual Cash</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205BA8"/>
              </w:rPr>
              <w:t>Annual Equity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205BA8"/>
              </w:rPr>
              <w:t>Perquisites and</w:t>
            </w: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205BA8"/>
              </w:rPr>
              <w:t>Severance</w:t>
            </w: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4240" w:type="dxa"/>
            <w:vAlign w:val="bottom"/>
          </w:tcPr>
          <w:p>
            <w:pPr>
              <w:ind w:left="60"/>
              <w:spacing w:after="0"/>
              <w:rPr>
                <w:sz w:val="20"/>
                <w:szCs w:val="20"/>
                <w:color w:val="auto"/>
              </w:rPr>
            </w:pPr>
            <w:r>
              <w:rPr>
                <w:rFonts w:ascii="Arial" w:cs="Arial" w:eastAsia="Arial" w:hAnsi="Arial"/>
                <w:sz w:val="14"/>
                <w:szCs w:val="14"/>
                <w:b w:val="1"/>
                <w:bCs w:val="1"/>
                <w:color w:val="205BA8"/>
              </w:rPr>
              <w:t>Objective</w:t>
            </w:r>
          </w:p>
        </w:tc>
        <w:tc>
          <w:tcPr>
            <w:tcW w:w="1300" w:type="dxa"/>
            <w:vAlign w:val="bottom"/>
          </w:tcPr>
          <w:p>
            <w:pPr>
              <w:jc w:val="center"/>
              <w:ind w:left="42"/>
              <w:spacing w:after="0"/>
              <w:rPr>
                <w:sz w:val="20"/>
                <w:szCs w:val="20"/>
                <w:color w:val="auto"/>
              </w:rPr>
            </w:pPr>
            <w:r>
              <w:rPr>
                <w:rFonts w:ascii="Arial" w:cs="Arial" w:eastAsia="Arial" w:hAnsi="Arial"/>
                <w:sz w:val="14"/>
                <w:szCs w:val="14"/>
                <w:b w:val="1"/>
                <w:bCs w:val="1"/>
                <w:color w:val="205BA8"/>
              </w:rPr>
              <w:t>Base Salaries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205BA8"/>
              </w:rPr>
              <w:t>Incentives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205BA8"/>
                <w:w w:val="98"/>
              </w:rPr>
              <w:t>Awards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205BA8"/>
              </w:rPr>
              <w:t>Personal Benefits</w:t>
            </w: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205BA8"/>
              </w:rPr>
              <w:t>Payments</w:t>
            </w:r>
          </w:p>
        </w:tc>
        <w:tc>
          <w:tcPr>
            <w:tcW w:w="0" w:type="dxa"/>
            <w:vAlign w:val="bottom"/>
          </w:tcPr>
          <w:p>
            <w:pPr>
              <w:spacing w:after="0"/>
              <w:rPr>
                <w:sz w:val="1"/>
                <w:szCs w:val="1"/>
                <w:color w:val="auto"/>
              </w:rPr>
            </w:pPr>
          </w:p>
        </w:tc>
      </w:tr>
      <w:tr>
        <w:trPr>
          <w:trHeight w:val="467"/>
        </w:trPr>
        <w:tc>
          <w:tcPr>
            <w:tcW w:w="540" w:type="dxa"/>
            <w:vAlign w:val="bottom"/>
          </w:tcPr>
          <w:p>
            <w:pPr>
              <w:spacing w:after="0"/>
              <w:rPr>
                <w:sz w:val="24"/>
                <w:szCs w:val="24"/>
                <w:color w:val="auto"/>
              </w:rPr>
            </w:pPr>
          </w:p>
        </w:tc>
        <w:tc>
          <w:tcPr>
            <w:tcW w:w="4240" w:type="dxa"/>
            <w:vAlign w:val="bottom"/>
            <w:tcBorders>
              <w:top w:val="single" w:sz="8" w:color="1F5AA8"/>
            </w:tcBorders>
            <w:shd w:val="clear" w:color="auto" w:fill="EBEBEB"/>
          </w:tcPr>
          <w:p>
            <w:pPr>
              <w:ind w:left="60"/>
              <w:spacing w:after="0"/>
              <w:rPr>
                <w:sz w:val="20"/>
                <w:szCs w:val="20"/>
                <w:color w:val="auto"/>
              </w:rPr>
            </w:pPr>
            <w:r>
              <w:rPr>
                <w:rFonts w:ascii="Arial" w:cs="Arial" w:eastAsia="Arial" w:hAnsi="Arial"/>
                <w:sz w:val="14"/>
                <w:szCs w:val="14"/>
                <w:color w:val="auto"/>
              </w:rPr>
              <w:t>Attract and retain top talent</w:t>
            </w:r>
          </w:p>
        </w:tc>
        <w:tc>
          <w:tcPr>
            <w:tcW w:w="1300" w:type="dxa"/>
            <w:vAlign w:val="bottom"/>
            <w:tcBorders>
              <w:top w:val="single" w:sz="8" w:color="1F5AA8"/>
            </w:tcBorders>
            <w:shd w:val="clear" w:color="auto" w:fill="EBEBEB"/>
          </w:tcPr>
          <w:p>
            <w:pPr>
              <w:jc w:val="center"/>
              <w:ind w:left="42"/>
              <w:spacing w:after="0"/>
              <w:rPr>
                <w:sz w:val="20"/>
                <w:szCs w:val="20"/>
                <w:color w:val="auto"/>
              </w:rPr>
            </w:pPr>
            <w:r>
              <w:rPr>
                <w:rFonts w:ascii="Arial" w:cs="Arial" w:eastAsia="Arial" w:hAnsi="Arial"/>
                <w:sz w:val="16"/>
                <w:szCs w:val="16"/>
                <w:b w:val="1"/>
                <w:bCs w:val="1"/>
                <w:color w:val="205BA8"/>
              </w:rPr>
              <w:t>●</w:t>
            </w:r>
          </w:p>
        </w:tc>
        <w:tc>
          <w:tcPr>
            <w:tcW w:w="1100" w:type="dxa"/>
            <w:vAlign w:val="bottom"/>
            <w:tcBorders>
              <w:top w:val="single" w:sz="8" w:color="1F5AA8"/>
            </w:tcBorders>
            <w:shd w:val="clear" w:color="auto" w:fill="EBEBEB"/>
          </w:tcPr>
          <w:p>
            <w:pPr>
              <w:jc w:val="center"/>
              <w:spacing w:after="0"/>
              <w:rPr>
                <w:sz w:val="20"/>
                <w:szCs w:val="20"/>
                <w:color w:val="auto"/>
              </w:rPr>
            </w:pPr>
            <w:r>
              <w:rPr>
                <w:rFonts w:ascii="Arial" w:cs="Arial" w:eastAsia="Arial" w:hAnsi="Arial"/>
                <w:sz w:val="16"/>
                <w:szCs w:val="16"/>
                <w:b w:val="1"/>
                <w:bCs w:val="1"/>
                <w:color w:val="205BA8"/>
              </w:rPr>
              <w:t>●</w:t>
            </w:r>
          </w:p>
        </w:tc>
        <w:tc>
          <w:tcPr>
            <w:tcW w:w="1180" w:type="dxa"/>
            <w:vAlign w:val="bottom"/>
            <w:tcBorders>
              <w:top w:val="single" w:sz="8" w:color="1F5AA8"/>
            </w:tcBorders>
            <w:shd w:val="clear" w:color="auto" w:fill="EBEBEB"/>
          </w:tcPr>
          <w:p>
            <w:pPr>
              <w:jc w:val="center"/>
              <w:spacing w:after="0"/>
              <w:rPr>
                <w:sz w:val="20"/>
                <w:szCs w:val="20"/>
                <w:color w:val="auto"/>
              </w:rPr>
            </w:pPr>
            <w:r>
              <w:rPr>
                <w:rFonts w:ascii="Arial" w:cs="Arial" w:eastAsia="Arial" w:hAnsi="Arial"/>
                <w:sz w:val="16"/>
                <w:szCs w:val="16"/>
                <w:b w:val="1"/>
                <w:bCs w:val="1"/>
                <w:color w:val="205BA8"/>
              </w:rPr>
              <w:t>●</w:t>
            </w:r>
          </w:p>
        </w:tc>
        <w:tc>
          <w:tcPr>
            <w:tcW w:w="1440" w:type="dxa"/>
            <w:vAlign w:val="bottom"/>
            <w:tcBorders>
              <w:top w:val="single" w:sz="8" w:color="1F5AA8"/>
            </w:tcBorders>
            <w:shd w:val="clear" w:color="auto" w:fill="EBEBEB"/>
          </w:tcPr>
          <w:p>
            <w:pPr>
              <w:jc w:val="center"/>
              <w:spacing w:after="0"/>
              <w:rPr>
                <w:sz w:val="20"/>
                <w:szCs w:val="20"/>
                <w:color w:val="auto"/>
              </w:rPr>
            </w:pPr>
            <w:r>
              <w:rPr>
                <w:rFonts w:ascii="Arial" w:cs="Arial" w:eastAsia="Arial" w:hAnsi="Arial"/>
                <w:sz w:val="16"/>
                <w:szCs w:val="16"/>
                <w:b w:val="1"/>
                <w:bCs w:val="1"/>
                <w:color w:val="205BA8"/>
              </w:rPr>
              <w:t>●</w:t>
            </w:r>
          </w:p>
        </w:tc>
        <w:tc>
          <w:tcPr>
            <w:tcW w:w="900" w:type="dxa"/>
            <w:vAlign w:val="bottom"/>
            <w:tcBorders>
              <w:top w:val="single" w:sz="8" w:color="1F5AA8"/>
            </w:tcBorders>
            <w:shd w:val="clear" w:color="auto" w:fill="EBEBEB"/>
          </w:tcPr>
          <w:p>
            <w:pPr>
              <w:ind w:left="440"/>
              <w:spacing w:after="0"/>
              <w:rPr>
                <w:sz w:val="20"/>
                <w:szCs w:val="20"/>
                <w:color w:val="auto"/>
              </w:rPr>
            </w:pPr>
            <w:r>
              <w:rPr>
                <w:rFonts w:ascii="Arial" w:cs="Arial" w:eastAsia="Arial" w:hAnsi="Arial"/>
                <w:sz w:val="16"/>
                <w:szCs w:val="16"/>
                <w:b w:val="1"/>
                <w:bCs w:val="1"/>
                <w:color w:val="205BA8"/>
              </w:rPr>
              <w: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40" w:type="dxa"/>
            <w:vAlign w:val="bottom"/>
          </w:tcPr>
          <w:p>
            <w:pPr>
              <w:spacing w:after="0"/>
              <w:rPr>
                <w:sz w:val="22"/>
                <w:szCs w:val="22"/>
                <w:color w:val="auto"/>
              </w:rPr>
            </w:pPr>
          </w:p>
        </w:tc>
        <w:tc>
          <w:tcPr>
            <w:tcW w:w="4240" w:type="dxa"/>
            <w:vAlign w:val="bottom"/>
            <w:tcBorders>
              <w:bottom w:val="single" w:sz="8" w:color="auto"/>
            </w:tcBorders>
            <w:shd w:val="clear" w:color="auto" w:fill="EBEBEB"/>
          </w:tcPr>
          <w:p>
            <w:pPr>
              <w:spacing w:after="0"/>
              <w:rPr>
                <w:sz w:val="22"/>
                <w:szCs w:val="22"/>
                <w:color w:val="auto"/>
              </w:rPr>
            </w:pPr>
          </w:p>
        </w:tc>
        <w:tc>
          <w:tcPr>
            <w:tcW w:w="1300" w:type="dxa"/>
            <w:vAlign w:val="bottom"/>
            <w:tcBorders>
              <w:bottom w:val="single" w:sz="8" w:color="auto"/>
            </w:tcBorders>
            <w:shd w:val="clear" w:color="auto" w:fill="EBEBEB"/>
          </w:tcPr>
          <w:p>
            <w:pPr>
              <w:spacing w:after="0"/>
              <w:rPr>
                <w:sz w:val="22"/>
                <w:szCs w:val="22"/>
                <w:color w:val="auto"/>
              </w:rPr>
            </w:pPr>
          </w:p>
        </w:tc>
        <w:tc>
          <w:tcPr>
            <w:tcW w:w="1100" w:type="dxa"/>
            <w:vAlign w:val="bottom"/>
            <w:tcBorders>
              <w:bottom w:val="single" w:sz="8" w:color="auto"/>
            </w:tcBorders>
            <w:shd w:val="clear" w:color="auto" w:fill="EBEBEB"/>
          </w:tcPr>
          <w:p>
            <w:pPr>
              <w:spacing w:after="0"/>
              <w:rPr>
                <w:sz w:val="22"/>
                <w:szCs w:val="22"/>
                <w:color w:val="auto"/>
              </w:rPr>
            </w:pPr>
          </w:p>
        </w:tc>
        <w:tc>
          <w:tcPr>
            <w:tcW w:w="1180" w:type="dxa"/>
            <w:vAlign w:val="bottom"/>
            <w:tcBorders>
              <w:bottom w:val="single" w:sz="8" w:color="auto"/>
            </w:tcBorders>
            <w:shd w:val="clear" w:color="auto" w:fill="EBEBEB"/>
          </w:tcPr>
          <w:p>
            <w:pPr>
              <w:spacing w:after="0"/>
              <w:rPr>
                <w:sz w:val="22"/>
                <w:szCs w:val="22"/>
                <w:color w:val="auto"/>
              </w:rPr>
            </w:pPr>
          </w:p>
        </w:tc>
        <w:tc>
          <w:tcPr>
            <w:tcW w:w="1440" w:type="dxa"/>
            <w:vAlign w:val="bottom"/>
            <w:tcBorders>
              <w:bottom w:val="single" w:sz="8" w:color="auto"/>
            </w:tcBorders>
            <w:shd w:val="clear" w:color="auto" w:fill="EBEBEB"/>
          </w:tcPr>
          <w:p>
            <w:pPr>
              <w:spacing w:after="0"/>
              <w:rPr>
                <w:sz w:val="22"/>
                <w:szCs w:val="22"/>
                <w:color w:val="auto"/>
              </w:rPr>
            </w:pPr>
          </w:p>
        </w:tc>
        <w:tc>
          <w:tcPr>
            <w:tcW w:w="900" w:type="dxa"/>
            <w:vAlign w:val="bottom"/>
            <w:tcBorders>
              <w:bottom w:val="single" w:sz="8" w:color="auto"/>
            </w:tcBorders>
            <w:shd w:val="clear" w:color="auto" w:fill="EBEBEB"/>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540" w:type="dxa"/>
            <w:vAlign w:val="bottom"/>
          </w:tcPr>
          <w:p>
            <w:pPr>
              <w:spacing w:after="0"/>
              <w:rPr>
                <w:sz w:val="24"/>
                <w:szCs w:val="24"/>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Provide stability and manage risk</w:t>
            </w:r>
          </w:p>
        </w:tc>
        <w:tc>
          <w:tcPr>
            <w:tcW w:w="1300" w:type="dxa"/>
            <w:vAlign w:val="bottom"/>
          </w:tcPr>
          <w:p>
            <w:pPr>
              <w:jc w:val="center"/>
              <w:ind w:left="42"/>
              <w:spacing w:after="0"/>
              <w:rPr>
                <w:sz w:val="20"/>
                <w:szCs w:val="20"/>
                <w:color w:val="auto"/>
              </w:rPr>
            </w:pPr>
            <w:r>
              <w:rPr>
                <w:rFonts w:ascii="Arial" w:cs="Arial" w:eastAsia="Arial" w:hAnsi="Arial"/>
                <w:sz w:val="16"/>
                <w:szCs w:val="16"/>
                <w:b w:val="1"/>
                <w:bCs w:val="1"/>
                <w:color w:val="205BA8"/>
              </w:rPr>
              <w:t>●</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gridSpan w:val="2"/>
          </w:tcPr>
          <w:p>
            <w:pPr>
              <w:ind w:left="440"/>
              <w:spacing w:after="0"/>
              <w:rPr>
                <w:sz w:val="20"/>
                <w:szCs w:val="20"/>
                <w:color w:val="auto"/>
              </w:rPr>
            </w:pPr>
            <w:r>
              <w:rPr>
                <w:rFonts w:ascii="Arial" w:cs="Arial" w:eastAsia="Arial" w:hAnsi="Arial"/>
                <w:sz w:val="16"/>
                <w:szCs w:val="16"/>
                <w:b w:val="1"/>
                <w:bCs w:val="1"/>
                <w:color w:val="205BA8"/>
              </w:rPr>
              <w:t>●</w:t>
            </w:r>
          </w:p>
        </w:tc>
        <w:tc>
          <w:tcPr>
            <w:tcW w:w="0" w:type="dxa"/>
            <w:vAlign w:val="bottom"/>
          </w:tcPr>
          <w:p>
            <w:pPr>
              <w:spacing w:after="0"/>
              <w:rPr>
                <w:sz w:val="1"/>
                <w:szCs w:val="1"/>
                <w:color w:val="auto"/>
              </w:rPr>
            </w:pPr>
          </w:p>
        </w:tc>
      </w:tr>
      <w:tr>
        <w:trPr>
          <w:trHeight w:val="263"/>
        </w:trPr>
        <w:tc>
          <w:tcPr>
            <w:tcW w:w="540" w:type="dxa"/>
            <w:vAlign w:val="bottom"/>
          </w:tcPr>
          <w:p>
            <w:pPr>
              <w:spacing w:after="0"/>
              <w:rPr>
                <w:sz w:val="22"/>
                <w:szCs w:val="22"/>
                <w:color w:val="auto"/>
              </w:rPr>
            </w:pPr>
          </w:p>
        </w:tc>
        <w:tc>
          <w:tcPr>
            <w:tcW w:w="4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540" w:type="dxa"/>
            <w:vAlign w:val="bottom"/>
          </w:tcPr>
          <w:p>
            <w:pPr>
              <w:spacing w:after="0"/>
              <w:rPr>
                <w:sz w:val="24"/>
                <w:szCs w:val="24"/>
                <w:color w:val="auto"/>
              </w:rPr>
            </w:pPr>
          </w:p>
        </w:tc>
        <w:tc>
          <w:tcPr>
            <w:tcW w:w="4240" w:type="dxa"/>
            <w:vAlign w:val="bottom"/>
            <w:shd w:val="clear" w:color="auto" w:fill="EBEBEB"/>
          </w:tcPr>
          <w:p>
            <w:pPr>
              <w:ind w:left="60"/>
              <w:spacing w:after="0"/>
              <w:rPr>
                <w:sz w:val="20"/>
                <w:szCs w:val="20"/>
                <w:color w:val="auto"/>
              </w:rPr>
            </w:pPr>
            <w:r>
              <w:rPr>
                <w:rFonts w:ascii="Arial" w:cs="Arial" w:eastAsia="Arial" w:hAnsi="Arial"/>
                <w:sz w:val="14"/>
                <w:szCs w:val="14"/>
                <w:color w:val="auto"/>
              </w:rPr>
              <w:t>Reward annual performance</w:t>
            </w:r>
          </w:p>
        </w:tc>
        <w:tc>
          <w:tcPr>
            <w:tcW w:w="1300" w:type="dxa"/>
            <w:vAlign w:val="bottom"/>
            <w:shd w:val="clear" w:color="auto" w:fill="EBEBEB"/>
          </w:tcPr>
          <w:p>
            <w:pPr>
              <w:spacing w:after="0"/>
              <w:rPr>
                <w:sz w:val="24"/>
                <w:szCs w:val="24"/>
                <w:color w:val="auto"/>
              </w:rPr>
            </w:pPr>
          </w:p>
        </w:tc>
        <w:tc>
          <w:tcPr>
            <w:tcW w:w="1100" w:type="dxa"/>
            <w:vAlign w:val="bottom"/>
            <w:shd w:val="clear" w:color="auto" w:fill="EBEBEB"/>
          </w:tcPr>
          <w:p>
            <w:pPr>
              <w:jc w:val="center"/>
              <w:spacing w:after="0"/>
              <w:rPr>
                <w:sz w:val="20"/>
                <w:szCs w:val="20"/>
                <w:color w:val="auto"/>
              </w:rPr>
            </w:pPr>
            <w:r>
              <w:rPr>
                <w:rFonts w:ascii="Arial" w:cs="Arial" w:eastAsia="Arial" w:hAnsi="Arial"/>
                <w:sz w:val="16"/>
                <w:szCs w:val="16"/>
                <w:b w:val="1"/>
                <w:bCs w:val="1"/>
                <w:color w:val="205BA8"/>
              </w:rPr>
              <w:t>●</w:t>
            </w:r>
          </w:p>
        </w:tc>
        <w:tc>
          <w:tcPr>
            <w:tcW w:w="1180" w:type="dxa"/>
            <w:vAlign w:val="bottom"/>
            <w:shd w:val="clear" w:color="auto" w:fill="EBEBEB"/>
          </w:tcPr>
          <w:p>
            <w:pPr>
              <w:spacing w:after="0"/>
              <w:rPr>
                <w:sz w:val="24"/>
                <w:szCs w:val="24"/>
                <w:color w:val="auto"/>
              </w:rPr>
            </w:pPr>
          </w:p>
        </w:tc>
        <w:tc>
          <w:tcPr>
            <w:tcW w:w="1440" w:type="dxa"/>
            <w:vAlign w:val="bottom"/>
            <w:shd w:val="clear" w:color="auto" w:fill="EBEBEB"/>
          </w:tcPr>
          <w:p>
            <w:pPr>
              <w:spacing w:after="0"/>
              <w:rPr>
                <w:sz w:val="24"/>
                <w:szCs w:val="24"/>
                <w:color w:val="auto"/>
              </w:rPr>
            </w:pPr>
          </w:p>
        </w:tc>
        <w:tc>
          <w:tcPr>
            <w:tcW w:w="900" w:type="dxa"/>
            <w:vAlign w:val="bottom"/>
            <w:shd w:val="clear" w:color="auto" w:fill="EBEBEB"/>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40" w:type="dxa"/>
            <w:vAlign w:val="bottom"/>
          </w:tcPr>
          <w:p>
            <w:pPr>
              <w:spacing w:after="0"/>
              <w:rPr>
                <w:sz w:val="22"/>
                <w:szCs w:val="22"/>
                <w:color w:val="auto"/>
              </w:rPr>
            </w:pPr>
          </w:p>
        </w:tc>
        <w:tc>
          <w:tcPr>
            <w:tcW w:w="4240" w:type="dxa"/>
            <w:vAlign w:val="bottom"/>
            <w:tcBorders>
              <w:bottom w:val="single" w:sz="8" w:color="auto"/>
            </w:tcBorders>
            <w:shd w:val="clear" w:color="auto" w:fill="EBEBEB"/>
          </w:tcPr>
          <w:p>
            <w:pPr>
              <w:spacing w:after="0"/>
              <w:rPr>
                <w:sz w:val="22"/>
                <w:szCs w:val="22"/>
                <w:color w:val="auto"/>
              </w:rPr>
            </w:pPr>
          </w:p>
        </w:tc>
        <w:tc>
          <w:tcPr>
            <w:tcW w:w="1300" w:type="dxa"/>
            <w:vAlign w:val="bottom"/>
            <w:tcBorders>
              <w:bottom w:val="single" w:sz="8" w:color="auto"/>
            </w:tcBorders>
            <w:shd w:val="clear" w:color="auto" w:fill="EBEBEB"/>
          </w:tcPr>
          <w:p>
            <w:pPr>
              <w:spacing w:after="0"/>
              <w:rPr>
                <w:sz w:val="22"/>
                <w:szCs w:val="22"/>
                <w:color w:val="auto"/>
              </w:rPr>
            </w:pPr>
          </w:p>
        </w:tc>
        <w:tc>
          <w:tcPr>
            <w:tcW w:w="1100" w:type="dxa"/>
            <w:vAlign w:val="bottom"/>
            <w:tcBorders>
              <w:bottom w:val="single" w:sz="8" w:color="auto"/>
            </w:tcBorders>
            <w:shd w:val="clear" w:color="auto" w:fill="EBEBEB"/>
          </w:tcPr>
          <w:p>
            <w:pPr>
              <w:spacing w:after="0"/>
              <w:rPr>
                <w:sz w:val="22"/>
                <w:szCs w:val="22"/>
                <w:color w:val="auto"/>
              </w:rPr>
            </w:pPr>
          </w:p>
        </w:tc>
        <w:tc>
          <w:tcPr>
            <w:tcW w:w="1180" w:type="dxa"/>
            <w:vAlign w:val="bottom"/>
            <w:tcBorders>
              <w:bottom w:val="single" w:sz="8" w:color="auto"/>
            </w:tcBorders>
            <w:shd w:val="clear" w:color="auto" w:fill="EBEBEB"/>
          </w:tcPr>
          <w:p>
            <w:pPr>
              <w:spacing w:after="0"/>
              <w:rPr>
                <w:sz w:val="22"/>
                <w:szCs w:val="22"/>
                <w:color w:val="auto"/>
              </w:rPr>
            </w:pPr>
          </w:p>
        </w:tc>
        <w:tc>
          <w:tcPr>
            <w:tcW w:w="1440" w:type="dxa"/>
            <w:vAlign w:val="bottom"/>
            <w:tcBorders>
              <w:bottom w:val="single" w:sz="8" w:color="auto"/>
            </w:tcBorders>
            <w:shd w:val="clear" w:color="auto" w:fill="EBEBEB"/>
          </w:tcPr>
          <w:p>
            <w:pPr>
              <w:spacing w:after="0"/>
              <w:rPr>
                <w:sz w:val="22"/>
                <w:szCs w:val="22"/>
                <w:color w:val="auto"/>
              </w:rPr>
            </w:pPr>
          </w:p>
        </w:tc>
        <w:tc>
          <w:tcPr>
            <w:tcW w:w="900" w:type="dxa"/>
            <w:vAlign w:val="bottom"/>
            <w:tcBorders>
              <w:bottom w:val="single" w:sz="8" w:color="auto"/>
            </w:tcBorders>
            <w:shd w:val="clear" w:color="auto" w:fill="EBEBEB"/>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40" w:type="dxa"/>
            <w:vAlign w:val="bottom"/>
          </w:tcPr>
          <w:p>
            <w:pPr>
              <w:spacing w:after="0"/>
              <w:rPr>
                <w:sz w:val="23"/>
                <w:szCs w:val="23"/>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Balance immediate focus with</w:t>
            </w:r>
          </w:p>
        </w:tc>
        <w:tc>
          <w:tcPr>
            <w:tcW w:w="1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205BA8"/>
              </w:rPr>
              <w:t>●</w:t>
            </w:r>
          </w:p>
        </w:tc>
        <w:tc>
          <w:tcPr>
            <w:tcW w:w="1440" w:type="dxa"/>
            <w:vAlign w:val="bottom"/>
          </w:tcPr>
          <w:p>
            <w:pPr>
              <w:spacing w:after="0"/>
              <w:rPr>
                <w:sz w:val="23"/>
                <w:szCs w:val="23"/>
                <w:color w:val="auto"/>
              </w:rPr>
            </w:pPr>
          </w:p>
        </w:tc>
        <w:tc>
          <w:tcPr>
            <w:tcW w:w="144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205BA8"/>
              </w:rPr>
              <w:t>●</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pursuit of sustainable long-term</w:t>
            </w: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performance</w:t>
            </w: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40" w:type="dxa"/>
            <w:vAlign w:val="bottom"/>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540" w:type="dxa"/>
            <w:vAlign w:val="bottom"/>
          </w:tcPr>
          <w:p>
            <w:pPr>
              <w:spacing w:after="0"/>
              <w:rPr>
                <w:sz w:val="23"/>
                <w:szCs w:val="23"/>
                <w:color w:val="auto"/>
              </w:rPr>
            </w:pPr>
          </w:p>
        </w:tc>
        <w:tc>
          <w:tcPr>
            <w:tcW w:w="4240" w:type="dxa"/>
            <w:vAlign w:val="bottom"/>
            <w:shd w:val="clear" w:color="auto" w:fill="EBEBEB"/>
          </w:tcPr>
          <w:p>
            <w:pPr>
              <w:ind w:left="60"/>
              <w:spacing w:after="0"/>
              <w:rPr>
                <w:sz w:val="20"/>
                <w:szCs w:val="20"/>
                <w:color w:val="auto"/>
              </w:rPr>
            </w:pPr>
            <w:r>
              <w:rPr>
                <w:rFonts w:ascii="Arial" w:cs="Arial" w:eastAsia="Arial" w:hAnsi="Arial"/>
                <w:sz w:val="14"/>
                <w:szCs w:val="14"/>
                <w:color w:val="auto"/>
              </w:rPr>
              <w:t>Align our employees’ interests with</w:t>
            </w:r>
          </w:p>
        </w:tc>
        <w:tc>
          <w:tcPr>
            <w:tcW w:w="1300" w:type="dxa"/>
            <w:vAlign w:val="bottom"/>
            <w:shd w:val="clear" w:color="auto" w:fill="EBEBEB"/>
          </w:tcPr>
          <w:p>
            <w:pPr>
              <w:spacing w:after="0"/>
              <w:rPr>
                <w:sz w:val="23"/>
                <w:szCs w:val="23"/>
                <w:color w:val="auto"/>
              </w:rPr>
            </w:pPr>
          </w:p>
        </w:tc>
        <w:tc>
          <w:tcPr>
            <w:tcW w:w="1100" w:type="dxa"/>
            <w:vAlign w:val="bottom"/>
            <w:vMerge w:val="restart"/>
            <w:shd w:val="clear" w:color="auto" w:fill="EBEBEB"/>
          </w:tcPr>
          <w:p>
            <w:pPr>
              <w:jc w:val="center"/>
              <w:spacing w:after="0"/>
              <w:rPr>
                <w:sz w:val="20"/>
                <w:szCs w:val="20"/>
                <w:color w:val="auto"/>
              </w:rPr>
            </w:pPr>
            <w:r>
              <w:rPr>
                <w:rFonts w:ascii="Arial" w:cs="Arial" w:eastAsia="Arial" w:hAnsi="Arial"/>
                <w:sz w:val="16"/>
                <w:szCs w:val="16"/>
                <w:b w:val="1"/>
                <w:bCs w:val="1"/>
                <w:color w:val="205BA8"/>
              </w:rPr>
              <w:t>●</w:t>
            </w:r>
          </w:p>
        </w:tc>
        <w:tc>
          <w:tcPr>
            <w:tcW w:w="1180" w:type="dxa"/>
            <w:vAlign w:val="bottom"/>
            <w:vMerge w:val="restart"/>
            <w:shd w:val="clear" w:color="auto" w:fill="EBEBEB"/>
          </w:tcPr>
          <w:p>
            <w:pPr>
              <w:jc w:val="center"/>
              <w:spacing w:after="0"/>
              <w:rPr>
                <w:sz w:val="20"/>
                <w:szCs w:val="20"/>
                <w:color w:val="auto"/>
              </w:rPr>
            </w:pPr>
            <w:r>
              <w:rPr>
                <w:rFonts w:ascii="Arial" w:cs="Arial" w:eastAsia="Arial" w:hAnsi="Arial"/>
                <w:sz w:val="16"/>
                <w:szCs w:val="16"/>
                <w:b w:val="1"/>
                <w:bCs w:val="1"/>
                <w:color w:val="205BA8"/>
              </w:rPr>
              <w:t>●</w:t>
            </w:r>
          </w:p>
        </w:tc>
        <w:tc>
          <w:tcPr>
            <w:tcW w:w="1440" w:type="dxa"/>
            <w:vAlign w:val="bottom"/>
            <w:shd w:val="clear" w:color="auto" w:fill="EBEBEB"/>
          </w:tcPr>
          <w:p>
            <w:pPr>
              <w:spacing w:after="0"/>
              <w:rPr>
                <w:sz w:val="23"/>
                <w:szCs w:val="23"/>
                <w:color w:val="auto"/>
              </w:rPr>
            </w:pPr>
          </w:p>
        </w:tc>
        <w:tc>
          <w:tcPr>
            <w:tcW w:w="900" w:type="dxa"/>
            <w:vAlign w:val="bottom"/>
            <w:shd w:val="clear" w:color="auto" w:fill="EBEBEB"/>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4240" w:type="dxa"/>
            <w:vAlign w:val="bottom"/>
            <w:shd w:val="clear" w:color="auto" w:fill="EBEBEB"/>
          </w:tcPr>
          <w:p>
            <w:pPr>
              <w:ind w:left="60"/>
              <w:spacing w:after="0"/>
              <w:rPr>
                <w:sz w:val="20"/>
                <w:szCs w:val="20"/>
                <w:color w:val="auto"/>
              </w:rPr>
            </w:pPr>
            <w:r>
              <w:rPr>
                <w:rFonts w:ascii="Arial" w:cs="Arial" w:eastAsia="Arial" w:hAnsi="Arial"/>
                <w:sz w:val="14"/>
                <w:szCs w:val="14"/>
                <w:color w:val="auto"/>
              </w:rPr>
              <w:t>those of shareholders and reward</w:t>
            </w:r>
          </w:p>
        </w:tc>
        <w:tc>
          <w:tcPr>
            <w:tcW w:w="1300" w:type="dxa"/>
            <w:vAlign w:val="bottom"/>
            <w:shd w:val="clear" w:color="auto" w:fill="EBEBEB"/>
          </w:tcPr>
          <w:p>
            <w:pPr>
              <w:spacing w:after="0"/>
              <w:rPr>
                <w:sz w:val="14"/>
                <w:szCs w:val="14"/>
                <w:color w:val="auto"/>
              </w:rPr>
            </w:pPr>
          </w:p>
        </w:tc>
        <w:tc>
          <w:tcPr>
            <w:tcW w:w="1100" w:type="dxa"/>
            <w:vAlign w:val="bottom"/>
            <w:vMerge w:val="continue"/>
            <w:shd w:val="clear" w:color="auto" w:fill="EBEBEB"/>
          </w:tcPr>
          <w:p>
            <w:pPr>
              <w:spacing w:after="0"/>
              <w:rPr>
                <w:sz w:val="14"/>
                <w:szCs w:val="14"/>
                <w:color w:val="auto"/>
              </w:rPr>
            </w:pPr>
          </w:p>
        </w:tc>
        <w:tc>
          <w:tcPr>
            <w:tcW w:w="1180" w:type="dxa"/>
            <w:vAlign w:val="bottom"/>
            <w:vMerge w:val="continue"/>
            <w:shd w:val="clear" w:color="auto" w:fill="EBEBEB"/>
          </w:tcPr>
          <w:p>
            <w:pPr>
              <w:spacing w:after="0"/>
              <w:rPr>
                <w:sz w:val="14"/>
                <w:szCs w:val="14"/>
                <w:color w:val="auto"/>
              </w:rPr>
            </w:pPr>
          </w:p>
        </w:tc>
        <w:tc>
          <w:tcPr>
            <w:tcW w:w="1440" w:type="dxa"/>
            <w:vAlign w:val="bottom"/>
            <w:shd w:val="clear" w:color="auto" w:fill="EBEBEB"/>
          </w:tcPr>
          <w:p>
            <w:pPr>
              <w:spacing w:after="0"/>
              <w:rPr>
                <w:sz w:val="14"/>
                <w:szCs w:val="14"/>
                <w:color w:val="auto"/>
              </w:rPr>
            </w:pPr>
          </w:p>
        </w:tc>
        <w:tc>
          <w:tcPr>
            <w:tcW w:w="900" w:type="dxa"/>
            <w:vAlign w:val="bottom"/>
            <w:shd w:val="clear" w:color="auto" w:fill="EBEBEB"/>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4240" w:type="dxa"/>
            <w:vAlign w:val="bottom"/>
            <w:shd w:val="clear" w:color="auto" w:fill="EBEBEB"/>
          </w:tcPr>
          <w:p>
            <w:pPr>
              <w:ind w:left="60"/>
              <w:spacing w:after="0"/>
              <w:rPr>
                <w:sz w:val="20"/>
                <w:szCs w:val="20"/>
                <w:color w:val="auto"/>
              </w:rPr>
            </w:pPr>
            <w:r>
              <w:rPr>
                <w:rFonts w:ascii="Arial" w:cs="Arial" w:eastAsia="Arial" w:hAnsi="Arial"/>
                <w:sz w:val="14"/>
                <w:szCs w:val="14"/>
                <w:color w:val="auto"/>
              </w:rPr>
              <w:t>exceptional performance</w:t>
            </w:r>
          </w:p>
        </w:tc>
        <w:tc>
          <w:tcPr>
            <w:tcW w:w="1300" w:type="dxa"/>
            <w:vAlign w:val="bottom"/>
            <w:shd w:val="clear" w:color="auto" w:fill="EBEBEB"/>
          </w:tcPr>
          <w:p>
            <w:pPr>
              <w:spacing w:after="0"/>
              <w:rPr>
                <w:sz w:val="14"/>
                <w:szCs w:val="14"/>
                <w:color w:val="auto"/>
              </w:rPr>
            </w:pPr>
          </w:p>
        </w:tc>
        <w:tc>
          <w:tcPr>
            <w:tcW w:w="1100" w:type="dxa"/>
            <w:vAlign w:val="bottom"/>
            <w:shd w:val="clear" w:color="auto" w:fill="EBEBEB"/>
          </w:tcPr>
          <w:p>
            <w:pPr>
              <w:spacing w:after="0"/>
              <w:rPr>
                <w:sz w:val="14"/>
                <w:szCs w:val="14"/>
                <w:color w:val="auto"/>
              </w:rPr>
            </w:pPr>
          </w:p>
        </w:tc>
        <w:tc>
          <w:tcPr>
            <w:tcW w:w="1180" w:type="dxa"/>
            <w:vAlign w:val="bottom"/>
            <w:shd w:val="clear" w:color="auto" w:fill="EBEBEB"/>
          </w:tcPr>
          <w:p>
            <w:pPr>
              <w:spacing w:after="0"/>
              <w:rPr>
                <w:sz w:val="14"/>
                <w:szCs w:val="14"/>
                <w:color w:val="auto"/>
              </w:rPr>
            </w:pPr>
          </w:p>
        </w:tc>
        <w:tc>
          <w:tcPr>
            <w:tcW w:w="1440" w:type="dxa"/>
            <w:vAlign w:val="bottom"/>
            <w:shd w:val="clear" w:color="auto" w:fill="EBEBEB"/>
          </w:tcPr>
          <w:p>
            <w:pPr>
              <w:spacing w:after="0"/>
              <w:rPr>
                <w:sz w:val="14"/>
                <w:szCs w:val="14"/>
                <w:color w:val="auto"/>
              </w:rPr>
            </w:pPr>
          </w:p>
        </w:tc>
        <w:tc>
          <w:tcPr>
            <w:tcW w:w="900" w:type="dxa"/>
            <w:vAlign w:val="bottom"/>
            <w:shd w:val="clear" w:color="auto" w:fill="EBEBEB"/>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40" w:type="dxa"/>
            <w:vAlign w:val="bottom"/>
          </w:tcPr>
          <w:p>
            <w:pPr>
              <w:spacing w:after="0"/>
              <w:rPr>
                <w:sz w:val="8"/>
                <w:szCs w:val="8"/>
                <w:color w:val="auto"/>
              </w:rPr>
            </w:pPr>
          </w:p>
        </w:tc>
        <w:tc>
          <w:tcPr>
            <w:tcW w:w="4240" w:type="dxa"/>
            <w:vAlign w:val="bottom"/>
            <w:tcBorders>
              <w:bottom w:val="single" w:sz="8" w:color="auto"/>
            </w:tcBorders>
            <w:shd w:val="clear" w:color="auto" w:fill="EBEBEB"/>
          </w:tcPr>
          <w:p>
            <w:pPr>
              <w:spacing w:after="0"/>
              <w:rPr>
                <w:sz w:val="8"/>
                <w:szCs w:val="8"/>
                <w:color w:val="auto"/>
              </w:rPr>
            </w:pPr>
          </w:p>
        </w:tc>
        <w:tc>
          <w:tcPr>
            <w:tcW w:w="1300" w:type="dxa"/>
            <w:vAlign w:val="bottom"/>
            <w:tcBorders>
              <w:bottom w:val="single" w:sz="8" w:color="auto"/>
            </w:tcBorders>
            <w:shd w:val="clear" w:color="auto" w:fill="EBEBEB"/>
          </w:tcPr>
          <w:p>
            <w:pPr>
              <w:spacing w:after="0"/>
              <w:rPr>
                <w:sz w:val="8"/>
                <w:szCs w:val="8"/>
                <w:color w:val="auto"/>
              </w:rPr>
            </w:pPr>
          </w:p>
        </w:tc>
        <w:tc>
          <w:tcPr>
            <w:tcW w:w="1100" w:type="dxa"/>
            <w:vAlign w:val="bottom"/>
            <w:tcBorders>
              <w:bottom w:val="single" w:sz="8" w:color="auto"/>
            </w:tcBorders>
            <w:shd w:val="clear" w:color="auto" w:fill="EBEBEB"/>
          </w:tcPr>
          <w:p>
            <w:pPr>
              <w:spacing w:after="0"/>
              <w:rPr>
                <w:sz w:val="8"/>
                <w:szCs w:val="8"/>
                <w:color w:val="auto"/>
              </w:rPr>
            </w:pPr>
          </w:p>
        </w:tc>
        <w:tc>
          <w:tcPr>
            <w:tcW w:w="1180" w:type="dxa"/>
            <w:vAlign w:val="bottom"/>
            <w:tcBorders>
              <w:bottom w:val="single" w:sz="8" w:color="auto"/>
            </w:tcBorders>
            <w:shd w:val="clear" w:color="auto" w:fill="EBEBEB"/>
          </w:tcPr>
          <w:p>
            <w:pPr>
              <w:spacing w:after="0"/>
              <w:rPr>
                <w:sz w:val="8"/>
                <w:szCs w:val="8"/>
                <w:color w:val="auto"/>
              </w:rPr>
            </w:pPr>
          </w:p>
        </w:tc>
        <w:tc>
          <w:tcPr>
            <w:tcW w:w="1440" w:type="dxa"/>
            <w:vAlign w:val="bottom"/>
            <w:tcBorders>
              <w:bottom w:val="single" w:sz="8" w:color="auto"/>
            </w:tcBorders>
            <w:shd w:val="clear" w:color="auto" w:fill="EBEBEB"/>
          </w:tcPr>
          <w:p>
            <w:pPr>
              <w:spacing w:after="0"/>
              <w:rPr>
                <w:sz w:val="8"/>
                <w:szCs w:val="8"/>
                <w:color w:val="auto"/>
              </w:rPr>
            </w:pPr>
          </w:p>
        </w:tc>
        <w:tc>
          <w:tcPr>
            <w:tcW w:w="900" w:type="dxa"/>
            <w:vAlign w:val="bottom"/>
            <w:tcBorders>
              <w:bottom w:val="single" w:sz="8" w:color="auto"/>
            </w:tcBorders>
            <w:shd w:val="clear" w:color="auto" w:fill="EBEBEB"/>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540" w:type="dxa"/>
            <w:vAlign w:val="bottom"/>
          </w:tcPr>
          <w:p>
            <w:pPr>
              <w:spacing w:after="0"/>
              <w:rPr>
                <w:sz w:val="23"/>
                <w:szCs w:val="23"/>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Promote a culture of scientific</w:t>
            </w:r>
          </w:p>
        </w:tc>
        <w:tc>
          <w:tcPr>
            <w:tcW w:w="1300" w:type="dxa"/>
            <w:vAlign w:val="bottom"/>
            <w:vMerge w:val="restart"/>
          </w:tcPr>
          <w:p>
            <w:pPr>
              <w:jc w:val="center"/>
              <w:ind w:left="42"/>
              <w:spacing w:after="0"/>
              <w:rPr>
                <w:sz w:val="20"/>
                <w:szCs w:val="20"/>
                <w:color w:val="auto"/>
              </w:rPr>
            </w:pPr>
            <w:r>
              <w:rPr>
                <w:rFonts w:ascii="Arial" w:cs="Arial" w:eastAsia="Arial" w:hAnsi="Arial"/>
                <w:sz w:val="16"/>
                <w:szCs w:val="16"/>
                <w:b w:val="1"/>
                <w:bCs w:val="1"/>
                <w:color w:val="205BA8"/>
              </w:rPr>
              <w:t>●</w:t>
            </w: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205BA8"/>
              </w:rPr>
              <w:t>●</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205BA8"/>
              </w:rPr>
              <w:t>●</w:t>
            </w: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205BA8"/>
              </w:rPr>
              <w:t>●</w:t>
            </w:r>
          </w:p>
        </w:tc>
        <w:tc>
          <w:tcPr>
            <w:tcW w:w="144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205BA8"/>
              </w:rPr>
              <w:t>●</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innovation, teamwork, and ethical</w:t>
            </w:r>
          </w:p>
        </w:tc>
        <w:tc>
          <w:tcPr>
            <w:tcW w:w="13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4240" w:type="dxa"/>
            <w:vAlign w:val="bottom"/>
          </w:tcPr>
          <w:p>
            <w:pPr>
              <w:ind w:left="60"/>
              <w:spacing w:after="0"/>
              <w:rPr>
                <w:sz w:val="20"/>
                <w:szCs w:val="20"/>
                <w:color w:val="auto"/>
              </w:rPr>
            </w:pPr>
            <w:r>
              <w:rPr>
                <w:rFonts w:ascii="Arial" w:cs="Arial" w:eastAsia="Arial" w:hAnsi="Arial"/>
                <w:sz w:val="14"/>
                <w:szCs w:val="14"/>
                <w:color w:val="auto"/>
              </w:rPr>
              <w:t>behavior</w:t>
            </w: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40" w:type="dxa"/>
            <w:vAlign w:val="bottom"/>
          </w:tcPr>
          <w:p>
            <w:pPr>
              <w:spacing w:after="0"/>
              <w:rPr>
                <w:sz w:val="8"/>
                <w:szCs w:val="8"/>
                <w:color w:val="auto"/>
              </w:rPr>
            </w:pPr>
          </w:p>
        </w:tc>
        <w:tc>
          <w:tcPr>
            <w:tcW w:w="4240" w:type="dxa"/>
            <w:vAlign w:val="bottom"/>
            <w:tcBorders>
              <w:bottom w:val="single" w:sz="8" w:color="1F5AA8"/>
            </w:tcBorders>
          </w:tcPr>
          <w:p>
            <w:pPr>
              <w:spacing w:after="0"/>
              <w:rPr>
                <w:sz w:val="8"/>
                <w:szCs w:val="8"/>
                <w:color w:val="auto"/>
              </w:rPr>
            </w:pPr>
          </w:p>
        </w:tc>
        <w:tc>
          <w:tcPr>
            <w:tcW w:w="5920" w:type="dxa"/>
            <w:vAlign w:val="bottom"/>
            <w:tcBorders>
              <w:bottom w:val="single" w:sz="8" w:color="1F5AA8"/>
            </w:tcBorders>
            <w:gridSpan w:val="5"/>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8"/>
        </w:trPr>
        <w:tc>
          <w:tcPr>
            <w:tcW w:w="540" w:type="dxa"/>
            <w:vAlign w:val="bottom"/>
          </w:tcPr>
          <w:p>
            <w:pPr>
              <w:jc w:val="right"/>
              <w:ind w:right="148"/>
              <w:spacing w:after="0"/>
              <w:rPr>
                <w:sz w:val="20"/>
                <w:szCs w:val="20"/>
                <w:color w:val="auto"/>
              </w:rPr>
            </w:pPr>
            <w:r>
              <w:rPr>
                <w:rFonts w:ascii="Arial" w:cs="Arial" w:eastAsia="Arial" w:hAnsi="Arial"/>
                <w:sz w:val="14"/>
                <w:szCs w:val="14"/>
                <w:b w:val="1"/>
                <w:bCs w:val="1"/>
                <w:color w:val="00A5EC"/>
              </w:rPr>
              <w:t xml:space="preserve">62  </w:t>
            </w:r>
            <w:r>
              <w:rPr>
                <w:rFonts w:ascii="Arial" w:cs="Arial" w:eastAsia="Arial" w:hAnsi="Arial"/>
                <w:sz w:val="14"/>
                <w:szCs w:val="14"/>
                <w:color w:val="00A5EC"/>
              </w:rPr>
              <w:t>/</w:t>
            </w:r>
          </w:p>
        </w:tc>
        <w:tc>
          <w:tcPr>
            <w:tcW w:w="4240" w:type="dxa"/>
            <w:vAlign w:val="bottom"/>
          </w:tcPr>
          <w:p>
            <w:pPr>
              <w:spacing w:after="0"/>
              <w:rPr>
                <w:sz w:val="24"/>
                <w:szCs w:val="24"/>
                <w:color w:val="auto"/>
              </w:rPr>
            </w:pPr>
          </w:p>
        </w:tc>
        <w:tc>
          <w:tcPr>
            <w:tcW w:w="6460" w:type="dxa"/>
            <w:vAlign w:val="bottom"/>
            <w:gridSpan w:val="6"/>
          </w:tcPr>
          <w:p>
            <w:pPr>
              <w:ind w:left="68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0" w:type="dxa"/>
            <w:vAlign w:val="bottom"/>
          </w:tcPr>
          <w:p>
            <w:pPr>
              <w:spacing w:after="0"/>
              <w:rPr>
                <w:sz w:val="1"/>
                <w:szCs w:val="1"/>
                <w:color w:val="auto"/>
              </w:rPr>
            </w:pPr>
          </w:p>
        </w:tc>
      </w:tr>
      <w:tr>
        <w:trPr>
          <w:trHeight w:val="258"/>
        </w:trPr>
        <w:tc>
          <w:tcPr>
            <w:tcW w:w="540" w:type="dxa"/>
            <w:vAlign w:val="bottom"/>
            <w:tcBorders>
              <w:bottom w:val="single" w:sz="8" w:color="C0C0C0"/>
            </w:tcBorders>
          </w:tcPr>
          <w:p>
            <w:pPr>
              <w:spacing w:after="0"/>
              <w:rPr>
                <w:sz w:val="22"/>
                <w:szCs w:val="22"/>
                <w:color w:val="auto"/>
              </w:rPr>
            </w:pPr>
          </w:p>
        </w:tc>
        <w:tc>
          <w:tcPr>
            <w:tcW w:w="4240" w:type="dxa"/>
            <w:vAlign w:val="bottom"/>
            <w:tcBorders>
              <w:bottom w:val="single" w:sz="8" w:color="C0C0C0"/>
            </w:tcBorders>
          </w:tcPr>
          <w:p>
            <w:pPr>
              <w:spacing w:after="0"/>
              <w:rPr>
                <w:sz w:val="22"/>
                <w:szCs w:val="22"/>
                <w:color w:val="auto"/>
              </w:rPr>
            </w:pPr>
          </w:p>
        </w:tc>
        <w:tc>
          <w:tcPr>
            <w:tcW w:w="1300" w:type="dxa"/>
            <w:vAlign w:val="bottom"/>
            <w:tcBorders>
              <w:bottom w:val="single" w:sz="8" w:color="C0C0C0"/>
            </w:tcBorders>
          </w:tcPr>
          <w:p>
            <w:pPr>
              <w:spacing w:after="0"/>
              <w:rPr>
                <w:sz w:val="22"/>
                <w:szCs w:val="22"/>
                <w:color w:val="auto"/>
              </w:rPr>
            </w:pPr>
          </w:p>
        </w:tc>
        <w:tc>
          <w:tcPr>
            <w:tcW w:w="1100" w:type="dxa"/>
            <w:vAlign w:val="bottom"/>
            <w:tcBorders>
              <w:bottom w:val="single" w:sz="8" w:color="C0C0C0"/>
            </w:tcBorders>
          </w:tcPr>
          <w:p>
            <w:pPr>
              <w:spacing w:after="0"/>
              <w:rPr>
                <w:sz w:val="22"/>
                <w:szCs w:val="22"/>
                <w:color w:val="auto"/>
              </w:rPr>
            </w:pPr>
          </w:p>
        </w:tc>
        <w:tc>
          <w:tcPr>
            <w:tcW w:w="1180" w:type="dxa"/>
            <w:vAlign w:val="bottom"/>
            <w:tcBorders>
              <w:bottom w:val="single" w:sz="8" w:color="C0C0C0"/>
            </w:tcBorders>
          </w:tcPr>
          <w:p>
            <w:pPr>
              <w:spacing w:after="0"/>
              <w:rPr>
                <w:sz w:val="22"/>
                <w:szCs w:val="22"/>
                <w:color w:val="auto"/>
              </w:rPr>
            </w:pPr>
          </w:p>
        </w:tc>
        <w:tc>
          <w:tcPr>
            <w:tcW w:w="1440" w:type="dxa"/>
            <w:vAlign w:val="bottom"/>
            <w:tcBorders>
              <w:bottom w:val="single" w:sz="8" w:color="C0C0C0"/>
            </w:tcBorders>
          </w:tcPr>
          <w:p>
            <w:pPr>
              <w:spacing w:after="0"/>
              <w:rPr>
                <w:sz w:val="22"/>
                <w:szCs w:val="22"/>
                <w:color w:val="auto"/>
              </w:rPr>
            </w:pPr>
          </w:p>
        </w:tc>
        <w:tc>
          <w:tcPr>
            <w:tcW w:w="900" w:type="dxa"/>
            <w:vAlign w:val="bottom"/>
            <w:tcBorders>
              <w:bottom w:val="single" w:sz="8" w:color="C0C0C0"/>
            </w:tcBorders>
          </w:tcPr>
          <w:p>
            <w:pPr>
              <w:spacing w:after="0"/>
              <w:rPr>
                <w:sz w:val="22"/>
                <w:szCs w:val="22"/>
                <w:color w:val="auto"/>
              </w:rPr>
            </w:pPr>
          </w:p>
        </w:tc>
        <w:tc>
          <w:tcPr>
            <w:tcW w:w="54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sectPr>
      </w:pPr>
    </w:p>
    <w:bookmarkStart w:id="73" w:name="page74"/>
    <w:bookmarkEnd w:id="73"/>
    <w:p>
      <w:pPr>
        <w:jc w:val="right"/>
        <w:ind w:righ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83" w:lineRule="exact"/>
        <w:rPr>
          <w:sz w:val="20"/>
          <w:szCs w:val="20"/>
          <w:color w:val="auto"/>
        </w:rPr>
      </w:pPr>
    </w:p>
    <w:p>
      <w:pPr>
        <w:ind w:left="540" w:right="1340"/>
        <w:spacing w:after="0" w:line="242" w:lineRule="auto"/>
        <w:rPr>
          <w:sz w:val="20"/>
          <w:szCs w:val="20"/>
          <w:color w:val="auto"/>
        </w:rPr>
      </w:pPr>
      <w:r>
        <w:rPr>
          <w:rFonts w:ascii="Arial" w:cs="Arial" w:eastAsia="Arial" w:hAnsi="Arial"/>
          <w:sz w:val="15"/>
          <w:szCs w:val="15"/>
          <w:color w:val="auto"/>
        </w:rPr>
        <w:t>The base salary component of NEO pay generally comprises a steadily smaller percentage of overall compensation as executives’ level of responsibility rises.</w:t>
      </w:r>
    </w:p>
    <w:p>
      <w:pPr>
        <w:spacing w:after="0" w:line="125" w:lineRule="exact"/>
        <w:rPr>
          <w:sz w:val="20"/>
          <w:szCs w:val="20"/>
          <w:color w:val="auto"/>
        </w:rPr>
      </w:pPr>
    </w:p>
    <w:p>
      <w:pPr>
        <w:ind w:left="540" w:right="560"/>
        <w:spacing w:after="0" w:line="231" w:lineRule="auto"/>
        <w:rPr>
          <w:sz w:val="20"/>
          <w:szCs w:val="20"/>
          <w:color w:val="auto"/>
        </w:rPr>
      </w:pPr>
      <w:r>
        <w:rPr>
          <w:rFonts w:ascii="Arial" w:cs="Arial" w:eastAsia="Arial" w:hAnsi="Arial"/>
          <w:sz w:val="15"/>
          <w:szCs w:val="15"/>
          <w:color w:val="auto"/>
        </w:rPr>
        <w:t>We consider factors including the executive’s scope of responsibilities, experience, and annual performance when setting base salaries. We also consider base salaries of comparable positions in the region, among our peers, and in the broader biopharmaceutical industry. See the subsections “Compensation Processes—Independent Compensation Consultant” and “Compensation Processes—Peer Data” for further information regarding the role of the Compensation Committee’s independent compensation consultant and our use of Peer Group data for purposes of setting compensation of our NEOs.</w:t>
      </w:r>
    </w:p>
    <w:p>
      <w:pPr>
        <w:spacing w:after="0" w:line="1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 chart of our NEOs’ base salaries follows.</w:t>
      </w:r>
    </w:p>
    <w:p>
      <w:pPr>
        <w:spacing w:after="0" w:line="127"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3440" w:type="dxa"/>
            <w:vAlign w:val="bottom"/>
          </w:tcPr>
          <w:p>
            <w:pPr>
              <w:spacing w:after="0"/>
              <w:rPr>
                <w:sz w:val="12"/>
                <w:szCs w:val="12"/>
                <w:color w:val="auto"/>
              </w:rPr>
            </w:pPr>
          </w:p>
        </w:tc>
        <w:tc>
          <w:tcPr>
            <w:tcW w:w="2100" w:type="dxa"/>
            <w:vAlign w:val="bottom"/>
          </w:tcPr>
          <w:p>
            <w:pPr>
              <w:jc w:val="right"/>
              <w:ind w:right="238"/>
              <w:spacing w:after="0"/>
              <w:rPr>
                <w:sz w:val="20"/>
                <w:szCs w:val="20"/>
                <w:color w:val="auto"/>
              </w:rPr>
            </w:pPr>
            <w:r>
              <w:rPr>
                <w:rFonts w:ascii="Arial" w:cs="Arial" w:eastAsia="Arial" w:hAnsi="Arial"/>
                <w:sz w:val="12"/>
                <w:szCs w:val="12"/>
                <w:b w:val="1"/>
                <w:bCs w:val="1"/>
                <w:color w:val="205BA8"/>
              </w:rPr>
              <w:t>2019 Base</w:t>
            </w:r>
          </w:p>
        </w:tc>
        <w:tc>
          <w:tcPr>
            <w:tcW w:w="1100" w:type="dxa"/>
            <w:vAlign w:val="bottom"/>
          </w:tcPr>
          <w:p>
            <w:pPr>
              <w:jc w:val="right"/>
              <w:ind w:right="218"/>
              <w:spacing w:after="0"/>
              <w:rPr>
                <w:sz w:val="20"/>
                <w:szCs w:val="20"/>
                <w:color w:val="auto"/>
              </w:rPr>
            </w:pPr>
            <w:r>
              <w:rPr>
                <w:rFonts w:ascii="Arial" w:cs="Arial" w:eastAsia="Arial" w:hAnsi="Arial"/>
                <w:sz w:val="12"/>
                <w:szCs w:val="12"/>
                <w:b w:val="1"/>
                <w:bCs w:val="1"/>
                <w:color w:val="205BA8"/>
              </w:rPr>
              <w:t>2020 Base</w:t>
            </w:r>
          </w:p>
        </w:tc>
        <w:tc>
          <w:tcPr>
            <w:tcW w:w="1220" w:type="dxa"/>
            <w:vAlign w:val="bottom"/>
            <w:shd w:val="clear" w:color="auto" w:fill="205BA8"/>
          </w:tcPr>
          <w:p>
            <w:pPr>
              <w:jc w:val="right"/>
              <w:ind w:right="180"/>
              <w:spacing w:after="0"/>
              <w:rPr>
                <w:sz w:val="20"/>
                <w:szCs w:val="20"/>
                <w:color w:val="auto"/>
              </w:rPr>
            </w:pPr>
            <w:r>
              <w:rPr>
                <w:rFonts w:ascii="Arial" w:cs="Arial" w:eastAsia="Arial" w:hAnsi="Arial"/>
                <w:sz w:val="12"/>
                <w:szCs w:val="12"/>
                <w:b w:val="1"/>
                <w:bCs w:val="1"/>
                <w:color w:val="FFFFFF"/>
              </w:rPr>
              <w:t>2020 vs. 2019</w:t>
            </w:r>
          </w:p>
        </w:tc>
        <w:tc>
          <w:tcPr>
            <w:tcW w:w="1080" w:type="dxa"/>
            <w:vAlign w:val="bottom"/>
          </w:tcPr>
          <w:p>
            <w:pPr>
              <w:jc w:val="right"/>
              <w:ind w:right="198"/>
              <w:spacing w:after="0"/>
              <w:rPr>
                <w:sz w:val="20"/>
                <w:szCs w:val="20"/>
                <w:color w:val="auto"/>
              </w:rPr>
            </w:pPr>
            <w:r>
              <w:rPr>
                <w:rFonts w:ascii="Arial" w:cs="Arial" w:eastAsia="Arial" w:hAnsi="Arial"/>
                <w:sz w:val="12"/>
                <w:szCs w:val="12"/>
                <w:b w:val="1"/>
                <w:bCs w:val="1"/>
                <w:color w:val="205BA8"/>
              </w:rPr>
              <w:t>2021 Base</w:t>
            </w:r>
          </w:p>
        </w:tc>
        <w:tc>
          <w:tcPr>
            <w:tcW w:w="1220" w:type="dxa"/>
            <w:vAlign w:val="bottom"/>
            <w:shd w:val="clear" w:color="auto" w:fill="205BA8"/>
          </w:tcPr>
          <w:p>
            <w:pPr>
              <w:jc w:val="right"/>
              <w:ind w:right="180"/>
              <w:spacing w:after="0"/>
              <w:rPr>
                <w:sz w:val="20"/>
                <w:szCs w:val="20"/>
                <w:color w:val="auto"/>
              </w:rPr>
            </w:pPr>
            <w:r>
              <w:rPr>
                <w:rFonts w:ascii="Arial" w:cs="Arial" w:eastAsia="Arial" w:hAnsi="Arial"/>
                <w:sz w:val="12"/>
                <w:szCs w:val="12"/>
                <w:b w:val="1"/>
                <w:bCs w:val="1"/>
                <w:color w:val="FFFFFF"/>
              </w:rPr>
              <w:t>2021 vs. 2020</w:t>
            </w:r>
          </w:p>
        </w:tc>
      </w:tr>
      <w:tr>
        <w:trPr>
          <w:trHeight w:val="154"/>
        </w:trPr>
        <w:tc>
          <w:tcPr>
            <w:tcW w:w="3440" w:type="dxa"/>
            <w:vAlign w:val="bottom"/>
            <w:tcBorders>
              <w:bottom w:val="single" w:sz="8" w:color="1F5AA8"/>
            </w:tcBorders>
          </w:tcPr>
          <w:p>
            <w:pPr>
              <w:ind w:left="60"/>
              <w:spacing w:after="0"/>
              <w:rPr>
                <w:sz w:val="20"/>
                <w:szCs w:val="20"/>
                <w:color w:val="auto"/>
              </w:rPr>
            </w:pPr>
            <w:r>
              <w:rPr>
                <w:rFonts w:ascii="Arial" w:cs="Arial" w:eastAsia="Arial" w:hAnsi="Arial"/>
                <w:sz w:val="12"/>
                <w:szCs w:val="12"/>
                <w:b w:val="1"/>
                <w:bCs w:val="1"/>
                <w:color w:val="205BA8"/>
              </w:rPr>
              <w:t>Named Executive Officer</w:t>
            </w:r>
          </w:p>
        </w:tc>
        <w:tc>
          <w:tcPr>
            <w:tcW w:w="2100" w:type="dxa"/>
            <w:vAlign w:val="bottom"/>
            <w:tcBorders>
              <w:bottom w:val="single" w:sz="8" w:color="1F5AA8"/>
            </w:tcBorders>
          </w:tcPr>
          <w:p>
            <w:pPr>
              <w:jc w:val="right"/>
              <w:ind w:right="258"/>
              <w:spacing w:after="0"/>
              <w:rPr>
                <w:sz w:val="20"/>
                <w:szCs w:val="20"/>
                <w:color w:val="auto"/>
              </w:rPr>
            </w:pPr>
            <w:r>
              <w:rPr>
                <w:rFonts w:ascii="Arial" w:cs="Arial" w:eastAsia="Arial" w:hAnsi="Arial"/>
                <w:sz w:val="12"/>
                <w:szCs w:val="12"/>
                <w:b w:val="1"/>
                <w:bCs w:val="1"/>
                <w:color w:val="205BA8"/>
              </w:rPr>
              <w:t>Salary ($)</w:t>
            </w:r>
          </w:p>
        </w:tc>
        <w:tc>
          <w:tcPr>
            <w:tcW w:w="1100" w:type="dxa"/>
            <w:vAlign w:val="bottom"/>
            <w:tcBorders>
              <w:bottom w:val="single" w:sz="8" w:color="1F5AA8"/>
            </w:tcBorders>
          </w:tcPr>
          <w:p>
            <w:pPr>
              <w:jc w:val="right"/>
              <w:ind w:right="238"/>
              <w:spacing w:after="0"/>
              <w:rPr>
                <w:sz w:val="20"/>
                <w:szCs w:val="20"/>
                <w:color w:val="auto"/>
              </w:rPr>
            </w:pPr>
            <w:r>
              <w:rPr>
                <w:rFonts w:ascii="Arial" w:cs="Arial" w:eastAsia="Arial" w:hAnsi="Arial"/>
                <w:sz w:val="12"/>
                <w:szCs w:val="12"/>
                <w:b w:val="1"/>
                <w:bCs w:val="1"/>
                <w:color w:val="205BA8"/>
              </w:rPr>
              <w:t>Salary ($)</w:t>
            </w:r>
          </w:p>
        </w:tc>
        <w:tc>
          <w:tcPr>
            <w:tcW w:w="1220" w:type="dxa"/>
            <w:vAlign w:val="bottom"/>
            <w:tcBorders>
              <w:bottom w:val="single" w:sz="8" w:color="1F5AA8"/>
            </w:tcBorders>
            <w:shd w:val="clear" w:color="auto" w:fill="205BA8"/>
          </w:tcPr>
          <w:p>
            <w:pPr>
              <w:jc w:val="right"/>
              <w:ind w:right="240"/>
              <w:spacing w:after="0"/>
              <w:rPr>
                <w:sz w:val="20"/>
                <w:szCs w:val="20"/>
                <w:color w:val="auto"/>
              </w:rPr>
            </w:pPr>
            <w:r>
              <w:rPr>
                <w:rFonts w:ascii="Arial" w:cs="Arial" w:eastAsia="Arial" w:hAnsi="Arial"/>
                <w:sz w:val="12"/>
                <w:szCs w:val="12"/>
                <w:b w:val="1"/>
                <w:bCs w:val="1"/>
                <w:color w:val="FFFFFF"/>
              </w:rPr>
              <w:t>Change (%)</w:t>
            </w:r>
          </w:p>
        </w:tc>
        <w:tc>
          <w:tcPr>
            <w:tcW w:w="1080" w:type="dxa"/>
            <w:vAlign w:val="bottom"/>
            <w:tcBorders>
              <w:bottom w:val="single" w:sz="8" w:color="1F5AA8"/>
            </w:tcBorders>
          </w:tcPr>
          <w:p>
            <w:pPr>
              <w:jc w:val="right"/>
              <w:ind w:right="218"/>
              <w:spacing w:after="0"/>
              <w:rPr>
                <w:sz w:val="20"/>
                <w:szCs w:val="20"/>
                <w:color w:val="auto"/>
              </w:rPr>
            </w:pPr>
            <w:r>
              <w:rPr>
                <w:rFonts w:ascii="Arial" w:cs="Arial" w:eastAsia="Arial" w:hAnsi="Arial"/>
                <w:sz w:val="12"/>
                <w:szCs w:val="12"/>
                <w:b w:val="1"/>
                <w:bCs w:val="1"/>
                <w:color w:val="205BA8"/>
              </w:rPr>
              <w:t>Salary ($)</w:t>
            </w:r>
          </w:p>
        </w:tc>
        <w:tc>
          <w:tcPr>
            <w:tcW w:w="1220" w:type="dxa"/>
            <w:vAlign w:val="bottom"/>
            <w:tcBorders>
              <w:bottom w:val="single" w:sz="8" w:color="1F5AA8"/>
            </w:tcBorders>
            <w:shd w:val="clear" w:color="auto" w:fill="205BA8"/>
          </w:tcPr>
          <w:p>
            <w:pPr>
              <w:jc w:val="right"/>
              <w:ind w:right="220"/>
              <w:spacing w:after="0"/>
              <w:rPr>
                <w:sz w:val="20"/>
                <w:szCs w:val="20"/>
                <w:color w:val="auto"/>
              </w:rPr>
            </w:pPr>
            <w:r>
              <w:rPr>
                <w:rFonts w:ascii="Arial" w:cs="Arial" w:eastAsia="Arial" w:hAnsi="Arial"/>
                <w:sz w:val="12"/>
                <w:szCs w:val="12"/>
                <w:b w:val="1"/>
                <w:bCs w:val="1"/>
                <w:color w:val="FFFFFF"/>
              </w:rPr>
              <w:t>Change (%)</w:t>
            </w:r>
          </w:p>
        </w:tc>
      </w:tr>
      <w:tr>
        <w:trPr>
          <w:trHeight w:val="176"/>
        </w:trPr>
        <w:tc>
          <w:tcPr>
            <w:tcW w:w="3440" w:type="dxa"/>
            <w:vAlign w:val="bottom"/>
            <w:tcBorders>
              <w:bottom w:val="single" w:sz="8" w:color="58585A"/>
            </w:tcBorders>
          </w:tcPr>
          <w:p>
            <w:pPr>
              <w:ind w:left="60"/>
              <w:spacing w:after="0"/>
              <w:rPr>
                <w:sz w:val="20"/>
                <w:szCs w:val="20"/>
                <w:color w:val="auto"/>
              </w:rPr>
            </w:pPr>
            <w:r>
              <w:rPr>
                <w:rFonts w:ascii="Arial" w:cs="Arial" w:eastAsia="Arial" w:hAnsi="Arial"/>
                <w:sz w:val="13"/>
                <w:szCs w:val="13"/>
                <w:b w:val="1"/>
                <w:bCs w:val="1"/>
                <w:color w:val="C44E5E"/>
              </w:rPr>
              <w:t>Leonard S. Schleifer, M.D., Ph.D.</w:t>
            </w:r>
          </w:p>
        </w:tc>
        <w:tc>
          <w:tcPr>
            <w:tcW w:w="2100" w:type="dxa"/>
            <w:vAlign w:val="bottom"/>
            <w:tcBorders>
              <w:bottom w:val="single" w:sz="8" w:color="58585A"/>
            </w:tcBorders>
          </w:tcPr>
          <w:p>
            <w:pPr>
              <w:jc w:val="right"/>
              <w:ind w:right="178"/>
              <w:spacing w:after="0"/>
              <w:rPr>
                <w:sz w:val="20"/>
                <w:szCs w:val="20"/>
                <w:color w:val="auto"/>
              </w:rPr>
            </w:pPr>
            <w:r>
              <w:rPr>
                <w:rFonts w:ascii="Arial" w:cs="Arial" w:eastAsia="Arial" w:hAnsi="Arial"/>
                <w:sz w:val="13"/>
                <w:szCs w:val="13"/>
                <w:color w:val="auto"/>
              </w:rPr>
              <w:t>1,377,100</w:t>
            </w:r>
          </w:p>
        </w:tc>
        <w:tc>
          <w:tcPr>
            <w:tcW w:w="1100" w:type="dxa"/>
            <w:vAlign w:val="bottom"/>
            <w:tcBorders>
              <w:bottom w:val="single" w:sz="8" w:color="58585A"/>
            </w:tcBorders>
          </w:tcPr>
          <w:p>
            <w:pPr>
              <w:jc w:val="right"/>
              <w:ind w:right="138"/>
              <w:spacing w:after="0"/>
              <w:rPr>
                <w:sz w:val="20"/>
                <w:szCs w:val="20"/>
                <w:color w:val="auto"/>
              </w:rPr>
            </w:pPr>
            <w:r>
              <w:rPr>
                <w:rFonts w:ascii="Arial" w:cs="Arial" w:eastAsia="Arial" w:hAnsi="Arial"/>
                <w:sz w:val="13"/>
                <w:szCs w:val="13"/>
                <w:color w:val="auto"/>
              </w:rPr>
              <w:t>1,425,300</w:t>
            </w:r>
          </w:p>
        </w:tc>
        <w:tc>
          <w:tcPr>
            <w:tcW w:w="1220" w:type="dxa"/>
            <w:vAlign w:val="bottom"/>
            <w:tcBorders>
              <w:bottom w:val="single" w:sz="8" w:color="58585A"/>
            </w:tcBorders>
            <w:shd w:val="clear" w:color="auto" w:fill="E3E6F4"/>
          </w:tcPr>
          <w:p>
            <w:pPr>
              <w:jc w:val="right"/>
              <w:ind w:right="400"/>
              <w:spacing w:after="0" w:line="176" w:lineRule="exact"/>
              <w:rPr>
                <w:sz w:val="20"/>
                <w:szCs w:val="20"/>
                <w:color w:val="auto"/>
              </w:rPr>
            </w:pPr>
            <w:r>
              <w:rPr>
                <w:rFonts w:ascii="Arial" w:cs="Arial" w:eastAsia="Arial" w:hAnsi="Arial"/>
                <w:sz w:val="13"/>
                <w:szCs w:val="13"/>
                <w:color w:val="auto"/>
              </w:rPr>
              <w:t>3.5</w:t>
            </w:r>
            <w:r>
              <w:rPr>
                <w:rFonts w:ascii="Arial" w:cs="Arial" w:eastAsia="Arial" w:hAnsi="Arial"/>
                <w:sz w:val="20"/>
                <w:szCs w:val="20"/>
                <w:color w:val="auto"/>
                <w:vertAlign w:val="superscript"/>
              </w:rPr>
              <w:t>1</w:t>
            </w:r>
          </w:p>
        </w:tc>
        <w:tc>
          <w:tcPr>
            <w:tcW w:w="1080" w:type="dxa"/>
            <w:vAlign w:val="bottom"/>
            <w:tcBorders>
              <w:bottom w:val="single" w:sz="8" w:color="58585A"/>
            </w:tcBorders>
          </w:tcPr>
          <w:p>
            <w:pPr>
              <w:jc w:val="right"/>
              <w:ind w:right="118"/>
              <w:spacing w:after="0"/>
              <w:rPr>
                <w:sz w:val="20"/>
                <w:szCs w:val="20"/>
                <w:color w:val="auto"/>
              </w:rPr>
            </w:pPr>
            <w:r>
              <w:rPr>
                <w:rFonts w:ascii="Arial" w:cs="Arial" w:eastAsia="Arial" w:hAnsi="Arial"/>
                <w:sz w:val="13"/>
                <w:szCs w:val="13"/>
                <w:color w:val="auto"/>
              </w:rPr>
              <w:t>1,767,800</w:t>
            </w:r>
          </w:p>
        </w:tc>
        <w:tc>
          <w:tcPr>
            <w:tcW w:w="1220" w:type="dxa"/>
            <w:vAlign w:val="bottom"/>
            <w:tcBorders>
              <w:bottom w:val="single" w:sz="8" w:color="58585A"/>
            </w:tcBorders>
            <w:shd w:val="clear" w:color="auto" w:fill="E3E6F4"/>
          </w:tcPr>
          <w:p>
            <w:pPr>
              <w:jc w:val="right"/>
              <w:ind w:right="300"/>
              <w:spacing w:after="0" w:line="176" w:lineRule="exact"/>
              <w:rPr>
                <w:sz w:val="20"/>
                <w:szCs w:val="20"/>
                <w:color w:val="auto"/>
              </w:rPr>
            </w:pPr>
            <w:r>
              <w:rPr>
                <w:rFonts w:ascii="Arial" w:cs="Arial" w:eastAsia="Arial" w:hAnsi="Arial"/>
                <w:sz w:val="13"/>
                <w:szCs w:val="13"/>
                <w:color w:val="auto"/>
              </w:rPr>
              <w:t>24.0</w:t>
            </w:r>
            <w:r>
              <w:rPr>
                <w:rFonts w:ascii="Arial" w:cs="Arial" w:eastAsia="Arial" w:hAnsi="Arial"/>
                <w:sz w:val="20"/>
                <w:szCs w:val="20"/>
                <w:color w:val="auto"/>
                <w:vertAlign w:val="superscript"/>
              </w:rPr>
              <w:t>3</w:t>
            </w:r>
          </w:p>
        </w:tc>
      </w:tr>
      <w:tr>
        <w:trPr>
          <w:trHeight w:val="169"/>
        </w:trPr>
        <w:tc>
          <w:tcPr>
            <w:tcW w:w="3440" w:type="dxa"/>
            <w:vAlign w:val="bottom"/>
            <w:tcBorders>
              <w:bottom w:val="single" w:sz="8" w:color="58585A"/>
            </w:tcBorders>
            <w:shd w:val="clear" w:color="auto" w:fill="ECEDED"/>
          </w:tcPr>
          <w:p>
            <w:pPr>
              <w:ind w:left="60"/>
              <w:spacing w:after="0"/>
              <w:rPr>
                <w:sz w:val="20"/>
                <w:szCs w:val="20"/>
                <w:color w:val="auto"/>
              </w:rPr>
            </w:pPr>
            <w:r>
              <w:rPr>
                <w:rFonts w:ascii="Arial" w:cs="Arial" w:eastAsia="Arial" w:hAnsi="Arial"/>
                <w:sz w:val="13"/>
                <w:szCs w:val="13"/>
                <w:b w:val="1"/>
                <w:bCs w:val="1"/>
                <w:color w:val="C44E5E"/>
              </w:rPr>
              <w:t>George D. Yancopoulos, M.D., Ph.D.</w:t>
            </w:r>
          </w:p>
        </w:tc>
        <w:tc>
          <w:tcPr>
            <w:tcW w:w="2100" w:type="dxa"/>
            <w:vAlign w:val="bottom"/>
            <w:tcBorders>
              <w:bottom w:val="single" w:sz="8" w:color="58585A"/>
            </w:tcBorders>
            <w:shd w:val="clear" w:color="auto" w:fill="ECEDED"/>
          </w:tcPr>
          <w:p>
            <w:pPr>
              <w:jc w:val="right"/>
              <w:ind w:right="178"/>
              <w:spacing w:after="0"/>
              <w:rPr>
                <w:sz w:val="20"/>
                <w:szCs w:val="20"/>
                <w:color w:val="auto"/>
              </w:rPr>
            </w:pPr>
            <w:r>
              <w:rPr>
                <w:rFonts w:ascii="Arial" w:cs="Arial" w:eastAsia="Arial" w:hAnsi="Arial"/>
                <w:sz w:val="13"/>
                <w:szCs w:val="13"/>
                <w:color w:val="auto"/>
              </w:rPr>
              <w:t>1,170,500</w:t>
            </w:r>
          </w:p>
        </w:tc>
        <w:tc>
          <w:tcPr>
            <w:tcW w:w="1100" w:type="dxa"/>
            <w:vAlign w:val="bottom"/>
            <w:tcBorders>
              <w:bottom w:val="single" w:sz="8" w:color="58585A"/>
            </w:tcBorders>
            <w:shd w:val="clear" w:color="auto" w:fill="ECEDED"/>
          </w:tcPr>
          <w:p>
            <w:pPr>
              <w:jc w:val="right"/>
              <w:ind w:right="138"/>
              <w:spacing w:after="0"/>
              <w:rPr>
                <w:sz w:val="20"/>
                <w:szCs w:val="20"/>
                <w:color w:val="auto"/>
              </w:rPr>
            </w:pPr>
            <w:r>
              <w:rPr>
                <w:rFonts w:ascii="Arial" w:cs="Arial" w:eastAsia="Arial" w:hAnsi="Arial"/>
                <w:sz w:val="13"/>
                <w:szCs w:val="13"/>
                <w:color w:val="auto"/>
              </w:rPr>
              <w:t>1,211,500</w:t>
            </w:r>
          </w:p>
        </w:tc>
        <w:tc>
          <w:tcPr>
            <w:tcW w:w="1220" w:type="dxa"/>
            <w:vAlign w:val="bottom"/>
            <w:tcBorders>
              <w:bottom w:val="single" w:sz="8" w:color="58585A"/>
            </w:tcBorders>
            <w:shd w:val="clear" w:color="auto" w:fill="CBD0E9"/>
          </w:tcPr>
          <w:p>
            <w:pPr>
              <w:jc w:val="right"/>
              <w:ind w:right="400"/>
              <w:spacing w:after="0" w:line="169" w:lineRule="exact"/>
              <w:rPr>
                <w:sz w:val="20"/>
                <w:szCs w:val="20"/>
                <w:color w:val="auto"/>
              </w:rPr>
            </w:pPr>
            <w:r>
              <w:rPr>
                <w:rFonts w:ascii="Arial" w:cs="Arial" w:eastAsia="Arial" w:hAnsi="Arial"/>
                <w:sz w:val="12"/>
                <w:szCs w:val="12"/>
                <w:color w:val="auto"/>
              </w:rPr>
              <w:t>3.5</w:t>
            </w:r>
            <w:r>
              <w:rPr>
                <w:rFonts w:ascii="Arial" w:cs="Arial" w:eastAsia="Arial" w:hAnsi="Arial"/>
                <w:sz w:val="19"/>
                <w:szCs w:val="19"/>
                <w:color w:val="auto"/>
                <w:vertAlign w:val="superscript"/>
              </w:rPr>
              <w:t>1</w:t>
            </w:r>
          </w:p>
        </w:tc>
        <w:tc>
          <w:tcPr>
            <w:tcW w:w="1080" w:type="dxa"/>
            <w:vAlign w:val="bottom"/>
            <w:tcBorders>
              <w:bottom w:val="single" w:sz="8" w:color="58585A"/>
            </w:tcBorders>
            <w:shd w:val="clear" w:color="auto" w:fill="ECEDED"/>
          </w:tcPr>
          <w:p>
            <w:pPr>
              <w:jc w:val="right"/>
              <w:ind w:right="118"/>
              <w:spacing w:after="0"/>
              <w:rPr>
                <w:sz w:val="20"/>
                <w:szCs w:val="20"/>
                <w:color w:val="auto"/>
              </w:rPr>
            </w:pPr>
            <w:r>
              <w:rPr>
                <w:rFonts w:ascii="Arial" w:cs="Arial" w:eastAsia="Arial" w:hAnsi="Arial"/>
                <w:sz w:val="13"/>
                <w:szCs w:val="13"/>
                <w:color w:val="auto"/>
              </w:rPr>
              <w:t>1,767,800</w:t>
            </w:r>
          </w:p>
        </w:tc>
        <w:tc>
          <w:tcPr>
            <w:tcW w:w="1220" w:type="dxa"/>
            <w:vAlign w:val="bottom"/>
            <w:tcBorders>
              <w:bottom w:val="single" w:sz="8" w:color="58585A"/>
            </w:tcBorders>
            <w:shd w:val="clear" w:color="auto" w:fill="CBD0E9"/>
          </w:tcPr>
          <w:p>
            <w:pPr>
              <w:jc w:val="right"/>
              <w:ind w:right="300"/>
              <w:spacing w:after="0" w:line="169" w:lineRule="exact"/>
              <w:rPr>
                <w:sz w:val="20"/>
                <w:szCs w:val="20"/>
                <w:color w:val="auto"/>
              </w:rPr>
            </w:pPr>
            <w:r>
              <w:rPr>
                <w:rFonts w:ascii="Arial" w:cs="Arial" w:eastAsia="Arial" w:hAnsi="Arial"/>
                <w:sz w:val="12"/>
                <w:szCs w:val="12"/>
                <w:color w:val="auto"/>
              </w:rPr>
              <w:t>45.9</w:t>
            </w:r>
            <w:r>
              <w:rPr>
                <w:rFonts w:ascii="Arial" w:cs="Arial" w:eastAsia="Arial" w:hAnsi="Arial"/>
                <w:sz w:val="19"/>
                <w:szCs w:val="19"/>
                <w:color w:val="auto"/>
                <w:vertAlign w:val="superscript"/>
              </w:rPr>
              <w:t>3</w:t>
            </w:r>
          </w:p>
        </w:tc>
      </w:tr>
      <w:tr>
        <w:trPr>
          <w:trHeight w:val="169"/>
        </w:trPr>
        <w:tc>
          <w:tcPr>
            <w:tcW w:w="3440" w:type="dxa"/>
            <w:vAlign w:val="bottom"/>
            <w:tcBorders>
              <w:bottom w:val="single" w:sz="8" w:color="58585A"/>
            </w:tcBorders>
          </w:tcPr>
          <w:p>
            <w:pPr>
              <w:ind w:left="60"/>
              <w:spacing w:after="0"/>
              <w:rPr>
                <w:sz w:val="20"/>
                <w:szCs w:val="20"/>
                <w:color w:val="auto"/>
              </w:rPr>
            </w:pPr>
            <w:r>
              <w:rPr>
                <w:rFonts w:ascii="Arial" w:cs="Arial" w:eastAsia="Arial" w:hAnsi="Arial"/>
                <w:sz w:val="13"/>
                <w:szCs w:val="13"/>
                <w:b w:val="1"/>
                <w:bCs w:val="1"/>
                <w:color w:val="C44E5E"/>
              </w:rPr>
              <w:t>Robert E. Landry</w:t>
            </w:r>
          </w:p>
        </w:tc>
        <w:tc>
          <w:tcPr>
            <w:tcW w:w="2100" w:type="dxa"/>
            <w:vAlign w:val="bottom"/>
            <w:tcBorders>
              <w:bottom w:val="single" w:sz="8" w:color="58585A"/>
            </w:tcBorders>
          </w:tcPr>
          <w:p>
            <w:pPr>
              <w:jc w:val="right"/>
              <w:ind w:right="178"/>
              <w:spacing w:after="0"/>
              <w:rPr>
                <w:sz w:val="20"/>
                <w:szCs w:val="20"/>
                <w:color w:val="auto"/>
              </w:rPr>
            </w:pPr>
            <w:r>
              <w:rPr>
                <w:rFonts w:ascii="Arial" w:cs="Arial" w:eastAsia="Arial" w:hAnsi="Arial"/>
                <w:sz w:val="13"/>
                <w:szCs w:val="13"/>
                <w:color w:val="auto"/>
              </w:rPr>
              <w:t>730,000</w:t>
            </w:r>
          </w:p>
        </w:tc>
        <w:tc>
          <w:tcPr>
            <w:tcW w:w="1100" w:type="dxa"/>
            <w:vAlign w:val="bottom"/>
            <w:tcBorders>
              <w:bottom w:val="single" w:sz="8" w:color="58585A"/>
            </w:tcBorders>
          </w:tcPr>
          <w:p>
            <w:pPr>
              <w:jc w:val="right"/>
              <w:ind w:right="138"/>
              <w:spacing w:after="0"/>
              <w:rPr>
                <w:sz w:val="20"/>
                <w:szCs w:val="20"/>
                <w:color w:val="auto"/>
              </w:rPr>
            </w:pPr>
            <w:r>
              <w:rPr>
                <w:rFonts w:ascii="Arial" w:cs="Arial" w:eastAsia="Arial" w:hAnsi="Arial"/>
                <w:sz w:val="13"/>
                <w:szCs w:val="13"/>
                <w:color w:val="auto"/>
              </w:rPr>
              <w:t>795,000</w:t>
            </w:r>
          </w:p>
        </w:tc>
        <w:tc>
          <w:tcPr>
            <w:tcW w:w="1220" w:type="dxa"/>
            <w:vAlign w:val="bottom"/>
            <w:tcBorders>
              <w:bottom w:val="single" w:sz="8" w:color="58585A"/>
            </w:tcBorders>
            <w:shd w:val="clear" w:color="auto" w:fill="E3E6F4"/>
          </w:tcPr>
          <w:p>
            <w:pPr>
              <w:jc w:val="right"/>
              <w:ind w:right="400"/>
              <w:spacing w:after="0" w:line="169" w:lineRule="exact"/>
              <w:rPr>
                <w:sz w:val="20"/>
                <w:szCs w:val="20"/>
                <w:color w:val="auto"/>
              </w:rPr>
            </w:pPr>
            <w:r>
              <w:rPr>
                <w:rFonts w:ascii="Arial" w:cs="Arial" w:eastAsia="Arial" w:hAnsi="Arial"/>
                <w:sz w:val="12"/>
                <w:szCs w:val="12"/>
                <w:color w:val="auto"/>
              </w:rPr>
              <w:t>8.9</w:t>
            </w:r>
            <w:r>
              <w:rPr>
                <w:rFonts w:ascii="Arial" w:cs="Arial" w:eastAsia="Arial" w:hAnsi="Arial"/>
                <w:sz w:val="19"/>
                <w:szCs w:val="19"/>
                <w:color w:val="auto"/>
                <w:vertAlign w:val="superscript"/>
              </w:rPr>
              <w:t>2</w:t>
            </w:r>
          </w:p>
        </w:tc>
        <w:tc>
          <w:tcPr>
            <w:tcW w:w="1080" w:type="dxa"/>
            <w:vAlign w:val="bottom"/>
            <w:tcBorders>
              <w:bottom w:val="single" w:sz="8" w:color="58585A"/>
            </w:tcBorders>
          </w:tcPr>
          <w:p>
            <w:pPr>
              <w:jc w:val="right"/>
              <w:ind w:right="118"/>
              <w:spacing w:after="0"/>
              <w:rPr>
                <w:sz w:val="20"/>
                <w:szCs w:val="20"/>
                <w:color w:val="auto"/>
              </w:rPr>
            </w:pPr>
            <w:r>
              <w:rPr>
                <w:rFonts w:ascii="Arial" w:cs="Arial" w:eastAsia="Arial" w:hAnsi="Arial"/>
                <w:sz w:val="13"/>
                <w:szCs w:val="13"/>
                <w:color w:val="auto"/>
              </w:rPr>
              <w:t>822,800</w:t>
            </w:r>
          </w:p>
        </w:tc>
        <w:tc>
          <w:tcPr>
            <w:tcW w:w="1220" w:type="dxa"/>
            <w:vAlign w:val="bottom"/>
            <w:tcBorders>
              <w:bottom w:val="single" w:sz="8" w:color="58585A"/>
            </w:tcBorders>
            <w:shd w:val="clear" w:color="auto" w:fill="E3E6F4"/>
          </w:tcPr>
          <w:p>
            <w:pPr>
              <w:jc w:val="right"/>
              <w:ind w:right="300"/>
              <w:spacing w:after="0" w:line="169" w:lineRule="exact"/>
              <w:rPr>
                <w:sz w:val="20"/>
                <w:szCs w:val="20"/>
                <w:color w:val="auto"/>
              </w:rPr>
            </w:pPr>
            <w:r>
              <w:rPr>
                <w:rFonts w:ascii="Arial" w:cs="Arial" w:eastAsia="Arial" w:hAnsi="Arial"/>
                <w:sz w:val="12"/>
                <w:szCs w:val="12"/>
                <w:color w:val="auto"/>
              </w:rPr>
              <w:t>3.5</w:t>
            </w:r>
            <w:r>
              <w:rPr>
                <w:rFonts w:ascii="Arial" w:cs="Arial" w:eastAsia="Arial" w:hAnsi="Arial"/>
                <w:sz w:val="19"/>
                <w:szCs w:val="19"/>
                <w:color w:val="auto"/>
                <w:vertAlign w:val="superscript"/>
              </w:rPr>
              <w:t>1</w:t>
            </w:r>
          </w:p>
        </w:tc>
      </w:tr>
      <w:tr>
        <w:trPr>
          <w:trHeight w:val="169"/>
        </w:trPr>
        <w:tc>
          <w:tcPr>
            <w:tcW w:w="3440" w:type="dxa"/>
            <w:vAlign w:val="bottom"/>
            <w:tcBorders>
              <w:bottom w:val="single" w:sz="8" w:color="58585A"/>
            </w:tcBorders>
            <w:shd w:val="clear" w:color="auto" w:fill="ECEDED"/>
          </w:tcPr>
          <w:p>
            <w:pPr>
              <w:ind w:left="60"/>
              <w:spacing w:after="0"/>
              <w:rPr>
                <w:sz w:val="20"/>
                <w:szCs w:val="20"/>
                <w:color w:val="auto"/>
              </w:rPr>
            </w:pPr>
            <w:r>
              <w:rPr>
                <w:rFonts w:ascii="Arial" w:cs="Arial" w:eastAsia="Arial" w:hAnsi="Arial"/>
                <w:sz w:val="13"/>
                <w:szCs w:val="13"/>
                <w:b w:val="1"/>
                <w:bCs w:val="1"/>
                <w:color w:val="C44E5E"/>
              </w:rPr>
              <w:t>Daniel P. Van Plew</w:t>
            </w:r>
          </w:p>
        </w:tc>
        <w:tc>
          <w:tcPr>
            <w:tcW w:w="2100" w:type="dxa"/>
            <w:vAlign w:val="bottom"/>
            <w:tcBorders>
              <w:bottom w:val="single" w:sz="8" w:color="58585A"/>
            </w:tcBorders>
            <w:shd w:val="clear" w:color="auto" w:fill="ECEDED"/>
          </w:tcPr>
          <w:p>
            <w:pPr>
              <w:jc w:val="right"/>
              <w:ind w:right="178"/>
              <w:spacing w:after="0"/>
              <w:rPr>
                <w:sz w:val="20"/>
                <w:szCs w:val="20"/>
                <w:color w:val="auto"/>
              </w:rPr>
            </w:pPr>
            <w:r>
              <w:rPr>
                <w:rFonts w:ascii="Arial" w:cs="Arial" w:eastAsia="Arial" w:hAnsi="Arial"/>
                <w:sz w:val="13"/>
                <w:szCs w:val="13"/>
                <w:color w:val="auto"/>
              </w:rPr>
              <w:t>683,100</w:t>
            </w:r>
          </w:p>
        </w:tc>
        <w:tc>
          <w:tcPr>
            <w:tcW w:w="1100" w:type="dxa"/>
            <w:vAlign w:val="bottom"/>
            <w:tcBorders>
              <w:bottom w:val="single" w:sz="8" w:color="58585A"/>
            </w:tcBorders>
            <w:shd w:val="clear" w:color="auto" w:fill="ECEDED"/>
          </w:tcPr>
          <w:p>
            <w:pPr>
              <w:jc w:val="right"/>
              <w:ind w:right="138"/>
              <w:spacing w:after="0"/>
              <w:rPr>
                <w:sz w:val="20"/>
                <w:szCs w:val="20"/>
                <w:color w:val="auto"/>
              </w:rPr>
            </w:pPr>
            <w:r>
              <w:rPr>
                <w:rFonts w:ascii="Arial" w:cs="Arial" w:eastAsia="Arial" w:hAnsi="Arial"/>
                <w:sz w:val="13"/>
                <w:szCs w:val="13"/>
                <w:color w:val="auto"/>
              </w:rPr>
              <w:t>795,000</w:t>
            </w:r>
          </w:p>
        </w:tc>
        <w:tc>
          <w:tcPr>
            <w:tcW w:w="1220" w:type="dxa"/>
            <w:vAlign w:val="bottom"/>
            <w:tcBorders>
              <w:bottom w:val="single" w:sz="8" w:color="58585A"/>
            </w:tcBorders>
            <w:shd w:val="clear" w:color="auto" w:fill="CBD0E9"/>
          </w:tcPr>
          <w:p>
            <w:pPr>
              <w:jc w:val="right"/>
              <w:ind w:right="400"/>
              <w:spacing w:after="0" w:line="169" w:lineRule="exact"/>
              <w:rPr>
                <w:sz w:val="20"/>
                <w:szCs w:val="20"/>
                <w:color w:val="auto"/>
              </w:rPr>
            </w:pPr>
            <w:r>
              <w:rPr>
                <w:rFonts w:ascii="Arial" w:cs="Arial" w:eastAsia="Arial" w:hAnsi="Arial"/>
                <w:sz w:val="12"/>
                <w:szCs w:val="12"/>
                <w:color w:val="auto"/>
              </w:rPr>
              <w:t>16.4</w:t>
            </w:r>
            <w:r>
              <w:rPr>
                <w:rFonts w:ascii="Arial" w:cs="Arial" w:eastAsia="Arial" w:hAnsi="Arial"/>
                <w:sz w:val="19"/>
                <w:szCs w:val="19"/>
                <w:color w:val="auto"/>
                <w:vertAlign w:val="superscript"/>
              </w:rPr>
              <w:t>2</w:t>
            </w:r>
          </w:p>
        </w:tc>
        <w:tc>
          <w:tcPr>
            <w:tcW w:w="1080" w:type="dxa"/>
            <w:vAlign w:val="bottom"/>
            <w:tcBorders>
              <w:bottom w:val="single" w:sz="8" w:color="58585A"/>
            </w:tcBorders>
            <w:shd w:val="clear" w:color="auto" w:fill="ECEDED"/>
          </w:tcPr>
          <w:p>
            <w:pPr>
              <w:jc w:val="right"/>
              <w:ind w:right="118"/>
              <w:spacing w:after="0"/>
              <w:rPr>
                <w:sz w:val="20"/>
                <w:szCs w:val="20"/>
                <w:color w:val="auto"/>
              </w:rPr>
            </w:pPr>
            <w:r>
              <w:rPr>
                <w:rFonts w:ascii="Arial" w:cs="Arial" w:eastAsia="Arial" w:hAnsi="Arial"/>
                <w:sz w:val="13"/>
                <w:szCs w:val="13"/>
                <w:color w:val="auto"/>
              </w:rPr>
              <w:t>822,800</w:t>
            </w:r>
          </w:p>
        </w:tc>
        <w:tc>
          <w:tcPr>
            <w:tcW w:w="1220" w:type="dxa"/>
            <w:vAlign w:val="bottom"/>
            <w:tcBorders>
              <w:bottom w:val="single" w:sz="8" w:color="58585A"/>
            </w:tcBorders>
            <w:shd w:val="clear" w:color="auto" w:fill="CBD0E9"/>
          </w:tcPr>
          <w:p>
            <w:pPr>
              <w:jc w:val="right"/>
              <w:ind w:right="300"/>
              <w:spacing w:after="0" w:line="169" w:lineRule="exact"/>
              <w:rPr>
                <w:sz w:val="20"/>
                <w:szCs w:val="20"/>
                <w:color w:val="auto"/>
              </w:rPr>
            </w:pPr>
            <w:r>
              <w:rPr>
                <w:rFonts w:ascii="Arial" w:cs="Arial" w:eastAsia="Arial" w:hAnsi="Arial"/>
                <w:sz w:val="12"/>
                <w:szCs w:val="12"/>
                <w:color w:val="auto"/>
              </w:rPr>
              <w:t>3.5</w:t>
            </w:r>
            <w:r>
              <w:rPr>
                <w:rFonts w:ascii="Arial" w:cs="Arial" w:eastAsia="Arial" w:hAnsi="Arial"/>
                <w:sz w:val="19"/>
                <w:szCs w:val="19"/>
                <w:color w:val="auto"/>
                <w:vertAlign w:val="superscript"/>
              </w:rPr>
              <w:t>1</w:t>
            </w:r>
          </w:p>
        </w:tc>
      </w:tr>
      <w:tr>
        <w:trPr>
          <w:trHeight w:val="169"/>
        </w:trPr>
        <w:tc>
          <w:tcPr>
            <w:tcW w:w="3440" w:type="dxa"/>
            <w:vAlign w:val="bottom"/>
            <w:tcBorders>
              <w:bottom w:val="single" w:sz="8" w:color="1F5AA8"/>
            </w:tcBorders>
          </w:tcPr>
          <w:p>
            <w:pPr>
              <w:ind w:left="60"/>
              <w:spacing w:after="0"/>
              <w:rPr>
                <w:sz w:val="20"/>
                <w:szCs w:val="20"/>
                <w:color w:val="auto"/>
              </w:rPr>
            </w:pPr>
            <w:r>
              <w:rPr>
                <w:rFonts w:ascii="Arial" w:cs="Arial" w:eastAsia="Arial" w:hAnsi="Arial"/>
                <w:sz w:val="13"/>
                <w:szCs w:val="13"/>
                <w:b w:val="1"/>
                <w:bCs w:val="1"/>
                <w:color w:val="C44E5E"/>
              </w:rPr>
              <w:t>Andrew J. Murphy, Ph.D.</w:t>
            </w:r>
          </w:p>
        </w:tc>
        <w:tc>
          <w:tcPr>
            <w:tcW w:w="2100" w:type="dxa"/>
            <w:vAlign w:val="bottom"/>
            <w:tcBorders>
              <w:bottom w:val="single" w:sz="8" w:color="1F5AA8"/>
            </w:tcBorders>
          </w:tcPr>
          <w:p>
            <w:pPr>
              <w:jc w:val="right"/>
              <w:ind w:right="178"/>
              <w:spacing w:after="0"/>
              <w:rPr>
                <w:sz w:val="20"/>
                <w:szCs w:val="20"/>
                <w:color w:val="auto"/>
              </w:rPr>
            </w:pPr>
            <w:r>
              <w:rPr>
                <w:rFonts w:ascii="Arial" w:cs="Arial" w:eastAsia="Arial" w:hAnsi="Arial"/>
                <w:sz w:val="13"/>
                <w:szCs w:val="13"/>
                <w:color w:val="auto"/>
              </w:rPr>
              <w:t>600,000</w:t>
            </w:r>
          </w:p>
        </w:tc>
        <w:tc>
          <w:tcPr>
            <w:tcW w:w="1100" w:type="dxa"/>
            <w:vAlign w:val="bottom"/>
            <w:tcBorders>
              <w:bottom w:val="single" w:sz="8" w:color="1F5AA8"/>
            </w:tcBorders>
          </w:tcPr>
          <w:p>
            <w:pPr>
              <w:jc w:val="right"/>
              <w:ind w:right="138"/>
              <w:spacing w:after="0"/>
              <w:rPr>
                <w:sz w:val="20"/>
                <w:szCs w:val="20"/>
                <w:color w:val="auto"/>
              </w:rPr>
            </w:pPr>
            <w:r>
              <w:rPr>
                <w:rFonts w:ascii="Arial" w:cs="Arial" w:eastAsia="Arial" w:hAnsi="Arial"/>
                <w:sz w:val="13"/>
                <w:szCs w:val="13"/>
                <w:color w:val="auto"/>
              </w:rPr>
              <w:t>700,000</w:t>
            </w:r>
          </w:p>
        </w:tc>
        <w:tc>
          <w:tcPr>
            <w:tcW w:w="1220" w:type="dxa"/>
            <w:vAlign w:val="bottom"/>
            <w:tcBorders>
              <w:bottom w:val="single" w:sz="8" w:color="1F5AA8"/>
            </w:tcBorders>
            <w:shd w:val="clear" w:color="auto" w:fill="E3E6F4"/>
          </w:tcPr>
          <w:p>
            <w:pPr>
              <w:jc w:val="right"/>
              <w:ind w:right="400"/>
              <w:spacing w:after="0" w:line="169" w:lineRule="exact"/>
              <w:rPr>
                <w:sz w:val="20"/>
                <w:szCs w:val="20"/>
                <w:color w:val="auto"/>
              </w:rPr>
            </w:pPr>
            <w:r>
              <w:rPr>
                <w:rFonts w:ascii="Arial" w:cs="Arial" w:eastAsia="Arial" w:hAnsi="Arial"/>
                <w:sz w:val="12"/>
                <w:szCs w:val="12"/>
                <w:color w:val="auto"/>
              </w:rPr>
              <w:t>16.7</w:t>
            </w:r>
            <w:r>
              <w:rPr>
                <w:rFonts w:ascii="Arial" w:cs="Arial" w:eastAsia="Arial" w:hAnsi="Arial"/>
                <w:sz w:val="19"/>
                <w:szCs w:val="19"/>
                <w:color w:val="auto"/>
                <w:vertAlign w:val="superscript"/>
              </w:rPr>
              <w:t>2</w:t>
            </w:r>
          </w:p>
        </w:tc>
        <w:tc>
          <w:tcPr>
            <w:tcW w:w="1080" w:type="dxa"/>
            <w:vAlign w:val="bottom"/>
            <w:tcBorders>
              <w:bottom w:val="single" w:sz="8" w:color="1F5AA8"/>
            </w:tcBorders>
          </w:tcPr>
          <w:p>
            <w:pPr>
              <w:jc w:val="right"/>
              <w:ind w:right="118"/>
              <w:spacing w:after="0"/>
              <w:rPr>
                <w:sz w:val="20"/>
                <w:szCs w:val="20"/>
                <w:color w:val="auto"/>
              </w:rPr>
            </w:pPr>
            <w:r>
              <w:rPr>
                <w:rFonts w:ascii="Arial" w:cs="Arial" w:eastAsia="Arial" w:hAnsi="Arial"/>
                <w:sz w:val="13"/>
                <w:szCs w:val="13"/>
                <w:color w:val="auto"/>
              </w:rPr>
              <w:t>724,500</w:t>
            </w:r>
          </w:p>
        </w:tc>
        <w:tc>
          <w:tcPr>
            <w:tcW w:w="1220" w:type="dxa"/>
            <w:vAlign w:val="bottom"/>
            <w:tcBorders>
              <w:bottom w:val="single" w:sz="8" w:color="1F5AA8"/>
            </w:tcBorders>
            <w:shd w:val="clear" w:color="auto" w:fill="E3E6F4"/>
          </w:tcPr>
          <w:p>
            <w:pPr>
              <w:jc w:val="right"/>
              <w:ind w:right="300"/>
              <w:spacing w:after="0" w:line="169" w:lineRule="exact"/>
              <w:rPr>
                <w:sz w:val="20"/>
                <w:szCs w:val="20"/>
                <w:color w:val="auto"/>
              </w:rPr>
            </w:pPr>
            <w:r>
              <w:rPr>
                <w:rFonts w:ascii="Arial" w:cs="Arial" w:eastAsia="Arial" w:hAnsi="Arial"/>
                <w:sz w:val="12"/>
                <w:szCs w:val="12"/>
                <w:color w:val="auto"/>
              </w:rPr>
              <w:t>3.5</w:t>
            </w:r>
            <w:r>
              <w:rPr>
                <w:rFonts w:ascii="Arial" w:cs="Arial" w:eastAsia="Arial" w:hAnsi="Arial"/>
                <w:sz w:val="19"/>
                <w:szCs w:val="19"/>
                <w:color w:val="auto"/>
                <w:vertAlign w:val="superscript"/>
              </w:rPr>
              <w:t>1</w:t>
            </w:r>
          </w:p>
        </w:tc>
      </w:tr>
    </w:tbl>
    <w:p>
      <w:pPr>
        <w:spacing w:after="0" w:line="167" w:lineRule="exact"/>
        <w:rPr>
          <w:sz w:val="20"/>
          <w:szCs w:val="20"/>
          <w:color w:val="auto"/>
        </w:rPr>
      </w:pPr>
    </w:p>
    <w:p>
      <w:pPr>
        <w:ind w:left="860" w:hanging="312"/>
        <w:spacing w:after="0"/>
        <w:tabs>
          <w:tab w:leader="none" w:pos="860" w:val="left"/>
        </w:tabs>
        <w:numPr>
          <w:ilvl w:val="0"/>
          <w:numId w:val="77"/>
        </w:numPr>
        <w:rPr>
          <w:rFonts w:ascii="Arial" w:cs="Arial" w:eastAsia="Arial" w:hAnsi="Arial"/>
          <w:sz w:val="14"/>
          <w:szCs w:val="14"/>
          <w:b w:val="1"/>
          <w:bCs w:val="1"/>
          <w:color w:val="205BA8"/>
        </w:rPr>
      </w:pPr>
      <w:r>
        <w:rPr>
          <w:rFonts w:ascii="Arial" w:cs="Arial" w:eastAsia="Arial" w:hAnsi="Arial"/>
          <w:sz w:val="14"/>
          <w:szCs w:val="14"/>
          <w:color w:val="auto"/>
        </w:rPr>
        <w:t>Reflects a 3.5% merit increase consistent with those for other employees.</w:t>
      </w:r>
    </w:p>
    <w:p>
      <w:pPr>
        <w:spacing w:after="0" w:line="82" w:lineRule="exact"/>
        <w:rPr>
          <w:sz w:val="20"/>
          <w:szCs w:val="20"/>
          <w:color w:val="auto"/>
        </w:rPr>
      </w:pPr>
    </w:p>
    <w:p>
      <w:pPr>
        <w:ind w:left="860" w:right="620" w:hanging="312"/>
        <w:spacing w:after="0" w:line="258" w:lineRule="auto"/>
        <w:tabs>
          <w:tab w:leader="none" w:pos="860" w:val="left"/>
        </w:tabs>
        <w:numPr>
          <w:ilvl w:val="0"/>
          <w:numId w:val="78"/>
        </w:numPr>
        <w:rPr>
          <w:rFonts w:ascii="Arial" w:cs="Arial" w:eastAsia="Arial" w:hAnsi="Arial"/>
          <w:sz w:val="14"/>
          <w:szCs w:val="14"/>
          <w:b w:val="1"/>
          <w:bCs w:val="1"/>
          <w:color w:val="205BA8"/>
        </w:rPr>
      </w:pPr>
      <w:r>
        <w:rPr>
          <w:rFonts w:ascii="Arial" w:cs="Arial" w:eastAsia="Arial" w:hAnsi="Arial"/>
          <w:sz w:val="14"/>
          <w:szCs w:val="14"/>
          <w:color w:val="auto"/>
        </w:rPr>
        <w:t>Reflects (i) a 3.5% merit increase consistent with those for other employees and (ii) a base salary adjustment of $39,400, $88,000, and $79,000 to ensure greater market competitiveness for Messrs. Landry and Van Plew and Dr. Murphy, respectively.</w:t>
      </w:r>
    </w:p>
    <w:p>
      <w:pPr>
        <w:spacing w:after="0" w:line="59" w:lineRule="exact"/>
        <w:rPr>
          <w:sz w:val="20"/>
          <w:szCs w:val="20"/>
          <w:color w:val="auto"/>
        </w:rPr>
      </w:pPr>
    </w:p>
    <w:p>
      <w:pPr>
        <w:jc w:val="both"/>
        <w:ind w:left="860" w:right="840" w:hanging="312"/>
        <w:spacing w:after="0" w:line="249" w:lineRule="auto"/>
        <w:tabs>
          <w:tab w:leader="none" w:pos="860" w:val="left"/>
        </w:tabs>
        <w:numPr>
          <w:ilvl w:val="0"/>
          <w:numId w:val="79"/>
        </w:numPr>
        <w:rPr>
          <w:rFonts w:ascii="Arial" w:cs="Arial" w:eastAsia="Arial" w:hAnsi="Arial"/>
          <w:sz w:val="14"/>
          <w:szCs w:val="14"/>
          <w:b w:val="1"/>
          <w:bCs w:val="1"/>
          <w:color w:val="205BA8"/>
        </w:rPr>
      </w:pPr>
      <w:r>
        <w:rPr>
          <w:rFonts w:ascii="Arial" w:cs="Arial" w:eastAsia="Arial" w:hAnsi="Arial"/>
          <w:sz w:val="14"/>
          <w:szCs w:val="14"/>
          <w:color w:val="auto"/>
        </w:rPr>
        <w:t>Reflects increases made in recognition of outstanding Company performance in 2020 as well as the executives’ long-term track record of shareholder value creation. Dr. Yancopoulos’s base salary was increased to match Dr. Schleifer’s to recognize Dr. Yancopoulos’s value to Regeneron in light of the Company’s long-standing focus on science, innovation, and novel drug discovery and development.</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ANNUAL CASH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83" w:lineRule="exact"/>
        <w:rPr>
          <w:sz w:val="20"/>
          <w:szCs w:val="20"/>
          <w:color w:val="auto"/>
        </w:rPr>
      </w:pPr>
    </w:p>
    <w:p>
      <w:pPr>
        <w:ind w:left="540" w:right="1320"/>
        <w:spacing w:after="0" w:line="242" w:lineRule="auto"/>
        <w:rPr>
          <w:sz w:val="20"/>
          <w:szCs w:val="20"/>
          <w:color w:val="auto"/>
        </w:rPr>
      </w:pPr>
      <w:r>
        <w:rPr>
          <w:rFonts w:ascii="Arial" w:cs="Arial" w:eastAsia="Arial" w:hAnsi="Arial"/>
          <w:sz w:val="15"/>
          <w:szCs w:val="15"/>
          <w:color w:val="auto"/>
        </w:rPr>
        <w:t>Our NEOs are eligible for cash incentives based on annual performance. We use these annual incentive opportunities to reward short-term achievements and milestones towards our long-term goals.</w:t>
      </w:r>
    </w:p>
    <w:p>
      <w:pPr>
        <w:spacing w:after="0" w:line="125" w:lineRule="exact"/>
        <w:rPr>
          <w:sz w:val="20"/>
          <w:szCs w:val="20"/>
          <w:color w:val="auto"/>
        </w:rPr>
      </w:pPr>
    </w:p>
    <w:p>
      <w:pPr>
        <w:ind w:left="540" w:right="560"/>
        <w:spacing w:after="0" w:line="235" w:lineRule="auto"/>
        <w:rPr>
          <w:sz w:val="20"/>
          <w:szCs w:val="20"/>
          <w:color w:val="auto"/>
        </w:rPr>
      </w:pPr>
      <w:r>
        <w:rPr>
          <w:rFonts w:ascii="Arial" w:cs="Arial" w:eastAsia="Arial" w:hAnsi="Arial"/>
          <w:sz w:val="15"/>
          <w:szCs w:val="15"/>
          <w:color w:val="auto"/>
        </w:rPr>
        <w:t>We focus on our overall corporate performance to determine the cash incentives of our CEO and our CSO. Our other NEOs’ cash incentives are assessed on both our overall corporate performance and on their individual contributions. For 2020, annual cash incentive opportunities for each NEO were weighted as shown below:</w:t>
      </w:r>
    </w:p>
    <w:p>
      <w:pPr>
        <w:spacing w:after="0" w:line="123" w:lineRule="exact"/>
        <w:rPr>
          <w:sz w:val="20"/>
          <w:szCs w:val="20"/>
          <w:color w:val="auto"/>
        </w:rPr>
      </w:pPr>
    </w:p>
    <w:tbl>
      <w:tblPr>
        <w:tblLayout w:type="fixed"/>
        <w:tblInd w:w="1580" w:type="dxa"/>
        <w:tblCellMar>
          <w:top w:w="0" w:type="dxa"/>
          <w:left w:w="0" w:type="dxa"/>
          <w:bottom w:w="0" w:type="dxa"/>
          <w:right w:w="0" w:type="dxa"/>
        </w:tblCellMar>
      </w:tblPr>
      <w:tr>
        <w:trPr>
          <w:trHeight w:val="148"/>
        </w:trPr>
        <w:tc>
          <w:tcPr>
            <w:tcW w:w="2860" w:type="dxa"/>
            <w:vAlign w:val="bottom"/>
          </w:tcPr>
          <w:p>
            <w:pPr>
              <w:ind w:left="40"/>
              <w:spacing w:after="0"/>
              <w:rPr>
                <w:sz w:val="20"/>
                <w:szCs w:val="20"/>
                <w:color w:val="auto"/>
              </w:rPr>
            </w:pPr>
            <w:r>
              <w:rPr>
                <w:rFonts w:ascii="Arial" w:cs="Arial" w:eastAsia="Arial" w:hAnsi="Arial"/>
                <w:sz w:val="11"/>
                <w:szCs w:val="11"/>
                <w:b w:val="1"/>
                <w:bCs w:val="1"/>
                <w:color w:val="205BA8"/>
              </w:rPr>
              <w:t>Role</w:t>
            </w:r>
          </w:p>
        </w:tc>
        <w:tc>
          <w:tcPr>
            <w:tcW w:w="3600" w:type="dxa"/>
            <w:vAlign w:val="bottom"/>
          </w:tcPr>
          <w:p>
            <w:pPr>
              <w:jc w:val="right"/>
              <w:ind w:right="318"/>
              <w:spacing w:after="0"/>
              <w:rPr>
                <w:sz w:val="20"/>
                <w:szCs w:val="20"/>
                <w:color w:val="auto"/>
              </w:rPr>
            </w:pPr>
            <w:r>
              <w:rPr>
                <w:rFonts w:ascii="Arial" w:cs="Arial" w:eastAsia="Arial" w:hAnsi="Arial"/>
                <w:sz w:val="11"/>
                <w:szCs w:val="11"/>
                <w:b w:val="1"/>
                <w:bCs w:val="1"/>
                <w:color w:val="205BA8"/>
              </w:rPr>
              <w:t>Corporate Performance</w:t>
            </w:r>
          </w:p>
        </w:tc>
        <w:tc>
          <w:tcPr>
            <w:tcW w:w="1640" w:type="dxa"/>
            <w:vAlign w:val="bottom"/>
          </w:tcPr>
          <w:p>
            <w:pPr>
              <w:jc w:val="right"/>
              <w:spacing w:after="0"/>
              <w:rPr>
                <w:sz w:val="20"/>
                <w:szCs w:val="20"/>
                <w:color w:val="auto"/>
              </w:rPr>
            </w:pPr>
            <w:r>
              <w:rPr>
                <w:rFonts w:ascii="Arial" w:cs="Arial" w:eastAsia="Arial" w:hAnsi="Arial"/>
                <w:sz w:val="11"/>
                <w:szCs w:val="11"/>
                <w:b w:val="1"/>
                <w:bCs w:val="1"/>
                <w:color w:val="205BA8"/>
              </w:rPr>
              <w:t>Individual Performance</w:t>
            </w:r>
          </w:p>
        </w:tc>
      </w:tr>
      <w:tr>
        <w:trPr>
          <w:trHeight w:val="56"/>
        </w:trPr>
        <w:tc>
          <w:tcPr>
            <w:tcW w:w="2860" w:type="dxa"/>
            <w:vAlign w:val="bottom"/>
            <w:tcBorders>
              <w:bottom w:val="single" w:sz="8" w:color="1F5AA8"/>
            </w:tcBorders>
          </w:tcPr>
          <w:p>
            <w:pPr>
              <w:spacing w:after="0"/>
              <w:rPr>
                <w:sz w:val="4"/>
                <w:szCs w:val="4"/>
                <w:color w:val="auto"/>
              </w:rPr>
            </w:pPr>
          </w:p>
        </w:tc>
        <w:tc>
          <w:tcPr>
            <w:tcW w:w="3600" w:type="dxa"/>
            <w:vAlign w:val="bottom"/>
            <w:tcBorders>
              <w:bottom w:val="single" w:sz="8" w:color="1F5AA8"/>
            </w:tcBorders>
          </w:tcPr>
          <w:p>
            <w:pPr>
              <w:spacing w:after="0"/>
              <w:rPr>
                <w:sz w:val="4"/>
                <w:szCs w:val="4"/>
                <w:color w:val="auto"/>
              </w:rPr>
            </w:pPr>
          </w:p>
        </w:tc>
        <w:tc>
          <w:tcPr>
            <w:tcW w:w="1640" w:type="dxa"/>
            <w:vAlign w:val="bottom"/>
            <w:tcBorders>
              <w:bottom w:val="single" w:sz="8" w:color="1F5AA8"/>
            </w:tcBorders>
          </w:tcPr>
          <w:p>
            <w:pPr>
              <w:spacing w:after="0"/>
              <w:rPr>
                <w:sz w:val="4"/>
                <w:szCs w:val="4"/>
                <w:color w:val="auto"/>
              </w:rPr>
            </w:pPr>
          </w:p>
        </w:tc>
      </w:tr>
      <w:tr>
        <w:trPr>
          <w:trHeight w:val="160"/>
        </w:trPr>
        <w:tc>
          <w:tcPr>
            <w:tcW w:w="2860" w:type="dxa"/>
            <w:vAlign w:val="bottom"/>
          </w:tcPr>
          <w:p>
            <w:pPr>
              <w:ind w:left="40"/>
              <w:spacing w:after="0"/>
              <w:rPr>
                <w:sz w:val="20"/>
                <w:szCs w:val="20"/>
                <w:color w:val="auto"/>
              </w:rPr>
            </w:pPr>
            <w:r>
              <w:rPr>
                <w:rFonts w:ascii="Arial" w:cs="Arial" w:eastAsia="Arial" w:hAnsi="Arial"/>
                <w:sz w:val="13"/>
                <w:szCs w:val="13"/>
                <w:color w:val="auto"/>
              </w:rPr>
              <w:t>CEO and CSO</w:t>
            </w:r>
          </w:p>
        </w:tc>
        <w:tc>
          <w:tcPr>
            <w:tcW w:w="3600" w:type="dxa"/>
            <w:vAlign w:val="bottom"/>
          </w:tcPr>
          <w:p>
            <w:pPr>
              <w:jc w:val="right"/>
              <w:ind w:right="318"/>
              <w:spacing w:after="0"/>
              <w:rPr>
                <w:sz w:val="20"/>
                <w:szCs w:val="20"/>
                <w:color w:val="auto"/>
              </w:rPr>
            </w:pPr>
            <w:r>
              <w:rPr>
                <w:rFonts w:ascii="Arial" w:cs="Arial" w:eastAsia="Arial" w:hAnsi="Arial"/>
                <w:sz w:val="13"/>
                <w:szCs w:val="13"/>
                <w:color w:val="auto"/>
              </w:rPr>
              <w:t>100%</w:t>
            </w:r>
          </w:p>
        </w:tc>
        <w:tc>
          <w:tcPr>
            <w:tcW w:w="16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3"/>
        </w:trPr>
        <w:tc>
          <w:tcPr>
            <w:tcW w:w="286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153"/>
        </w:trPr>
        <w:tc>
          <w:tcPr>
            <w:tcW w:w="2860" w:type="dxa"/>
            <w:vAlign w:val="bottom"/>
          </w:tcPr>
          <w:p>
            <w:pPr>
              <w:ind w:left="40"/>
              <w:spacing w:after="0"/>
              <w:rPr>
                <w:sz w:val="20"/>
                <w:szCs w:val="20"/>
                <w:color w:val="auto"/>
              </w:rPr>
            </w:pPr>
            <w:r>
              <w:rPr>
                <w:rFonts w:ascii="Arial" w:cs="Arial" w:eastAsia="Arial" w:hAnsi="Arial"/>
                <w:sz w:val="13"/>
                <w:szCs w:val="13"/>
                <w:color w:val="auto"/>
              </w:rPr>
              <w:t>Other NEOs</w:t>
            </w:r>
          </w:p>
        </w:tc>
        <w:tc>
          <w:tcPr>
            <w:tcW w:w="3600" w:type="dxa"/>
            <w:vAlign w:val="bottom"/>
          </w:tcPr>
          <w:p>
            <w:pPr>
              <w:jc w:val="right"/>
              <w:ind w:right="318"/>
              <w:spacing w:after="0"/>
              <w:rPr>
                <w:sz w:val="20"/>
                <w:szCs w:val="20"/>
                <w:color w:val="auto"/>
              </w:rPr>
            </w:pPr>
            <w:r>
              <w:rPr>
                <w:rFonts w:ascii="Arial" w:cs="Arial" w:eastAsia="Arial" w:hAnsi="Arial"/>
                <w:sz w:val="13"/>
                <w:szCs w:val="13"/>
                <w:color w:val="auto"/>
              </w:rPr>
              <w:t>60%</w:t>
            </w:r>
          </w:p>
        </w:tc>
        <w:tc>
          <w:tcPr>
            <w:tcW w:w="164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43"/>
        </w:trPr>
        <w:tc>
          <w:tcPr>
            <w:tcW w:w="2860" w:type="dxa"/>
            <w:vAlign w:val="bottom"/>
            <w:tcBorders>
              <w:bottom w:val="single" w:sz="8" w:color="1F5AA8"/>
            </w:tcBorders>
          </w:tcPr>
          <w:p>
            <w:pPr>
              <w:spacing w:after="0"/>
              <w:rPr>
                <w:sz w:val="3"/>
                <w:szCs w:val="3"/>
                <w:color w:val="auto"/>
              </w:rPr>
            </w:pPr>
          </w:p>
        </w:tc>
        <w:tc>
          <w:tcPr>
            <w:tcW w:w="3600" w:type="dxa"/>
            <w:vAlign w:val="bottom"/>
            <w:tcBorders>
              <w:bottom w:val="single" w:sz="8" w:color="1F5AA8"/>
            </w:tcBorders>
          </w:tcPr>
          <w:p>
            <w:pPr>
              <w:spacing w:after="0"/>
              <w:rPr>
                <w:sz w:val="3"/>
                <w:szCs w:val="3"/>
                <w:color w:val="auto"/>
              </w:rPr>
            </w:pPr>
          </w:p>
        </w:tc>
        <w:tc>
          <w:tcPr>
            <w:tcW w:w="1640" w:type="dxa"/>
            <w:vAlign w:val="bottom"/>
            <w:tcBorders>
              <w:bottom w:val="single" w:sz="8" w:color="1F5AA8"/>
            </w:tcBorders>
          </w:tcPr>
          <w:p>
            <w:pPr>
              <w:spacing w:after="0"/>
              <w:rPr>
                <w:sz w:val="3"/>
                <w:szCs w:val="3"/>
                <w:color w:val="auto"/>
              </w:rPr>
            </w:pPr>
          </w:p>
        </w:tc>
      </w:tr>
    </w:tbl>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63</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74" w:name="page75"/>
    <w:bookmarkEnd w:id="74"/>
    <w:p>
      <w:pPr>
        <w:ind w:lef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05BA8"/>
        </w:rPr>
        <w:t>Corporate Performance</w:t>
      </w:r>
    </w:p>
    <w:p>
      <w:pPr>
        <w:spacing w:after="0" w:line="163" w:lineRule="exact"/>
        <w:rPr>
          <w:sz w:val="20"/>
          <w:szCs w:val="20"/>
          <w:color w:val="auto"/>
        </w:rPr>
      </w:pPr>
    </w:p>
    <w:p>
      <w:pPr>
        <w:ind w:left="540" w:right="700"/>
        <w:spacing w:after="0" w:line="233" w:lineRule="auto"/>
        <w:rPr>
          <w:sz w:val="20"/>
          <w:szCs w:val="20"/>
          <w:color w:val="auto"/>
        </w:rPr>
      </w:pPr>
      <w:r>
        <w:rPr>
          <w:rFonts w:ascii="Arial" w:cs="Arial" w:eastAsia="Arial" w:hAnsi="Arial"/>
          <w:sz w:val="15"/>
          <w:szCs w:val="15"/>
          <w:color w:val="auto"/>
        </w:rPr>
        <w:t>As in 2019, the Compensation Committee utilized an enhanced process with greater involvement of all non-employee directors and the Chairman of the Board to review the Company’s performance for purposes of determining the 2020 cash incentive. This process involved an assessment of the Company’s performance in the following three categories to provide greater transparency desired by shareholders for the Committee’s decision-making process:</w:t>
      </w:r>
    </w:p>
    <w:p>
      <w:pPr>
        <w:spacing w:after="0" w:line="140" w:lineRule="exact"/>
        <w:rPr>
          <w:sz w:val="20"/>
          <w:szCs w:val="20"/>
          <w:color w:val="auto"/>
        </w:rPr>
      </w:pPr>
    </w:p>
    <w:p>
      <w:pPr>
        <w:ind w:left="860" w:hanging="312"/>
        <w:spacing w:after="0"/>
        <w:tabs>
          <w:tab w:leader="none" w:pos="860" w:val="left"/>
        </w:tabs>
        <w:numPr>
          <w:ilvl w:val="0"/>
          <w:numId w:val="80"/>
        </w:numPr>
        <w:rPr>
          <w:rFonts w:ascii="Arial" w:cs="Arial" w:eastAsia="Arial" w:hAnsi="Arial"/>
          <w:sz w:val="15"/>
          <w:szCs w:val="15"/>
          <w:color w:val="205BA8"/>
        </w:rPr>
      </w:pPr>
      <w:r>
        <w:rPr>
          <w:rFonts w:ascii="Arial" w:cs="Arial" w:eastAsia="Arial" w:hAnsi="Arial"/>
          <w:sz w:val="15"/>
          <w:szCs w:val="15"/>
          <w:color w:val="auto"/>
        </w:rPr>
        <w:t>factors related to our product pipeline and development for both the near- and long-term;</w:t>
      </w:r>
    </w:p>
    <w:p>
      <w:pPr>
        <w:spacing w:after="0" w:line="70" w:lineRule="exact"/>
        <w:rPr>
          <w:rFonts w:ascii="Arial" w:cs="Arial" w:eastAsia="Arial" w:hAnsi="Arial"/>
          <w:sz w:val="15"/>
          <w:szCs w:val="15"/>
          <w:color w:val="205BA8"/>
        </w:rPr>
      </w:pPr>
    </w:p>
    <w:p>
      <w:pPr>
        <w:jc w:val="both"/>
        <w:ind w:left="540" w:right="6040"/>
        <w:spacing w:after="0" w:line="354" w:lineRule="auto"/>
        <w:rPr>
          <w:rFonts w:ascii="Arial" w:cs="Arial" w:eastAsia="Arial" w:hAnsi="Arial"/>
          <w:sz w:val="15"/>
          <w:szCs w:val="15"/>
          <w:color w:val="205BA8"/>
        </w:rPr>
      </w:pPr>
      <w:r>
        <w:rPr>
          <w:rFonts w:ascii="Arial" w:cs="Arial" w:eastAsia="Arial" w:hAnsi="Arial"/>
          <w:sz w:val="15"/>
          <w:szCs w:val="15"/>
          <w:color w:val="205BA8"/>
        </w:rPr>
        <w:t xml:space="preserve">2 </w:t>
      </w:r>
      <w:r>
        <w:rPr>
          <w:rFonts w:ascii="Arial" w:cs="Arial" w:eastAsia="Arial" w:hAnsi="Arial"/>
          <w:sz w:val="15"/>
          <w:szCs w:val="15"/>
          <w:color w:val="000000"/>
        </w:rPr>
        <w:t>factors regarding our financial performance and operations; and</w:t>
      </w:r>
      <w:r>
        <w:rPr>
          <w:rFonts w:ascii="Arial" w:cs="Arial" w:eastAsia="Arial" w:hAnsi="Arial"/>
          <w:sz w:val="15"/>
          <w:szCs w:val="15"/>
          <w:color w:val="205BA8"/>
        </w:rPr>
        <w:t xml:space="preserve"> 3 </w:t>
      </w:r>
      <w:r>
        <w:rPr>
          <w:rFonts w:ascii="Arial" w:cs="Arial" w:eastAsia="Arial" w:hAnsi="Arial"/>
          <w:sz w:val="15"/>
          <w:szCs w:val="15"/>
          <w:color w:val="000000"/>
        </w:rPr>
        <w:t>factors related to our talent, culture, and corporate responsibility.</w:t>
      </w:r>
    </w:p>
    <w:p>
      <w:pPr>
        <w:spacing w:after="0" w:line="45" w:lineRule="exact"/>
        <w:rPr>
          <w:sz w:val="20"/>
          <w:szCs w:val="20"/>
          <w:color w:val="auto"/>
        </w:rPr>
      </w:pPr>
    </w:p>
    <w:p>
      <w:pPr>
        <w:ind w:left="540" w:right="580"/>
        <w:spacing w:after="0" w:line="235" w:lineRule="auto"/>
        <w:rPr>
          <w:sz w:val="20"/>
          <w:szCs w:val="20"/>
          <w:color w:val="auto"/>
        </w:rPr>
      </w:pPr>
      <w:r>
        <w:rPr>
          <w:rFonts w:ascii="Arial" w:cs="Arial" w:eastAsia="Arial" w:hAnsi="Arial"/>
          <w:sz w:val="15"/>
          <w:szCs w:val="15"/>
          <w:color w:val="auto"/>
        </w:rPr>
        <w:t>The factors analyzed under category (1) continued to be a key measure for the Compensation Committee’s assessment and calculating the Company performance multiplier. This recognizes the importance of innovation as a key component of the Company’s business strategy and valuation, as well as the critical role of the development pipeline in the Company’s long-term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83185</wp:posOffset>
            </wp:positionV>
            <wp:extent cx="644652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446520" cy="188595"/>
                    </a:xfrm>
                    <a:prstGeom prst="rect">
                      <a:avLst/>
                    </a:prstGeom>
                    <a:noFill/>
                  </pic:spPr>
                </pic:pic>
              </a:graphicData>
            </a:graphic>
          </wp:anchor>
        </w:drawing>
      </w:r>
    </w:p>
    <w:p>
      <w:pPr>
        <w:spacing w:after="0" w:line="139" w:lineRule="exact"/>
        <w:rPr>
          <w:sz w:val="20"/>
          <w:szCs w:val="20"/>
          <w:color w:val="auto"/>
        </w:rPr>
      </w:pPr>
    </w:p>
    <w:p>
      <w:pPr>
        <w:ind w:left="600" w:right="5140" w:firstLine="2"/>
        <w:spacing w:after="0" w:line="391" w:lineRule="auto"/>
        <w:tabs>
          <w:tab w:leader="none" w:pos="856" w:val="left"/>
        </w:tabs>
        <w:numPr>
          <w:ilvl w:val="0"/>
          <w:numId w:val="81"/>
        </w:numPr>
        <w:rPr>
          <w:rFonts w:ascii="Arial" w:cs="Arial" w:eastAsia="Arial" w:hAnsi="Arial"/>
          <w:sz w:val="17"/>
          <w:szCs w:val="17"/>
          <w:b w:val="1"/>
          <w:bCs w:val="1"/>
          <w:color w:val="FFFFFF"/>
        </w:rPr>
      </w:pPr>
      <w:r>
        <w:rPr>
          <w:rFonts w:ascii="Arial" w:cs="Arial" w:eastAsia="Arial" w:hAnsi="Arial"/>
          <w:sz w:val="17"/>
          <w:szCs w:val="17"/>
          <w:b w:val="1"/>
          <w:bCs w:val="1"/>
          <w:color w:val="FFFFFF"/>
        </w:rPr>
        <w:t xml:space="preserve">PRODUCT PIPELINE AND DEVELOPMENT (PRIMARY FACTORS) </w:t>
      </w:r>
      <w:r>
        <w:rPr>
          <w:rFonts w:ascii="Arial" w:cs="Arial" w:eastAsia="Arial" w:hAnsi="Arial"/>
          <w:sz w:val="17"/>
          <w:szCs w:val="17"/>
          <w:b w:val="1"/>
          <w:bCs w:val="1"/>
          <w:color w:val="C44E5E"/>
        </w:rPr>
        <w:t>Regulatory &amp; Clinical Milestones; Commercial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-233045</wp:posOffset>
            </wp:positionV>
            <wp:extent cx="6446520" cy="7372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446520" cy="737235"/>
                    </a:xfrm>
                    <a:prstGeom prst="rect">
                      <a:avLst/>
                    </a:prstGeom>
                    <a:noFill/>
                  </pic:spPr>
                </pic:pic>
              </a:graphicData>
            </a:graphic>
          </wp:anchor>
        </w:drawing>
      </w:r>
    </w:p>
    <w:p>
      <w:pPr>
        <w:ind w:left="760" w:hanging="158"/>
        <w:spacing w:after="0"/>
        <w:tabs>
          <w:tab w:leader="none" w:pos="760" w:val="left"/>
        </w:tabs>
        <w:numPr>
          <w:ilvl w:val="0"/>
          <w:numId w:val="82"/>
        </w:numPr>
        <w:rPr>
          <w:rFonts w:ascii="Arial" w:cs="Arial" w:eastAsia="Arial" w:hAnsi="Arial"/>
          <w:sz w:val="13"/>
          <w:szCs w:val="13"/>
          <w:color w:val="205BA8"/>
        </w:rPr>
      </w:pPr>
      <w:r>
        <w:rPr>
          <w:rFonts w:ascii="Arial" w:cs="Arial" w:eastAsia="Arial" w:hAnsi="Arial"/>
          <w:sz w:val="13"/>
          <w:szCs w:val="13"/>
          <w:color w:val="auto"/>
        </w:rPr>
        <w:t>Approval of new products or indications by the FDA or applicable regulatory authorities outside the United States</w:t>
      </w:r>
    </w:p>
    <w:p>
      <w:pPr>
        <w:ind w:left="760" w:hanging="158"/>
        <w:spacing w:after="0"/>
        <w:tabs>
          <w:tab w:leader="none" w:pos="760" w:val="left"/>
        </w:tabs>
        <w:numPr>
          <w:ilvl w:val="0"/>
          <w:numId w:val="82"/>
        </w:numPr>
        <w:rPr>
          <w:rFonts w:ascii="Arial" w:cs="Arial" w:eastAsia="Arial" w:hAnsi="Arial"/>
          <w:sz w:val="13"/>
          <w:szCs w:val="13"/>
          <w:color w:val="205BA8"/>
        </w:rPr>
      </w:pPr>
      <w:r>
        <w:rPr>
          <w:rFonts w:ascii="Arial" w:cs="Arial" w:eastAsia="Arial" w:hAnsi="Arial"/>
          <w:sz w:val="13"/>
          <w:szCs w:val="13"/>
          <w:color w:val="auto"/>
        </w:rPr>
        <w:t>Regulatory submissions for new products and new indications</w:t>
      </w:r>
    </w:p>
    <w:p>
      <w:pPr>
        <w:ind w:left="760" w:hanging="158"/>
        <w:spacing w:after="0"/>
        <w:tabs>
          <w:tab w:leader="none" w:pos="760" w:val="left"/>
        </w:tabs>
        <w:numPr>
          <w:ilvl w:val="0"/>
          <w:numId w:val="82"/>
        </w:numPr>
        <w:rPr>
          <w:rFonts w:ascii="Arial" w:cs="Arial" w:eastAsia="Arial" w:hAnsi="Arial"/>
          <w:sz w:val="13"/>
          <w:szCs w:val="13"/>
          <w:color w:val="205BA8"/>
        </w:rPr>
      </w:pPr>
      <w:r>
        <w:rPr>
          <w:rFonts w:ascii="Arial" w:cs="Arial" w:eastAsia="Arial" w:hAnsi="Arial"/>
          <w:sz w:val="13"/>
          <w:szCs w:val="13"/>
          <w:color w:val="auto"/>
        </w:rPr>
        <w:t>Breakthrough Therapy or orphan drug designations by the FDA (or its equivalent outside the United States)</w:t>
      </w:r>
    </w:p>
    <w:p>
      <w:pPr>
        <w:ind w:left="760" w:hanging="158"/>
        <w:spacing w:after="0"/>
        <w:tabs>
          <w:tab w:leader="none" w:pos="760" w:val="left"/>
        </w:tabs>
        <w:numPr>
          <w:ilvl w:val="0"/>
          <w:numId w:val="82"/>
        </w:numPr>
        <w:rPr>
          <w:rFonts w:ascii="Arial" w:cs="Arial" w:eastAsia="Arial" w:hAnsi="Arial"/>
          <w:sz w:val="13"/>
          <w:szCs w:val="13"/>
          <w:color w:val="205BA8"/>
        </w:rPr>
      </w:pPr>
      <w:r>
        <w:rPr>
          <w:rFonts w:ascii="Arial" w:cs="Arial" w:eastAsia="Arial" w:hAnsi="Arial"/>
          <w:sz w:val="13"/>
          <w:szCs w:val="13"/>
          <w:color w:val="auto"/>
        </w:rPr>
        <w:t>Data readouts and key publications from potentially pivotal/registrational studies</w:t>
      </w:r>
    </w:p>
    <w:p>
      <w:pPr>
        <w:ind w:left="760" w:hanging="158"/>
        <w:spacing w:after="0"/>
        <w:tabs>
          <w:tab w:leader="none" w:pos="760" w:val="left"/>
        </w:tabs>
        <w:numPr>
          <w:ilvl w:val="0"/>
          <w:numId w:val="82"/>
        </w:numPr>
        <w:rPr>
          <w:rFonts w:ascii="Arial" w:cs="Arial" w:eastAsia="Arial" w:hAnsi="Arial"/>
          <w:sz w:val="13"/>
          <w:szCs w:val="13"/>
          <w:color w:val="205BA8"/>
        </w:rPr>
      </w:pPr>
      <w:r>
        <w:rPr>
          <w:rFonts w:ascii="Arial" w:cs="Arial" w:eastAsia="Arial" w:hAnsi="Arial"/>
          <w:sz w:val="13"/>
          <w:szCs w:val="13"/>
          <w:color w:val="auto"/>
        </w:rPr>
        <w:t>Initiation of new Phase 3 or Phase 2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31750</wp:posOffset>
            </wp:positionV>
            <wp:extent cx="6446520" cy="32575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446520" cy="3257550"/>
                    </a:xfrm>
                    <a:prstGeom prst="rect">
                      <a:avLst/>
                    </a:prstGeom>
                    <a:noFill/>
                  </pic:spPr>
                </pic:pic>
              </a:graphicData>
            </a:graphic>
          </wp:anchor>
        </w:drawing>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205BA8"/>
        </w:rPr>
        <w:t>Achievements/Relevant Developments in 2020:*</w:t>
      </w:r>
    </w:p>
    <w:p>
      <w:pPr>
        <w:sectPr>
          <w:pgSz w:w="11900" w:h="16838" w:orient="portrait"/>
          <w:cols w:equalWidth="0" w:num="1">
            <w:col w:w="11240"/>
          </w:cols>
          <w:pgMar w:left="320" w:top="405" w:right="339" w:bottom="1440" w:gutter="0" w:footer="0" w:header="0"/>
        </w:sectPr>
      </w:pPr>
    </w:p>
    <w:p>
      <w:pPr>
        <w:spacing w:after="0" w:line="142"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REGEN-COV</w:t>
      </w:r>
    </w:p>
    <w:p>
      <w:pPr>
        <w:spacing w:after="0" w:line="15" w:lineRule="exact"/>
        <w:rPr>
          <w:sz w:val="20"/>
          <w:szCs w:val="20"/>
          <w:color w:val="auto"/>
        </w:rPr>
      </w:pPr>
    </w:p>
    <w:p>
      <w:pPr>
        <w:ind w:left="780" w:right="20" w:hanging="160"/>
        <w:spacing w:after="0" w:line="238" w:lineRule="auto"/>
        <w:tabs>
          <w:tab w:leader="none" w:pos="772" w:val="left"/>
        </w:tabs>
        <w:numPr>
          <w:ilvl w:val="0"/>
          <w:numId w:val="83"/>
        </w:numPr>
        <w:rPr>
          <w:rFonts w:ascii="Arial" w:cs="Arial" w:eastAsia="Arial" w:hAnsi="Arial"/>
          <w:sz w:val="13"/>
          <w:szCs w:val="13"/>
          <w:color w:val="205BA8"/>
        </w:rPr>
      </w:pPr>
      <w:r>
        <w:rPr>
          <w:rFonts w:ascii="Arial" w:cs="Arial" w:eastAsia="Arial" w:hAnsi="Arial"/>
          <w:sz w:val="13"/>
          <w:szCs w:val="13"/>
          <w:color w:val="auto"/>
        </w:rPr>
        <w:t xml:space="preserve">Two papers were published in </w:t>
      </w:r>
      <w:r>
        <w:rPr>
          <w:rFonts w:ascii="Arial" w:cs="Arial" w:eastAsia="Arial" w:hAnsi="Arial"/>
          <w:sz w:val="13"/>
          <w:szCs w:val="13"/>
          <w:i w:val="1"/>
          <w:iCs w:val="1"/>
          <w:color w:val="auto"/>
        </w:rPr>
        <w:t>Science</w:t>
      </w:r>
      <w:r>
        <w:rPr>
          <w:rFonts w:ascii="Arial" w:cs="Arial" w:eastAsia="Arial" w:hAnsi="Arial"/>
          <w:sz w:val="13"/>
          <w:szCs w:val="13"/>
          <w:color w:val="auto"/>
        </w:rPr>
        <w:t xml:space="preserve"> describing the creation of REGEN-COV and highlighting its potential to diminish the risk of viral escape by effectively binding to the virus’s critical spike protein in two separate, non-overlapping locations.</w:t>
      </w:r>
    </w:p>
    <w:p>
      <w:pPr>
        <w:spacing w:after="0" w:line="1" w:lineRule="exact"/>
        <w:rPr>
          <w:rFonts w:ascii="Arial" w:cs="Arial" w:eastAsia="Arial" w:hAnsi="Arial"/>
          <w:sz w:val="13"/>
          <w:szCs w:val="13"/>
          <w:color w:val="205BA8"/>
        </w:rPr>
      </w:pPr>
    </w:p>
    <w:p>
      <w:pPr>
        <w:ind w:left="780" w:right="40" w:hanging="160"/>
        <w:spacing w:after="0" w:line="238" w:lineRule="auto"/>
        <w:tabs>
          <w:tab w:leader="none" w:pos="772" w:val="left"/>
        </w:tabs>
        <w:numPr>
          <w:ilvl w:val="0"/>
          <w:numId w:val="83"/>
        </w:numPr>
        <w:rPr>
          <w:rFonts w:ascii="Arial" w:cs="Arial" w:eastAsia="Arial" w:hAnsi="Arial"/>
          <w:sz w:val="13"/>
          <w:szCs w:val="13"/>
          <w:color w:val="205BA8"/>
        </w:rPr>
      </w:pPr>
      <w:r>
        <w:rPr>
          <w:rFonts w:ascii="Arial" w:cs="Arial" w:eastAsia="Arial" w:hAnsi="Arial"/>
          <w:sz w:val="13"/>
          <w:szCs w:val="13"/>
          <w:color w:val="auto"/>
        </w:rPr>
        <w:t>Non-human primate data were provided as a pre-review publication online for REGEN-COV showing that treatment with this antibody cocktail can prevent SARS-CoV-2 infection as well as treat infected animals by accelerating viral elimination.</w:t>
      </w:r>
    </w:p>
    <w:p>
      <w:pPr>
        <w:spacing w:after="0" w:line="1" w:lineRule="exact"/>
        <w:rPr>
          <w:rFonts w:ascii="Arial" w:cs="Arial" w:eastAsia="Arial" w:hAnsi="Arial"/>
          <w:sz w:val="13"/>
          <w:szCs w:val="13"/>
          <w:color w:val="205BA8"/>
        </w:rPr>
      </w:pPr>
    </w:p>
    <w:p>
      <w:pPr>
        <w:ind w:left="780" w:hanging="160"/>
        <w:spacing w:after="0" w:line="238" w:lineRule="auto"/>
        <w:tabs>
          <w:tab w:leader="none" w:pos="772" w:val="left"/>
        </w:tabs>
        <w:numPr>
          <w:ilvl w:val="0"/>
          <w:numId w:val="83"/>
        </w:numPr>
        <w:rPr>
          <w:rFonts w:ascii="Arial" w:cs="Arial" w:eastAsia="Arial" w:hAnsi="Arial"/>
          <w:sz w:val="13"/>
          <w:szCs w:val="13"/>
          <w:color w:val="205BA8"/>
        </w:rPr>
      </w:pPr>
      <w:r>
        <w:rPr>
          <w:rFonts w:ascii="Arial" w:cs="Arial" w:eastAsia="Arial" w:hAnsi="Arial"/>
          <w:sz w:val="13"/>
          <w:szCs w:val="13"/>
          <w:color w:val="auto"/>
        </w:rPr>
        <w:t>Following review from the Independent Data Monitoring Committee (“IDMC”) of REGEN-COV Phase 1 safety results, a Phase 3 trial to evaluate REGENCOV’s ability to prevent infection among uninfected people who have had close exposure to a COVID-19 patient was initiated. In addition, REGEN-COV was moved into the Phase 2/3 portion of two adaptive Phase 1/2/3 trials testing the cocktail’s ability to treat hospitalized and non-hospitalized patients with COVID-19.</w:t>
      </w:r>
    </w:p>
    <w:p>
      <w:pPr>
        <w:spacing w:after="0" w:line="2" w:lineRule="exact"/>
        <w:rPr>
          <w:rFonts w:ascii="Arial" w:cs="Arial" w:eastAsia="Arial" w:hAnsi="Arial"/>
          <w:sz w:val="13"/>
          <w:szCs w:val="13"/>
          <w:color w:val="205BA8"/>
        </w:rPr>
      </w:pPr>
    </w:p>
    <w:p>
      <w:pPr>
        <w:ind w:left="780" w:hanging="160"/>
        <w:spacing w:after="0" w:line="239" w:lineRule="auto"/>
        <w:tabs>
          <w:tab w:leader="none" w:pos="772" w:val="left"/>
        </w:tabs>
        <w:numPr>
          <w:ilvl w:val="0"/>
          <w:numId w:val="83"/>
        </w:numPr>
        <w:rPr>
          <w:rFonts w:ascii="Arial" w:cs="Arial" w:eastAsia="Arial" w:hAnsi="Arial"/>
          <w:sz w:val="13"/>
          <w:szCs w:val="13"/>
          <w:color w:val="205BA8"/>
        </w:rPr>
      </w:pPr>
      <w:r>
        <w:rPr>
          <w:rFonts w:ascii="Arial" w:cs="Arial" w:eastAsia="Arial" w:hAnsi="Arial"/>
          <w:sz w:val="13"/>
          <w:szCs w:val="13"/>
          <w:color w:val="auto"/>
        </w:rPr>
        <w:t>The Company announced an agreement with the Biomedical Advanced Research and Development Authority (“BARDA”) of the U.S. Department of Health and Human Services (“HHS”) and the U.S. Department of Defense whereby the Company was awarded a $450 million contract to manufacture and supply filled and finished REGEN-COV to the U.S. Government. The Company commenced delivery of REGEN-COV drug product under the agreement during the third quarter of 2020.</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REGEN-COV (cont’d)</w:t>
      </w:r>
    </w:p>
    <w:p>
      <w:pPr>
        <w:spacing w:after="0" w:line="15" w:lineRule="exact"/>
        <w:rPr>
          <w:sz w:val="20"/>
          <w:szCs w:val="20"/>
          <w:color w:val="auto"/>
        </w:rPr>
      </w:pPr>
    </w:p>
    <w:p>
      <w:pPr>
        <w:ind w:left="180" w:right="80" w:hanging="165"/>
        <w:spacing w:after="0" w:line="238" w:lineRule="auto"/>
        <w:tabs>
          <w:tab w:leader="none" w:pos="172" w:val="left"/>
        </w:tabs>
        <w:numPr>
          <w:ilvl w:val="0"/>
          <w:numId w:val="84"/>
        </w:numPr>
        <w:rPr>
          <w:rFonts w:ascii="Arial" w:cs="Arial" w:eastAsia="Arial" w:hAnsi="Arial"/>
          <w:sz w:val="13"/>
          <w:szCs w:val="13"/>
          <w:color w:val="205BA8"/>
        </w:rPr>
      </w:pPr>
      <w:r>
        <w:rPr>
          <w:rFonts w:ascii="Arial" w:cs="Arial" w:eastAsia="Arial" w:hAnsi="Arial"/>
          <w:sz w:val="13"/>
          <w:szCs w:val="13"/>
          <w:color w:val="auto"/>
        </w:rPr>
        <w:t>In August 2020, the Company entered into a collaboration agreement with Roche to significantly increase the global supply of REGEN-COV.</w:t>
      </w:r>
    </w:p>
    <w:p>
      <w:pPr>
        <w:ind w:left="180" w:hanging="165"/>
        <w:spacing w:after="0" w:line="238" w:lineRule="auto"/>
        <w:tabs>
          <w:tab w:leader="none" w:pos="172" w:val="left"/>
        </w:tabs>
        <w:numPr>
          <w:ilvl w:val="0"/>
          <w:numId w:val="84"/>
        </w:numPr>
        <w:rPr>
          <w:rFonts w:ascii="Arial" w:cs="Arial" w:eastAsia="Arial" w:hAnsi="Arial"/>
          <w:sz w:val="13"/>
          <w:szCs w:val="13"/>
          <w:color w:val="205BA8"/>
        </w:rPr>
      </w:pPr>
      <w:r>
        <w:rPr>
          <w:rFonts w:ascii="Arial" w:cs="Arial" w:eastAsia="Arial" w:hAnsi="Arial"/>
          <w:sz w:val="13"/>
          <w:szCs w:val="13"/>
          <w:color w:val="auto"/>
        </w:rPr>
        <w:t>In September 2020, the Company and the University of Oxford announced that the RECOVERY Phase 3 open-label trial in the United Kingdom will evaluate REGEN-COV.</w:t>
      </w:r>
    </w:p>
    <w:p>
      <w:pPr>
        <w:spacing w:after="0" w:line="1" w:lineRule="exact"/>
        <w:rPr>
          <w:rFonts w:ascii="Arial" w:cs="Arial" w:eastAsia="Arial" w:hAnsi="Arial"/>
          <w:sz w:val="13"/>
          <w:szCs w:val="13"/>
          <w:color w:val="205BA8"/>
        </w:rPr>
      </w:pPr>
    </w:p>
    <w:p>
      <w:pPr>
        <w:ind w:left="180" w:right="40" w:hanging="165"/>
        <w:spacing w:after="0" w:line="238" w:lineRule="auto"/>
        <w:tabs>
          <w:tab w:leader="none" w:pos="172" w:val="left"/>
        </w:tabs>
        <w:numPr>
          <w:ilvl w:val="0"/>
          <w:numId w:val="84"/>
        </w:numPr>
        <w:rPr>
          <w:rFonts w:ascii="Arial" w:cs="Arial" w:eastAsia="Arial" w:hAnsi="Arial"/>
          <w:sz w:val="13"/>
          <w:szCs w:val="13"/>
          <w:color w:val="205BA8"/>
        </w:rPr>
      </w:pPr>
      <w:r>
        <w:rPr>
          <w:rFonts w:ascii="Arial" w:cs="Arial" w:eastAsia="Arial" w:hAnsi="Arial"/>
          <w:sz w:val="13"/>
          <w:szCs w:val="13"/>
          <w:color w:val="auto"/>
        </w:rPr>
        <w:t>In October 2020, the Company reported positive results from the ongoing Phase 2/3 seamless trial in non-hospitalized patients with COVID-19, showing that REGEN-COV significantly reduced viral load and patient medical visits. The trial met the primary and key secondary endpoints.</w:t>
      </w:r>
    </w:p>
    <w:p>
      <w:pPr>
        <w:spacing w:after="0" w:line="1" w:lineRule="exact"/>
        <w:rPr>
          <w:rFonts w:ascii="Arial" w:cs="Arial" w:eastAsia="Arial" w:hAnsi="Arial"/>
          <w:sz w:val="13"/>
          <w:szCs w:val="13"/>
          <w:color w:val="205BA8"/>
        </w:rPr>
      </w:pPr>
    </w:p>
    <w:p>
      <w:pPr>
        <w:jc w:val="both"/>
        <w:ind w:left="180" w:right="60" w:hanging="165"/>
        <w:spacing w:after="0" w:line="238" w:lineRule="auto"/>
        <w:tabs>
          <w:tab w:leader="none" w:pos="172" w:val="left"/>
        </w:tabs>
        <w:numPr>
          <w:ilvl w:val="0"/>
          <w:numId w:val="84"/>
        </w:numPr>
        <w:rPr>
          <w:rFonts w:ascii="Arial" w:cs="Arial" w:eastAsia="Arial" w:hAnsi="Arial"/>
          <w:sz w:val="13"/>
          <w:szCs w:val="13"/>
          <w:color w:val="205BA8"/>
        </w:rPr>
      </w:pPr>
      <w:r>
        <w:rPr>
          <w:rFonts w:ascii="Arial" w:cs="Arial" w:eastAsia="Arial" w:hAnsi="Arial"/>
          <w:sz w:val="13"/>
          <w:szCs w:val="13"/>
          <w:color w:val="auto"/>
        </w:rPr>
        <w:t>In October 2020, the Company submitted a request to the FDA for an Emergency Use Authorization for REGEN-COV for COVID-19.</w:t>
      </w:r>
    </w:p>
    <w:p>
      <w:pPr>
        <w:ind w:left="180" w:right="180" w:hanging="165"/>
        <w:spacing w:after="0" w:line="241" w:lineRule="auto"/>
        <w:tabs>
          <w:tab w:leader="none" w:pos="172" w:val="left"/>
        </w:tabs>
        <w:numPr>
          <w:ilvl w:val="0"/>
          <w:numId w:val="84"/>
        </w:numPr>
        <w:rPr>
          <w:rFonts w:ascii="Arial" w:cs="Arial" w:eastAsia="Arial" w:hAnsi="Arial"/>
          <w:sz w:val="13"/>
          <w:szCs w:val="13"/>
          <w:color w:val="205BA8"/>
        </w:rPr>
      </w:pPr>
      <w:r>
        <w:rPr>
          <w:rFonts w:ascii="Arial" w:cs="Arial" w:eastAsia="Arial" w:hAnsi="Arial"/>
          <w:sz w:val="13"/>
          <w:szCs w:val="13"/>
          <w:color w:val="auto"/>
        </w:rPr>
        <w:t>In November 2020, the Company announced that the RECOVERY trial data monitoring committee recommended continuing evaluation of REGEN-COV in all hospitalized patients.</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EYLEA</w:t>
      </w:r>
    </w:p>
    <w:p>
      <w:pPr>
        <w:spacing w:after="0" w:line="15" w:lineRule="exact"/>
        <w:rPr>
          <w:sz w:val="20"/>
          <w:szCs w:val="20"/>
          <w:color w:val="auto"/>
        </w:rPr>
      </w:pPr>
    </w:p>
    <w:p>
      <w:pPr>
        <w:ind w:left="180" w:right="160" w:hanging="165"/>
        <w:spacing w:after="0" w:line="238" w:lineRule="auto"/>
        <w:tabs>
          <w:tab w:leader="none" w:pos="172" w:val="left"/>
        </w:tabs>
        <w:numPr>
          <w:ilvl w:val="0"/>
          <w:numId w:val="85"/>
        </w:numPr>
        <w:rPr>
          <w:rFonts w:ascii="Arial" w:cs="Arial" w:eastAsia="Arial" w:hAnsi="Arial"/>
          <w:sz w:val="13"/>
          <w:szCs w:val="13"/>
          <w:color w:val="205BA8"/>
        </w:rPr>
      </w:pPr>
      <w:r>
        <w:rPr>
          <w:rFonts w:ascii="Arial" w:cs="Arial" w:eastAsia="Arial" w:hAnsi="Arial"/>
          <w:sz w:val="13"/>
          <w:szCs w:val="13"/>
          <w:color w:val="auto"/>
        </w:rPr>
        <w:t>In March 2020, the Ministry of Health, Labour and Welfare (“MHLW”) approved EYLEA for the treatment of neovascular glaucoma in Japan.</w:t>
      </w:r>
    </w:p>
    <w:p>
      <w:pPr>
        <w:ind w:left="180" w:right="100" w:hanging="165"/>
        <w:spacing w:after="0" w:line="238" w:lineRule="auto"/>
        <w:tabs>
          <w:tab w:leader="none" w:pos="172" w:val="left"/>
        </w:tabs>
        <w:numPr>
          <w:ilvl w:val="0"/>
          <w:numId w:val="85"/>
        </w:numPr>
        <w:rPr>
          <w:rFonts w:ascii="Arial" w:cs="Arial" w:eastAsia="Arial" w:hAnsi="Arial"/>
          <w:sz w:val="13"/>
          <w:szCs w:val="13"/>
          <w:color w:val="205BA8"/>
        </w:rPr>
      </w:pPr>
      <w:r>
        <w:rPr>
          <w:rFonts w:ascii="Arial" w:cs="Arial" w:eastAsia="Arial" w:hAnsi="Arial"/>
          <w:sz w:val="13"/>
          <w:szCs w:val="13"/>
          <w:color w:val="auto"/>
        </w:rPr>
        <w:t>In April 2020, the European Commission approved the EYLEA pre-filled syringe.</w:t>
      </w:r>
    </w:p>
    <w:p>
      <w:pPr>
        <w:ind w:left="180" w:hanging="165"/>
        <w:spacing w:after="0" w:line="241" w:lineRule="auto"/>
        <w:tabs>
          <w:tab w:leader="none" w:pos="172" w:val="left"/>
        </w:tabs>
        <w:numPr>
          <w:ilvl w:val="0"/>
          <w:numId w:val="85"/>
        </w:numPr>
        <w:rPr>
          <w:rFonts w:ascii="Arial" w:cs="Arial" w:eastAsia="Arial" w:hAnsi="Arial"/>
          <w:sz w:val="13"/>
          <w:szCs w:val="13"/>
          <w:color w:val="205BA8"/>
        </w:rPr>
      </w:pPr>
      <w:r>
        <w:rPr>
          <w:rFonts w:ascii="Arial" w:cs="Arial" w:eastAsia="Arial" w:hAnsi="Arial"/>
          <w:sz w:val="13"/>
          <w:szCs w:val="13"/>
          <w:color w:val="auto"/>
        </w:rPr>
        <w:t>Phase 3 studies exploring less frequent dosing intervals using a high-dose formulation of aflibercept in wet AMD and diabetic macular edema were initiated.</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Dupixent</w:t>
      </w:r>
    </w:p>
    <w:p>
      <w:pPr>
        <w:spacing w:after="0" w:line="15" w:lineRule="exact"/>
        <w:rPr>
          <w:sz w:val="20"/>
          <w:szCs w:val="20"/>
          <w:color w:val="auto"/>
        </w:rPr>
      </w:pPr>
    </w:p>
    <w:p>
      <w:pPr>
        <w:ind w:left="180" w:right="620" w:hanging="162"/>
        <w:spacing w:after="0" w:line="238" w:lineRule="auto"/>
        <w:tabs>
          <w:tab w:leader="none" w:pos="172" w:val="left"/>
        </w:tabs>
        <w:numPr>
          <w:ilvl w:val="0"/>
          <w:numId w:val="86"/>
        </w:numPr>
        <w:rPr>
          <w:rFonts w:ascii="Arial" w:cs="Arial" w:eastAsia="Arial" w:hAnsi="Arial"/>
          <w:sz w:val="13"/>
          <w:szCs w:val="13"/>
          <w:color w:val="205BA8"/>
        </w:rPr>
      </w:pPr>
      <w:r>
        <w:rPr>
          <w:rFonts w:ascii="Arial" w:cs="Arial" w:eastAsia="Arial" w:hAnsi="Arial"/>
          <w:sz w:val="13"/>
          <w:szCs w:val="13"/>
          <w:color w:val="auto"/>
        </w:rPr>
        <w:t>In March 2020, the MHLW approved Dupixent for chronic rhinosinusitis with nasal polyposis in Japan.</w:t>
      </w:r>
    </w:p>
    <w:p>
      <w:pPr>
        <w:ind w:left="180" w:right="820" w:hanging="162"/>
        <w:spacing w:after="0" w:line="238" w:lineRule="auto"/>
        <w:tabs>
          <w:tab w:leader="none" w:pos="172" w:val="left"/>
        </w:tabs>
        <w:numPr>
          <w:ilvl w:val="0"/>
          <w:numId w:val="86"/>
        </w:numPr>
        <w:rPr>
          <w:rFonts w:ascii="Arial" w:cs="Arial" w:eastAsia="Arial" w:hAnsi="Arial"/>
          <w:sz w:val="13"/>
          <w:szCs w:val="13"/>
          <w:color w:val="205BA8"/>
        </w:rPr>
      </w:pPr>
      <w:r>
        <w:rPr>
          <w:rFonts w:ascii="Arial" w:cs="Arial" w:eastAsia="Arial" w:hAnsi="Arial"/>
          <w:sz w:val="13"/>
          <w:szCs w:val="13"/>
          <w:color w:val="auto"/>
        </w:rPr>
        <w:t>In May 2020, the FDA approved Dupixent as the first biologic medicine for children aged 6 to 11 years with moderate-to-severe atopic dermatitis.</w:t>
      </w:r>
    </w:p>
    <w:p>
      <w:pPr>
        <w:ind w:left="180" w:right="660" w:hanging="162"/>
        <w:spacing w:after="0" w:line="238" w:lineRule="auto"/>
        <w:tabs>
          <w:tab w:leader="none" w:pos="172" w:val="left"/>
        </w:tabs>
        <w:numPr>
          <w:ilvl w:val="0"/>
          <w:numId w:val="86"/>
        </w:numPr>
        <w:rPr>
          <w:rFonts w:ascii="Arial" w:cs="Arial" w:eastAsia="Arial" w:hAnsi="Arial"/>
          <w:sz w:val="13"/>
          <w:szCs w:val="13"/>
          <w:color w:val="205BA8"/>
        </w:rPr>
      </w:pPr>
      <w:r>
        <w:rPr>
          <w:rFonts w:ascii="Arial" w:cs="Arial" w:eastAsia="Arial" w:hAnsi="Arial"/>
          <w:sz w:val="13"/>
          <w:szCs w:val="13"/>
          <w:color w:val="auto"/>
        </w:rPr>
        <w:t>Also in May 2020, the Company and Sanofi announced positive results from Part A of the Phase 3 trial in patients 12 years and older with EoE. The trial met both of its co-primary endpoints, as well as all key secondary endpoints.</w:t>
      </w:r>
    </w:p>
    <w:p>
      <w:pPr>
        <w:spacing w:after="0" w:line="1" w:lineRule="exact"/>
        <w:rPr>
          <w:rFonts w:ascii="Arial" w:cs="Arial" w:eastAsia="Arial" w:hAnsi="Arial"/>
          <w:sz w:val="13"/>
          <w:szCs w:val="13"/>
          <w:color w:val="205BA8"/>
        </w:rPr>
      </w:pPr>
    </w:p>
    <w:p>
      <w:pPr>
        <w:ind w:left="180" w:right="680" w:hanging="162"/>
        <w:spacing w:after="0" w:line="238" w:lineRule="auto"/>
        <w:tabs>
          <w:tab w:leader="none" w:pos="172" w:val="left"/>
        </w:tabs>
        <w:numPr>
          <w:ilvl w:val="0"/>
          <w:numId w:val="86"/>
        </w:numPr>
        <w:rPr>
          <w:rFonts w:ascii="Arial" w:cs="Arial" w:eastAsia="Arial" w:hAnsi="Arial"/>
          <w:sz w:val="13"/>
          <w:szCs w:val="13"/>
          <w:color w:val="205BA8"/>
        </w:rPr>
      </w:pPr>
      <w:r>
        <w:rPr>
          <w:rFonts w:ascii="Arial" w:cs="Arial" w:eastAsia="Arial" w:hAnsi="Arial"/>
          <w:sz w:val="13"/>
          <w:szCs w:val="13"/>
          <w:color w:val="auto"/>
        </w:rPr>
        <w:t>A Phase 3 study in pediatric patients with EoE was initiated.</w:t>
      </w:r>
    </w:p>
    <w:p>
      <w:pPr>
        <w:ind w:left="180" w:right="720" w:hanging="162"/>
        <w:spacing w:after="0" w:line="238" w:lineRule="auto"/>
        <w:tabs>
          <w:tab w:leader="none" w:pos="172" w:val="left"/>
        </w:tabs>
        <w:numPr>
          <w:ilvl w:val="0"/>
          <w:numId w:val="86"/>
        </w:numPr>
        <w:rPr>
          <w:rFonts w:ascii="Arial" w:cs="Arial" w:eastAsia="Arial" w:hAnsi="Arial"/>
          <w:sz w:val="13"/>
          <w:szCs w:val="13"/>
          <w:color w:val="205BA8"/>
        </w:rPr>
      </w:pPr>
      <w:r>
        <w:rPr>
          <w:rFonts w:ascii="Arial" w:cs="Arial" w:eastAsia="Arial" w:hAnsi="Arial"/>
          <w:sz w:val="13"/>
          <w:szCs w:val="13"/>
          <w:color w:val="auto"/>
        </w:rPr>
        <w:t>In June 2020, the FDA approved a 300 mg single-dose pre-filled pen for Dupixent.</w:t>
      </w:r>
    </w:p>
    <w:p>
      <w:pPr>
        <w:ind w:left="180" w:right="780" w:hanging="162"/>
        <w:spacing w:after="0" w:line="238" w:lineRule="auto"/>
        <w:tabs>
          <w:tab w:leader="none" w:pos="172" w:val="left"/>
        </w:tabs>
        <w:numPr>
          <w:ilvl w:val="0"/>
          <w:numId w:val="86"/>
        </w:numPr>
        <w:rPr>
          <w:rFonts w:ascii="Arial" w:cs="Arial" w:eastAsia="Arial" w:hAnsi="Arial"/>
          <w:sz w:val="13"/>
          <w:szCs w:val="13"/>
          <w:color w:val="205BA8"/>
        </w:rPr>
      </w:pPr>
      <w:r>
        <w:rPr>
          <w:rFonts w:ascii="Arial" w:cs="Arial" w:eastAsia="Arial" w:hAnsi="Arial"/>
          <w:sz w:val="13"/>
          <w:szCs w:val="13"/>
          <w:color w:val="auto"/>
        </w:rPr>
        <w:t>In June 2020, the National Medical Products Administration in China approved Dupixent for adults with moderate-to-severe atopic dermatitis.</w:t>
      </w:r>
    </w:p>
    <w:p>
      <w:pPr>
        <w:ind w:left="180" w:right="600" w:hanging="162"/>
        <w:spacing w:after="0" w:line="238" w:lineRule="auto"/>
        <w:tabs>
          <w:tab w:leader="none" w:pos="172" w:val="left"/>
        </w:tabs>
        <w:numPr>
          <w:ilvl w:val="0"/>
          <w:numId w:val="86"/>
        </w:numPr>
        <w:rPr>
          <w:rFonts w:ascii="Arial" w:cs="Arial" w:eastAsia="Arial" w:hAnsi="Arial"/>
          <w:sz w:val="13"/>
          <w:szCs w:val="13"/>
          <w:color w:val="205BA8"/>
        </w:rPr>
      </w:pPr>
      <w:r>
        <w:rPr>
          <w:rFonts w:ascii="Arial" w:cs="Arial" w:eastAsia="Arial" w:hAnsi="Arial"/>
          <w:sz w:val="13"/>
          <w:szCs w:val="13"/>
          <w:color w:val="auto"/>
        </w:rPr>
        <w:t>An ongoing Phase 3 trial in chronic obstructive pulmonary disease (“COPD”) patients with evidence of Type 2 inflammation met a blinded, stringent early efficacy threshold for continuation. Based on this result, a second confirmatory Phase 3 trial in COPD was initiated.</w:t>
      </w:r>
    </w:p>
    <w:p>
      <w:pPr>
        <w:spacing w:after="0" w:line="1" w:lineRule="exact"/>
        <w:rPr>
          <w:rFonts w:ascii="Arial" w:cs="Arial" w:eastAsia="Arial" w:hAnsi="Arial"/>
          <w:sz w:val="13"/>
          <w:szCs w:val="13"/>
          <w:color w:val="205BA8"/>
        </w:rPr>
      </w:pPr>
    </w:p>
    <w:p>
      <w:pPr>
        <w:ind w:left="180" w:right="920" w:hanging="162"/>
        <w:spacing w:after="0" w:line="243" w:lineRule="auto"/>
        <w:tabs>
          <w:tab w:leader="none" w:pos="172" w:val="left"/>
        </w:tabs>
        <w:numPr>
          <w:ilvl w:val="0"/>
          <w:numId w:val="86"/>
        </w:numPr>
        <w:rPr>
          <w:rFonts w:ascii="Arial" w:cs="Arial" w:eastAsia="Arial" w:hAnsi="Arial"/>
          <w:sz w:val="13"/>
          <w:szCs w:val="13"/>
          <w:color w:val="205BA8"/>
        </w:rPr>
      </w:pPr>
      <w:r>
        <w:rPr>
          <w:rFonts w:ascii="Arial" w:cs="Arial" w:eastAsia="Arial" w:hAnsi="Arial"/>
          <w:sz w:val="13"/>
          <w:szCs w:val="13"/>
          <w:color w:val="auto"/>
        </w:rPr>
        <w:t>In October 2020, the CHMP recommended approval for an additional indication in children aged 6 to 11 with atopic dermatitis.</w:t>
      </w:r>
    </w:p>
    <w:p>
      <w:pPr>
        <w:spacing w:after="0" w:line="886" w:lineRule="exact"/>
        <w:rPr>
          <w:sz w:val="20"/>
          <w:szCs w:val="20"/>
          <w:color w:val="auto"/>
        </w:rPr>
      </w:pPr>
    </w:p>
    <w:p>
      <w:pPr>
        <w:sectPr>
          <w:pgSz w:w="11900" w:h="16838" w:orient="portrait"/>
          <w:cols w:equalWidth="0" w:num="3">
            <w:col w:w="3780" w:space="240"/>
            <w:col w:w="3200" w:space="240"/>
            <w:col w:w="3780"/>
          </w:cols>
          <w:pgMar w:left="320" w:top="405" w:right="339" w:bottom="1440" w:gutter="0" w:footer="0" w:header="0"/>
          <w:type w:val="continuous"/>
        </w:sectPr>
      </w:pPr>
    </w:p>
    <w:p>
      <w:pPr>
        <w:spacing w:after="0" w:line="147"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64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75" w:name="page76"/>
    <w:bookmarkEnd w:id="75"/>
    <w:p>
      <w:pPr>
        <w:ind w:left="402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6087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360870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Dupixent (cont’d)</w:t>
      </w:r>
    </w:p>
    <w:p>
      <w:pPr>
        <w:spacing w:after="0" w:line="15" w:lineRule="exact"/>
        <w:rPr>
          <w:sz w:val="20"/>
          <w:szCs w:val="20"/>
          <w:color w:val="auto"/>
        </w:rPr>
      </w:pPr>
    </w:p>
    <w:p>
      <w:pPr>
        <w:ind w:left="780" w:right="20" w:hanging="160"/>
        <w:spacing w:after="0" w:line="243" w:lineRule="auto"/>
        <w:tabs>
          <w:tab w:leader="none" w:pos="772" w:val="left"/>
        </w:tabs>
        <w:numPr>
          <w:ilvl w:val="0"/>
          <w:numId w:val="87"/>
        </w:numPr>
        <w:rPr>
          <w:rFonts w:ascii="Arial" w:cs="Arial" w:eastAsia="Arial" w:hAnsi="Arial"/>
          <w:sz w:val="13"/>
          <w:szCs w:val="13"/>
          <w:color w:val="205BA8"/>
        </w:rPr>
      </w:pPr>
      <w:r>
        <w:rPr>
          <w:rFonts w:ascii="Arial" w:cs="Arial" w:eastAsia="Arial" w:hAnsi="Arial"/>
          <w:sz w:val="13"/>
          <w:szCs w:val="13"/>
          <w:color w:val="auto"/>
        </w:rPr>
        <w:t>Also in October 2020, the Company reported that its Phase 3 trial for asthma in children aged 6 to 11 years met its primary and key secondary endpoints.</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Oncology Program</w:t>
      </w:r>
    </w:p>
    <w:p>
      <w:pPr>
        <w:spacing w:after="0" w:line="15" w:lineRule="exact"/>
        <w:rPr>
          <w:sz w:val="20"/>
          <w:szCs w:val="20"/>
          <w:color w:val="auto"/>
        </w:rPr>
      </w:pPr>
    </w:p>
    <w:p>
      <w:pPr>
        <w:ind w:left="780" w:hanging="160"/>
        <w:spacing w:after="0" w:line="238" w:lineRule="auto"/>
        <w:tabs>
          <w:tab w:leader="none" w:pos="772" w:val="left"/>
        </w:tabs>
        <w:numPr>
          <w:ilvl w:val="0"/>
          <w:numId w:val="88"/>
        </w:numPr>
        <w:rPr>
          <w:rFonts w:ascii="Arial" w:cs="Arial" w:eastAsia="Arial" w:hAnsi="Arial"/>
          <w:sz w:val="13"/>
          <w:szCs w:val="13"/>
          <w:color w:val="205BA8"/>
        </w:rPr>
      </w:pPr>
      <w:r>
        <w:rPr>
          <w:rFonts w:ascii="Arial" w:cs="Arial" w:eastAsia="Arial" w:hAnsi="Arial"/>
          <w:sz w:val="13"/>
          <w:szCs w:val="13"/>
          <w:color w:val="auto"/>
        </w:rPr>
        <w:t>The FDA accepted for priority review the supplemental Biologics License Application (“sBLA”) for Libtayo to treat patients with NSCLC with ≥50% PD-L1 expression.</w:t>
      </w:r>
    </w:p>
    <w:p>
      <w:pPr>
        <w:spacing w:after="0" w:line="1" w:lineRule="exact"/>
        <w:rPr>
          <w:rFonts w:ascii="Arial" w:cs="Arial" w:eastAsia="Arial" w:hAnsi="Arial"/>
          <w:sz w:val="13"/>
          <w:szCs w:val="13"/>
          <w:color w:val="205BA8"/>
        </w:rPr>
      </w:pPr>
    </w:p>
    <w:p>
      <w:pPr>
        <w:ind w:left="780" w:right="40" w:hanging="160"/>
        <w:spacing w:after="0" w:line="238" w:lineRule="auto"/>
        <w:tabs>
          <w:tab w:leader="none" w:pos="772" w:val="left"/>
        </w:tabs>
        <w:numPr>
          <w:ilvl w:val="0"/>
          <w:numId w:val="88"/>
        </w:numPr>
        <w:rPr>
          <w:rFonts w:ascii="Arial" w:cs="Arial" w:eastAsia="Arial" w:hAnsi="Arial"/>
          <w:sz w:val="13"/>
          <w:szCs w:val="13"/>
          <w:color w:val="205BA8"/>
        </w:rPr>
      </w:pPr>
      <w:r>
        <w:rPr>
          <w:rFonts w:ascii="Arial" w:cs="Arial" w:eastAsia="Arial" w:hAnsi="Arial"/>
          <w:sz w:val="13"/>
          <w:szCs w:val="13"/>
          <w:color w:val="auto"/>
        </w:rPr>
        <w:t>A Marketing Authorization Application (“MAA”) was submitted for Libtayo as monotherapy in NSCLC following the Company and Sanofi’s announcement in April 2020 that the primary endpoint was met in a Phase 3 trial.</w:t>
      </w:r>
    </w:p>
    <w:p>
      <w:pPr>
        <w:spacing w:after="0" w:line="1" w:lineRule="exact"/>
        <w:rPr>
          <w:rFonts w:ascii="Arial" w:cs="Arial" w:eastAsia="Arial" w:hAnsi="Arial"/>
          <w:sz w:val="13"/>
          <w:szCs w:val="13"/>
          <w:color w:val="205BA8"/>
        </w:rPr>
      </w:pPr>
    </w:p>
    <w:p>
      <w:pPr>
        <w:ind w:left="780" w:right="60" w:hanging="160"/>
        <w:spacing w:after="0" w:line="238" w:lineRule="auto"/>
        <w:tabs>
          <w:tab w:leader="none" w:pos="772" w:val="left"/>
        </w:tabs>
        <w:numPr>
          <w:ilvl w:val="0"/>
          <w:numId w:val="88"/>
        </w:numPr>
        <w:rPr>
          <w:rFonts w:ascii="Arial" w:cs="Arial" w:eastAsia="Arial" w:hAnsi="Arial"/>
          <w:sz w:val="13"/>
          <w:szCs w:val="13"/>
          <w:color w:val="205BA8"/>
        </w:rPr>
      </w:pPr>
      <w:r>
        <w:rPr>
          <w:rFonts w:ascii="Arial" w:cs="Arial" w:eastAsia="Arial" w:hAnsi="Arial"/>
          <w:sz w:val="13"/>
          <w:szCs w:val="13"/>
          <w:color w:val="auto"/>
        </w:rPr>
        <w:t>The FDA accepted for priority review the sBLA for Libtayo to treat patients with BCC, following the Company and Sanofi’s announcement in May 2020 that Libtayo demonstrated clinically-meaningful and durable responses in a pivotal, single-arm, open-label trial in patients with BCC.</w:t>
      </w:r>
    </w:p>
    <w:p>
      <w:pPr>
        <w:spacing w:after="0" w:line="1" w:lineRule="exact"/>
        <w:rPr>
          <w:rFonts w:ascii="Arial" w:cs="Arial" w:eastAsia="Arial" w:hAnsi="Arial"/>
          <w:sz w:val="13"/>
          <w:szCs w:val="13"/>
          <w:color w:val="205BA8"/>
        </w:rPr>
      </w:pPr>
    </w:p>
    <w:p>
      <w:pPr>
        <w:ind w:left="780" w:right="140" w:hanging="160"/>
        <w:spacing w:after="0" w:line="238" w:lineRule="auto"/>
        <w:tabs>
          <w:tab w:leader="none" w:pos="772" w:val="left"/>
        </w:tabs>
        <w:numPr>
          <w:ilvl w:val="0"/>
          <w:numId w:val="88"/>
        </w:numPr>
        <w:rPr>
          <w:rFonts w:ascii="Arial" w:cs="Arial" w:eastAsia="Arial" w:hAnsi="Arial"/>
          <w:sz w:val="13"/>
          <w:szCs w:val="13"/>
          <w:color w:val="205BA8"/>
        </w:rPr>
      </w:pPr>
      <w:r>
        <w:rPr>
          <w:rFonts w:ascii="Arial" w:cs="Arial" w:eastAsia="Arial" w:hAnsi="Arial"/>
          <w:sz w:val="13"/>
          <w:szCs w:val="13"/>
          <w:color w:val="auto"/>
        </w:rPr>
        <w:t>A MAA was submitted for Libtayo as monotherapy in locally advanced BCC.</w:t>
      </w:r>
    </w:p>
    <w:p>
      <w:pPr>
        <w:ind w:left="780" w:right="20" w:hanging="160"/>
        <w:spacing w:after="0" w:line="241" w:lineRule="auto"/>
        <w:tabs>
          <w:tab w:leader="none" w:pos="772" w:val="left"/>
        </w:tabs>
        <w:numPr>
          <w:ilvl w:val="0"/>
          <w:numId w:val="88"/>
        </w:numPr>
        <w:rPr>
          <w:rFonts w:ascii="Arial" w:cs="Arial" w:eastAsia="Arial" w:hAnsi="Arial"/>
          <w:sz w:val="13"/>
          <w:szCs w:val="13"/>
          <w:color w:val="205BA8"/>
        </w:rPr>
      </w:pPr>
      <w:r>
        <w:rPr>
          <w:rFonts w:ascii="Arial" w:cs="Arial" w:eastAsia="Arial" w:hAnsi="Arial"/>
          <w:sz w:val="13"/>
          <w:szCs w:val="13"/>
          <w:color w:val="auto"/>
        </w:rPr>
        <w:t>The Company and Sanofi presented positive data from pivotal trials for Libtayo monotherapy in first-line NSCLC and Libtayo monotherapy in BCC at the European Society for Medical Oncology Virtual Congress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Oncology Program (cont’d)</w:t>
      </w:r>
    </w:p>
    <w:p>
      <w:pPr>
        <w:spacing w:after="0" w:line="15" w:lineRule="exact"/>
        <w:rPr>
          <w:sz w:val="20"/>
          <w:szCs w:val="20"/>
          <w:color w:val="auto"/>
        </w:rPr>
      </w:pPr>
    </w:p>
    <w:p>
      <w:pPr>
        <w:ind w:left="180" w:right="160" w:hanging="165"/>
        <w:spacing w:after="0" w:line="238" w:lineRule="auto"/>
        <w:tabs>
          <w:tab w:leader="none" w:pos="172" w:val="left"/>
        </w:tabs>
        <w:numPr>
          <w:ilvl w:val="0"/>
          <w:numId w:val="89"/>
        </w:numPr>
        <w:rPr>
          <w:rFonts w:ascii="Arial" w:cs="Arial" w:eastAsia="Arial" w:hAnsi="Arial"/>
          <w:sz w:val="13"/>
          <w:szCs w:val="13"/>
          <w:color w:val="205BA8"/>
        </w:rPr>
      </w:pPr>
      <w:r>
        <w:rPr>
          <w:rFonts w:ascii="Arial" w:cs="Arial" w:eastAsia="Arial" w:hAnsi="Arial"/>
          <w:sz w:val="13"/>
          <w:szCs w:val="13"/>
          <w:color w:val="auto"/>
        </w:rPr>
        <w:t>Patient enrollment in the Libtayo Phase 3 first-line NSCLC chemotherapy combination study was completed.</w:t>
      </w:r>
    </w:p>
    <w:p>
      <w:pPr>
        <w:ind w:left="180" w:right="60" w:hanging="165"/>
        <w:spacing w:after="0" w:line="238" w:lineRule="auto"/>
        <w:tabs>
          <w:tab w:leader="none" w:pos="172" w:val="left"/>
        </w:tabs>
        <w:numPr>
          <w:ilvl w:val="0"/>
          <w:numId w:val="89"/>
        </w:numPr>
        <w:rPr>
          <w:rFonts w:ascii="Arial" w:cs="Arial" w:eastAsia="Arial" w:hAnsi="Arial"/>
          <w:sz w:val="13"/>
          <w:szCs w:val="13"/>
          <w:color w:val="205BA8"/>
        </w:rPr>
      </w:pPr>
      <w:r>
        <w:rPr>
          <w:rFonts w:ascii="Arial" w:cs="Arial" w:eastAsia="Arial" w:hAnsi="Arial"/>
          <w:sz w:val="13"/>
          <w:szCs w:val="13"/>
          <w:color w:val="auto"/>
        </w:rPr>
        <w:t>In May 2020, the Company and Sanofi announced new, longer-term data for Libtayo from a pivotal Phase 2 trial in advanced cutaneous squamous cell carcinoma. These results demonstrate both longer durability and higher complete response rates than previously reported. Updated data from this trial were also incorporated into the U.S. label.</w:t>
      </w:r>
    </w:p>
    <w:p>
      <w:pPr>
        <w:spacing w:after="0" w:line="1" w:lineRule="exact"/>
        <w:rPr>
          <w:rFonts w:ascii="Arial" w:cs="Arial" w:eastAsia="Arial" w:hAnsi="Arial"/>
          <w:sz w:val="13"/>
          <w:szCs w:val="13"/>
          <w:color w:val="205BA8"/>
        </w:rPr>
      </w:pPr>
    </w:p>
    <w:p>
      <w:pPr>
        <w:ind w:left="180" w:right="160" w:hanging="165"/>
        <w:spacing w:after="0" w:line="238" w:lineRule="auto"/>
        <w:tabs>
          <w:tab w:leader="none" w:pos="172" w:val="left"/>
        </w:tabs>
        <w:numPr>
          <w:ilvl w:val="0"/>
          <w:numId w:val="89"/>
        </w:numPr>
        <w:rPr>
          <w:rFonts w:ascii="Arial" w:cs="Arial" w:eastAsia="Arial" w:hAnsi="Arial"/>
          <w:sz w:val="13"/>
          <w:szCs w:val="13"/>
          <w:color w:val="205BA8"/>
        </w:rPr>
      </w:pPr>
      <w:r>
        <w:rPr>
          <w:rFonts w:ascii="Arial" w:cs="Arial" w:eastAsia="Arial" w:hAnsi="Arial"/>
          <w:sz w:val="13"/>
          <w:szCs w:val="13"/>
          <w:color w:val="auto"/>
        </w:rPr>
        <w:t xml:space="preserve">A publication in Science </w:t>
      </w:r>
      <w:r>
        <w:rPr>
          <w:rFonts w:ascii="Arial" w:cs="Arial" w:eastAsia="Arial" w:hAnsi="Arial"/>
          <w:sz w:val="13"/>
          <w:szCs w:val="13"/>
          <w:i w:val="1"/>
          <w:iCs w:val="1"/>
          <w:color w:val="auto"/>
        </w:rPr>
        <w:t>Translational Medicine</w:t>
      </w:r>
      <w:r>
        <w:rPr>
          <w:rFonts w:ascii="Arial" w:cs="Arial" w:eastAsia="Arial" w:hAnsi="Arial"/>
          <w:sz w:val="13"/>
          <w:szCs w:val="13"/>
          <w:color w:val="auto"/>
        </w:rPr>
        <w:t xml:space="preserve"> featured scientific findings highlighting the benefit demonstrated in preclinical research in combining the Company’s novel class of CD28 costimulatory bispecific antibodies with Libtayo.</w:t>
      </w:r>
    </w:p>
    <w:p>
      <w:pPr>
        <w:spacing w:after="0" w:line="1" w:lineRule="exact"/>
        <w:rPr>
          <w:rFonts w:ascii="Arial" w:cs="Arial" w:eastAsia="Arial" w:hAnsi="Arial"/>
          <w:sz w:val="13"/>
          <w:szCs w:val="13"/>
          <w:color w:val="205BA8"/>
        </w:rPr>
      </w:pPr>
    </w:p>
    <w:p>
      <w:pPr>
        <w:ind w:left="180" w:right="80" w:hanging="165"/>
        <w:spacing w:after="0" w:line="241" w:lineRule="auto"/>
        <w:tabs>
          <w:tab w:leader="none" w:pos="172" w:val="left"/>
        </w:tabs>
        <w:numPr>
          <w:ilvl w:val="0"/>
          <w:numId w:val="89"/>
        </w:numPr>
        <w:rPr>
          <w:rFonts w:ascii="Arial" w:cs="Arial" w:eastAsia="Arial" w:hAnsi="Arial"/>
          <w:sz w:val="13"/>
          <w:szCs w:val="13"/>
          <w:color w:val="205BA8"/>
        </w:rPr>
      </w:pPr>
      <w:r>
        <w:rPr>
          <w:rFonts w:ascii="Arial" w:cs="Arial" w:eastAsia="Arial" w:hAnsi="Arial"/>
          <w:sz w:val="13"/>
          <w:szCs w:val="13"/>
          <w:color w:val="auto"/>
        </w:rPr>
        <w:t>Expanded potentially pivotal Phase 2 program for odronextamab (REGN1979), a bispecific antibody targeting CD20 and CD3, with different subtypes of non- Hodgkin’s lymphoma.</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Praluent</w:t>
      </w:r>
    </w:p>
    <w:p>
      <w:pPr>
        <w:spacing w:after="0" w:line="15" w:lineRule="exact"/>
        <w:rPr>
          <w:sz w:val="20"/>
          <w:szCs w:val="20"/>
          <w:color w:val="auto"/>
        </w:rPr>
      </w:pPr>
    </w:p>
    <w:p>
      <w:pPr>
        <w:ind w:left="180" w:right="380" w:hanging="165"/>
        <w:spacing w:after="0" w:line="248" w:lineRule="auto"/>
        <w:tabs>
          <w:tab w:leader="none" w:pos="172" w:val="left"/>
        </w:tabs>
        <w:numPr>
          <w:ilvl w:val="0"/>
          <w:numId w:val="90"/>
        </w:numPr>
        <w:rPr>
          <w:rFonts w:ascii="Arial" w:cs="Arial" w:eastAsia="Arial" w:hAnsi="Arial"/>
          <w:sz w:val="13"/>
          <w:szCs w:val="13"/>
          <w:color w:val="205BA8"/>
        </w:rPr>
      </w:pPr>
      <w:r>
        <w:rPr>
          <w:rFonts w:ascii="Arial" w:cs="Arial" w:eastAsia="Arial" w:hAnsi="Arial"/>
          <w:sz w:val="13"/>
          <w:szCs w:val="13"/>
          <w:color w:val="auto"/>
        </w:rPr>
        <w:t>The Company submitted an sBLA for HoFH in adults.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I</w:t>
      </w:r>
      <w:r>
        <w:rPr>
          <w:rFonts w:ascii="Arial" w:cs="Arial" w:eastAsia="Arial" w:hAnsi="Arial"/>
          <w:sz w:val="13"/>
          <w:szCs w:val="13"/>
          <w:b w:val="1"/>
          <w:bCs w:val="1"/>
          <w:color w:val="auto"/>
        </w:rPr>
        <w:t>nmazeb</w:t>
      </w:r>
    </w:p>
    <w:p>
      <w:pPr>
        <w:spacing w:after="0" w:line="15" w:lineRule="exact"/>
        <w:rPr>
          <w:sz w:val="20"/>
          <w:szCs w:val="20"/>
          <w:color w:val="auto"/>
        </w:rPr>
      </w:pPr>
    </w:p>
    <w:p>
      <w:pPr>
        <w:ind w:left="180" w:right="20" w:hanging="165"/>
        <w:spacing w:after="0" w:line="241" w:lineRule="auto"/>
        <w:tabs>
          <w:tab w:leader="none" w:pos="172" w:val="left"/>
        </w:tabs>
        <w:numPr>
          <w:ilvl w:val="0"/>
          <w:numId w:val="91"/>
        </w:numPr>
        <w:rPr>
          <w:rFonts w:ascii="Arial" w:cs="Arial" w:eastAsia="Arial" w:hAnsi="Arial"/>
          <w:sz w:val="13"/>
          <w:szCs w:val="13"/>
          <w:color w:val="205BA8"/>
        </w:rPr>
      </w:pPr>
      <w:r>
        <w:rPr>
          <w:rFonts w:ascii="Arial" w:cs="Arial" w:eastAsia="Arial" w:hAnsi="Arial"/>
          <w:sz w:val="13"/>
          <w:szCs w:val="13"/>
          <w:color w:val="auto"/>
        </w:rPr>
        <w:t>In October 2020, the FDA approved Inmazeb for the treatment of infection caused by Zaire ebolavirus in adult and pediatric patients, including newborns of mothers who have tested positive for the infection.</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Evkeeza</w:t>
      </w:r>
    </w:p>
    <w:p>
      <w:pPr>
        <w:spacing w:after="0" w:line="15" w:lineRule="exact"/>
        <w:rPr>
          <w:sz w:val="20"/>
          <w:szCs w:val="20"/>
          <w:color w:val="auto"/>
        </w:rPr>
      </w:pPr>
    </w:p>
    <w:p>
      <w:pPr>
        <w:ind w:left="180" w:hanging="165"/>
        <w:spacing w:after="0" w:line="243" w:lineRule="auto"/>
        <w:tabs>
          <w:tab w:leader="none" w:pos="172" w:val="left"/>
        </w:tabs>
        <w:numPr>
          <w:ilvl w:val="0"/>
          <w:numId w:val="92"/>
        </w:numPr>
        <w:rPr>
          <w:rFonts w:ascii="Arial" w:cs="Arial" w:eastAsia="Arial" w:hAnsi="Arial"/>
          <w:sz w:val="13"/>
          <w:szCs w:val="13"/>
          <w:color w:val="205BA8"/>
        </w:rPr>
      </w:pPr>
      <w:r>
        <w:rPr>
          <w:rFonts w:ascii="Arial" w:cs="Arial" w:eastAsia="Arial" w:hAnsi="Arial"/>
          <w:sz w:val="13"/>
          <w:szCs w:val="13"/>
          <w:color w:val="auto"/>
        </w:rPr>
        <w:t>The Company completed the rolling BLA submission and a MAA was also submitted for HoFH. The BLA was granted Priority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103505</wp:posOffset>
            </wp:positionV>
            <wp:extent cx="6446520" cy="514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44652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Fasinumab, an antibody to NGF</w:t>
      </w:r>
    </w:p>
    <w:p>
      <w:pPr>
        <w:spacing w:after="0" w:line="15" w:lineRule="exact"/>
        <w:rPr>
          <w:sz w:val="20"/>
          <w:szCs w:val="20"/>
          <w:color w:val="auto"/>
        </w:rPr>
      </w:pPr>
    </w:p>
    <w:p>
      <w:pPr>
        <w:ind w:left="180" w:right="600" w:hanging="162"/>
        <w:spacing w:after="0" w:line="238" w:lineRule="auto"/>
        <w:tabs>
          <w:tab w:leader="none" w:pos="172" w:val="left"/>
        </w:tabs>
        <w:numPr>
          <w:ilvl w:val="0"/>
          <w:numId w:val="93"/>
        </w:numPr>
        <w:rPr>
          <w:rFonts w:ascii="Arial" w:cs="Arial" w:eastAsia="Arial" w:hAnsi="Arial"/>
          <w:sz w:val="13"/>
          <w:szCs w:val="13"/>
          <w:color w:val="205BA8"/>
        </w:rPr>
      </w:pPr>
      <w:r>
        <w:rPr>
          <w:rFonts w:ascii="Arial" w:cs="Arial" w:eastAsia="Arial" w:hAnsi="Arial"/>
          <w:sz w:val="13"/>
          <w:szCs w:val="13"/>
          <w:color w:val="auto"/>
        </w:rPr>
        <w:t>In August 2020, the Company announced that it discontinued actively treating patients with fasinumab, which at such time only involved dosing in an optional second-year extension phase of one trial. This followed a recommendation from the fasinumab program’s IDMC that the program should be terminated, based on available evidence to date.</w:t>
      </w:r>
    </w:p>
    <w:p>
      <w:pPr>
        <w:spacing w:after="0" w:line="1" w:lineRule="exact"/>
        <w:rPr>
          <w:rFonts w:ascii="Arial" w:cs="Arial" w:eastAsia="Arial" w:hAnsi="Arial"/>
          <w:sz w:val="13"/>
          <w:szCs w:val="13"/>
          <w:color w:val="205BA8"/>
        </w:rPr>
      </w:pPr>
    </w:p>
    <w:p>
      <w:pPr>
        <w:ind w:left="180" w:right="620" w:hanging="162"/>
        <w:spacing w:after="0" w:line="238" w:lineRule="auto"/>
        <w:tabs>
          <w:tab w:leader="none" w:pos="172" w:val="left"/>
        </w:tabs>
        <w:numPr>
          <w:ilvl w:val="0"/>
          <w:numId w:val="93"/>
        </w:numPr>
        <w:rPr>
          <w:rFonts w:ascii="Arial" w:cs="Arial" w:eastAsia="Arial" w:hAnsi="Arial"/>
          <w:sz w:val="13"/>
          <w:szCs w:val="13"/>
          <w:color w:val="205BA8"/>
        </w:rPr>
      </w:pPr>
      <w:r>
        <w:rPr>
          <w:rFonts w:ascii="Arial" w:cs="Arial" w:eastAsia="Arial" w:hAnsi="Arial"/>
          <w:sz w:val="13"/>
          <w:szCs w:val="13"/>
          <w:color w:val="auto"/>
        </w:rPr>
        <w:t>Two Phase 3 trials, FACT OA1 and FACT OA2, achieved the co-primary endpoints for fasinumab 1 mg monthly, demonstrating significant improvements in pain and physical function over placebo at week 16 and week 24, respectively. Fasinumab 1 mg monthly also showed nominally significant benefits in physical function in both trials and pain in one trial, when compared to the maximum FDA-approved prescription doses of non-steroidal anti-inflammatory drugs for osteoarthritis.</w:t>
      </w:r>
    </w:p>
    <w:p>
      <w:pPr>
        <w:spacing w:after="0" w:line="2" w:lineRule="exact"/>
        <w:rPr>
          <w:rFonts w:ascii="Arial" w:cs="Arial" w:eastAsia="Arial" w:hAnsi="Arial"/>
          <w:sz w:val="13"/>
          <w:szCs w:val="13"/>
          <w:color w:val="205BA8"/>
        </w:rPr>
      </w:pPr>
    </w:p>
    <w:p>
      <w:pPr>
        <w:ind w:left="180" w:right="700" w:hanging="162"/>
        <w:spacing w:after="0" w:line="238" w:lineRule="auto"/>
        <w:tabs>
          <w:tab w:leader="none" w:pos="172" w:val="left"/>
        </w:tabs>
        <w:numPr>
          <w:ilvl w:val="0"/>
          <w:numId w:val="93"/>
        </w:numPr>
        <w:rPr>
          <w:rFonts w:ascii="Arial" w:cs="Arial" w:eastAsia="Arial" w:hAnsi="Arial"/>
          <w:sz w:val="13"/>
          <w:szCs w:val="13"/>
          <w:color w:val="205BA8"/>
        </w:rPr>
      </w:pPr>
      <w:r>
        <w:rPr>
          <w:rFonts w:ascii="Arial" w:cs="Arial" w:eastAsia="Arial" w:hAnsi="Arial"/>
          <w:sz w:val="13"/>
          <w:szCs w:val="13"/>
          <w:color w:val="auto"/>
        </w:rPr>
        <w:t>The FACT OA1 trial included an additional treatment arm, fasinumab 1 mg every two months, which showed numerical benefit over placebo, but did not reach statistical significance.</w:t>
      </w:r>
    </w:p>
    <w:p>
      <w:pPr>
        <w:spacing w:after="0" w:line="1" w:lineRule="exact"/>
        <w:rPr>
          <w:rFonts w:ascii="Arial" w:cs="Arial" w:eastAsia="Arial" w:hAnsi="Arial"/>
          <w:sz w:val="13"/>
          <w:szCs w:val="13"/>
          <w:color w:val="205BA8"/>
        </w:rPr>
      </w:pPr>
    </w:p>
    <w:p>
      <w:pPr>
        <w:ind w:left="180" w:right="600" w:hanging="162"/>
        <w:spacing w:after="0" w:line="239" w:lineRule="auto"/>
        <w:tabs>
          <w:tab w:leader="none" w:pos="172" w:val="left"/>
        </w:tabs>
        <w:numPr>
          <w:ilvl w:val="0"/>
          <w:numId w:val="93"/>
        </w:numPr>
        <w:rPr>
          <w:rFonts w:ascii="Arial" w:cs="Arial" w:eastAsia="Arial" w:hAnsi="Arial"/>
          <w:sz w:val="13"/>
          <w:szCs w:val="13"/>
          <w:color w:val="205BA8"/>
        </w:rPr>
      </w:pPr>
      <w:r>
        <w:rPr>
          <w:rFonts w:ascii="Arial" w:cs="Arial" w:eastAsia="Arial" w:hAnsi="Arial"/>
          <w:sz w:val="13"/>
          <w:szCs w:val="13"/>
          <w:color w:val="auto"/>
        </w:rPr>
        <w:t>In initial safety analyses from the Phase 3 trials, there was an increase in arthropathies reported with fasinumab. In a sub-group of patients from one Phase 3 long-term safety trial, there was an increase in joint replacement with fasinumab 1 mg monthly treatment during the off-drug follow-up period, although this increase was not seen in the other trial.</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Garetosmab, an antibody to Activin A</w:t>
      </w:r>
    </w:p>
    <w:p>
      <w:pPr>
        <w:spacing w:after="0" w:line="15" w:lineRule="exact"/>
        <w:rPr>
          <w:sz w:val="20"/>
          <w:szCs w:val="20"/>
          <w:color w:val="auto"/>
        </w:rPr>
      </w:pPr>
    </w:p>
    <w:p>
      <w:pPr>
        <w:ind w:left="180" w:right="640" w:hanging="162"/>
        <w:spacing w:after="0" w:line="243" w:lineRule="auto"/>
        <w:tabs>
          <w:tab w:leader="none" w:pos="172" w:val="left"/>
        </w:tabs>
        <w:numPr>
          <w:ilvl w:val="0"/>
          <w:numId w:val="94"/>
        </w:numPr>
        <w:rPr>
          <w:rFonts w:ascii="Arial" w:cs="Arial" w:eastAsia="Arial" w:hAnsi="Arial"/>
          <w:sz w:val="13"/>
          <w:szCs w:val="13"/>
          <w:color w:val="205BA8"/>
        </w:rPr>
      </w:pPr>
      <w:r>
        <w:rPr>
          <w:rFonts w:ascii="Arial" w:cs="Arial" w:eastAsia="Arial" w:hAnsi="Arial"/>
          <w:sz w:val="13"/>
          <w:szCs w:val="13"/>
          <w:color w:val="auto"/>
        </w:rPr>
        <w:t>The Company paused the Phase 2 study, LUMINA-1, pending further review of the drug’s benefit-risk profile.</w:t>
      </w:r>
    </w:p>
    <w:p>
      <w:pPr>
        <w:spacing w:after="0" w:line="83" w:lineRule="exact"/>
        <w:rPr>
          <w:sz w:val="20"/>
          <w:szCs w:val="20"/>
          <w:color w:val="auto"/>
        </w:rPr>
      </w:pPr>
    </w:p>
    <w:p>
      <w:pPr>
        <w:sectPr>
          <w:pgSz w:w="11900" w:h="16838" w:orient="portrait"/>
          <w:cols w:equalWidth="0" w:num="3">
            <w:col w:w="3800" w:space="220"/>
            <w:col w:w="3200" w:space="240"/>
            <w:col w:w="3780"/>
          </w:cols>
          <w:pgMar w:left="320" w:top="405" w:right="339" w:bottom="1440" w:gutter="0" w:footer="0" w:header="0"/>
          <w:type w:val="continuous"/>
        </w:sectPr>
      </w:pPr>
    </w:p>
    <w:p>
      <w:pPr>
        <w:ind w:left="600"/>
        <w:spacing w:after="0"/>
        <w:rPr>
          <w:sz w:val="20"/>
          <w:szCs w:val="20"/>
          <w:color w:val="auto"/>
        </w:rPr>
      </w:pPr>
      <w:r>
        <w:rPr>
          <w:rFonts w:ascii="Arial" w:cs="Arial" w:eastAsia="Arial" w:hAnsi="Arial"/>
          <w:sz w:val="17"/>
          <w:szCs w:val="17"/>
          <w:b w:val="1"/>
          <w:bCs w:val="1"/>
          <w:color w:val="C32167"/>
        </w:rPr>
        <w:t>Progress in Earlier-Stage Clinical Programs; New Candidates into Clinical Development</w:t>
      </w:r>
    </w:p>
    <w:p>
      <w:pPr>
        <w:spacing w:after="0" w:line="76" w:lineRule="exact"/>
        <w:rPr>
          <w:sz w:val="20"/>
          <w:szCs w:val="20"/>
          <w:color w:val="auto"/>
        </w:rPr>
      </w:pPr>
    </w:p>
    <w:p>
      <w:pPr>
        <w:ind w:left="760" w:hanging="158"/>
        <w:spacing w:after="0"/>
        <w:tabs>
          <w:tab w:leader="none" w:pos="760" w:val="left"/>
        </w:tabs>
        <w:numPr>
          <w:ilvl w:val="0"/>
          <w:numId w:val="95"/>
        </w:numPr>
        <w:rPr>
          <w:rFonts w:ascii="Arial" w:cs="Arial" w:eastAsia="Arial" w:hAnsi="Arial"/>
          <w:sz w:val="13"/>
          <w:szCs w:val="13"/>
          <w:color w:val="205BA8"/>
        </w:rPr>
      </w:pPr>
      <w:r>
        <w:rPr>
          <w:rFonts w:ascii="Arial" w:cs="Arial" w:eastAsia="Arial" w:hAnsi="Arial"/>
          <w:sz w:val="13"/>
          <w:szCs w:val="13"/>
          <w:color w:val="auto"/>
        </w:rPr>
        <w:t>Data readouts and key publications from existing Phase 1 studies</w:t>
      </w:r>
    </w:p>
    <w:p>
      <w:pPr>
        <w:ind w:left="760" w:hanging="158"/>
        <w:spacing w:after="0"/>
        <w:tabs>
          <w:tab w:leader="none" w:pos="760" w:val="left"/>
        </w:tabs>
        <w:numPr>
          <w:ilvl w:val="0"/>
          <w:numId w:val="95"/>
        </w:numPr>
        <w:rPr>
          <w:rFonts w:ascii="Arial" w:cs="Arial" w:eastAsia="Arial" w:hAnsi="Arial"/>
          <w:sz w:val="13"/>
          <w:szCs w:val="13"/>
          <w:color w:val="205BA8"/>
        </w:rPr>
      </w:pPr>
      <w:r>
        <w:rPr>
          <w:rFonts w:ascii="Arial" w:cs="Arial" w:eastAsia="Arial" w:hAnsi="Arial"/>
          <w:sz w:val="13"/>
          <w:szCs w:val="13"/>
          <w:color w:val="auto"/>
        </w:rPr>
        <w:t>Initiation of new Phase 1 studies</w:t>
      </w:r>
    </w:p>
    <w:p>
      <w:pPr>
        <w:ind w:left="760" w:hanging="158"/>
        <w:spacing w:after="0"/>
        <w:tabs>
          <w:tab w:leader="none" w:pos="760" w:val="left"/>
        </w:tabs>
        <w:numPr>
          <w:ilvl w:val="0"/>
          <w:numId w:val="95"/>
        </w:numPr>
        <w:rPr>
          <w:rFonts w:ascii="Arial" w:cs="Arial" w:eastAsia="Arial" w:hAnsi="Arial"/>
          <w:sz w:val="13"/>
          <w:szCs w:val="13"/>
          <w:color w:val="205BA8"/>
        </w:rPr>
      </w:pPr>
      <w:r>
        <w:rPr>
          <w:rFonts w:ascii="Arial" w:cs="Arial" w:eastAsia="Arial" w:hAnsi="Arial"/>
          <w:sz w:val="13"/>
          <w:szCs w:val="13"/>
          <w:color w:val="auto"/>
        </w:rPr>
        <w:t>Notable early research milestones and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31750</wp:posOffset>
            </wp:positionV>
            <wp:extent cx="6446520" cy="6940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446520" cy="694055"/>
                    </a:xfrm>
                    <a:prstGeom prst="rect">
                      <a:avLst/>
                    </a:prstGeom>
                    <a:noFill/>
                  </pic:spPr>
                </pic:pic>
              </a:graphicData>
            </a:graphic>
          </wp:anchor>
        </w:drawing>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205BA8"/>
        </w:rPr>
        <w:t>Achievements/Relevant Developments in 2020:</w:t>
      </w:r>
    </w:p>
    <w:p>
      <w:pPr>
        <w:spacing w:after="0" w:line="60"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rPr>
              <w:t>New Compounds Advanced into Clinical</w:t>
            </w:r>
          </w:p>
        </w:tc>
        <w:tc>
          <w:tcPr>
            <w:tcW w:w="3380" w:type="dxa"/>
            <w:vAlign w:val="bottom"/>
            <w:gridSpan w:val="2"/>
          </w:tcPr>
          <w:p>
            <w:pPr>
              <w:ind w:left="460"/>
              <w:spacing w:after="0"/>
              <w:rPr>
                <w:sz w:val="20"/>
                <w:szCs w:val="20"/>
                <w:color w:val="auto"/>
              </w:rPr>
            </w:pPr>
            <w:r>
              <w:rPr>
                <w:rFonts w:ascii="Arial" w:cs="Arial" w:eastAsia="Arial" w:hAnsi="Arial"/>
                <w:sz w:val="13"/>
                <w:szCs w:val="13"/>
                <w:color w:val="205BA8"/>
              </w:rPr>
              <w:t xml:space="preserve">•  </w:t>
            </w:r>
            <w:r>
              <w:rPr>
                <w:rFonts w:ascii="Arial" w:cs="Arial" w:eastAsia="Arial" w:hAnsi="Arial"/>
                <w:sz w:val="13"/>
                <w:szCs w:val="13"/>
                <w:color w:val="000000"/>
              </w:rPr>
              <w:t>REGN5381 – Heart failure</w:t>
            </w:r>
          </w:p>
        </w:tc>
        <w:tc>
          <w:tcPr>
            <w:tcW w:w="640" w:type="dxa"/>
            <w:vAlign w:val="bottom"/>
          </w:tcPr>
          <w:p>
            <w:pPr>
              <w:ind w:left="540"/>
              <w:spacing w:after="0"/>
              <w:rPr>
                <w:sz w:val="20"/>
                <w:szCs w:val="20"/>
                <w:color w:val="auto"/>
              </w:rPr>
            </w:pPr>
            <w:r>
              <w:rPr>
                <w:rFonts w:ascii="Arial" w:cs="Arial" w:eastAsia="Arial" w:hAnsi="Arial"/>
                <w:sz w:val="13"/>
                <w:szCs w:val="13"/>
                <w:color w:val="205BA8"/>
              </w:rPr>
              <w:t>•</w:t>
            </w:r>
          </w:p>
        </w:tc>
        <w:tc>
          <w:tcPr>
            <w:tcW w:w="2940" w:type="dxa"/>
            <w:vAlign w:val="bottom"/>
          </w:tcPr>
          <w:p>
            <w:pPr>
              <w:ind w:left="60"/>
              <w:spacing w:after="0"/>
              <w:rPr>
                <w:sz w:val="20"/>
                <w:szCs w:val="20"/>
                <w:color w:val="auto"/>
              </w:rPr>
            </w:pPr>
            <w:r>
              <w:rPr>
                <w:rFonts w:ascii="Arial" w:cs="Arial" w:eastAsia="Arial" w:hAnsi="Arial"/>
                <w:sz w:val="13"/>
                <w:szCs w:val="13"/>
                <w:color w:val="auto"/>
                <w:w w:val="99"/>
              </w:rPr>
              <w:t>NTLA-2001 – Hereditary transthyretin amyloidosis</w:t>
            </w:r>
          </w:p>
        </w:tc>
      </w:tr>
      <w:tr>
        <w:trPr>
          <w:trHeight w:val="164"/>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rPr>
              <w:t>Development</w:t>
            </w:r>
          </w:p>
        </w:tc>
        <w:tc>
          <w:tcPr>
            <w:tcW w:w="3380" w:type="dxa"/>
            <w:vAlign w:val="bottom"/>
            <w:gridSpan w:val="2"/>
          </w:tcPr>
          <w:p>
            <w:pPr>
              <w:ind w:left="460"/>
              <w:spacing w:after="0"/>
              <w:rPr>
                <w:sz w:val="20"/>
                <w:szCs w:val="20"/>
                <w:color w:val="auto"/>
              </w:rPr>
            </w:pPr>
            <w:r>
              <w:rPr>
                <w:rFonts w:ascii="Arial" w:cs="Arial" w:eastAsia="Arial" w:hAnsi="Arial"/>
                <w:sz w:val="13"/>
                <w:szCs w:val="13"/>
                <w:color w:val="205BA8"/>
              </w:rPr>
              <w:t xml:space="preserve">•  </w:t>
            </w:r>
            <w:r>
              <w:rPr>
                <w:rFonts w:ascii="Arial" w:cs="Arial" w:eastAsia="Arial" w:hAnsi="Arial"/>
                <w:sz w:val="13"/>
                <w:szCs w:val="13"/>
                <w:color w:val="000000"/>
              </w:rPr>
              <w:t>REGN7075 – Solid tumors</w:t>
            </w:r>
          </w:p>
        </w:tc>
        <w:tc>
          <w:tcPr>
            <w:tcW w:w="640" w:type="dxa"/>
            <w:vAlign w:val="bottom"/>
          </w:tcPr>
          <w:p>
            <w:pPr>
              <w:spacing w:after="0"/>
              <w:rPr>
                <w:sz w:val="14"/>
                <w:szCs w:val="14"/>
                <w:color w:val="auto"/>
              </w:rPr>
            </w:pPr>
          </w:p>
        </w:tc>
        <w:tc>
          <w:tcPr>
            <w:tcW w:w="2940" w:type="dxa"/>
            <w:vAlign w:val="bottom"/>
          </w:tcPr>
          <w:p>
            <w:pPr>
              <w:ind w:left="60"/>
              <w:spacing w:after="0"/>
              <w:rPr>
                <w:sz w:val="20"/>
                <w:szCs w:val="20"/>
                <w:color w:val="auto"/>
              </w:rPr>
            </w:pPr>
            <w:r>
              <w:rPr>
                <w:rFonts w:ascii="Arial" w:cs="Arial" w:eastAsia="Arial" w:hAnsi="Arial"/>
                <w:sz w:val="13"/>
                <w:szCs w:val="13"/>
                <w:color w:val="auto"/>
              </w:rPr>
              <w:t>with polyneuropathy (in collaboration with Intellia</w:t>
            </w:r>
          </w:p>
        </w:tc>
      </w:tr>
      <w:tr>
        <w:trPr>
          <w:trHeight w:val="149"/>
        </w:trPr>
        <w:tc>
          <w:tcPr>
            <w:tcW w:w="2960" w:type="dxa"/>
            <w:vAlign w:val="bottom"/>
            <w:gridSpan w:val="2"/>
          </w:tcPr>
          <w:p>
            <w:pPr>
              <w:spacing w:after="0"/>
              <w:rPr>
                <w:sz w:val="20"/>
                <w:szCs w:val="20"/>
                <w:color w:val="auto"/>
              </w:rPr>
            </w:pPr>
            <w:r>
              <w:rPr>
                <w:rFonts w:ascii="Arial" w:cs="Arial" w:eastAsia="Arial" w:hAnsi="Arial"/>
                <w:sz w:val="13"/>
                <w:szCs w:val="13"/>
                <w:color w:val="205BA8"/>
              </w:rPr>
              <w:t xml:space="preserve">•  </w:t>
            </w:r>
            <w:r>
              <w:rPr>
                <w:rFonts w:ascii="Arial" w:cs="Arial" w:eastAsia="Arial" w:hAnsi="Arial"/>
                <w:sz w:val="13"/>
                <w:szCs w:val="13"/>
                <w:color w:val="000000"/>
              </w:rPr>
              <w:t>REGN7257 – Aplastic anemia</w:t>
            </w:r>
          </w:p>
        </w:tc>
        <w:tc>
          <w:tcPr>
            <w:tcW w:w="560" w:type="dxa"/>
            <w:vAlign w:val="bottom"/>
          </w:tcPr>
          <w:p>
            <w:pPr>
              <w:ind w:left="460"/>
              <w:spacing w:after="0"/>
              <w:rPr>
                <w:sz w:val="20"/>
                <w:szCs w:val="20"/>
                <w:color w:val="auto"/>
              </w:rPr>
            </w:pPr>
            <w:r>
              <w:rPr>
                <w:rFonts w:ascii="Arial" w:cs="Arial" w:eastAsia="Arial" w:hAnsi="Arial"/>
                <w:sz w:val="13"/>
                <w:szCs w:val="13"/>
                <w:color w:val="205BA8"/>
              </w:rPr>
              <w:t>•</w:t>
            </w:r>
          </w:p>
        </w:tc>
        <w:tc>
          <w:tcPr>
            <w:tcW w:w="2820" w:type="dxa"/>
            <w:vAlign w:val="bottom"/>
          </w:tcPr>
          <w:p>
            <w:pPr>
              <w:ind w:left="60"/>
              <w:spacing w:after="0"/>
              <w:rPr>
                <w:sz w:val="20"/>
                <w:szCs w:val="20"/>
                <w:color w:val="auto"/>
              </w:rPr>
            </w:pPr>
            <w:r>
              <w:rPr>
                <w:rFonts w:ascii="Arial" w:cs="Arial" w:eastAsia="Arial" w:hAnsi="Arial"/>
                <w:sz w:val="13"/>
                <w:szCs w:val="13"/>
                <w:color w:val="auto"/>
              </w:rPr>
              <w:t>REGN6490 – Palmo-plantar pustulosis</w:t>
            </w:r>
          </w:p>
        </w:tc>
        <w:tc>
          <w:tcPr>
            <w:tcW w:w="640" w:type="dxa"/>
            <w:vAlign w:val="bottom"/>
          </w:tcPr>
          <w:p>
            <w:pPr>
              <w:spacing w:after="0"/>
              <w:rPr>
                <w:sz w:val="12"/>
                <w:szCs w:val="12"/>
                <w:color w:val="auto"/>
              </w:rPr>
            </w:pPr>
          </w:p>
        </w:tc>
        <w:tc>
          <w:tcPr>
            <w:tcW w:w="2940" w:type="dxa"/>
            <w:vAlign w:val="bottom"/>
          </w:tcPr>
          <w:p>
            <w:pPr>
              <w:ind w:left="60"/>
              <w:spacing w:after="0"/>
              <w:rPr>
                <w:sz w:val="20"/>
                <w:szCs w:val="20"/>
                <w:color w:val="auto"/>
              </w:rPr>
            </w:pPr>
            <w:r>
              <w:rPr>
                <w:rFonts w:ascii="Arial" w:cs="Arial" w:eastAsia="Arial" w:hAnsi="Arial"/>
                <w:sz w:val="13"/>
                <w:szCs w:val="13"/>
                <w:color w:val="auto"/>
              </w:rPr>
              <w:t>Therapeutics, Inc.)</w:t>
            </w:r>
          </w:p>
        </w:tc>
      </w:tr>
      <w:tr>
        <w:trPr>
          <w:trHeight w:val="148"/>
        </w:trPr>
        <w:tc>
          <w:tcPr>
            <w:tcW w:w="100" w:type="dxa"/>
            <w:vAlign w:val="bottom"/>
          </w:tcPr>
          <w:p>
            <w:pPr>
              <w:spacing w:after="0"/>
              <w:rPr>
                <w:sz w:val="20"/>
                <w:szCs w:val="20"/>
                <w:color w:val="auto"/>
              </w:rPr>
            </w:pPr>
            <w:r>
              <w:rPr>
                <w:rFonts w:ascii="Arial" w:cs="Arial" w:eastAsia="Arial" w:hAnsi="Arial"/>
                <w:sz w:val="13"/>
                <w:szCs w:val="13"/>
                <w:color w:val="205BA8"/>
              </w:rPr>
              <w:t>•</w:t>
            </w:r>
          </w:p>
        </w:tc>
        <w:tc>
          <w:tcPr>
            <w:tcW w:w="2860" w:type="dxa"/>
            <w:vAlign w:val="bottom"/>
          </w:tcPr>
          <w:p>
            <w:pPr>
              <w:ind w:left="60"/>
              <w:spacing w:after="0"/>
              <w:rPr>
                <w:sz w:val="20"/>
                <w:szCs w:val="20"/>
                <w:color w:val="auto"/>
              </w:rPr>
            </w:pPr>
            <w:r>
              <w:rPr>
                <w:rFonts w:ascii="Arial" w:cs="Arial" w:eastAsia="Arial" w:hAnsi="Arial"/>
                <w:sz w:val="13"/>
                <w:szCs w:val="13"/>
                <w:color w:val="auto"/>
              </w:rPr>
              <w:t>REGN5668 – Ovarian cancer</w:t>
            </w:r>
          </w:p>
        </w:tc>
        <w:tc>
          <w:tcPr>
            <w:tcW w:w="560" w:type="dxa"/>
            <w:vAlign w:val="bottom"/>
          </w:tcPr>
          <w:p>
            <w:pPr>
              <w:ind w:left="460"/>
              <w:spacing w:after="0"/>
              <w:rPr>
                <w:sz w:val="20"/>
                <w:szCs w:val="20"/>
                <w:color w:val="auto"/>
              </w:rPr>
            </w:pPr>
            <w:r>
              <w:rPr>
                <w:rFonts w:ascii="Arial" w:cs="Arial" w:eastAsia="Arial" w:hAnsi="Arial"/>
                <w:sz w:val="13"/>
                <w:szCs w:val="13"/>
                <w:color w:val="205BA8"/>
              </w:rPr>
              <w:t>•</w:t>
            </w:r>
          </w:p>
        </w:tc>
        <w:tc>
          <w:tcPr>
            <w:tcW w:w="2820" w:type="dxa"/>
            <w:vAlign w:val="bottom"/>
          </w:tcPr>
          <w:p>
            <w:pPr>
              <w:ind w:left="60"/>
              <w:spacing w:after="0"/>
              <w:rPr>
                <w:sz w:val="20"/>
                <w:szCs w:val="20"/>
                <w:color w:val="auto"/>
              </w:rPr>
            </w:pPr>
            <w:r>
              <w:rPr>
                <w:rFonts w:ascii="Arial" w:cs="Arial" w:eastAsia="Arial" w:hAnsi="Arial"/>
                <w:sz w:val="13"/>
                <w:szCs w:val="13"/>
                <w:color w:val="auto"/>
              </w:rPr>
              <w:t>REGEN-COV – COVID-19</w:t>
            </w:r>
          </w:p>
        </w:tc>
        <w:tc>
          <w:tcPr>
            <w:tcW w:w="640" w:type="dxa"/>
            <w:vAlign w:val="bottom"/>
          </w:tcPr>
          <w:p>
            <w:pPr>
              <w:ind w:left="540"/>
              <w:spacing w:after="0"/>
              <w:rPr>
                <w:sz w:val="20"/>
                <w:szCs w:val="20"/>
                <w:color w:val="auto"/>
              </w:rPr>
            </w:pPr>
            <w:r>
              <w:rPr>
                <w:rFonts w:ascii="Arial" w:cs="Arial" w:eastAsia="Arial" w:hAnsi="Arial"/>
                <w:sz w:val="13"/>
                <w:szCs w:val="13"/>
                <w:color w:val="205BA8"/>
              </w:rPr>
              <w:t>•</w:t>
            </w:r>
          </w:p>
        </w:tc>
        <w:tc>
          <w:tcPr>
            <w:tcW w:w="2940" w:type="dxa"/>
            <w:vAlign w:val="bottom"/>
          </w:tcPr>
          <w:p>
            <w:pPr>
              <w:ind w:left="60"/>
              <w:spacing w:after="0"/>
              <w:rPr>
                <w:sz w:val="20"/>
                <w:szCs w:val="20"/>
                <w:color w:val="auto"/>
              </w:rPr>
            </w:pPr>
            <w:r>
              <w:rPr>
                <w:rFonts w:ascii="Arial" w:cs="Arial" w:eastAsia="Arial" w:hAnsi="Arial"/>
                <w:sz w:val="13"/>
                <w:szCs w:val="13"/>
                <w:color w:val="auto"/>
              </w:rPr>
              <w:t>ALN-HSD – Nonalcoholic steatohepatitis (in</w:t>
            </w:r>
          </w:p>
        </w:tc>
      </w:tr>
      <w:tr>
        <w:trPr>
          <w:trHeight w:val="156"/>
        </w:trPr>
        <w:tc>
          <w:tcPr>
            <w:tcW w:w="100" w:type="dxa"/>
            <w:vAlign w:val="bottom"/>
          </w:tcPr>
          <w:p>
            <w:pPr>
              <w:spacing w:after="0"/>
              <w:rPr>
                <w:sz w:val="20"/>
                <w:szCs w:val="20"/>
                <w:color w:val="auto"/>
              </w:rPr>
            </w:pPr>
            <w:r>
              <w:rPr>
                <w:rFonts w:ascii="Arial" w:cs="Arial" w:eastAsia="Arial" w:hAnsi="Arial"/>
                <w:sz w:val="13"/>
                <w:szCs w:val="13"/>
                <w:color w:val="205BA8"/>
              </w:rPr>
              <w:t>•</w:t>
            </w:r>
          </w:p>
        </w:tc>
        <w:tc>
          <w:tcPr>
            <w:tcW w:w="2860" w:type="dxa"/>
            <w:vAlign w:val="bottom"/>
          </w:tcPr>
          <w:p>
            <w:pPr>
              <w:ind w:left="60"/>
              <w:spacing w:after="0"/>
              <w:rPr>
                <w:sz w:val="20"/>
                <w:szCs w:val="20"/>
                <w:color w:val="auto"/>
              </w:rPr>
            </w:pPr>
            <w:r>
              <w:rPr>
                <w:rFonts w:ascii="Arial" w:cs="Arial" w:eastAsia="Arial" w:hAnsi="Arial"/>
                <w:sz w:val="13"/>
                <w:szCs w:val="13"/>
                <w:color w:val="auto"/>
              </w:rPr>
              <w:t>REGN6569 – Solid tumors</w:t>
            </w:r>
          </w:p>
        </w:tc>
        <w:tc>
          <w:tcPr>
            <w:tcW w:w="5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940" w:type="dxa"/>
            <w:vAlign w:val="bottom"/>
          </w:tcPr>
          <w:p>
            <w:pPr>
              <w:ind w:left="60"/>
              <w:spacing w:after="0"/>
              <w:rPr>
                <w:sz w:val="20"/>
                <w:szCs w:val="20"/>
                <w:color w:val="auto"/>
              </w:rPr>
            </w:pPr>
            <w:r>
              <w:rPr>
                <w:rFonts w:ascii="Arial" w:cs="Arial" w:eastAsia="Arial" w:hAnsi="Arial"/>
                <w:sz w:val="13"/>
                <w:szCs w:val="13"/>
                <w:color w:val="auto"/>
              </w:rPr>
              <w:t>collaboration with Alnylam Pharmaceuticals,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215900</wp:posOffset>
            </wp:positionV>
            <wp:extent cx="64465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760" w:hanging="212"/>
        <w:spacing w:after="0"/>
        <w:tabs>
          <w:tab w:leader="none" w:pos="7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Descriptions are based on information available to the Committee when setting the Company performance multiplier for 2020.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65</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76" w:name="page77"/>
    <w:bookmarkEnd w:id="76"/>
    <w:p>
      <w:pPr>
        <w:ind w:lef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288925</wp:posOffset>
            </wp:positionV>
            <wp:extent cx="6446520" cy="1885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446520" cy="1885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FFFFFF"/>
        </w:rPr>
        <w:t>(2) FINANCE AND OPERATIONS (SECONDARY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46990</wp:posOffset>
            </wp:positionV>
            <wp:extent cx="6446520" cy="7200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446520" cy="720090"/>
                    </a:xfrm>
                    <a:prstGeom prst="rect">
                      <a:avLst/>
                    </a:prstGeom>
                    <a:noFill/>
                  </pic:spPr>
                </pic:pic>
              </a:graphicData>
            </a:graphic>
          </wp:anchor>
        </w:drawing>
      </w:r>
    </w:p>
    <w:p>
      <w:pPr>
        <w:spacing w:after="0" w:line="9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C44E5E"/>
        </w:rPr>
        <w:t>Financial Metrics; Capital Structure</w:t>
      </w:r>
    </w:p>
    <w:p>
      <w:pPr>
        <w:spacing w:after="0" w:line="76" w:lineRule="exact"/>
        <w:rPr>
          <w:sz w:val="20"/>
          <w:szCs w:val="20"/>
          <w:color w:val="auto"/>
        </w:rPr>
      </w:pPr>
    </w:p>
    <w:p>
      <w:pPr>
        <w:ind w:left="760" w:hanging="158"/>
        <w:spacing w:after="0"/>
        <w:tabs>
          <w:tab w:leader="none" w:pos="760" w:val="left"/>
        </w:tabs>
        <w:numPr>
          <w:ilvl w:val="0"/>
          <w:numId w:val="97"/>
        </w:numPr>
        <w:rPr>
          <w:rFonts w:ascii="Arial" w:cs="Arial" w:eastAsia="Arial" w:hAnsi="Arial"/>
          <w:sz w:val="13"/>
          <w:szCs w:val="13"/>
          <w:color w:val="205BA8"/>
        </w:rPr>
      </w:pPr>
      <w:r>
        <w:rPr>
          <w:rFonts w:ascii="Arial" w:cs="Arial" w:eastAsia="Arial" w:hAnsi="Arial"/>
          <w:sz w:val="13"/>
          <w:szCs w:val="13"/>
          <w:color w:val="auto"/>
        </w:rPr>
        <w:t>Growth in total revenues</w:t>
      </w:r>
    </w:p>
    <w:p>
      <w:pPr>
        <w:ind w:left="760" w:hanging="158"/>
        <w:spacing w:after="0"/>
        <w:tabs>
          <w:tab w:leader="none" w:pos="760" w:val="left"/>
        </w:tabs>
        <w:numPr>
          <w:ilvl w:val="0"/>
          <w:numId w:val="97"/>
        </w:numPr>
        <w:rPr>
          <w:rFonts w:ascii="Arial" w:cs="Arial" w:eastAsia="Arial" w:hAnsi="Arial"/>
          <w:sz w:val="13"/>
          <w:szCs w:val="13"/>
          <w:color w:val="205BA8"/>
        </w:rPr>
      </w:pPr>
      <w:r>
        <w:rPr>
          <w:rFonts w:ascii="Arial" w:cs="Arial" w:eastAsia="Arial" w:hAnsi="Arial"/>
          <w:sz w:val="13"/>
          <w:szCs w:val="13"/>
          <w:color w:val="auto"/>
        </w:rPr>
        <w:t>Growth in net product sales for key marketed products</w:t>
      </w:r>
    </w:p>
    <w:p>
      <w:pPr>
        <w:ind w:left="760" w:hanging="158"/>
        <w:spacing w:after="0"/>
        <w:tabs>
          <w:tab w:leader="none" w:pos="760" w:val="left"/>
        </w:tabs>
        <w:numPr>
          <w:ilvl w:val="0"/>
          <w:numId w:val="97"/>
        </w:numPr>
        <w:rPr>
          <w:rFonts w:ascii="Arial" w:cs="Arial" w:eastAsia="Arial" w:hAnsi="Arial"/>
          <w:sz w:val="13"/>
          <w:szCs w:val="13"/>
          <w:color w:val="205BA8"/>
        </w:rPr>
      </w:pPr>
      <w:r>
        <w:rPr>
          <w:rFonts w:ascii="Arial" w:cs="Arial" w:eastAsia="Arial" w:hAnsi="Arial"/>
          <w:sz w:val="13"/>
          <w:szCs w:val="13"/>
          <w:color w:val="auto"/>
        </w:rPr>
        <w:t>Growth in profitability metrics</w:t>
      </w:r>
    </w:p>
    <w:p>
      <w:pPr>
        <w:ind w:left="760" w:hanging="158"/>
        <w:spacing w:after="0"/>
        <w:tabs>
          <w:tab w:leader="none" w:pos="760" w:val="left"/>
        </w:tabs>
        <w:numPr>
          <w:ilvl w:val="0"/>
          <w:numId w:val="97"/>
        </w:numPr>
        <w:rPr>
          <w:rFonts w:ascii="Arial" w:cs="Arial" w:eastAsia="Arial" w:hAnsi="Arial"/>
          <w:sz w:val="13"/>
          <w:szCs w:val="13"/>
          <w:color w:val="205BA8"/>
        </w:rPr>
      </w:pPr>
      <w:r>
        <w:rPr>
          <w:rFonts w:ascii="Arial" w:cs="Arial" w:eastAsia="Arial" w:hAnsi="Arial"/>
          <w:sz w:val="13"/>
          <w:szCs w:val="13"/>
          <w:color w:val="auto"/>
        </w:rPr>
        <w:t>Collaboration agreements</w:t>
      </w:r>
    </w:p>
    <w:p>
      <w:pPr>
        <w:ind w:left="760" w:hanging="158"/>
        <w:spacing w:after="0"/>
        <w:tabs>
          <w:tab w:leader="none" w:pos="760" w:val="left"/>
        </w:tabs>
        <w:numPr>
          <w:ilvl w:val="0"/>
          <w:numId w:val="97"/>
        </w:numPr>
        <w:rPr>
          <w:rFonts w:ascii="Arial" w:cs="Arial" w:eastAsia="Arial" w:hAnsi="Arial"/>
          <w:sz w:val="13"/>
          <w:szCs w:val="13"/>
          <w:color w:val="205BA8"/>
        </w:rPr>
      </w:pPr>
      <w:r>
        <w:rPr>
          <w:rFonts w:ascii="Arial" w:cs="Arial" w:eastAsia="Arial" w:hAnsi="Arial"/>
          <w:sz w:val="13"/>
          <w:szCs w:val="13"/>
          <w:color w:val="auto"/>
        </w:rPr>
        <w:t>Finance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48895</wp:posOffset>
            </wp:positionV>
            <wp:extent cx="6446520" cy="22199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446520" cy="2219960"/>
                    </a:xfrm>
                    <a:prstGeom prst="rect">
                      <a:avLst/>
                    </a:prstGeom>
                    <a:noFill/>
                  </pic:spPr>
                </pic:pic>
              </a:graphicData>
            </a:graphic>
          </wp:anchor>
        </w:drawing>
      </w:r>
    </w:p>
    <w:p>
      <w:pPr>
        <w:spacing w:after="0" w:line="8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205BA8"/>
        </w:rPr>
        <w:t>Achievements/Relevant Developments in 2020:</w:t>
      </w:r>
    </w:p>
    <w:p>
      <w:pPr>
        <w:sectPr>
          <w:pgSz w:w="11900" w:h="16838" w:orient="portrait"/>
          <w:cols w:equalWidth="0" w:num="1">
            <w:col w:w="11240"/>
          </w:cols>
          <w:pgMar w:left="320" w:top="405" w:right="339" w:bottom="1440" w:gutter="0" w:footer="0" w:header="0"/>
        </w:sectPr>
      </w:pPr>
    </w:p>
    <w:p>
      <w:pPr>
        <w:spacing w:after="0" w:line="77" w:lineRule="exact"/>
        <w:rPr>
          <w:sz w:val="20"/>
          <w:szCs w:val="20"/>
          <w:color w:val="auto"/>
        </w:rPr>
      </w:pPr>
    </w:p>
    <w:p>
      <w:pPr>
        <w:ind w:left="780" w:right="80" w:hanging="160"/>
        <w:spacing w:after="0" w:line="238" w:lineRule="auto"/>
        <w:tabs>
          <w:tab w:leader="none" w:pos="772" w:val="left"/>
        </w:tabs>
        <w:numPr>
          <w:ilvl w:val="0"/>
          <w:numId w:val="98"/>
        </w:numPr>
        <w:rPr>
          <w:rFonts w:ascii="Arial" w:cs="Arial" w:eastAsia="Arial" w:hAnsi="Arial"/>
          <w:sz w:val="13"/>
          <w:szCs w:val="13"/>
          <w:color w:val="205BA8"/>
        </w:rPr>
      </w:pPr>
      <w:r>
        <w:rPr>
          <w:rFonts w:ascii="Arial" w:cs="Arial" w:eastAsia="Arial" w:hAnsi="Arial"/>
          <w:sz w:val="13"/>
          <w:szCs w:val="13"/>
          <w:color w:val="auto"/>
        </w:rPr>
        <w:t>Total revenue for the first nine months of 2020 was $6.074 billion, a 29.4% increase over the same period in 2019 ($4.694 billion).</w:t>
      </w:r>
    </w:p>
    <w:p>
      <w:pPr>
        <w:jc w:val="both"/>
        <w:ind w:left="780" w:right="100" w:hanging="160"/>
        <w:spacing w:after="0" w:line="238" w:lineRule="auto"/>
        <w:tabs>
          <w:tab w:leader="none" w:pos="772" w:val="left"/>
        </w:tabs>
        <w:numPr>
          <w:ilvl w:val="0"/>
          <w:numId w:val="98"/>
        </w:numPr>
        <w:rPr>
          <w:rFonts w:ascii="Arial" w:cs="Arial" w:eastAsia="Arial" w:hAnsi="Arial"/>
          <w:sz w:val="13"/>
          <w:szCs w:val="13"/>
          <w:color w:val="205BA8"/>
        </w:rPr>
      </w:pPr>
      <w:r>
        <w:rPr>
          <w:rFonts w:ascii="Arial" w:cs="Arial" w:eastAsia="Arial" w:hAnsi="Arial"/>
          <w:sz w:val="13"/>
          <w:szCs w:val="13"/>
          <w:color w:val="auto"/>
        </w:rPr>
        <w:t>Full year Non-GAAP Net Income and Diluted Non-GAAP EPS forecast projected to exceed the 2020 board-approved plan by double digits.</w:t>
      </w:r>
    </w:p>
    <w:p>
      <w:pPr>
        <w:ind w:left="780" w:right="80" w:hanging="160"/>
        <w:spacing w:after="0" w:line="238" w:lineRule="auto"/>
        <w:tabs>
          <w:tab w:leader="none" w:pos="772" w:val="left"/>
        </w:tabs>
        <w:numPr>
          <w:ilvl w:val="0"/>
          <w:numId w:val="98"/>
        </w:numPr>
        <w:rPr>
          <w:rFonts w:ascii="Arial" w:cs="Arial" w:eastAsia="Arial" w:hAnsi="Arial"/>
          <w:sz w:val="13"/>
          <w:szCs w:val="13"/>
          <w:color w:val="205BA8"/>
        </w:rPr>
      </w:pPr>
      <w:r>
        <w:rPr>
          <w:rFonts w:ascii="Arial" w:cs="Arial" w:eastAsia="Arial" w:hAnsi="Arial"/>
          <w:sz w:val="13"/>
          <w:szCs w:val="13"/>
          <w:color w:val="auto"/>
        </w:rPr>
        <w:t>EYLEA global net product sales of $5.707 billion in the first nine months of 2020 (representing 3.1% growth vs. the first nine months of 2019).</w:t>
      </w:r>
    </w:p>
    <w:p>
      <w:pPr>
        <w:ind w:left="780" w:right="300" w:hanging="160"/>
        <w:spacing w:after="0" w:line="238" w:lineRule="auto"/>
        <w:tabs>
          <w:tab w:leader="none" w:pos="772" w:val="left"/>
        </w:tabs>
        <w:numPr>
          <w:ilvl w:val="0"/>
          <w:numId w:val="98"/>
        </w:numPr>
        <w:rPr>
          <w:rFonts w:ascii="Arial" w:cs="Arial" w:eastAsia="Arial" w:hAnsi="Arial"/>
          <w:sz w:val="13"/>
          <w:szCs w:val="13"/>
          <w:color w:val="205BA8"/>
        </w:rPr>
      </w:pPr>
      <w:r>
        <w:rPr>
          <w:rFonts w:ascii="Arial" w:cs="Arial" w:eastAsia="Arial" w:hAnsi="Arial"/>
          <w:sz w:val="13"/>
          <w:szCs w:val="13"/>
          <w:color w:val="auto"/>
        </w:rPr>
        <w:t>Latest full year U.S. EYLEA net product sales projected to increase for the ninth straight year without a price increase.</w:t>
      </w:r>
    </w:p>
    <w:p>
      <w:pPr>
        <w:ind w:left="780" w:hanging="160"/>
        <w:spacing w:after="0" w:line="238" w:lineRule="auto"/>
        <w:tabs>
          <w:tab w:leader="none" w:pos="772" w:val="left"/>
        </w:tabs>
        <w:numPr>
          <w:ilvl w:val="0"/>
          <w:numId w:val="98"/>
        </w:numPr>
        <w:rPr>
          <w:rFonts w:ascii="Arial" w:cs="Arial" w:eastAsia="Arial" w:hAnsi="Arial"/>
          <w:sz w:val="13"/>
          <w:szCs w:val="13"/>
          <w:color w:val="205BA8"/>
        </w:rPr>
      </w:pPr>
      <w:r>
        <w:rPr>
          <w:rFonts w:ascii="Arial" w:cs="Arial" w:eastAsia="Arial" w:hAnsi="Arial"/>
          <w:sz w:val="13"/>
          <w:szCs w:val="13"/>
          <w:color w:val="auto"/>
        </w:rPr>
        <w:t>Dupixent global net product sales of $2.873 billion in the first nine months of 2020 (representing 83.7% growth vs. the first nine months of 2019).</w:t>
      </w:r>
    </w:p>
    <w:p>
      <w:pPr>
        <w:ind w:left="780" w:hanging="160"/>
        <w:spacing w:after="0" w:line="238" w:lineRule="auto"/>
        <w:tabs>
          <w:tab w:leader="none" w:pos="772" w:val="left"/>
        </w:tabs>
        <w:numPr>
          <w:ilvl w:val="0"/>
          <w:numId w:val="98"/>
        </w:numPr>
        <w:rPr>
          <w:rFonts w:ascii="Arial" w:cs="Arial" w:eastAsia="Arial" w:hAnsi="Arial"/>
          <w:sz w:val="13"/>
          <w:szCs w:val="13"/>
          <w:color w:val="205BA8"/>
        </w:rPr>
      </w:pPr>
      <w:r>
        <w:rPr>
          <w:rFonts w:ascii="Arial" w:cs="Arial" w:eastAsia="Arial" w:hAnsi="Arial"/>
          <w:sz w:val="13"/>
          <w:szCs w:val="13"/>
          <w:color w:val="auto"/>
        </w:rPr>
        <w:t>Kevzara global net product sales of $198.4 million in the first nine months of 2020 (representing 35.0% growth vs. the first nine months of 2019).</w:t>
      </w:r>
    </w:p>
    <w:p>
      <w:pPr>
        <w:jc w:val="both"/>
        <w:ind w:left="780" w:right="40" w:hanging="160"/>
        <w:spacing w:after="0" w:line="243" w:lineRule="auto"/>
        <w:tabs>
          <w:tab w:leader="none" w:pos="772" w:val="left"/>
        </w:tabs>
        <w:numPr>
          <w:ilvl w:val="0"/>
          <w:numId w:val="98"/>
        </w:numPr>
        <w:rPr>
          <w:rFonts w:ascii="Arial" w:cs="Arial" w:eastAsia="Arial" w:hAnsi="Arial"/>
          <w:sz w:val="13"/>
          <w:szCs w:val="13"/>
          <w:color w:val="205BA8"/>
        </w:rPr>
      </w:pPr>
      <w:r>
        <w:rPr>
          <w:rFonts w:ascii="Arial" w:cs="Arial" w:eastAsia="Arial" w:hAnsi="Arial"/>
          <w:sz w:val="13"/>
          <w:szCs w:val="13"/>
          <w:color w:val="auto"/>
        </w:rPr>
        <w:t>Libtayo global net product sales of $250.9 million in the first nine months of 2019 (representing 110.7% growth vs. the first nine months of 2019).</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165" w:right="60" w:hanging="165"/>
        <w:spacing w:after="0" w:line="238" w:lineRule="auto"/>
        <w:tabs>
          <w:tab w:leader="none" w:pos="157" w:val="left"/>
        </w:tabs>
        <w:numPr>
          <w:ilvl w:val="0"/>
          <w:numId w:val="99"/>
        </w:numPr>
        <w:rPr>
          <w:rFonts w:ascii="Arial" w:cs="Arial" w:eastAsia="Arial" w:hAnsi="Arial"/>
          <w:sz w:val="13"/>
          <w:szCs w:val="13"/>
          <w:color w:val="205BA8"/>
        </w:rPr>
      </w:pPr>
      <w:r>
        <w:rPr>
          <w:rFonts w:ascii="Arial" w:cs="Arial" w:eastAsia="Arial" w:hAnsi="Arial"/>
          <w:sz w:val="13"/>
          <w:szCs w:val="13"/>
          <w:color w:val="auto"/>
        </w:rPr>
        <w:t>The Company and Sanofi entered into an agreement, effective April 1, 2020, to restructure its collaboration for Praluent.</w:t>
      </w:r>
    </w:p>
    <w:p>
      <w:pPr>
        <w:ind w:left="165" w:right="20" w:hanging="165"/>
        <w:spacing w:after="0" w:line="238" w:lineRule="auto"/>
        <w:tabs>
          <w:tab w:leader="none" w:pos="157" w:val="left"/>
        </w:tabs>
        <w:numPr>
          <w:ilvl w:val="0"/>
          <w:numId w:val="99"/>
        </w:numPr>
        <w:rPr>
          <w:rFonts w:ascii="Arial" w:cs="Arial" w:eastAsia="Arial" w:hAnsi="Arial"/>
          <w:sz w:val="13"/>
          <w:szCs w:val="13"/>
          <w:color w:val="205BA8"/>
        </w:rPr>
      </w:pPr>
      <w:r>
        <w:rPr>
          <w:rFonts w:ascii="Arial" w:cs="Arial" w:eastAsia="Arial" w:hAnsi="Arial"/>
          <w:sz w:val="13"/>
          <w:szCs w:val="13"/>
          <w:color w:val="auto"/>
        </w:rPr>
        <w:t>In May 2020, the Company completed secondary offering of approximately 13 million shares of the Company’s common stock held by Sanofi at an offer price of $515.00 per share. The Company also executed its repurchase of approximately 9.8 million shares directly from Sanofi at a price of $509.85 per share.</w:t>
      </w:r>
    </w:p>
    <w:p>
      <w:pPr>
        <w:spacing w:after="0" w:line="1" w:lineRule="exact"/>
        <w:rPr>
          <w:rFonts w:ascii="Arial" w:cs="Arial" w:eastAsia="Arial" w:hAnsi="Arial"/>
          <w:sz w:val="13"/>
          <w:szCs w:val="13"/>
          <w:color w:val="205BA8"/>
        </w:rPr>
      </w:pPr>
    </w:p>
    <w:p>
      <w:pPr>
        <w:ind w:left="165" w:hanging="165"/>
        <w:spacing w:after="0" w:line="264" w:lineRule="auto"/>
        <w:tabs>
          <w:tab w:leader="none" w:pos="157" w:val="left"/>
        </w:tabs>
        <w:numPr>
          <w:ilvl w:val="0"/>
          <w:numId w:val="99"/>
        </w:numPr>
        <w:rPr>
          <w:rFonts w:ascii="Arial" w:cs="Arial" w:eastAsia="Arial" w:hAnsi="Arial"/>
          <w:sz w:val="12"/>
          <w:szCs w:val="12"/>
          <w:color w:val="205BA8"/>
        </w:rPr>
      </w:pPr>
      <w:r>
        <w:rPr>
          <w:rFonts w:ascii="Arial" w:cs="Arial" w:eastAsia="Arial" w:hAnsi="Arial"/>
          <w:sz w:val="12"/>
          <w:szCs w:val="12"/>
          <w:color w:val="auto"/>
        </w:rPr>
        <w:t>In August 2020, the Company completed its inaugural issuance of investment grade notes through an underwritten offering of $1.250 billion aggregate principal amount of senior unsecured notes due 2030 and $750 million aggregate principal amount of senior unsecured notes due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-2213610</wp:posOffset>
            </wp:positionH>
            <wp:positionV relativeFrom="paragraph">
              <wp:posOffset>508000</wp:posOffset>
            </wp:positionV>
            <wp:extent cx="6446520" cy="7029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446520" cy="7029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162" w:right="640" w:hanging="162"/>
        <w:spacing w:after="0" w:line="238" w:lineRule="auto"/>
        <w:tabs>
          <w:tab w:leader="none" w:pos="154" w:val="left"/>
        </w:tabs>
        <w:numPr>
          <w:ilvl w:val="0"/>
          <w:numId w:val="100"/>
        </w:numPr>
        <w:rPr>
          <w:rFonts w:ascii="Arial" w:cs="Arial" w:eastAsia="Arial" w:hAnsi="Arial"/>
          <w:sz w:val="13"/>
          <w:szCs w:val="13"/>
          <w:color w:val="205BA8"/>
        </w:rPr>
      </w:pPr>
      <w:r>
        <w:rPr>
          <w:rFonts w:ascii="Arial" w:cs="Arial" w:eastAsia="Arial" w:hAnsi="Arial"/>
          <w:sz w:val="13"/>
          <w:szCs w:val="13"/>
          <w:color w:val="auto"/>
        </w:rPr>
        <w:t>In May 2020, the Company expanded its existing collaboration with Intellia Therapeutics, Inc. to provide the Company with rights to develop products for additional in vivo CRISPR/Cas9-based therapeutic targets and for the companies to jointly develop potential products for the treatment of hemophilia A and B.</w:t>
      </w:r>
    </w:p>
    <w:p>
      <w:pPr>
        <w:spacing w:after="0" w:line="1" w:lineRule="exact"/>
        <w:rPr>
          <w:rFonts w:ascii="Arial" w:cs="Arial" w:eastAsia="Arial" w:hAnsi="Arial"/>
          <w:sz w:val="13"/>
          <w:szCs w:val="13"/>
          <w:color w:val="205BA8"/>
        </w:rPr>
      </w:pPr>
    </w:p>
    <w:p>
      <w:pPr>
        <w:ind w:left="162" w:right="600" w:hanging="162"/>
        <w:spacing w:after="0" w:line="238" w:lineRule="auto"/>
        <w:tabs>
          <w:tab w:leader="none" w:pos="154" w:val="left"/>
        </w:tabs>
        <w:numPr>
          <w:ilvl w:val="0"/>
          <w:numId w:val="100"/>
        </w:numPr>
        <w:rPr>
          <w:rFonts w:ascii="Arial" w:cs="Arial" w:eastAsia="Arial" w:hAnsi="Arial"/>
          <w:sz w:val="13"/>
          <w:szCs w:val="13"/>
          <w:color w:val="205BA8"/>
        </w:rPr>
      </w:pPr>
      <w:r>
        <w:rPr>
          <w:rFonts w:ascii="Arial" w:cs="Arial" w:eastAsia="Arial" w:hAnsi="Arial"/>
          <w:sz w:val="13"/>
          <w:szCs w:val="13"/>
          <w:color w:val="auto"/>
        </w:rPr>
        <w:t>In July 2020, HHS exercised its option under the existing agreement for the treatment of Ebola virus infection to provide approximately $345.0 million of additional funding for the manufacture and supply of Inmazeb.</w:t>
      </w:r>
    </w:p>
    <w:p>
      <w:pPr>
        <w:spacing w:after="0" w:line="1" w:lineRule="exact"/>
        <w:rPr>
          <w:rFonts w:ascii="Arial" w:cs="Arial" w:eastAsia="Arial" w:hAnsi="Arial"/>
          <w:sz w:val="13"/>
          <w:szCs w:val="13"/>
          <w:color w:val="205BA8"/>
        </w:rPr>
      </w:pPr>
    </w:p>
    <w:p>
      <w:pPr>
        <w:ind w:left="162" w:right="900" w:hanging="162"/>
        <w:spacing w:after="0" w:line="248" w:lineRule="auto"/>
        <w:tabs>
          <w:tab w:leader="none" w:pos="154" w:val="left"/>
        </w:tabs>
        <w:numPr>
          <w:ilvl w:val="0"/>
          <w:numId w:val="100"/>
        </w:numPr>
        <w:rPr>
          <w:rFonts w:ascii="Arial" w:cs="Arial" w:eastAsia="Arial" w:hAnsi="Arial"/>
          <w:sz w:val="13"/>
          <w:szCs w:val="13"/>
          <w:color w:val="205BA8"/>
        </w:rPr>
      </w:pPr>
      <w:r>
        <w:rPr>
          <w:rFonts w:ascii="Arial" w:cs="Arial" w:eastAsia="Arial" w:hAnsi="Arial"/>
          <w:sz w:val="13"/>
          <w:szCs w:val="13"/>
          <w:color w:val="auto"/>
        </w:rPr>
        <w:t>Completed novel agreements with BARDA and Roche relating to REGEN-COV.</w:t>
      </w:r>
    </w:p>
    <w:p>
      <w:pPr>
        <w:spacing w:after="0" w:line="1146" w:lineRule="exact"/>
        <w:rPr>
          <w:sz w:val="20"/>
          <w:szCs w:val="20"/>
          <w:color w:val="auto"/>
        </w:rPr>
      </w:pPr>
    </w:p>
    <w:p>
      <w:pPr>
        <w:sectPr>
          <w:pgSz w:w="11900" w:h="16838" w:orient="portrait"/>
          <w:cols w:equalWidth="0" w:num="3">
            <w:col w:w="3780" w:space="255"/>
            <w:col w:w="3185" w:space="258"/>
            <w:col w:w="3762"/>
          </w:cols>
          <w:pgMar w:left="320" w:top="405" w:right="339" w:bottom="1440" w:gutter="0" w:footer="0" w:header="0"/>
          <w:type w:val="continuous"/>
        </w:sectPr>
      </w:pPr>
    </w:p>
    <w:p>
      <w:pPr>
        <w:ind w:left="600"/>
        <w:spacing w:after="0"/>
        <w:rPr>
          <w:sz w:val="20"/>
          <w:szCs w:val="20"/>
          <w:color w:val="auto"/>
        </w:rPr>
      </w:pPr>
      <w:r>
        <w:rPr>
          <w:rFonts w:ascii="Arial" w:cs="Arial" w:eastAsia="Arial" w:hAnsi="Arial"/>
          <w:sz w:val="17"/>
          <w:szCs w:val="17"/>
          <w:b w:val="1"/>
          <w:bCs w:val="1"/>
          <w:color w:val="C32167"/>
        </w:rPr>
        <w:t>Operational &amp; Manufacturing</w:t>
      </w:r>
    </w:p>
    <w:p>
      <w:pPr>
        <w:spacing w:after="0" w:line="76" w:lineRule="exact"/>
        <w:rPr>
          <w:sz w:val="20"/>
          <w:szCs w:val="20"/>
          <w:color w:val="auto"/>
        </w:rPr>
      </w:pPr>
    </w:p>
    <w:p>
      <w:pPr>
        <w:ind w:left="600"/>
        <w:spacing w:after="0"/>
        <w:tabs>
          <w:tab w:leader="none" w:pos="740" w:val="left"/>
        </w:tabs>
        <w:rPr>
          <w:sz w:val="20"/>
          <w:szCs w:val="20"/>
          <w:color w:val="auto"/>
        </w:rPr>
      </w:pPr>
      <w:r>
        <w:rPr>
          <w:rFonts w:ascii="Arial" w:cs="Arial" w:eastAsia="Arial" w:hAnsi="Arial"/>
          <w:sz w:val="13"/>
          <w:szCs w:val="13"/>
          <w:color w:val="205BA8"/>
        </w:rPr>
        <w:t>•</w:t>
      </w:r>
      <w:r>
        <w:rPr>
          <w:rFonts w:ascii="Arial" w:cs="Arial" w:eastAsia="Arial" w:hAnsi="Arial"/>
          <w:sz w:val="13"/>
          <w:szCs w:val="13"/>
          <w:color w:val="auto"/>
        </w:rPr>
        <w:tab/>
        <w:t>Marketing structure &amp; strategy</w:t>
      </w:r>
    </w:p>
    <w:p>
      <w:pPr>
        <w:ind w:left="600"/>
        <w:spacing w:after="0"/>
        <w:tabs>
          <w:tab w:leader="none" w:pos="740" w:val="left"/>
        </w:tabs>
        <w:rPr>
          <w:sz w:val="20"/>
          <w:szCs w:val="20"/>
          <w:color w:val="auto"/>
        </w:rPr>
      </w:pPr>
      <w:r>
        <w:rPr>
          <w:rFonts w:ascii="Arial" w:cs="Arial" w:eastAsia="Arial" w:hAnsi="Arial"/>
          <w:sz w:val="13"/>
          <w:szCs w:val="13"/>
          <w:color w:val="205BA8"/>
        </w:rPr>
        <w:t>•</w:t>
      </w:r>
      <w:r>
        <w:rPr>
          <w:rFonts w:ascii="Arial" w:cs="Arial" w:eastAsia="Arial" w:hAnsi="Arial"/>
          <w:sz w:val="13"/>
          <w:szCs w:val="13"/>
          <w:color w:val="auto"/>
        </w:rPr>
        <w:tab/>
        <w:t>Pricing, policy &amp; legal developments</w:t>
      </w:r>
    </w:p>
    <w:p>
      <w:pPr>
        <w:ind w:left="600"/>
        <w:spacing w:after="0"/>
        <w:tabs>
          <w:tab w:leader="none" w:pos="740" w:val="left"/>
        </w:tabs>
        <w:rPr>
          <w:sz w:val="20"/>
          <w:szCs w:val="20"/>
          <w:color w:val="auto"/>
        </w:rPr>
      </w:pPr>
      <w:r>
        <w:rPr>
          <w:rFonts w:ascii="Arial" w:cs="Arial" w:eastAsia="Arial" w:hAnsi="Arial"/>
          <w:sz w:val="13"/>
          <w:szCs w:val="13"/>
          <w:color w:val="205BA8"/>
        </w:rPr>
        <w:t>•</w:t>
      </w:r>
      <w:r>
        <w:rPr>
          <w:rFonts w:ascii="Arial" w:cs="Arial" w:eastAsia="Arial" w:hAnsi="Arial"/>
          <w:sz w:val="13"/>
          <w:szCs w:val="13"/>
          <w:color w:val="auto"/>
        </w:rPr>
        <w:tab/>
        <w:t>Successful completion of global audits</w:t>
      </w:r>
    </w:p>
    <w:p>
      <w:pPr>
        <w:ind w:left="600"/>
        <w:spacing w:after="0"/>
        <w:tabs>
          <w:tab w:leader="none" w:pos="740" w:val="left"/>
        </w:tabs>
        <w:rPr>
          <w:sz w:val="20"/>
          <w:szCs w:val="20"/>
          <w:color w:val="auto"/>
        </w:rPr>
      </w:pPr>
      <w:r>
        <w:rPr>
          <w:rFonts w:ascii="Arial" w:cs="Arial" w:eastAsia="Arial" w:hAnsi="Arial"/>
          <w:sz w:val="13"/>
          <w:szCs w:val="13"/>
          <w:color w:val="205BA8"/>
        </w:rPr>
        <w:t>•</w:t>
      </w:r>
      <w:r>
        <w:rPr>
          <w:rFonts w:ascii="Arial" w:cs="Arial" w:eastAsia="Arial" w:hAnsi="Arial"/>
          <w:sz w:val="13"/>
          <w:szCs w:val="13"/>
          <w:color w:val="auto"/>
        </w:rPr>
        <w:tab/>
        <w:t>Expansion of facilities</w:t>
      </w:r>
    </w:p>
    <w:p>
      <w:pPr>
        <w:ind w:left="600"/>
        <w:spacing w:after="0"/>
        <w:tabs>
          <w:tab w:leader="none" w:pos="740" w:val="left"/>
        </w:tabs>
        <w:rPr>
          <w:sz w:val="20"/>
          <w:szCs w:val="20"/>
          <w:color w:val="auto"/>
        </w:rPr>
      </w:pPr>
      <w:r>
        <w:rPr>
          <w:rFonts w:ascii="Arial" w:cs="Arial" w:eastAsia="Arial" w:hAnsi="Arial"/>
          <w:sz w:val="13"/>
          <w:szCs w:val="13"/>
          <w:color w:val="205BA8"/>
        </w:rPr>
        <w:t>•</w:t>
      </w:r>
      <w:r>
        <w:rPr>
          <w:rFonts w:ascii="Arial" w:cs="Arial" w:eastAsia="Arial" w:hAnsi="Arial"/>
          <w:sz w:val="13"/>
          <w:szCs w:val="13"/>
          <w:color w:val="auto"/>
        </w:rPr>
        <w:tab/>
        <w:t>Manufacturing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31750</wp:posOffset>
            </wp:positionV>
            <wp:extent cx="6446520" cy="12604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446520" cy="1260475"/>
                    </a:xfrm>
                    <a:prstGeom prst="rect">
                      <a:avLst/>
                    </a:prstGeom>
                    <a:noFill/>
                  </pic:spPr>
                </pic:pic>
              </a:graphicData>
            </a:graphic>
          </wp:anchor>
        </w:drawing>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205BA8"/>
        </w:rPr>
        <w:t>Achievements/Relevant Developments in 2020:</w:t>
      </w:r>
    </w:p>
    <w:p>
      <w:pPr>
        <w:spacing w:after="0" w:line="76" w:lineRule="exact"/>
        <w:rPr>
          <w:sz w:val="20"/>
          <w:szCs w:val="20"/>
          <w:color w:val="auto"/>
        </w:rPr>
      </w:pPr>
    </w:p>
    <w:p>
      <w:pPr>
        <w:ind w:left="620"/>
        <w:spacing w:after="0"/>
        <w:tabs>
          <w:tab w:leader="none" w:pos="760" w:val="left"/>
          <w:tab w:leader="none" w:pos="4120" w:val="left"/>
          <w:tab w:leader="none" w:pos="4260" w:val="left"/>
          <w:tab w:leader="none" w:pos="7460" w:val="left"/>
          <w:tab w:leader="none" w:pos="7620" w:val="left"/>
        </w:tabs>
        <w:rPr>
          <w:sz w:val="20"/>
          <w:szCs w:val="20"/>
          <w:color w:val="auto"/>
        </w:rPr>
      </w:pPr>
      <w:r>
        <w:rPr>
          <w:rFonts w:ascii="Arial" w:cs="Arial" w:eastAsia="Arial" w:hAnsi="Arial"/>
          <w:sz w:val="13"/>
          <w:szCs w:val="13"/>
          <w:color w:val="205BA8"/>
        </w:rPr>
        <w:t>•</w:t>
      </w:r>
      <w:r>
        <w:rPr>
          <w:rFonts w:ascii="Arial" w:cs="Arial" w:eastAsia="Arial" w:hAnsi="Arial"/>
          <w:sz w:val="13"/>
          <w:szCs w:val="13"/>
          <w:color w:val="auto"/>
        </w:rPr>
        <w:tab/>
        <w:t>U.S. Court of Appeals for the Federal Circuit affirmed</w:t>
      </w:r>
      <w:r>
        <w:rPr>
          <w:sz w:val="20"/>
          <w:szCs w:val="20"/>
          <w:color w:val="auto"/>
        </w:rPr>
        <w:tab/>
      </w:r>
      <w:r>
        <w:rPr>
          <w:rFonts w:ascii="Arial" w:cs="Arial" w:eastAsia="Arial" w:hAnsi="Arial"/>
          <w:sz w:val="13"/>
          <w:szCs w:val="13"/>
          <w:color w:val="205BA8"/>
        </w:rPr>
        <w:t>•</w:t>
      </w:r>
      <w:r>
        <w:rPr>
          <w:rFonts w:ascii="Arial" w:cs="Arial" w:eastAsia="Arial" w:hAnsi="Arial"/>
          <w:sz w:val="13"/>
          <w:szCs w:val="13"/>
          <w:color w:val="auto"/>
        </w:rPr>
        <w:tab/>
        <w:t>Simultaneously moved certain commercial product</w:t>
      </w:r>
      <w:r>
        <w:rPr>
          <w:sz w:val="20"/>
          <w:szCs w:val="20"/>
          <w:color w:val="auto"/>
        </w:rPr>
        <w:tab/>
      </w:r>
      <w:r>
        <w:rPr>
          <w:rFonts w:ascii="Arial" w:cs="Arial" w:eastAsia="Arial" w:hAnsi="Arial"/>
          <w:sz w:val="13"/>
          <w:szCs w:val="13"/>
          <w:color w:val="205BA8"/>
        </w:rPr>
        <w:t>•</w:t>
      </w:r>
      <w:r>
        <w:rPr>
          <w:sz w:val="20"/>
          <w:szCs w:val="20"/>
          <w:color w:val="auto"/>
        </w:rPr>
        <w:tab/>
      </w:r>
      <w:r>
        <w:rPr>
          <w:rFonts w:ascii="Arial" w:cs="Arial" w:eastAsia="Arial" w:hAnsi="Arial"/>
          <w:sz w:val="12"/>
          <w:szCs w:val="12"/>
          <w:color w:val="auto"/>
        </w:rPr>
        <w:t>Secured approval of the Dupixent auto-injector.</w:t>
      </w:r>
    </w:p>
    <w:p>
      <w:pPr>
        <w:ind w:left="780"/>
        <w:spacing w:after="0"/>
        <w:tabs>
          <w:tab w:leader="none" w:pos="4280" w:val="left"/>
          <w:tab w:leader="none" w:pos="7460" w:val="left"/>
          <w:tab w:leader="none" w:pos="7620" w:val="left"/>
        </w:tabs>
        <w:rPr>
          <w:sz w:val="20"/>
          <w:szCs w:val="20"/>
          <w:color w:val="auto"/>
        </w:rPr>
      </w:pPr>
      <w:r>
        <w:rPr>
          <w:rFonts w:ascii="Arial" w:cs="Arial" w:eastAsia="Arial" w:hAnsi="Arial"/>
          <w:sz w:val="13"/>
          <w:szCs w:val="13"/>
          <w:color w:val="auto"/>
        </w:rPr>
        <w:t>decision of the Patent Trial and Appeal Board of the</w:t>
      </w:r>
      <w:r>
        <w:rPr>
          <w:sz w:val="20"/>
          <w:szCs w:val="20"/>
          <w:color w:val="auto"/>
        </w:rPr>
        <w:tab/>
      </w:r>
      <w:r>
        <w:rPr>
          <w:rFonts w:ascii="Arial" w:cs="Arial" w:eastAsia="Arial" w:hAnsi="Arial"/>
          <w:sz w:val="13"/>
          <w:szCs w:val="13"/>
          <w:color w:val="auto"/>
        </w:rPr>
        <w:t>manufacturing to our facilities in Ireland while</w:t>
      </w:r>
      <w:r>
        <w:rPr>
          <w:sz w:val="20"/>
          <w:szCs w:val="20"/>
          <w:color w:val="auto"/>
        </w:rPr>
        <w:tab/>
      </w:r>
      <w:r>
        <w:rPr>
          <w:rFonts w:ascii="Arial" w:cs="Arial" w:eastAsia="Arial" w:hAnsi="Arial"/>
          <w:sz w:val="13"/>
          <w:szCs w:val="13"/>
          <w:color w:val="205BA8"/>
        </w:rPr>
        <w:t>•</w:t>
      </w:r>
      <w:r>
        <w:rPr>
          <w:rFonts w:ascii="Arial" w:cs="Arial" w:eastAsia="Arial" w:hAnsi="Arial"/>
          <w:sz w:val="13"/>
          <w:szCs w:val="13"/>
          <w:color w:val="auto"/>
        </w:rPr>
        <w:tab/>
        <w:t>Managed all ramp-up activities and associated</w:t>
      </w:r>
    </w:p>
    <w:p>
      <w:pPr>
        <w:ind w:left="780"/>
        <w:spacing w:after="0"/>
        <w:tabs>
          <w:tab w:leader="none" w:pos="4280" w:val="left"/>
          <w:tab w:leader="none" w:pos="7620" w:val="left"/>
        </w:tabs>
        <w:rPr>
          <w:sz w:val="20"/>
          <w:szCs w:val="20"/>
          <w:color w:val="auto"/>
        </w:rPr>
      </w:pPr>
      <w:r>
        <w:rPr>
          <w:rFonts w:ascii="Arial" w:cs="Arial" w:eastAsia="Arial" w:hAnsi="Arial"/>
          <w:sz w:val="13"/>
          <w:szCs w:val="13"/>
          <w:color w:val="auto"/>
        </w:rPr>
        <w:t>U.S. Patent and Trademark Office invalidating a patent</w:t>
      </w:r>
      <w:r>
        <w:rPr>
          <w:sz w:val="20"/>
          <w:szCs w:val="20"/>
          <w:color w:val="auto"/>
        </w:rPr>
        <w:tab/>
      </w:r>
      <w:r>
        <w:rPr>
          <w:rFonts w:ascii="Arial" w:cs="Arial" w:eastAsia="Arial" w:hAnsi="Arial"/>
          <w:sz w:val="13"/>
          <w:szCs w:val="13"/>
          <w:color w:val="auto"/>
        </w:rPr>
        <w:t>bringing up manufacturing for REGEN-COV in our</w:t>
      </w:r>
      <w:r>
        <w:rPr>
          <w:sz w:val="20"/>
          <w:szCs w:val="20"/>
          <w:color w:val="auto"/>
        </w:rPr>
        <w:tab/>
      </w:r>
      <w:r>
        <w:rPr>
          <w:rFonts w:ascii="Arial" w:cs="Arial" w:eastAsia="Arial" w:hAnsi="Arial"/>
          <w:sz w:val="13"/>
          <w:szCs w:val="13"/>
          <w:color w:val="auto"/>
        </w:rPr>
        <w:t>distributions in connection with the Company’s trials</w:t>
      </w:r>
    </w:p>
    <w:p>
      <w:pPr>
        <w:ind w:left="780"/>
        <w:spacing w:after="0"/>
        <w:tabs>
          <w:tab w:leader="none" w:pos="4280" w:val="left"/>
          <w:tab w:leader="none" w:pos="7620" w:val="left"/>
        </w:tabs>
        <w:rPr>
          <w:sz w:val="20"/>
          <w:szCs w:val="20"/>
          <w:color w:val="auto"/>
        </w:rPr>
      </w:pPr>
      <w:r>
        <w:rPr>
          <w:rFonts w:ascii="Arial" w:cs="Arial" w:eastAsia="Arial" w:hAnsi="Arial"/>
          <w:sz w:val="13"/>
          <w:szCs w:val="13"/>
          <w:color w:val="auto"/>
        </w:rPr>
        <w:t>owned by Immunex Corporation (a subsidiary of Amgen</w:t>
      </w:r>
      <w:r>
        <w:rPr>
          <w:sz w:val="20"/>
          <w:szCs w:val="20"/>
          <w:color w:val="auto"/>
        </w:rPr>
        <w:tab/>
      </w:r>
      <w:r>
        <w:rPr>
          <w:rFonts w:ascii="Arial" w:cs="Arial" w:eastAsia="Arial" w:hAnsi="Arial"/>
          <w:sz w:val="13"/>
          <w:szCs w:val="13"/>
          <w:color w:val="auto"/>
        </w:rPr>
        <w:t>facilities in Rensselaer, New York.</w:t>
      </w:r>
      <w:r>
        <w:rPr>
          <w:sz w:val="20"/>
          <w:szCs w:val="20"/>
          <w:color w:val="auto"/>
        </w:rPr>
        <w:tab/>
      </w:r>
      <w:r>
        <w:rPr>
          <w:rFonts w:ascii="Arial" w:cs="Arial" w:eastAsia="Arial" w:hAnsi="Arial"/>
          <w:sz w:val="13"/>
          <w:szCs w:val="13"/>
          <w:color w:val="auto"/>
        </w:rPr>
        <w:t>evaluating Kevzara for the treatment of COVID-19.</w:t>
      </w:r>
    </w:p>
    <w:p>
      <w:pPr>
        <w:ind w:left="780"/>
        <w:spacing w:after="0"/>
        <w:tabs>
          <w:tab w:leader="none" w:pos="4120" w:val="left"/>
          <w:tab w:leader="none" w:pos="4260" w:val="left"/>
          <w:tab w:leader="none" w:pos="7460" w:val="left"/>
          <w:tab w:leader="none" w:pos="7620" w:val="left"/>
        </w:tabs>
        <w:rPr>
          <w:sz w:val="20"/>
          <w:szCs w:val="20"/>
          <w:color w:val="auto"/>
        </w:rPr>
      </w:pPr>
      <w:r>
        <w:rPr>
          <w:rFonts w:ascii="Arial" w:cs="Arial" w:eastAsia="Arial" w:hAnsi="Arial"/>
          <w:sz w:val="13"/>
          <w:szCs w:val="13"/>
          <w:color w:val="auto"/>
        </w:rPr>
        <w:t>Inc.) asserted against Dupixent in the United States.</w:t>
      </w:r>
      <w:r>
        <w:rPr>
          <w:sz w:val="20"/>
          <w:szCs w:val="20"/>
          <w:color w:val="auto"/>
        </w:rPr>
        <w:tab/>
      </w:r>
      <w:r>
        <w:rPr>
          <w:rFonts w:ascii="Arial" w:cs="Arial" w:eastAsia="Arial" w:hAnsi="Arial"/>
          <w:sz w:val="13"/>
          <w:szCs w:val="13"/>
          <w:color w:val="205BA8"/>
        </w:rPr>
        <w:t>•</w:t>
      </w:r>
      <w:r>
        <w:rPr>
          <w:rFonts w:ascii="Arial" w:cs="Arial" w:eastAsia="Arial" w:hAnsi="Arial"/>
          <w:sz w:val="13"/>
          <w:szCs w:val="13"/>
          <w:color w:val="auto"/>
        </w:rPr>
        <w:tab/>
        <w:t>Manufactured initial doses of REGEN-COV within</w:t>
      </w:r>
      <w:r>
        <w:rPr>
          <w:sz w:val="20"/>
          <w:szCs w:val="20"/>
          <w:color w:val="auto"/>
        </w:rPr>
        <w:tab/>
      </w:r>
      <w:r>
        <w:rPr>
          <w:rFonts w:ascii="Arial" w:cs="Arial" w:eastAsia="Arial" w:hAnsi="Arial"/>
          <w:sz w:val="13"/>
          <w:szCs w:val="13"/>
          <w:color w:val="205BA8"/>
        </w:rPr>
        <w:t>•</w:t>
      </w:r>
      <w:r>
        <w:rPr>
          <w:sz w:val="20"/>
          <w:szCs w:val="20"/>
          <w:color w:val="auto"/>
        </w:rPr>
        <w:tab/>
      </w:r>
      <w:r>
        <w:rPr>
          <w:rFonts w:ascii="Arial" w:cs="Arial" w:eastAsia="Arial" w:hAnsi="Arial"/>
          <w:sz w:val="12"/>
          <w:szCs w:val="12"/>
          <w:color w:val="auto"/>
        </w:rPr>
        <w:t>Continued construction of the Company’s first</w:t>
      </w:r>
    </w:p>
    <w:p>
      <w:pPr>
        <w:ind w:left="620"/>
        <w:spacing w:after="0"/>
        <w:tabs>
          <w:tab w:leader="none" w:pos="760" w:val="left"/>
          <w:tab w:leader="none" w:pos="4280" w:val="left"/>
          <w:tab w:leader="none" w:pos="7620" w:val="left"/>
        </w:tabs>
        <w:rPr>
          <w:sz w:val="20"/>
          <w:szCs w:val="20"/>
          <w:color w:val="auto"/>
        </w:rPr>
      </w:pPr>
      <w:r>
        <w:rPr>
          <w:rFonts w:ascii="Arial" w:cs="Arial" w:eastAsia="Arial" w:hAnsi="Arial"/>
          <w:sz w:val="13"/>
          <w:szCs w:val="13"/>
          <w:color w:val="205BA8"/>
        </w:rPr>
        <w:t>•</w:t>
      </w:r>
      <w:r>
        <w:rPr>
          <w:rFonts w:ascii="Arial" w:cs="Arial" w:eastAsia="Arial" w:hAnsi="Arial"/>
          <w:sz w:val="13"/>
          <w:szCs w:val="13"/>
          <w:color w:val="auto"/>
        </w:rPr>
        <w:tab/>
        <w:t>Technical Board of Appeal of the European Patent</w:t>
      </w:r>
      <w:r>
        <w:rPr>
          <w:sz w:val="20"/>
          <w:szCs w:val="20"/>
          <w:color w:val="auto"/>
        </w:rPr>
        <w:tab/>
      </w:r>
      <w:r>
        <w:rPr>
          <w:rFonts w:ascii="Arial" w:cs="Arial" w:eastAsia="Arial" w:hAnsi="Arial"/>
          <w:sz w:val="13"/>
          <w:szCs w:val="13"/>
          <w:color w:val="auto"/>
        </w:rPr>
        <w:t>approximately six weeks.</w:t>
      </w:r>
      <w:r>
        <w:rPr>
          <w:sz w:val="20"/>
          <w:szCs w:val="20"/>
          <w:color w:val="auto"/>
        </w:rPr>
        <w:tab/>
      </w:r>
      <w:r>
        <w:rPr>
          <w:rFonts w:ascii="Arial" w:cs="Arial" w:eastAsia="Arial" w:hAnsi="Arial"/>
          <w:sz w:val="12"/>
          <w:szCs w:val="12"/>
          <w:color w:val="auto"/>
        </w:rPr>
        <w:t>fill/finish facility.</w:t>
      </w:r>
    </w:p>
    <w:p>
      <w:pPr>
        <w:ind w:left="780"/>
        <w:spacing w:after="0"/>
        <w:tabs>
          <w:tab w:leader="none" w:pos="4120" w:val="left"/>
          <w:tab w:leader="none" w:pos="4260" w:val="left"/>
        </w:tabs>
        <w:rPr>
          <w:sz w:val="20"/>
          <w:szCs w:val="20"/>
          <w:color w:val="auto"/>
        </w:rPr>
      </w:pPr>
      <w:r>
        <w:rPr>
          <w:rFonts w:ascii="Arial" w:cs="Arial" w:eastAsia="Arial" w:hAnsi="Arial"/>
          <w:sz w:val="13"/>
          <w:szCs w:val="13"/>
          <w:color w:val="auto"/>
        </w:rPr>
        <w:t>Office invalidated Amgen’s patent claims asserted</w:t>
      </w:r>
      <w:r>
        <w:rPr>
          <w:sz w:val="20"/>
          <w:szCs w:val="20"/>
          <w:color w:val="auto"/>
        </w:rPr>
        <w:tab/>
      </w:r>
      <w:r>
        <w:rPr>
          <w:rFonts w:ascii="Arial" w:cs="Arial" w:eastAsia="Arial" w:hAnsi="Arial"/>
          <w:sz w:val="13"/>
          <w:szCs w:val="13"/>
          <w:color w:val="205BA8"/>
        </w:rPr>
        <w:t>•</w:t>
      </w:r>
      <w:r>
        <w:rPr>
          <w:rFonts w:ascii="Arial" w:cs="Arial" w:eastAsia="Arial" w:hAnsi="Arial"/>
          <w:sz w:val="13"/>
          <w:szCs w:val="13"/>
          <w:color w:val="auto"/>
        </w:rPr>
        <w:tab/>
        <w:t>The EYLEA pre-filled syringe launched on time.</w:t>
      </w:r>
    </w:p>
    <w:p>
      <w:pPr>
        <w:ind w:left="780"/>
        <w:spacing w:after="0"/>
        <w:rPr>
          <w:sz w:val="20"/>
          <w:szCs w:val="20"/>
          <w:color w:val="auto"/>
        </w:rPr>
      </w:pPr>
      <w:r>
        <w:rPr>
          <w:rFonts w:ascii="Arial" w:cs="Arial" w:eastAsia="Arial" w:hAnsi="Arial"/>
          <w:sz w:val="13"/>
          <w:szCs w:val="13"/>
          <w:color w:val="auto"/>
        </w:rPr>
        <w:t>against Praluent in Europe.</w:t>
      </w:r>
    </w:p>
    <w:p>
      <w:pPr>
        <w:ind w:left="620"/>
        <w:spacing w:after="0"/>
        <w:tabs>
          <w:tab w:leader="none" w:pos="760" w:val="left"/>
        </w:tabs>
        <w:rPr>
          <w:sz w:val="20"/>
          <w:szCs w:val="20"/>
          <w:color w:val="auto"/>
        </w:rPr>
      </w:pPr>
      <w:r>
        <w:rPr>
          <w:rFonts w:ascii="Arial" w:cs="Arial" w:eastAsia="Arial" w:hAnsi="Arial"/>
          <w:sz w:val="13"/>
          <w:szCs w:val="13"/>
          <w:color w:val="205BA8"/>
        </w:rPr>
        <w:t>•</w:t>
      </w:r>
      <w:r>
        <w:rPr>
          <w:sz w:val="20"/>
          <w:szCs w:val="20"/>
          <w:color w:val="auto"/>
        </w:rPr>
        <w:tab/>
      </w:r>
      <w:r>
        <w:rPr>
          <w:rFonts w:ascii="Arial" w:cs="Arial" w:eastAsia="Arial" w:hAnsi="Arial"/>
          <w:sz w:val="12"/>
          <w:szCs w:val="12"/>
          <w:color w:val="auto"/>
        </w:rPr>
        <w:t>Filed 33 patent applications relating to REGEN-COV,</w:t>
      </w:r>
    </w:p>
    <w:p>
      <w:pPr>
        <w:ind w:left="780"/>
        <w:spacing w:after="0"/>
        <w:rPr>
          <w:sz w:val="20"/>
          <w:szCs w:val="20"/>
          <w:color w:val="auto"/>
        </w:rPr>
      </w:pPr>
      <w:r>
        <w:rPr>
          <w:rFonts w:ascii="Arial" w:cs="Arial" w:eastAsia="Arial" w:hAnsi="Arial"/>
          <w:sz w:val="13"/>
          <w:szCs w:val="13"/>
          <w:color w:val="auto"/>
        </w:rPr>
        <w:t>including obtaining the first-ever U.S. patent granted to</w:t>
      </w:r>
    </w:p>
    <w:p>
      <w:pPr>
        <w:ind w:left="780"/>
        <w:spacing w:after="0"/>
        <w:rPr>
          <w:sz w:val="20"/>
          <w:szCs w:val="20"/>
          <w:color w:val="auto"/>
        </w:rPr>
      </w:pPr>
      <w:r>
        <w:rPr>
          <w:rFonts w:ascii="Arial" w:cs="Arial" w:eastAsia="Arial" w:hAnsi="Arial"/>
          <w:sz w:val="13"/>
          <w:szCs w:val="13"/>
          <w:color w:val="auto"/>
        </w:rPr>
        <w:t>a biologic against COVID-19.</w:t>
      </w:r>
    </w:p>
    <w:p>
      <w:pPr>
        <w:spacing w:after="0" w:line="200" w:lineRule="exact"/>
        <w:rPr>
          <w:sz w:val="20"/>
          <w:szCs w:val="20"/>
          <w:color w:val="auto"/>
        </w:rPr>
      </w:pPr>
    </w:p>
    <w:p>
      <w:pPr>
        <w:spacing w:after="0" w:line="233"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66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77" w:name="page78"/>
    <w:bookmarkEnd w:id="77"/>
    <w:p>
      <w:pPr>
        <w:jc w:val="right"/>
        <w:ind w:righ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288925</wp:posOffset>
            </wp:positionV>
            <wp:extent cx="6446520"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446520" cy="1885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FFFFFF"/>
        </w:rPr>
        <w:t>(3) TALENT, CULTURE, AND CORPORATE RESPONSIBILITY (SECONDARY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46990</wp:posOffset>
            </wp:positionV>
            <wp:extent cx="6446520" cy="5314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446520" cy="531495"/>
                    </a:xfrm>
                    <a:prstGeom prst="rect">
                      <a:avLst/>
                    </a:prstGeom>
                    <a:noFill/>
                  </pic:spPr>
                </pic:pic>
              </a:graphicData>
            </a:graphic>
          </wp:anchor>
        </w:drawing>
      </w:r>
    </w:p>
    <w:p>
      <w:pPr>
        <w:spacing w:after="0" w:line="9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C44E5E"/>
        </w:rPr>
        <w:t>Talent Management &amp; Retention</w:t>
      </w:r>
    </w:p>
    <w:p>
      <w:pPr>
        <w:spacing w:after="0" w:line="76" w:lineRule="exact"/>
        <w:rPr>
          <w:sz w:val="20"/>
          <w:szCs w:val="20"/>
          <w:color w:val="auto"/>
        </w:rPr>
      </w:pPr>
    </w:p>
    <w:p>
      <w:pPr>
        <w:ind w:left="760" w:hanging="158"/>
        <w:spacing w:after="0"/>
        <w:tabs>
          <w:tab w:leader="none" w:pos="760" w:val="left"/>
        </w:tabs>
        <w:numPr>
          <w:ilvl w:val="0"/>
          <w:numId w:val="101"/>
        </w:numPr>
        <w:rPr>
          <w:rFonts w:ascii="Arial" w:cs="Arial" w:eastAsia="Arial" w:hAnsi="Arial"/>
          <w:sz w:val="13"/>
          <w:szCs w:val="13"/>
          <w:color w:val="205BA8"/>
        </w:rPr>
      </w:pPr>
      <w:r>
        <w:rPr>
          <w:rFonts w:ascii="Arial" w:cs="Arial" w:eastAsia="Arial" w:hAnsi="Arial"/>
          <w:sz w:val="13"/>
          <w:szCs w:val="13"/>
          <w:color w:val="auto"/>
        </w:rPr>
        <w:t>Growth of global workforce to support our long-term strategic objectives</w:t>
      </w:r>
    </w:p>
    <w:p>
      <w:pPr>
        <w:ind w:left="760" w:hanging="158"/>
        <w:spacing w:after="0"/>
        <w:tabs>
          <w:tab w:leader="none" w:pos="760" w:val="left"/>
        </w:tabs>
        <w:numPr>
          <w:ilvl w:val="0"/>
          <w:numId w:val="101"/>
        </w:numPr>
        <w:rPr>
          <w:rFonts w:ascii="Arial" w:cs="Arial" w:eastAsia="Arial" w:hAnsi="Arial"/>
          <w:sz w:val="13"/>
          <w:szCs w:val="13"/>
          <w:color w:val="205BA8"/>
        </w:rPr>
      </w:pPr>
      <w:r>
        <w:rPr>
          <w:rFonts w:ascii="Arial" w:cs="Arial" w:eastAsia="Arial" w:hAnsi="Arial"/>
          <w:sz w:val="13"/>
          <w:szCs w:val="13"/>
          <w:color w:val="auto"/>
        </w:rPr>
        <w:t>Employee retention and below-industry attrition rate</w:t>
      </w:r>
    </w:p>
    <w:p>
      <w:pPr>
        <w:ind w:left="760" w:hanging="158"/>
        <w:spacing w:after="0"/>
        <w:tabs>
          <w:tab w:leader="none" w:pos="760" w:val="left"/>
        </w:tabs>
        <w:numPr>
          <w:ilvl w:val="0"/>
          <w:numId w:val="101"/>
        </w:numPr>
        <w:rPr>
          <w:rFonts w:ascii="Arial" w:cs="Arial" w:eastAsia="Arial" w:hAnsi="Arial"/>
          <w:sz w:val="13"/>
          <w:szCs w:val="13"/>
          <w:color w:val="205BA8"/>
        </w:rPr>
      </w:pPr>
      <w:r>
        <w:rPr>
          <w:rFonts w:ascii="Arial" w:cs="Arial" w:eastAsia="Arial" w:hAnsi="Arial"/>
          <w:sz w:val="13"/>
          <w:szCs w:val="13"/>
          <w:color w:val="auto"/>
        </w:rPr>
        <w:t>Outside recognition and employee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48895</wp:posOffset>
            </wp:positionV>
            <wp:extent cx="6446520" cy="9772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446520" cy="977265"/>
                    </a:xfrm>
                    <a:prstGeom prst="rect">
                      <a:avLst/>
                    </a:prstGeom>
                    <a:noFill/>
                  </pic:spPr>
                </pic:pic>
              </a:graphicData>
            </a:graphic>
          </wp:anchor>
        </w:drawing>
      </w:r>
    </w:p>
    <w:p>
      <w:pPr>
        <w:spacing w:after="0" w:line="8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205BA8"/>
        </w:rPr>
        <w:t>Achievements/Relevant Developments in 2020:</w:t>
      </w:r>
    </w:p>
    <w:p>
      <w:pPr>
        <w:sectPr>
          <w:pgSz w:w="11900" w:h="16838" w:orient="portrait"/>
          <w:cols w:equalWidth="0" w:num="1">
            <w:col w:w="11240"/>
          </w:cols>
          <w:pgMar w:left="320" w:top="405" w:right="339" w:bottom="1440" w:gutter="0" w:footer="0" w:header="0"/>
        </w:sectPr>
      </w:pPr>
    </w:p>
    <w:p>
      <w:pPr>
        <w:spacing w:after="0" w:line="76" w:lineRule="exact"/>
        <w:rPr>
          <w:sz w:val="20"/>
          <w:szCs w:val="20"/>
          <w:color w:val="auto"/>
        </w:rPr>
      </w:pPr>
    </w:p>
    <w:p>
      <w:pPr>
        <w:ind w:left="620"/>
        <w:spacing w:after="0"/>
        <w:tabs>
          <w:tab w:leader="none" w:pos="760" w:val="left"/>
        </w:tabs>
        <w:rPr>
          <w:sz w:val="20"/>
          <w:szCs w:val="20"/>
          <w:color w:val="auto"/>
        </w:rPr>
      </w:pPr>
      <w:r>
        <w:rPr>
          <w:rFonts w:ascii="Arial" w:cs="Arial" w:eastAsia="Arial" w:hAnsi="Arial"/>
          <w:sz w:val="13"/>
          <w:szCs w:val="13"/>
          <w:color w:val="205BA8"/>
        </w:rPr>
        <w:t>•</w:t>
      </w:r>
      <w:r>
        <w:rPr>
          <w:rFonts w:ascii="Arial" w:cs="Arial" w:eastAsia="Arial" w:hAnsi="Arial"/>
          <w:sz w:val="13"/>
          <w:szCs w:val="13"/>
          <w:color w:val="auto"/>
        </w:rPr>
        <w:tab/>
        <w:t>Global company growth continued, with headcount</w:t>
      </w:r>
    </w:p>
    <w:p>
      <w:pPr>
        <w:ind w:left="780"/>
        <w:spacing w:after="0"/>
        <w:rPr>
          <w:sz w:val="20"/>
          <w:szCs w:val="20"/>
          <w:color w:val="auto"/>
        </w:rPr>
      </w:pPr>
      <w:r>
        <w:rPr>
          <w:rFonts w:ascii="Arial" w:cs="Arial" w:eastAsia="Arial" w:hAnsi="Arial"/>
          <w:sz w:val="13"/>
          <w:szCs w:val="13"/>
          <w:color w:val="auto"/>
        </w:rPr>
        <w:t>exceeding 9,000 employees, up 11% since</w:t>
      </w:r>
    </w:p>
    <w:p>
      <w:pPr>
        <w:ind w:left="780"/>
        <w:spacing w:after="0"/>
        <w:rPr>
          <w:sz w:val="20"/>
          <w:szCs w:val="20"/>
          <w:color w:val="auto"/>
        </w:rPr>
      </w:pPr>
      <w:r>
        <w:rPr>
          <w:rFonts w:ascii="Arial" w:cs="Arial" w:eastAsia="Arial" w:hAnsi="Arial"/>
          <w:sz w:val="13"/>
          <w:szCs w:val="13"/>
          <w:color w:val="auto"/>
        </w:rPr>
        <w:t>November 2019 while maintaining a turnover rate of</w:t>
      </w:r>
    </w:p>
    <w:p>
      <w:pPr>
        <w:ind w:left="780"/>
        <w:spacing w:after="0"/>
        <w:rPr>
          <w:sz w:val="20"/>
          <w:szCs w:val="20"/>
          <w:color w:val="auto"/>
        </w:rPr>
      </w:pPr>
      <w:r>
        <w:rPr>
          <w:rFonts w:ascii="Arial" w:cs="Arial" w:eastAsia="Arial" w:hAnsi="Arial"/>
          <w:sz w:val="13"/>
          <w:szCs w:val="13"/>
          <w:color w:val="auto"/>
        </w:rPr>
        <w:t>less than half the industry average</w:t>
      </w:r>
    </w:p>
    <w:p>
      <w:pPr>
        <w:ind w:left="620"/>
        <w:spacing w:after="0"/>
        <w:tabs>
          <w:tab w:leader="none" w:pos="760" w:val="left"/>
        </w:tabs>
        <w:rPr>
          <w:sz w:val="20"/>
          <w:szCs w:val="20"/>
          <w:color w:val="auto"/>
        </w:rPr>
      </w:pPr>
      <w:r>
        <w:rPr>
          <w:rFonts w:ascii="Arial" w:cs="Arial" w:eastAsia="Arial" w:hAnsi="Arial"/>
          <w:sz w:val="13"/>
          <w:szCs w:val="13"/>
          <w:color w:val="205BA8"/>
        </w:rPr>
        <w:t>•</w:t>
      </w:r>
      <w:r>
        <w:rPr>
          <w:sz w:val="20"/>
          <w:szCs w:val="20"/>
          <w:color w:val="auto"/>
        </w:rPr>
        <w:tab/>
      </w:r>
      <w:r>
        <w:rPr>
          <w:rFonts w:ascii="Arial" w:cs="Arial" w:eastAsia="Arial" w:hAnsi="Arial"/>
          <w:sz w:val="12"/>
          <w:szCs w:val="12"/>
          <w:color w:val="auto"/>
        </w:rPr>
        <w:t>Increased level of MD talent hiring</w:t>
      </w:r>
    </w:p>
    <w:p>
      <w:pPr>
        <w:ind w:left="620"/>
        <w:spacing w:after="0"/>
        <w:tabs>
          <w:tab w:leader="none" w:pos="760" w:val="left"/>
        </w:tabs>
        <w:rPr>
          <w:sz w:val="20"/>
          <w:szCs w:val="20"/>
          <w:color w:val="auto"/>
        </w:rPr>
      </w:pPr>
      <w:r>
        <w:rPr>
          <w:rFonts w:ascii="Arial" w:cs="Arial" w:eastAsia="Arial" w:hAnsi="Arial"/>
          <w:sz w:val="13"/>
          <w:szCs w:val="13"/>
          <w:color w:val="205BA8"/>
        </w:rPr>
        <w:t>•</w:t>
      </w:r>
      <w:r>
        <w:rPr>
          <w:sz w:val="20"/>
          <w:szCs w:val="20"/>
          <w:color w:val="auto"/>
        </w:rPr>
        <w:tab/>
      </w:r>
      <w:r>
        <w:rPr>
          <w:rFonts w:ascii="Arial" w:cs="Arial" w:eastAsia="Arial" w:hAnsi="Arial"/>
          <w:sz w:val="12"/>
          <w:szCs w:val="12"/>
          <w:color w:val="auto"/>
        </w:rPr>
        <w:t>Appointed Chief Diversity, Equity &amp; Inclusion Officer</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tabs>
          <w:tab w:leader="none" w:pos="120" w:val="left"/>
        </w:tabs>
        <w:rPr>
          <w:sz w:val="20"/>
          <w:szCs w:val="20"/>
          <w:color w:val="auto"/>
        </w:rPr>
      </w:pPr>
      <w:r>
        <w:rPr>
          <w:rFonts w:ascii="Arial" w:cs="Arial" w:eastAsia="Arial" w:hAnsi="Arial"/>
          <w:sz w:val="13"/>
          <w:szCs w:val="13"/>
          <w:color w:val="205BA8"/>
        </w:rPr>
        <w:t>•</w:t>
      </w:r>
      <w:r>
        <w:rPr>
          <w:rFonts w:ascii="Arial" w:cs="Arial" w:eastAsia="Arial" w:hAnsi="Arial"/>
          <w:sz w:val="13"/>
          <w:szCs w:val="13"/>
          <w:color w:val="auto"/>
        </w:rPr>
        <w:tab/>
        <w:t xml:space="preserve">Earned #1 ranking in </w:t>
      </w:r>
      <w:r>
        <w:rPr>
          <w:rFonts w:ascii="Arial" w:cs="Arial" w:eastAsia="Arial" w:hAnsi="Arial"/>
          <w:sz w:val="13"/>
          <w:szCs w:val="13"/>
          <w:i w:val="1"/>
          <w:iCs w:val="1"/>
          <w:color w:val="auto"/>
        </w:rPr>
        <w:t>Science Magazine</w:t>
      </w:r>
      <w:r>
        <w:rPr>
          <w:rFonts w:ascii="Arial" w:cs="Arial" w:eastAsia="Arial" w:hAnsi="Arial"/>
          <w:sz w:val="13"/>
          <w:szCs w:val="13"/>
          <w:color w:val="auto"/>
        </w:rPr>
        <w:t>’s Top</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Biopharma Companies to Work For; Regeneron</w:t>
      </w:r>
    </w:p>
    <w:p>
      <w:pPr>
        <w:ind w:left="160"/>
        <w:spacing w:after="0"/>
        <w:rPr>
          <w:sz w:val="20"/>
          <w:szCs w:val="20"/>
          <w:color w:val="auto"/>
        </w:rPr>
      </w:pPr>
      <w:r>
        <w:rPr>
          <w:rFonts w:ascii="Arial" w:cs="Arial" w:eastAsia="Arial" w:hAnsi="Arial"/>
          <w:sz w:val="13"/>
          <w:szCs w:val="13"/>
          <w:color w:val="auto"/>
        </w:rPr>
        <w:t>placed either first or second for the past ten years,</w:t>
      </w:r>
    </w:p>
    <w:p>
      <w:pPr>
        <w:ind w:left="160"/>
        <w:spacing w:after="0"/>
        <w:rPr>
          <w:sz w:val="20"/>
          <w:szCs w:val="20"/>
          <w:color w:val="auto"/>
        </w:rPr>
      </w:pPr>
      <w:r>
        <w:rPr>
          <w:rFonts w:ascii="Arial" w:cs="Arial" w:eastAsia="Arial" w:hAnsi="Arial"/>
          <w:sz w:val="13"/>
          <w:szCs w:val="13"/>
          <w:color w:val="auto"/>
        </w:rPr>
        <w:t>making it the most highly ranked company of the</w:t>
      </w:r>
    </w:p>
    <w:p>
      <w:pPr>
        <w:ind w:left="160"/>
        <w:spacing w:after="0"/>
        <w:rPr>
          <w:sz w:val="20"/>
          <w:szCs w:val="20"/>
          <w:color w:val="auto"/>
        </w:rPr>
      </w:pPr>
      <w:r>
        <w:rPr>
          <w:rFonts w:ascii="Arial" w:cs="Arial" w:eastAsia="Arial" w:hAnsi="Arial"/>
          <w:sz w:val="13"/>
          <w:szCs w:val="13"/>
          <w:color w:val="auto"/>
        </w:rPr>
        <w:t>decade.</w:t>
      </w:r>
    </w:p>
    <w:p>
      <w:pPr>
        <w:spacing w:after="0"/>
        <w:tabs>
          <w:tab w:leader="none" w:pos="120" w:val="left"/>
        </w:tabs>
        <w:rPr>
          <w:sz w:val="20"/>
          <w:szCs w:val="20"/>
          <w:color w:val="auto"/>
        </w:rPr>
      </w:pPr>
      <w:r>
        <w:rPr>
          <w:rFonts w:ascii="Arial" w:cs="Arial" w:eastAsia="Arial" w:hAnsi="Arial"/>
          <w:sz w:val="13"/>
          <w:szCs w:val="13"/>
          <w:color w:val="205BA8"/>
        </w:rPr>
        <w:t>•</w:t>
      </w:r>
      <w:r>
        <w:rPr>
          <w:sz w:val="20"/>
          <w:szCs w:val="20"/>
          <w:color w:val="auto"/>
        </w:rPr>
        <w:tab/>
      </w:r>
      <w:r>
        <w:rPr>
          <w:rFonts w:ascii="Arial" w:cs="Arial" w:eastAsia="Arial" w:hAnsi="Arial"/>
          <w:sz w:val="13"/>
          <w:szCs w:val="13"/>
          <w:i w:val="1"/>
          <w:iCs w:val="1"/>
          <w:color w:val="auto"/>
        </w:rPr>
        <w:t>Fortune magazine</w:t>
      </w:r>
      <w:r>
        <w:rPr>
          <w:rFonts w:ascii="Arial" w:cs="Arial" w:eastAsia="Arial" w:hAnsi="Arial"/>
          <w:sz w:val="13"/>
          <w:szCs w:val="13"/>
          <w:color w:val="auto"/>
        </w:rPr>
        <w:t>’s list of ‘Best Companies to Work</w:t>
      </w:r>
    </w:p>
    <w:p>
      <w:pPr>
        <w:ind w:left="160"/>
        <w:spacing w:after="0"/>
        <w:rPr>
          <w:sz w:val="20"/>
          <w:szCs w:val="20"/>
          <w:color w:val="auto"/>
        </w:rPr>
      </w:pPr>
      <w:r>
        <w:rPr>
          <w:rFonts w:ascii="Arial" w:cs="Arial" w:eastAsia="Arial" w:hAnsi="Arial"/>
          <w:sz w:val="13"/>
          <w:szCs w:val="13"/>
          <w:color w:val="auto"/>
        </w:rPr>
        <w:t>For.’</w:t>
      </w:r>
    </w:p>
    <w:p>
      <w:pPr>
        <w:spacing w:after="0"/>
        <w:tabs>
          <w:tab w:leader="none" w:pos="120" w:val="left"/>
        </w:tabs>
        <w:rPr>
          <w:sz w:val="20"/>
          <w:szCs w:val="20"/>
          <w:color w:val="auto"/>
        </w:rPr>
      </w:pPr>
      <w:r>
        <w:rPr>
          <w:rFonts w:ascii="Arial" w:cs="Arial" w:eastAsia="Arial" w:hAnsi="Arial"/>
          <w:sz w:val="13"/>
          <w:szCs w:val="13"/>
          <w:color w:val="205BA8"/>
        </w:rPr>
        <w:t>•</w:t>
      </w:r>
      <w:r>
        <w:rPr>
          <w:sz w:val="20"/>
          <w:szCs w:val="20"/>
          <w:color w:val="auto"/>
        </w:rPr>
        <w:tab/>
      </w:r>
      <w:r>
        <w:rPr>
          <w:rFonts w:ascii="Arial" w:cs="Arial" w:eastAsia="Arial" w:hAnsi="Arial"/>
          <w:sz w:val="13"/>
          <w:szCs w:val="13"/>
          <w:i w:val="1"/>
          <w:iCs w:val="1"/>
          <w:color w:val="auto"/>
        </w:rPr>
        <w:t>Great Places to Work</w:t>
      </w:r>
      <w:r>
        <w:rPr>
          <w:rFonts w:ascii="Arial" w:cs="Arial" w:eastAsia="Arial" w:hAnsi="Arial"/>
          <w:sz w:val="13"/>
          <w:szCs w:val="13"/>
          <w:color w:val="auto"/>
        </w:rPr>
        <w:t>: ‘Best Workplace in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31750</wp:posOffset>
            </wp:positionV>
            <wp:extent cx="6446520" cy="514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44652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840" w:hanging="161"/>
        <w:spacing w:after="0" w:line="289" w:lineRule="auto"/>
        <w:rPr>
          <w:sz w:val="20"/>
          <w:szCs w:val="20"/>
          <w:color w:val="auto"/>
        </w:rPr>
      </w:pPr>
      <w:r>
        <w:rPr>
          <w:rFonts w:ascii="Arial" w:cs="Arial" w:eastAsia="Arial" w:hAnsi="Arial"/>
          <w:sz w:val="13"/>
          <w:szCs w:val="13"/>
          <w:color w:val="205BA8"/>
        </w:rPr>
        <w:t>•</w:t>
      </w:r>
      <w:r>
        <w:rPr>
          <w:sz w:val="20"/>
          <w:szCs w:val="20"/>
          <w:color w:val="auto"/>
        </w:rPr>
        <w:t xml:space="preserve"> </w:t>
      </w:r>
      <w:r>
        <w:rPr>
          <w:rFonts w:ascii="Arial" w:cs="Arial" w:eastAsia="Arial" w:hAnsi="Arial"/>
          <w:sz w:val="12"/>
          <w:szCs w:val="12"/>
          <w:color w:val="auto"/>
        </w:rPr>
        <w:t>Developed, launched, and continued to manage company-run employee COVID-19 testing.</w:t>
      </w:r>
    </w:p>
    <w:p>
      <w:pPr>
        <w:spacing w:after="0" w:line="947" w:lineRule="exact"/>
        <w:rPr>
          <w:sz w:val="20"/>
          <w:szCs w:val="20"/>
          <w:color w:val="auto"/>
        </w:rPr>
      </w:pPr>
    </w:p>
    <w:p>
      <w:pPr>
        <w:sectPr>
          <w:pgSz w:w="11900" w:h="16838" w:orient="portrait"/>
          <w:cols w:equalWidth="0" w:num="3">
            <w:col w:w="3780" w:space="260"/>
            <w:col w:w="3140" w:space="460"/>
            <w:col w:w="3600"/>
          </w:cols>
          <w:pgMar w:left="320" w:top="405" w:right="339" w:bottom="1440" w:gutter="0" w:footer="0" w:header="0"/>
          <w:type w:val="continuous"/>
        </w:sectPr>
      </w:pPr>
    </w:p>
    <w:p>
      <w:pPr>
        <w:ind w:left="600"/>
        <w:spacing w:after="0"/>
        <w:rPr>
          <w:sz w:val="20"/>
          <w:szCs w:val="20"/>
          <w:color w:val="auto"/>
        </w:rPr>
      </w:pPr>
      <w:r>
        <w:rPr>
          <w:rFonts w:ascii="Arial" w:cs="Arial" w:eastAsia="Arial" w:hAnsi="Arial"/>
          <w:sz w:val="17"/>
          <w:szCs w:val="17"/>
          <w:b w:val="1"/>
          <w:bCs w:val="1"/>
          <w:color w:val="C32167"/>
        </w:rPr>
        <w:t>Corporate Responsibility</w:t>
      </w:r>
    </w:p>
    <w:p>
      <w:pPr>
        <w:spacing w:after="0" w:line="76" w:lineRule="exact"/>
        <w:rPr>
          <w:sz w:val="20"/>
          <w:szCs w:val="20"/>
          <w:color w:val="auto"/>
        </w:rPr>
      </w:pPr>
    </w:p>
    <w:p>
      <w:pPr>
        <w:ind w:left="760" w:hanging="158"/>
        <w:spacing w:after="0"/>
        <w:tabs>
          <w:tab w:leader="none" w:pos="760" w:val="left"/>
        </w:tabs>
        <w:numPr>
          <w:ilvl w:val="0"/>
          <w:numId w:val="102"/>
        </w:numPr>
        <w:rPr>
          <w:rFonts w:ascii="Arial" w:cs="Arial" w:eastAsia="Arial" w:hAnsi="Arial"/>
          <w:sz w:val="13"/>
          <w:szCs w:val="13"/>
          <w:color w:val="205BA8"/>
        </w:rPr>
      </w:pPr>
      <w:r>
        <w:rPr>
          <w:rFonts w:ascii="Arial" w:cs="Arial" w:eastAsia="Arial" w:hAnsi="Arial"/>
          <w:sz w:val="13"/>
          <w:szCs w:val="13"/>
          <w:color w:val="auto"/>
        </w:rPr>
        <w:t>ESG activities, reporting, ratings, and rankings</w:t>
      </w:r>
    </w:p>
    <w:p>
      <w:pPr>
        <w:ind w:left="760" w:hanging="158"/>
        <w:spacing w:after="0"/>
        <w:tabs>
          <w:tab w:leader="none" w:pos="760" w:val="left"/>
        </w:tabs>
        <w:numPr>
          <w:ilvl w:val="0"/>
          <w:numId w:val="102"/>
        </w:numPr>
        <w:rPr>
          <w:rFonts w:ascii="Arial" w:cs="Arial" w:eastAsia="Arial" w:hAnsi="Arial"/>
          <w:sz w:val="13"/>
          <w:szCs w:val="13"/>
          <w:color w:val="205BA8"/>
        </w:rPr>
      </w:pPr>
      <w:r>
        <w:rPr>
          <w:rFonts w:ascii="Arial" w:cs="Arial" w:eastAsia="Arial" w:hAnsi="Arial"/>
          <w:sz w:val="13"/>
          <w:szCs w:val="13"/>
          <w:color w:val="auto"/>
        </w:rPr>
        <w:t>Corporate giving</w:t>
      </w:r>
    </w:p>
    <w:p>
      <w:pPr>
        <w:ind w:left="760" w:hanging="158"/>
        <w:spacing w:after="0"/>
        <w:tabs>
          <w:tab w:leader="none" w:pos="760" w:val="left"/>
        </w:tabs>
        <w:numPr>
          <w:ilvl w:val="0"/>
          <w:numId w:val="102"/>
        </w:numPr>
        <w:rPr>
          <w:rFonts w:ascii="Arial" w:cs="Arial" w:eastAsia="Arial" w:hAnsi="Arial"/>
          <w:sz w:val="13"/>
          <w:szCs w:val="13"/>
          <w:color w:val="205BA8"/>
        </w:rPr>
      </w:pPr>
      <w:r>
        <w:rPr>
          <w:rFonts w:ascii="Arial" w:cs="Arial" w:eastAsia="Arial" w:hAnsi="Arial"/>
          <w:sz w:val="13"/>
          <w:szCs w:val="13"/>
          <w:color w:val="auto"/>
        </w:rPr>
        <w:t>Philanthropic and citizenship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31750</wp:posOffset>
            </wp:positionV>
            <wp:extent cx="6446520" cy="8058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446520" cy="805815"/>
                    </a:xfrm>
                    <a:prstGeom prst="rect">
                      <a:avLst/>
                    </a:prstGeom>
                    <a:noFill/>
                  </pic:spPr>
                </pic:pic>
              </a:graphicData>
            </a:graphic>
          </wp:anchor>
        </w:drawing>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205BA8"/>
        </w:rPr>
        <w:t>Achievements/Relevant Developments in 2020:</w:t>
      </w:r>
    </w:p>
    <w:p>
      <w:pPr>
        <w:sectPr>
          <w:pgSz w:w="11900" w:h="16838" w:orient="portrait"/>
          <w:cols w:equalWidth="0" w:num="1">
            <w:col w:w="11240"/>
          </w:cols>
          <w:pgMar w:left="320" w:top="405" w:right="339" w:bottom="1440" w:gutter="0" w:footer="0" w:header="0"/>
          <w:type w:val="continuous"/>
        </w:sectPr>
      </w:pPr>
    </w:p>
    <w:p>
      <w:pPr>
        <w:spacing w:after="0" w:line="63" w:lineRule="exact"/>
        <w:rPr>
          <w:sz w:val="20"/>
          <w:szCs w:val="20"/>
          <w:color w:val="auto"/>
        </w:rPr>
      </w:pPr>
    </w:p>
    <w:p>
      <w:pPr>
        <w:ind w:left="760" w:hanging="159"/>
        <w:spacing w:after="0" w:line="254" w:lineRule="auto"/>
        <w:tabs>
          <w:tab w:leader="none" w:pos="740" w:val="left"/>
        </w:tabs>
        <w:rPr>
          <w:sz w:val="20"/>
          <w:szCs w:val="20"/>
          <w:color w:val="auto"/>
        </w:rPr>
      </w:pPr>
      <w:r>
        <w:rPr>
          <w:rFonts w:ascii="Arial" w:cs="Arial" w:eastAsia="Arial" w:hAnsi="Arial"/>
          <w:sz w:val="13"/>
          <w:szCs w:val="13"/>
          <w:color w:val="205BA8"/>
        </w:rPr>
        <w:t>•</w:t>
      </w:r>
      <w:r>
        <w:rPr>
          <w:rFonts w:ascii="Arial" w:cs="Arial" w:eastAsia="Arial" w:hAnsi="Arial"/>
          <w:sz w:val="13"/>
          <w:szCs w:val="13"/>
          <w:color w:val="auto"/>
        </w:rPr>
        <w:tab/>
        <w:t xml:space="preserve">Regeneron recognized on </w:t>
      </w:r>
      <w:r>
        <w:rPr>
          <w:rFonts w:ascii="Arial" w:cs="Arial" w:eastAsia="Arial" w:hAnsi="Arial"/>
          <w:sz w:val="13"/>
          <w:szCs w:val="13"/>
          <w:i w:val="1"/>
          <w:iCs w:val="1"/>
          <w:color w:val="auto"/>
        </w:rPr>
        <w:t>Fortune magazine</w:t>
      </w:r>
      <w:r>
        <w:rPr>
          <w:rFonts w:ascii="Arial" w:cs="Arial" w:eastAsia="Arial" w:hAnsi="Arial"/>
          <w:sz w:val="13"/>
          <w:szCs w:val="13"/>
          <w:color w:val="auto"/>
        </w:rPr>
        <w:t>’s “Change the World” list of companies doing well by doing good.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180" w:hanging="199"/>
        <w:spacing w:after="0" w:line="271" w:lineRule="auto"/>
        <w:rPr>
          <w:sz w:val="20"/>
          <w:szCs w:val="20"/>
          <w:color w:val="auto"/>
        </w:rPr>
      </w:pPr>
      <w:r>
        <w:rPr>
          <w:rFonts w:ascii="Arial" w:cs="Arial" w:eastAsia="Arial" w:hAnsi="Arial"/>
          <w:sz w:val="13"/>
          <w:szCs w:val="13"/>
          <w:color w:val="205BA8"/>
        </w:rPr>
        <w:t>•</w:t>
      </w:r>
      <w:r>
        <w:rPr>
          <w:sz w:val="20"/>
          <w:szCs w:val="20"/>
          <w:color w:val="auto"/>
        </w:rPr>
        <w:t xml:space="preserve"> </w:t>
      </w:r>
      <w:r>
        <w:rPr>
          <w:rFonts w:ascii="Arial" w:cs="Arial" w:eastAsia="Arial" w:hAnsi="Arial"/>
          <w:sz w:val="13"/>
          <w:szCs w:val="13"/>
          <w:i w:val="1"/>
          <w:iCs w:val="1"/>
          <w:color w:val="auto"/>
        </w:rPr>
        <w:t>Newsweek</w:t>
      </w:r>
      <w:r>
        <w:rPr>
          <w:rFonts w:ascii="Arial" w:cs="Arial" w:eastAsia="Arial" w:hAnsi="Arial"/>
          <w:sz w:val="13"/>
          <w:szCs w:val="13"/>
          <w:color w:val="auto"/>
        </w:rPr>
        <w:t>: America’s Most Responsible</w:t>
      </w:r>
      <w:r>
        <w:rPr>
          <w:rFonts w:ascii="Arial" w:cs="Arial" w:eastAsia="Arial" w:hAnsi="Arial"/>
          <w:sz w:val="13"/>
          <w:szCs w:val="13"/>
          <w:i w:val="1"/>
          <w:iCs w:val="1"/>
          <w:color w:val="auto"/>
        </w:rPr>
        <w:t xml:space="preserve"> </w:t>
      </w:r>
      <w:r>
        <w:rPr>
          <w:rFonts w:ascii="Arial" w:cs="Arial" w:eastAsia="Arial" w:hAnsi="Arial"/>
          <w:sz w:val="13"/>
          <w:szCs w:val="13"/>
          <w:color w:val="auto"/>
        </w:rPr>
        <w:t>Companies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205BA8"/>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600"/>
        <w:spacing w:after="0"/>
        <w:rPr>
          <w:sz w:val="20"/>
          <w:szCs w:val="20"/>
          <w:color w:val="auto"/>
        </w:rPr>
      </w:pPr>
      <w:r>
        <w:rPr>
          <w:rFonts w:ascii="Arial" w:cs="Arial" w:eastAsia="Arial" w:hAnsi="Arial"/>
          <w:sz w:val="13"/>
          <w:szCs w:val="13"/>
          <w:color w:val="auto"/>
        </w:rPr>
        <w:t xml:space="preserve">Regeneron named for the fourth consecutive year to </w:t>
      </w:r>
      <w:r>
        <w:rPr>
          <w:rFonts w:ascii="Arial" w:cs="Arial" w:eastAsia="Arial" w:hAnsi="Arial"/>
          <w:sz w:val="13"/>
          <w:szCs w:val="13"/>
          <w:i w:val="1"/>
          <w:iCs w:val="1"/>
          <w:color w:val="auto"/>
        </w:rPr>
        <w:t>The Civic 50</w:t>
      </w:r>
      <w:r>
        <w:rPr>
          <w:rFonts w:ascii="Arial" w:cs="Arial" w:eastAsia="Arial" w:hAnsi="Arial"/>
          <w:sz w:val="13"/>
          <w:szCs w:val="13"/>
          <w:color w:val="auto"/>
        </w:rPr>
        <w:t>, an initiative of Points of Light (the world’s largest organization dedicated to volunteer service), and honored for the first time as the sector leader for healthcare; this initiative recognizes the most community-minded companies in the U.S.</w:t>
      </w:r>
    </w:p>
    <w:p>
      <w:pPr>
        <w:spacing w:after="0" w:line="200" w:lineRule="exact"/>
        <w:rPr>
          <w:sz w:val="20"/>
          <w:szCs w:val="20"/>
          <w:color w:val="auto"/>
        </w:rPr>
      </w:pPr>
    </w:p>
    <w:p>
      <w:pPr>
        <w:sectPr>
          <w:pgSz w:w="11900" w:h="16838" w:orient="portrait"/>
          <w:cols w:equalWidth="0" w:num="4">
            <w:col w:w="3700" w:space="520"/>
            <w:col w:w="2520" w:space="720"/>
            <w:col w:w="40" w:space="160"/>
            <w:col w:w="3580"/>
          </w:cols>
          <w:pgMar w:left="320" w:top="405" w:right="339" w:bottom="1440" w:gutter="0" w:footer="0" w:header="0"/>
          <w:type w:val="continuous"/>
        </w:sectPr>
      </w:pPr>
    </w:p>
    <w:p>
      <w:pPr>
        <w:spacing w:after="0" w:line="30" w:lineRule="exact"/>
        <w:rPr>
          <w:sz w:val="20"/>
          <w:szCs w:val="20"/>
          <w:color w:val="auto"/>
        </w:rPr>
      </w:pPr>
    </w:p>
    <w:p>
      <w:pPr>
        <w:ind w:left="540" w:right="580"/>
        <w:spacing w:after="0" w:line="230" w:lineRule="auto"/>
        <w:rPr>
          <w:sz w:val="20"/>
          <w:szCs w:val="20"/>
          <w:color w:val="auto"/>
        </w:rPr>
      </w:pPr>
      <w:r>
        <w:rPr>
          <w:rFonts w:ascii="Arial" w:cs="Arial" w:eastAsia="Arial" w:hAnsi="Arial"/>
          <w:sz w:val="15"/>
          <w:szCs w:val="15"/>
          <w:color w:val="auto"/>
        </w:rPr>
        <w:t>For each of the factors listed in the table above, the Compensation Committee assessed actual performance for the year. Based on a holistic assessment of these factors within the framework and the relevant categories outlined above, the Compensation Committee set the Company performance multiplier at 2.25 for 2020. In exceeding the range historically used for annual cash incentive awards (0 to 2.0), the Compensation Committee recognized the significant accomplishments in all key areas of Regeneron’s business despite the impact of the COVID-19 pandemic; the Company’s progress with its novel investigational cocktail REGEN-COV achieved in 2020; and the extraordinary efforts and performance of Company employees in 2020.</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05BA8"/>
        </w:rPr>
        <w:t>Individual Performance</w:t>
      </w:r>
    </w:p>
    <w:p>
      <w:pPr>
        <w:spacing w:after="0" w:line="177" w:lineRule="exact"/>
        <w:rPr>
          <w:sz w:val="20"/>
          <w:szCs w:val="20"/>
          <w:color w:val="auto"/>
        </w:rPr>
      </w:pPr>
    </w:p>
    <w:p>
      <w:pPr>
        <w:ind w:left="540" w:right="600"/>
        <w:spacing w:after="0" w:line="242" w:lineRule="auto"/>
        <w:rPr>
          <w:sz w:val="20"/>
          <w:szCs w:val="20"/>
          <w:color w:val="auto"/>
        </w:rPr>
      </w:pPr>
      <w:r>
        <w:rPr>
          <w:rFonts w:ascii="Arial" w:cs="Arial" w:eastAsia="Arial" w:hAnsi="Arial"/>
          <w:sz w:val="15"/>
          <w:szCs w:val="15"/>
          <w:color w:val="auto"/>
        </w:rPr>
        <w:t>The personal performance multiplier may range from 0 to 1.5. For the explanation of individual factors considered in the cash incentive decisions, see the subsection “Compensation Dashboard—Additional Compensation Information—Annual Cash Incentives.”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67</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78" w:name="page79"/>
    <w:bookmarkEnd w:id="78"/>
    <w:p>
      <w:pPr>
        <w:ind w:lef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05BA8"/>
        </w:rPr>
        <w:t>2020 Earned Cash Incentives</w:t>
      </w:r>
    </w:p>
    <w:p>
      <w:pPr>
        <w:spacing w:after="0" w:line="177" w:lineRule="exact"/>
        <w:rPr>
          <w:sz w:val="20"/>
          <w:szCs w:val="20"/>
          <w:color w:val="auto"/>
        </w:rPr>
      </w:pPr>
    </w:p>
    <w:p>
      <w:pPr>
        <w:ind w:left="540" w:right="540"/>
        <w:spacing w:after="0"/>
        <w:rPr>
          <w:sz w:val="20"/>
          <w:szCs w:val="20"/>
          <w:color w:val="auto"/>
        </w:rPr>
      </w:pPr>
      <w:r>
        <w:rPr>
          <w:rFonts w:ascii="Arial" w:cs="Arial" w:eastAsia="Arial" w:hAnsi="Arial"/>
          <w:sz w:val="15"/>
          <w:szCs w:val="15"/>
          <w:color w:val="auto"/>
        </w:rPr>
        <w:t>In determining the level of 2020 cash incentives earned, we calculated the NEOs’ respective target cash incentive amounts (which, for our CEO, was set approximately at the median of the Peer Group) and applied the Company performance multiplier based on the Company’s achievement of 2020 objectives; and, for the three NEOs who also have a personal performance component, we applied a personal performance multiplier. For the three NEOs with a personal performance component, the personal performance component had a 40% weighting and the Company performance component had a 60% weighting. In addition, in each case where this calculation would have resulted in an NEO earning a cash incentive in excess of the maximum amount previously allocated to such executive by the Compensation Committee in March 2020 under our Cash Incentive Bonus Plan, the 2020 cash incentive was capped at such maximum amount. See “Compensation Dashboard—Additional Compensation Information—Annual Cash Incentives.”</w:t>
      </w:r>
    </w:p>
    <w:p>
      <w:pPr>
        <w:spacing w:after="0" w:line="237" w:lineRule="exact"/>
        <w:rPr>
          <w:sz w:val="20"/>
          <w:szCs w:val="20"/>
          <w:color w:val="auto"/>
        </w:rPr>
      </w:pPr>
    </w:p>
    <w:p>
      <w:pPr>
        <w:ind w:left="540" w:right="960"/>
        <w:spacing w:after="0" w:line="242" w:lineRule="auto"/>
        <w:rPr>
          <w:sz w:val="20"/>
          <w:szCs w:val="20"/>
          <w:color w:val="auto"/>
        </w:rPr>
      </w:pPr>
      <w:r>
        <w:rPr>
          <w:rFonts w:ascii="Arial" w:cs="Arial" w:eastAsia="Arial" w:hAnsi="Arial"/>
          <w:sz w:val="15"/>
          <w:szCs w:val="15"/>
          <w:color w:val="auto"/>
        </w:rPr>
        <w:t>Based on the achievement of corporate goals (discussed above) and individual goals (discussed in the subsection “Compensation Dashboard— Additional Compensation Information—Annual Cash Incentives”) in the past year, our NEOs earned the followed cash incentives in 2020:</w:t>
      </w:r>
    </w:p>
    <w:p>
      <w:pPr>
        <w:spacing w:after="0" w:line="113"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80" w:type="dxa"/>
            <w:vAlign w:val="bottom"/>
          </w:tcPr>
          <w:p>
            <w:pPr>
              <w:jc w:val="right"/>
              <w:ind w:right="97"/>
              <w:spacing w:after="0"/>
              <w:rPr>
                <w:sz w:val="20"/>
                <w:szCs w:val="20"/>
                <w:color w:val="auto"/>
              </w:rPr>
            </w:pPr>
            <w:r>
              <w:rPr>
                <w:rFonts w:ascii="Arial" w:cs="Arial" w:eastAsia="Arial" w:hAnsi="Arial"/>
                <w:sz w:val="12"/>
                <w:szCs w:val="12"/>
                <w:b w:val="1"/>
                <w:bCs w:val="1"/>
                <w:color w:val="205BA8"/>
              </w:rPr>
              <w:t>Cash Incentive Target</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205BA8"/>
                <w:w w:val="98"/>
              </w:rPr>
              <w:t>Personal</w:t>
            </w:r>
          </w:p>
        </w:tc>
        <w:tc>
          <w:tcPr>
            <w:tcW w:w="1300" w:type="dxa"/>
            <w:vAlign w:val="bottom"/>
          </w:tcPr>
          <w:p>
            <w:pPr>
              <w:jc w:val="center"/>
              <w:ind w:right="137"/>
              <w:spacing w:after="0"/>
              <w:rPr>
                <w:sz w:val="20"/>
                <w:szCs w:val="20"/>
                <w:color w:val="auto"/>
              </w:rPr>
            </w:pPr>
            <w:r>
              <w:rPr>
                <w:rFonts w:ascii="Arial" w:cs="Arial" w:eastAsia="Arial" w:hAnsi="Arial"/>
                <w:sz w:val="12"/>
                <w:szCs w:val="12"/>
                <w:b w:val="1"/>
                <w:bCs w:val="1"/>
                <w:color w:val="205BA8"/>
                <w:w w:val="98"/>
              </w:rPr>
              <w:t>Company</w:t>
            </w:r>
          </w:p>
        </w:tc>
        <w:tc>
          <w:tcPr>
            <w:tcW w:w="900" w:type="dxa"/>
            <w:vAlign w:val="bottom"/>
            <w:shd w:val="clear" w:color="auto" w:fill="205BA8"/>
          </w:tcPr>
          <w:p>
            <w:pPr>
              <w:spacing w:after="0"/>
              <w:rPr>
                <w:sz w:val="12"/>
                <w:szCs w:val="12"/>
                <w:color w:val="auto"/>
              </w:rPr>
            </w:pPr>
          </w:p>
        </w:tc>
        <w:tc>
          <w:tcPr>
            <w:tcW w:w="100" w:type="dxa"/>
            <w:vAlign w:val="bottom"/>
            <w:shd w:val="clear" w:color="auto" w:fill="205BA8"/>
          </w:tcPr>
          <w:p>
            <w:pPr>
              <w:spacing w:after="0"/>
              <w:rPr>
                <w:sz w:val="12"/>
                <w:szCs w:val="12"/>
                <w:color w:val="auto"/>
              </w:rPr>
            </w:pPr>
          </w:p>
        </w:tc>
      </w:tr>
      <w:tr>
        <w:trPr>
          <w:trHeight w:val="135"/>
        </w:trPr>
        <w:tc>
          <w:tcPr>
            <w:tcW w:w="3400" w:type="dxa"/>
            <w:vAlign w:val="bottom"/>
          </w:tcPr>
          <w:p>
            <w:pPr>
              <w:spacing w:after="0"/>
              <w:rPr>
                <w:sz w:val="11"/>
                <w:szCs w:val="11"/>
                <w:color w:val="auto"/>
              </w:rPr>
            </w:pPr>
          </w:p>
        </w:tc>
        <w:tc>
          <w:tcPr>
            <w:tcW w:w="1920" w:type="dxa"/>
            <w:vAlign w:val="bottom"/>
          </w:tcPr>
          <w:p>
            <w:pPr>
              <w:jc w:val="right"/>
              <w:ind w:right="157"/>
              <w:spacing w:after="0" w:line="135" w:lineRule="exact"/>
              <w:rPr>
                <w:sz w:val="20"/>
                <w:szCs w:val="20"/>
                <w:color w:val="auto"/>
              </w:rPr>
            </w:pPr>
            <w:r>
              <w:rPr>
                <w:rFonts w:ascii="Arial" w:cs="Arial" w:eastAsia="Arial" w:hAnsi="Arial"/>
                <w:sz w:val="12"/>
                <w:szCs w:val="12"/>
                <w:b w:val="1"/>
                <w:bCs w:val="1"/>
                <w:color w:val="205BA8"/>
              </w:rPr>
              <w:t>2020 Base</w:t>
            </w:r>
          </w:p>
        </w:tc>
        <w:tc>
          <w:tcPr>
            <w:tcW w:w="1480" w:type="dxa"/>
            <w:vAlign w:val="bottom"/>
          </w:tcPr>
          <w:p>
            <w:pPr>
              <w:jc w:val="right"/>
              <w:ind w:right="277"/>
              <w:spacing w:after="0" w:line="135" w:lineRule="exact"/>
              <w:rPr>
                <w:sz w:val="20"/>
                <w:szCs w:val="20"/>
                <w:color w:val="auto"/>
              </w:rPr>
            </w:pPr>
            <w:r>
              <w:rPr>
                <w:rFonts w:ascii="Arial" w:cs="Arial" w:eastAsia="Arial" w:hAnsi="Arial"/>
                <w:sz w:val="12"/>
                <w:szCs w:val="12"/>
                <w:b w:val="1"/>
                <w:bCs w:val="1"/>
                <w:color w:val="205BA8"/>
              </w:rPr>
              <w:t>(as percentage</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8"/>
              </w:rPr>
              <w:t>Performance</w:t>
            </w:r>
          </w:p>
        </w:tc>
        <w:tc>
          <w:tcPr>
            <w:tcW w:w="1300" w:type="dxa"/>
            <w:vAlign w:val="bottom"/>
          </w:tcPr>
          <w:p>
            <w:pPr>
              <w:jc w:val="center"/>
              <w:ind w:right="137"/>
              <w:spacing w:after="0" w:line="135" w:lineRule="exact"/>
              <w:rPr>
                <w:sz w:val="20"/>
                <w:szCs w:val="20"/>
                <w:color w:val="auto"/>
              </w:rPr>
            </w:pPr>
            <w:r>
              <w:rPr>
                <w:rFonts w:ascii="Arial" w:cs="Arial" w:eastAsia="Arial" w:hAnsi="Arial"/>
                <w:sz w:val="12"/>
                <w:szCs w:val="12"/>
                <w:b w:val="1"/>
                <w:bCs w:val="1"/>
                <w:color w:val="205BA8"/>
                <w:w w:val="95"/>
              </w:rPr>
              <w:t>Performance</w:t>
            </w:r>
          </w:p>
        </w:tc>
        <w:tc>
          <w:tcPr>
            <w:tcW w:w="1000" w:type="dxa"/>
            <w:vAlign w:val="bottom"/>
            <w:gridSpan w:val="2"/>
            <w:shd w:val="clear" w:color="auto" w:fill="205BA8"/>
          </w:tcPr>
          <w:p>
            <w:pPr>
              <w:jc w:val="center"/>
              <w:spacing w:after="0" w:line="135" w:lineRule="exact"/>
              <w:rPr>
                <w:sz w:val="20"/>
                <w:szCs w:val="20"/>
                <w:color w:val="auto"/>
              </w:rPr>
            </w:pPr>
            <w:r>
              <w:rPr>
                <w:rFonts w:ascii="Arial" w:cs="Arial" w:eastAsia="Arial" w:hAnsi="Arial"/>
                <w:sz w:val="12"/>
                <w:szCs w:val="12"/>
                <w:b w:val="1"/>
                <w:bCs w:val="1"/>
                <w:color w:val="FFFFFF"/>
                <w:w w:val="97"/>
              </w:rPr>
              <w:t>Total Cash</w:t>
            </w:r>
          </w:p>
        </w:tc>
      </w:tr>
      <w:tr>
        <w:trPr>
          <w:trHeight w:val="154"/>
        </w:trPr>
        <w:tc>
          <w:tcPr>
            <w:tcW w:w="3400" w:type="dxa"/>
            <w:vAlign w:val="bottom"/>
            <w:tcBorders>
              <w:bottom w:val="single" w:sz="8" w:color="1F5AA8"/>
            </w:tcBorders>
          </w:tcPr>
          <w:p>
            <w:pPr>
              <w:ind w:left="60"/>
              <w:spacing w:after="0"/>
              <w:rPr>
                <w:sz w:val="20"/>
                <w:szCs w:val="20"/>
                <w:color w:val="auto"/>
              </w:rPr>
            </w:pPr>
            <w:r>
              <w:rPr>
                <w:rFonts w:ascii="Arial" w:cs="Arial" w:eastAsia="Arial" w:hAnsi="Arial"/>
                <w:sz w:val="12"/>
                <w:szCs w:val="12"/>
                <w:b w:val="1"/>
                <w:bCs w:val="1"/>
                <w:color w:val="205BA8"/>
              </w:rPr>
              <w:t>Named Executive Officer</w:t>
            </w:r>
          </w:p>
        </w:tc>
        <w:tc>
          <w:tcPr>
            <w:tcW w:w="1920" w:type="dxa"/>
            <w:vAlign w:val="bottom"/>
            <w:tcBorders>
              <w:bottom w:val="single" w:sz="8" w:color="1F5AA8"/>
            </w:tcBorders>
          </w:tcPr>
          <w:p>
            <w:pPr>
              <w:jc w:val="right"/>
              <w:ind w:right="177"/>
              <w:spacing w:after="0"/>
              <w:rPr>
                <w:sz w:val="20"/>
                <w:szCs w:val="20"/>
                <w:color w:val="auto"/>
              </w:rPr>
            </w:pPr>
            <w:r>
              <w:rPr>
                <w:rFonts w:ascii="Arial" w:cs="Arial" w:eastAsia="Arial" w:hAnsi="Arial"/>
                <w:sz w:val="12"/>
                <w:szCs w:val="12"/>
                <w:b w:val="1"/>
                <w:bCs w:val="1"/>
                <w:color w:val="205BA8"/>
              </w:rPr>
              <w:t>Salary ($)</w:t>
            </w:r>
          </w:p>
        </w:tc>
        <w:tc>
          <w:tcPr>
            <w:tcW w:w="1480" w:type="dxa"/>
            <w:vAlign w:val="bottom"/>
            <w:tcBorders>
              <w:bottom w:val="single" w:sz="8" w:color="1F5AA8"/>
            </w:tcBorders>
          </w:tcPr>
          <w:p>
            <w:pPr>
              <w:jc w:val="right"/>
              <w:ind w:right="277"/>
              <w:spacing w:after="0"/>
              <w:rPr>
                <w:sz w:val="20"/>
                <w:szCs w:val="20"/>
                <w:color w:val="auto"/>
              </w:rPr>
            </w:pPr>
            <w:r>
              <w:rPr>
                <w:rFonts w:ascii="Arial" w:cs="Arial" w:eastAsia="Arial" w:hAnsi="Arial"/>
                <w:sz w:val="12"/>
                <w:szCs w:val="12"/>
                <w:b w:val="1"/>
                <w:bCs w:val="1"/>
                <w:color w:val="205BA8"/>
              </w:rPr>
              <w:t>of base salary)</w:t>
            </w:r>
          </w:p>
        </w:tc>
        <w:tc>
          <w:tcPr>
            <w:tcW w:w="106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205BA8"/>
                <w:w w:val="97"/>
              </w:rPr>
              <w:t>Multiplier</w:t>
            </w:r>
          </w:p>
        </w:tc>
        <w:tc>
          <w:tcPr>
            <w:tcW w:w="1300" w:type="dxa"/>
            <w:vAlign w:val="bottom"/>
            <w:tcBorders>
              <w:bottom w:val="single" w:sz="8" w:color="1F5AA8"/>
            </w:tcBorders>
          </w:tcPr>
          <w:p>
            <w:pPr>
              <w:jc w:val="center"/>
              <w:ind w:right="117"/>
              <w:spacing w:after="0"/>
              <w:rPr>
                <w:sz w:val="20"/>
                <w:szCs w:val="20"/>
                <w:color w:val="auto"/>
              </w:rPr>
            </w:pPr>
            <w:r>
              <w:rPr>
                <w:rFonts w:ascii="Arial" w:cs="Arial" w:eastAsia="Arial" w:hAnsi="Arial"/>
                <w:sz w:val="12"/>
                <w:szCs w:val="12"/>
                <w:b w:val="1"/>
                <w:bCs w:val="1"/>
                <w:color w:val="205BA8"/>
                <w:w w:val="97"/>
              </w:rPr>
              <w:t>Multiplier</w:t>
            </w:r>
          </w:p>
        </w:tc>
        <w:tc>
          <w:tcPr>
            <w:tcW w:w="1000" w:type="dxa"/>
            <w:vAlign w:val="bottom"/>
            <w:tcBorders>
              <w:bottom w:val="single" w:sz="8" w:color="1F5AA8"/>
            </w:tcBorders>
            <w:gridSpan w:val="2"/>
            <w:shd w:val="clear" w:color="auto" w:fill="205BA8"/>
          </w:tcPr>
          <w:p>
            <w:pPr>
              <w:jc w:val="center"/>
              <w:spacing w:after="0"/>
              <w:rPr>
                <w:sz w:val="20"/>
                <w:szCs w:val="20"/>
                <w:color w:val="auto"/>
              </w:rPr>
            </w:pPr>
            <w:r>
              <w:rPr>
                <w:rFonts w:ascii="Arial" w:cs="Arial" w:eastAsia="Arial" w:hAnsi="Arial"/>
                <w:sz w:val="12"/>
                <w:szCs w:val="12"/>
                <w:b w:val="1"/>
                <w:bCs w:val="1"/>
                <w:color w:val="FFFFFF"/>
                <w:w w:val="97"/>
              </w:rPr>
              <w:t>Incentive ($)</w:t>
            </w:r>
          </w:p>
        </w:tc>
      </w:tr>
      <w:tr>
        <w:trPr>
          <w:trHeight w:val="148"/>
        </w:trPr>
        <w:tc>
          <w:tcPr>
            <w:tcW w:w="3400" w:type="dxa"/>
            <w:vAlign w:val="bottom"/>
            <w:tcBorders>
              <w:bottom w:val="single" w:sz="8" w:color="58585A"/>
            </w:tcBorders>
          </w:tcPr>
          <w:p>
            <w:pPr>
              <w:ind w:left="60"/>
              <w:spacing w:after="0"/>
              <w:rPr>
                <w:sz w:val="20"/>
                <w:szCs w:val="20"/>
                <w:color w:val="auto"/>
              </w:rPr>
            </w:pPr>
            <w:r>
              <w:rPr>
                <w:rFonts w:ascii="Arial" w:cs="Arial" w:eastAsia="Arial" w:hAnsi="Arial"/>
                <w:sz w:val="13"/>
                <w:szCs w:val="13"/>
                <w:b w:val="1"/>
                <w:bCs w:val="1"/>
                <w:color w:val="C44E5E"/>
              </w:rPr>
              <w:t>Leonard S. Schleifer, M.D., Ph.D.</w:t>
            </w:r>
          </w:p>
        </w:tc>
        <w:tc>
          <w:tcPr>
            <w:tcW w:w="1920" w:type="dxa"/>
            <w:vAlign w:val="bottom"/>
            <w:tcBorders>
              <w:bottom w:val="single" w:sz="8" w:color="58585A"/>
            </w:tcBorders>
          </w:tcPr>
          <w:p>
            <w:pPr>
              <w:jc w:val="right"/>
              <w:ind w:right="37"/>
              <w:spacing w:after="0"/>
              <w:rPr>
                <w:sz w:val="20"/>
                <w:szCs w:val="20"/>
                <w:color w:val="auto"/>
              </w:rPr>
            </w:pPr>
            <w:r>
              <w:rPr>
                <w:rFonts w:ascii="Arial" w:cs="Arial" w:eastAsia="Arial" w:hAnsi="Arial"/>
                <w:sz w:val="13"/>
                <w:szCs w:val="13"/>
                <w:color w:val="auto"/>
              </w:rPr>
              <w:t>1,425,000</w:t>
            </w:r>
          </w:p>
        </w:tc>
        <w:tc>
          <w:tcPr>
            <w:tcW w:w="1480" w:type="dxa"/>
            <w:vAlign w:val="bottom"/>
            <w:tcBorders>
              <w:bottom w:val="single" w:sz="8" w:color="58585A"/>
            </w:tcBorders>
          </w:tcPr>
          <w:p>
            <w:pPr>
              <w:jc w:val="right"/>
              <w:ind w:right="437"/>
              <w:spacing w:after="0"/>
              <w:rPr>
                <w:sz w:val="20"/>
                <w:szCs w:val="20"/>
                <w:color w:val="auto"/>
              </w:rPr>
            </w:pPr>
            <w:r>
              <w:rPr>
                <w:rFonts w:ascii="Arial" w:cs="Arial" w:eastAsia="Arial" w:hAnsi="Arial"/>
                <w:sz w:val="13"/>
                <w:szCs w:val="13"/>
                <w:color w:val="auto"/>
              </w:rPr>
              <w:t>120%</w:t>
            </w:r>
          </w:p>
        </w:tc>
        <w:tc>
          <w:tcPr>
            <w:tcW w:w="106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9"/>
              </w:rPr>
              <w:t>n/a</w:t>
            </w:r>
          </w:p>
        </w:tc>
        <w:tc>
          <w:tcPr>
            <w:tcW w:w="1300" w:type="dxa"/>
            <w:vAlign w:val="bottom"/>
            <w:tcBorders>
              <w:bottom w:val="single" w:sz="8" w:color="58585A"/>
            </w:tcBorders>
          </w:tcPr>
          <w:p>
            <w:pPr>
              <w:ind w:left="420"/>
              <w:spacing w:after="0"/>
              <w:rPr>
                <w:sz w:val="20"/>
                <w:szCs w:val="20"/>
                <w:color w:val="auto"/>
              </w:rPr>
            </w:pPr>
            <w:r>
              <w:rPr>
                <w:rFonts w:ascii="Arial" w:cs="Arial" w:eastAsia="Arial" w:hAnsi="Arial"/>
                <w:sz w:val="13"/>
                <w:szCs w:val="13"/>
                <w:color w:val="auto"/>
              </w:rPr>
              <w:t>2.25*</w:t>
            </w:r>
          </w:p>
        </w:tc>
        <w:tc>
          <w:tcPr>
            <w:tcW w:w="900" w:type="dxa"/>
            <w:vAlign w:val="bottom"/>
            <w:tcBorders>
              <w:bottom w:val="single" w:sz="8" w:color="58585A"/>
            </w:tcBorders>
            <w:shd w:val="clear" w:color="auto" w:fill="E3E6F4"/>
          </w:tcPr>
          <w:p>
            <w:pPr>
              <w:jc w:val="right"/>
              <w:ind w:right="17"/>
              <w:spacing w:after="0"/>
              <w:rPr>
                <w:sz w:val="20"/>
                <w:szCs w:val="20"/>
                <w:color w:val="auto"/>
              </w:rPr>
            </w:pPr>
            <w:r>
              <w:rPr>
                <w:rFonts w:ascii="Arial" w:cs="Arial" w:eastAsia="Arial" w:hAnsi="Arial"/>
                <w:sz w:val="13"/>
                <w:szCs w:val="13"/>
                <w:color w:val="auto"/>
              </w:rPr>
              <w:t>3,567,714*</w:t>
            </w:r>
          </w:p>
        </w:tc>
        <w:tc>
          <w:tcPr>
            <w:tcW w:w="100" w:type="dxa"/>
            <w:vAlign w:val="bottom"/>
            <w:tcBorders>
              <w:bottom w:val="single" w:sz="8" w:color="58585A"/>
            </w:tcBorders>
          </w:tcPr>
          <w:p>
            <w:pPr>
              <w:spacing w:after="0"/>
              <w:rPr>
                <w:sz w:val="12"/>
                <w:szCs w:val="12"/>
                <w:color w:val="auto"/>
              </w:rPr>
            </w:pPr>
          </w:p>
        </w:tc>
      </w:tr>
      <w:tr>
        <w:trPr>
          <w:trHeight w:val="142"/>
        </w:trPr>
        <w:tc>
          <w:tcPr>
            <w:tcW w:w="3400" w:type="dxa"/>
            <w:vAlign w:val="bottom"/>
            <w:tcBorders>
              <w:bottom w:val="single" w:sz="8" w:color="58585A"/>
            </w:tcBorders>
            <w:shd w:val="clear" w:color="auto" w:fill="ECEDED"/>
          </w:tcPr>
          <w:p>
            <w:pPr>
              <w:ind w:left="60"/>
              <w:spacing w:after="0" w:line="142" w:lineRule="exact"/>
              <w:rPr>
                <w:sz w:val="20"/>
                <w:szCs w:val="20"/>
                <w:color w:val="auto"/>
              </w:rPr>
            </w:pPr>
            <w:r>
              <w:rPr>
                <w:rFonts w:ascii="Arial" w:cs="Arial" w:eastAsia="Arial" w:hAnsi="Arial"/>
                <w:sz w:val="13"/>
                <w:szCs w:val="13"/>
                <w:b w:val="1"/>
                <w:bCs w:val="1"/>
                <w:color w:val="C44E5E"/>
              </w:rPr>
              <w:t>George D. Yancopoulos, M.D., Ph.D.</w:t>
            </w:r>
          </w:p>
        </w:tc>
        <w:tc>
          <w:tcPr>
            <w:tcW w:w="1920" w:type="dxa"/>
            <w:vAlign w:val="bottom"/>
            <w:tcBorders>
              <w:bottom w:val="single" w:sz="8" w:color="58585A"/>
            </w:tcBorders>
            <w:shd w:val="clear" w:color="auto" w:fill="ECEDED"/>
          </w:tcPr>
          <w:p>
            <w:pPr>
              <w:jc w:val="right"/>
              <w:ind w:right="37"/>
              <w:spacing w:after="0" w:line="142" w:lineRule="exact"/>
              <w:rPr>
                <w:sz w:val="20"/>
                <w:szCs w:val="20"/>
                <w:color w:val="auto"/>
              </w:rPr>
            </w:pPr>
            <w:r>
              <w:rPr>
                <w:rFonts w:ascii="Arial" w:cs="Arial" w:eastAsia="Arial" w:hAnsi="Arial"/>
                <w:sz w:val="13"/>
                <w:szCs w:val="13"/>
                <w:color w:val="auto"/>
              </w:rPr>
              <w:t>1,211,500</w:t>
            </w:r>
          </w:p>
        </w:tc>
        <w:tc>
          <w:tcPr>
            <w:tcW w:w="1480" w:type="dxa"/>
            <w:vAlign w:val="bottom"/>
            <w:tcBorders>
              <w:bottom w:val="single" w:sz="8" w:color="58585A"/>
            </w:tcBorders>
            <w:shd w:val="clear" w:color="auto" w:fill="ECEDED"/>
          </w:tcPr>
          <w:p>
            <w:pPr>
              <w:jc w:val="right"/>
              <w:ind w:right="437"/>
              <w:spacing w:after="0" w:line="142" w:lineRule="exact"/>
              <w:rPr>
                <w:sz w:val="20"/>
                <w:szCs w:val="20"/>
                <w:color w:val="auto"/>
              </w:rPr>
            </w:pPr>
            <w:r>
              <w:rPr>
                <w:rFonts w:ascii="Arial" w:cs="Arial" w:eastAsia="Arial" w:hAnsi="Arial"/>
                <w:sz w:val="13"/>
                <w:szCs w:val="13"/>
                <w:color w:val="auto"/>
              </w:rPr>
              <w:t>120%</w:t>
            </w:r>
          </w:p>
        </w:tc>
        <w:tc>
          <w:tcPr>
            <w:tcW w:w="1060" w:type="dxa"/>
            <w:vAlign w:val="bottom"/>
            <w:tcBorders>
              <w:bottom w:val="single" w:sz="8" w:color="58585A"/>
            </w:tcBorders>
            <w:shd w:val="clear" w:color="auto" w:fill="ECEDED"/>
          </w:tcPr>
          <w:p>
            <w:pPr>
              <w:jc w:val="center"/>
              <w:spacing w:after="0" w:line="142" w:lineRule="exact"/>
              <w:rPr>
                <w:sz w:val="20"/>
                <w:szCs w:val="20"/>
                <w:color w:val="auto"/>
              </w:rPr>
            </w:pPr>
            <w:r>
              <w:rPr>
                <w:rFonts w:ascii="Arial" w:cs="Arial" w:eastAsia="Arial" w:hAnsi="Arial"/>
                <w:sz w:val="13"/>
                <w:szCs w:val="13"/>
                <w:color w:val="auto"/>
                <w:w w:val="99"/>
              </w:rPr>
              <w:t>n/a</w:t>
            </w:r>
          </w:p>
        </w:tc>
        <w:tc>
          <w:tcPr>
            <w:tcW w:w="1300" w:type="dxa"/>
            <w:vAlign w:val="bottom"/>
            <w:tcBorders>
              <w:bottom w:val="single" w:sz="8" w:color="58585A"/>
            </w:tcBorders>
            <w:shd w:val="clear" w:color="auto" w:fill="ECEDED"/>
          </w:tcPr>
          <w:p>
            <w:pPr>
              <w:ind w:left="420"/>
              <w:spacing w:after="0" w:line="142" w:lineRule="exact"/>
              <w:rPr>
                <w:sz w:val="20"/>
                <w:szCs w:val="20"/>
                <w:color w:val="auto"/>
              </w:rPr>
            </w:pPr>
            <w:r>
              <w:rPr>
                <w:rFonts w:ascii="Arial" w:cs="Arial" w:eastAsia="Arial" w:hAnsi="Arial"/>
                <w:sz w:val="13"/>
                <w:szCs w:val="13"/>
                <w:color w:val="auto"/>
              </w:rPr>
              <w:t>2.25*</w:t>
            </w:r>
          </w:p>
        </w:tc>
        <w:tc>
          <w:tcPr>
            <w:tcW w:w="900" w:type="dxa"/>
            <w:vAlign w:val="bottom"/>
            <w:tcBorders>
              <w:bottom w:val="single" w:sz="8" w:color="58585A"/>
            </w:tcBorders>
            <w:shd w:val="clear" w:color="auto" w:fill="CBD0E9"/>
          </w:tcPr>
          <w:p>
            <w:pPr>
              <w:jc w:val="right"/>
              <w:ind w:right="17"/>
              <w:spacing w:after="0" w:line="142" w:lineRule="exact"/>
              <w:rPr>
                <w:sz w:val="20"/>
                <w:szCs w:val="20"/>
                <w:color w:val="auto"/>
              </w:rPr>
            </w:pPr>
            <w:r>
              <w:rPr>
                <w:rFonts w:ascii="Arial" w:cs="Arial" w:eastAsia="Arial" w:hAnsi="Arial"/>
                <w:sz w:val="13"/>
                <w:szCs w:val="13"/>
                <w:color w:val="auto"/>
              </w:rPr>
              <w:t>3,004,391*</w:t>
            </w:r>
          </w:p>
        </w:tc>
        <w:tc>
          <w:tcPr>
            <w:tcW w:w="100" w:type="dxa"/>
            <w:vAlign w:val="bottom"/>
            <w:tcBorders>
              <w:bottom w:val="single" w:sz="8" w:color="58585A"/>
            </w:tcBorders>
            <w:shd w:val="clear" w:color="auto" w:fill="ECEDED"/>
          </w:tcPr>
          <w:p>
            <w:pPr>
              <w:spacing w:after="0"/>
              <w:rPr>
                <w:sz w:val="12"/>
                <w:szCs w:val="12"/>
                <w:color w:val="auto"/>
              </w:rPr>
            </w:pPr>
          </w:p>
        </w:tc>
      </w:tr>
      <w:tr>
        <w:trPr>
          <w:trHeight w:val="142"/>
        </w:trPr>
        <w:tc>
          <w:tcPr>
            <w:tcW w:w="3400" w:type="dxa"/>
            <w:vAlign w:val="bottom"/>
            <w:tcBorders>
              <w:bottom w:val="single" w:sz="8" w:color="58585A"/>
            </w:tcBorders>
          </w:tcPr>
          <w:p>
            <w:pPr>
              <w:ind w:left="60"/>
              <w:spacing w:after="0" w:line="142" w:lineRule="exact"/>
              <w:rPr>
                <w:sz w:val="20"/>
                <w:szCs w:val="20"/>
                <w:color w:val="auto"/>
              </w:rPr>
            </w:pPr>
            <w:r>
              <w:rPr>
                <w:rFonts w:ascii="Arial" w:cs="Arial" w:eastAsia="Arial" w:hAnsi="Arial"/>
                <w:sz w:val="13"/>
                <w:szCs w:val="13"/>
                <w:b w:val="1"/>
                <w:bCs w:val="1"/>
                <w:color w:val="C44E5E"/>
              </w:rPr>
              <w:t>Robert E. Landry</w:t>
            </w:r>
          </w:p>
        </w:tc>
        <w:tc>
          <w:tcPr>
            <w:tcW w:w="1920" w:type="dxa"/>
            <w:vAlign w:val="bottom"/>
            <w:tcBorders>
              <w:bottom w:val="single" w:sz="8" w:color="58585A"/>
            </w:tcBorders>
          </w:tcPr>
          <w:p>
            <w:pPr>
              <w:jc w:val="right"/>
              <w:ind w:right="37"/>
              <w:spacing w:after="0" w:line="142" w:lineRule="exact"/>
              <w:rPr>
                <w:sz w:val="20"/>
                <w:szCs w:val="20"/>
                <w:color w:val="auto"/>
              </w:rPr>
            </w:pPr>
            <w:r>
              <w:rPr>
                <w:rFonts w:ascii="Arial" w:cs="Arial" w:eastAsia="Arial" w:hAnsi="Arial"/>
                <w:sz w:val="13"/>
                <w:szCs w:val="13"/>
                <w:color w:val="auto"/>
              </w:rPr>
              <w:t>795,000</w:t>
            </w:r>
          </w:p>
        </w:tc>
        <w:tc>
          <w:tcPr>
            <w:tcW w:w="1480" w:type="dxa"/>
            <w:vAlign w:val="bottom"/>
            <w:tcBorders>
              <w:bottom w:val="single" w:sz="8" w:color="58585A"/>
            </w:tcBorders>
          </w:tcPr>
          <w:p>
            <w:pPr>
              <w:jc w:val="right"/>
              <w:ind w:right="437"/>
              <w:spacing w:after="0" w:line="142" w:lineRule="exact"/>
              <w:rPr>
                <w:sz w:val="20"/>
                <w:szCs w:val="20"/>
                <w:color w:val="auto"/>
              </w:rPr>
            </w:pPr>
            <w:r>
              <w:rPr>
                <w:rFonts w:ascii="Arial" w:cs="Arial" w:eastAsia="Arial" w:hAnsi="Arial"/>
                <w:sz w:val="13"/>
                <w:szCs w:val="13"/>
                <w:color w:val="auto"/>
              </w:rPr>
              <w:t>65%</w:t>
            </w:r>
          </w:p>
        </w:tc>
        <w:tc>
          <w:tcPr>
            <w:tcW w:w="1060" w:type="dxa"/>
            <w:vAlign w:val="bottom"/>
            <w:tcBorders>
              <w:bottom w:val="single" w:sz="8" w:color="58585A"/>
            </w:tcBorders>
          </w:tcPr>
          <w:p>
            <w:pPr>
              <w:jc w:val="center"/>
              <w:spacing w:after="0" w:line="142" w:lineRule="exact"/>
              <w:rPr>
                <w:sz w:val="20"/>
                <w:szCs w:val="20"/>
                <w:color w:val="auto"/>
              </w:rPr>
            </w:pPr>
            <w:r>
              <w:rPr>
                <w:rFonts w:ascii="Arial" w:cs="Arial" w:eastAsia="Arial" w:hAnsi="Arial"/>
                <w:sz w:val="13"/>
                <w:szCs w:val="13"/>
                <w:color w:val="auto"/>
                <w:w w:val="99"/>
              </w:rPr>
              <w:t>1.5</w:t>
            </w:r>
          </w:p>
        </w:tc>
        <w:tc>
          <w:tcPr>
            <w:tcW w:w="1300" w:type="dxa"/>
            <w:vAlign w:val="bottom"/>
            <w:tcBorders>
              <w:bottom w:val="single" w:sz="8" w:color="58585A"/>
            </w:tcBorders>
          </w:tcPr>
          <w:p>
            <w:pPr>
              <w:ind w:left="420"/>
              <w:spacing w:after="0" w:line="142" w:lineRule="exact"/>
              <w:rPr>
                <w:sz w:val="20"/>
                <w:szCs w:val="20"/>
                <w:color w:val="auto"/>
              </w:rPr>
            </w:pPr>
            <w:r>
              <w:rPr>
                <w:rFonts w:ascii="Arial" w:cs="Arial" w:eastAsia="Arial" w:hAnsi="Arial"/>
                <w:sz w:val="13"/>
                <w:szCs w:val="13"/>
                <w:color w:val="auto"/>
              </w:rPr>
              <w:t>2.25*</w:t>
            </w:r>
          </w:p>
        </w:tc>
        <w:tc>
          <w:tcPr>
            <w:tcW w:w="900" w:type="dxa"/>
            <w:vAlign w:val="bottom"/>
            <w:tcBorders>
              <w:bottom w:val="single" w:sz="8" w:color="58585A"/>
            </w:tcBorders>
            <w:shd w:val="clear" w:color="auto" w:fill="E3E6F4"/>
          </w:tcPr>
          <w:p>
            <w:pPr>
              <w:jc w:val="right"/>
              <w:ind w:right="17"/>
              <w:spacing w:after="0" w:line="142" w:lineRule="exact"/>
              <w:rPr>
                <w:sz w:val="20"/>
                <w:szCs w:val="20"/>
                <w:color w:val="auto"/>
              </w:rPr>
            </w:pPr>
            <w:r>
              <w:rPr>
                <w:rFonts w:ascii="Arial" w:cs="Arial" w:eastAsia="Arial" w:hAnsi="Arial"/>
                <w:sz w:val="13"/>
                <w:szCs w:val="13"/>
                <w:color w:val="auto"/>
              </w:rPr>
              <w:t>938,872*</w:t>
            </w:r>
          </w:p>
        </w:tc>
        <w:tc>
          <w:tcPr>
            <w:tcW w:w="100" w:type="dxa"/>
            <w:vAlign w:val="bottom"/>
            <w:tcBorders>
              <w:bottom w:val="single" w:sz="8" w:color="58585A"/>
            </w:tcBorders>
          </w:tcPr>
          <w:p>
            <w:pPr>
              <w:spacing w:after="0"/>
              <w:rPr>
                <w:sz w:val="12"/>
                <w:szCs w:val="12"/>
                <w:color w:val="auto"/>
              </w:rPr>
            </w:pPr>
          </w:p>
        </w:tc>
      </w:tr>
      <w:tr>
        <w:trPr>
          <w:trHeight w:val="142"/>
        </w:trPr>
        <w:tc>
          <w:tcPr>
            <w:tcW w:w="3400" w:type="dxa"/>
            <w:vAlign w:val="bottom"/>
            <w:tcBorders>
              <w:bottom w:val="single" w:sz="8" w:color="58585A"/>
            </w:tcBorders>
            <w:shd w:val="clear" w:color="auto" w:fill="ECEDED"/>
          </w:tcPr>
          <w:p>
            <w:pPr>
              <w:ind w:left="60"/>
              <w:spacing w:after="0" w:line="142" w:lineRule="exact"/>
              <w:rPr>
                <w:sz w:val="20"/>
                <w:szCs w:val="20"/>
                <w:color w:val="auto"/>
              </w:rPr>
            </w:pPr>
            <w:r>
              <w:rPr>
                <w:rFonts w:ascii="Arial" w:cs="Arial" w:eastAsia="Arial" w:hAnsi="Arial"/>
                <w:sz w:val="13"/>
                <w:szCs w:val="13"/>
                <w:b w:val="1"/>
                <w:bCs w:val="1"/>
                <w:color w:val="C44E5E"/>
              </w:rPr>
              <w:t>Daniel P. Van Plew</w:t>
            </w:r>
          </w:p>
        </w:tc>
        <w:tc>
          <w:tcPr>
            <w:tcW w:w="1920" w:type="dxa"/>
            <w:vAlign w:val="bottom"/>
            <w:tcBorders>
              <w:bottom w:val="single" w:sz="8" w:color="58585A"/>
            </w:tcBorders>
            <w:shd w:val="clear" w:color="auto" w:fill="ECEDED"/>
          </w:tcPr>
          <w:p>
            <w:pPr>
              <w:jc w:val="right"/>
              <w:ind w:right="37"/>
              <w:spacing w:after="0" w:line="142" w:lineRule="exact"/>
              <w:rPr>
                <w:sz w:val="20"/>
                <w:szCs w:val="20"/>
                <w:color w:val="auto"/>
              </w:rPr>
            </w:pPr>
            <w:r>
              <w:rPr>
                <w:rFonts w:ascii="Arial" w:cs="Arial" w:eastAsia="Arial" w:hAnsi="Arial"/>
                <w:sz w:val="13"/>
                <w:szCs w:val="13"/>
                <w:color w:val="auto"/>
              </w:rPr>
              <w:t>795,000</w:t>
            </w:r>
          </w:p>
        </w:tc>
        <w:tc>
          <w:tcPr>
            <w:tcW w:w="1480" w:type="dxa"/>
            <w:vAlign w:val="bottom"/>
            <w:tcBorders>
              <w:bottom w:val="single" w:sz="8" w:color="58585A"/>
            </w:tcBorders>
            <w:shd w:val="clear" w:color="auto" w:fill="ECEDED"/>
          </w:tcPr>
          <w:p>
            <w:pPr>
              <w:jc w:val="right"/>
              <w:ind w:right="437"/>
              <w:spacing w:after="0" w:line="142" w:lineRule="exact"/>
              <w:rPr>
                <w:sz w:val="20"/>
                <w:szCs w:val="20"/>
                <w:color w:val="auto"/>
              </w:rPr>
            </w:pPr>
            <w:r>
              <w:rPr>
                <w:rFonts w:ascii="Arial" w:cs="Arial" w:eastAsia="Arial" w:hAnsi="Arial"/>
                <w:sz w:val="13"/>
                <w:szCs w:val="13"/>
                <w:color w:val="auto"/>
              </w:rPr>
              <w:t>65%</w:t>
            </w:r>
          </w:p>
        </w:tc>
        <w:tc>
          <w:tcPr>
            <w:tcW w:w="1060" w:type="dxa"/>
            <w:vAlign w:val="bottom"/>
            <w:tcBorders>
              <w:bottom w:val="single" w:sz="8" w:color="58585A"/>
            </w:tcBorders>
            <w:shd w:val="clear" w:color="auto" w:fill="ECEDED"/>
          </w:tcPr>
          <w:p>
            <w:pPr>
              <w:jc w:val="center"/>
              <w:spacing w:after="0" w:line="142" w:lineRule="exact"/>
              <w:rPr>
                <w:sz w:val="20"/>
                <w:szCs w:val="20"/>
                <w:color w:val="auto"/>
              </w:rPr>
            </w:pPr>
            <w:r>
              <w:rPr>
                <w:rFonts w:ascii="Arial" w:cs="Arial" w:eastAsia="Arial" w:hAnsi="Arial"/>
                <w:sz w:val="13"/>
                <w:szCs w:val="13"/>
                <w:color w:val="auto"/>
                <w:w w:val="99"/>
              </w:rPr>
              <w:t>1.5</w:t>
            </w:r>
          </w:p>
        </w:tc>
        <w:tc>
          <w:tcPr>
            <w:tcW w:w="1300" w:type="dxa"/>
            <w:vAlign w:val="bottom"/>
            <w:tcBorders>
              <w:bottom w:val="single" w:sz="8" w:color="58585A"/>
            </w:tcBorders>
            <w:shd w:val="clear" w:color="auto" w:fill="ECEDED"/>
          </w:tcPr>
          <w:p>
            <w:pPr>
              <w:ind w:left="420"/>
              <w:spacing w:after="0" w:line="142" w:lineRule="exact"/>
              <w:rPr>
                <w:sz w:val="20"/>
                <w:szCs w:val="20"/>
                <w:color w:val="auto"/>
              </w:rPr>
            </w:pPr>
            <w:r>
              <w:rPr>
                <w:rFonts w:ascii="Arial" w:cs="Arial" w:eastAsia="Arial" w:hAnsi="Arial"/>
                <w:sz w:val="13"/>
                <w:szCs w:val="13"/>
                <w:color w:val="auto"/>
              </w:rPr>
              <w:t>2.25*</w:t>
            </w:r>
          </w:p>
        </w:tc>
        <w:tc>
          <w:tcPr>
            <w:tcW w:w="900" w:type="dxa"/>
            <w:vAlign w:val="bottom"/>
            <w:tcBorders>
              <w:bottom w:val="single" w:sz="8" w:color="58585A"/>
            </w:tcBorders>
            <w:shd w:val="clear" w:color="auto" w:fill="CBD0E9"/>
          </w:tcPr>
          <w:p>
            <w:pPr>
              <w:jc w:val="right"/>
              <w:ind w:right="17"/>
              <w:spacing w:after="0" w:line="142" w:lineRule="exact"/>
              <w:rPr>
                <w:sz w:val="20"/>
                <w:szCs w:val="20"/>
                <w:color w:val="auto"/>
              </w:rPr>
            </w:pPr>
            <w:r>
              <w:rPr>
                <w:rFonts w:ascii="Arial" w:cs="Arial" w:eastAsia="Arial" w:hAnsi="Arial"/>
                <w:sz w:val="13"/>
                <w:szCs w:val="13"/>
                <w:color w:val="auto"/>
              </w:rPr>
              <w:t>938,872*</w:t>
            </w:r>
          </w:p>
        </w:tc>
        <w:tc>
          <w:tcPr>
            <w:tcW w:w="100" w:type="dxa"/>
            <w:vAlign w:val="bottom"/>
            <w:tcBorders>
              <w:bottom w:val="single" w:sz="8" w:color="58585A"/>
            </w:tcBorders>
            <w:shd w:val="clear" w:color="auto" w:fill="ECEDED"/>
          </w:tcPr>
          <w:p>
            <w:pPr>
              <w:spacing w:after="0"/>
              <w:rPr>
                <w:sz w:val="12"/>
                <w:szCs w:val="12"/>
                <w:color w:val="auto"/>
              </w:rPr>
            </w:pPr>
          </w:p>
        </w:tc>
      </w:tr>
      <w:tr>
        <w:trPr>
          <w:trHeight w:val="142"/>
        </w:trPr>
        <w:tc>
          <w:tcPr>
            <w:tcW w:w="3400" w:type="dxa"/>
            <w:vAlign w:val="bottom"/>
            <w:tcBorders>
              <w:bottom w:val="single" w:sz="8" w:color="1F5AA8"/>
            </w:tcBorders>
          </w:tcPr>
          <w:p>
            <w:pPr>
              <w:ind w:left="60"/>
              <w:spacing w:after="0" w:line="142" w:lineRule="exact"/>
              <w:rPr>
                <w:sz w:val="20"/>
                <w:szCs w:val="20"/>
                <w:color w:val="auto"/>
              </w:rPr>
            </w:pPr>
            <w:r>
              <w:rPr>
                <w:rFonts w:ascii="Arial" w:cs="Arial" w:eastAsia="Arial" w:hAnsi="Arial"/>
                <w:sz w:val="13"/>
                <w:szCs w:val="13"/>
                <w:b w:val="1"/>
                <w:bCs w:val="1"/>
                <w:color w:val="C44E5E"/>
              </w:rPr>
              <w:t>Andrew J. Murphy, Ph.D.</w:t>
            </w:r>
          </w:p>
        </w:tc>
        <w:tc>
          <w:tcPr>
            <w:tcW w:w="1920" w:type="dxa"/>
            <w:vAlign w:val="bottom"/>
            <w:tcBorders>
              <w:bottom w:val="single" w:sz="8" w:color="1F5AA8"/>
            </w:tcBorders>
          </w:tcPr>
          <w:p>
            <w:pPr>
              <w:jc w:val="right"/>
              <w:ind w:right="37"/>
              <w:spacing w:after="0" w:line="142" w:lineRule="exact"/>
              <w:rPr>
                <w:sz w:val="20"/>
                <w:szCs w:val="20"/>
                <w:color w:val="auto"/>
              </w:rPr>
            </w:pPr>
            <w:r>
              <w:rPr>
                <w:rFonts w:ascii="Arial" w:cs="Arial" w:eastAsia="Arial" w:hAnsi="Arial"/>
                <w:sz w:val="13"/>
                <w:szCs w:val="13"/>
                <w:color w:val="auto"/>
              </w:rPr>
              <w:t>700,000</w:t>
            </w:r>
          </w:p>
        </w:tc>
        <w:tc>
          <w:tcPr>
            <w:tcW w:w="1480" w:type="dxa"/>
            <w:vAlign w:val="bottom"/>
            <w:tcBorders>
              <w:bottom w:val="single" w:sz="8" w:color="1F5AA8"/>
            </w:tcBorders>
          </w:tcPr>
          <w:p>
            <w:pPr>
              <w:jc w:val="right"/>
              <w:ind w:right="437"/>
              <w:spacing w:after="0" w:line="142" w:lineRule="exact"/>
              <w:rPr>
                <w:sz w:val="20"/>
                <w:szCs w:val="20"/>
                <w:color w:val="auto"/>
              </w:rPr>
            </w:pPr>
            <w:r>
              <w:rPr>
                <w:rFonts w:ascii="Arial" w:cs="Arial" w:eastAsia="Arial" w:hAnsi="Arial"/>
                <w:sz w:val="13"/>
                <w:szCs w:val="13"/>
                <w:color w:val="auto"/>
              </w:rPr>
              <w:t>65%</w:t>
            </w:r>
          </w:p>
        </w:tc>
        <w:tc>
          <w:tcPr>
            <w:tcW w:w="1060" w:type="dxa"/>
            <w:vAlign w:val="bottom"/>
            <w:tcBorders>
              <w:bottom w:val="single" w:sz="8" w:color="1F5AA8"/>
            </w:tcBorders>
          </w:tcPr>
          <w:p>
            <w:pPr>
              <w:jc w:val="center"/>
              <w:spacing w:after="0" w:line="142" w:lineRule="exact"/>
              <w:rPr>
                <w:sz w:val="20"/>
                <w:szCs w:val="20"/>
                <w:color w:val="auto"/>
              </w:rPr>
            </w:pPr>
            <w:r>
              <w:rPr>
                <w:rFonts w:ascii="Arial" w:cs="Arial" w:eastAsia="Arial" w:hAnsi="Arial"/>
                <w:sz w:val="13"/>
                <w:szCs w:val="13"/>
                <w:color w:val="auto"/>
                <w:w w:val="99"/>
              </w:rPr>
              <w:t>1.5</w:t>
            </w:r>
          </w:p>
        </w:tc>
        <w:tc>
          <w:tcPr>
            <w:tcW w:w="1300" w:type="dxa"/>
            <w:vAlign w:val="bottom"/>
            <w:tcBorders>
              <w:bottom w:val="single" w:sz="8" w:color="1F5AA8"/>
            </w:tcBorders>
          </w:tcPr>
          <w:p>
            <w:pPr>
              <w:ind w:left="420"/>
              <w:spacing w:after="0" w:line="142" w:lineRule="exact"/>
              <w:rPr>
                <w:sz w:val="20"/>
                <w:szCs w:val="20"/>
                <w:color w:val="auto"/>
              </w:rPr>
            </w:pPr>
            <w:r>
              <w:rPr>
                <w:rFonts w:ascii="Arial" w:cs="Arial" w:eastAsia="Arial" w:hAnsi="Arial"/>
                <w:sz w:val="13"/>
                <w:szCs w:val="13"/>
                <w:color w:val="auto"/>
              </w:rPr>
              <w:t>2.25</w:t>
            </w:r>
          </w:p>
        </w:tc>
        <w:tc>
          <w:tcPr>
            <w:tcW w:w="900" w:type="dxa"/>
            <w:vAlign w:val="bottom"/>
            <w:tcBorders>
              <w:bottom w:val="single" w:sz="8" w:color="1F5AA8"/>
            </w:tcBorders>
            <w:shd w:val="clear" w:color="auto" w:fill="E3E6F4"/>
          </w:tcPr>
          <w:p>
            <w:pPr>
              <w:jc w:val="right"/>
              <w:ind w:right="77"/>
              <w:spacing w:after="0" w:line="142" w:lineRule="exact"/>
              <w:rPr>
                <w:sz w:val="20"/>
                <w:szCs w:val="20"/>
                <w:color w:val="auto"/>
              </w:rPr>
            </w:pPr>
            <w:r>
              <w:rPr>
                <w:rFonts w:ascii="Arial" w:cs="Arial" w:eastAsia="Arial" w:hAnsi="Arial"/>
                <w:sz w:val="13"/>
                <w:szCs w:val="13"/>
                <w:color w:val="auto"/>
              </w:rPr>
              <w:t>887,250</w:t>
            </w:r>
          </w:p>
        </w:tc>
        <w:tc>
          <w:tcPr>
            <w:tcW w:w="100" w:type="dxa"/>
            <w:vAlign w:val="bottom"/>
            <w:tcBorders>
              <w:bottom w:val="single" w:sz="8" w:color="1F5AA8"/>
            </w:tcBorders>
          </w:tcPr>
          <w:p>
            <w:pPr>
              <w:spacing w:after="0"/>
              <w:rPr>
                <w:sz w:val="12"/>
                <w:szCs w:val="12"/>
                <w:color w:val="auto"/>
              </w:rPr>
            </w:pPr>
          </w:p>
        </w:tc>
      </w:tr>
    </w:tbl>
    <w:p>
      <w:pPr>
        <w:spacing w:after="0" w:line="167" w:lineRule="exact"/>
        <w:rPr>
          <w:sz w:val="20"/>
          <w:szCs w:val="20"/>
          <w:color w:val="auto"/>
        </w:rPr>
      </w:pPr>
    </w:p>
    <w:p>
      <w:pPr>
        <w:ind w:left="760" w:right="560" w:hanging="212"/>
        <w:spacing w:after="0" w:line="249" w:lineRule="auto"/>
        <w:tabs>
          <w:tab w:leader="none" w:pos="7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Capped at the maximum amount allocated in March 2020 under the Cash Incentive Bonus Plan, resulting in lower cash incentive awards to these executives. Actual cash incentives awarded to these executives in respect of 2020 correspond to a Company performance multiplier of 2.09, 2.07, 2.03, and 2.03 for Drs. Schleifer and Yancopoulos and Messrs. Landry and Van Plew, respectively.</w:t>
      </w:r>
    </w:p>
    <w:p>
      <w:pPr>
        <w:spacing w:after="0" w:line="283" w:lineRule="exact"/>
        <w:rPr>
          <w:sz w:val="20"/>
          <w:szCs w:val="20"/>
          <w:color w:val="auto"/>
        </w:rPr>
      </w:pPr>
    </w:p>
    <w:p>
      <w:pPr>
        <w:spacing w:after="0"/>
        <w:tabs>
          <w:tab w:leader="none" w:pos="5440" w:val="left"/>
        </w:tabs>
        <w:rPr>
          <w:sz w:val="20"/>
          <w:szCs w:val="20"/>
          <w:color w:val="auto"/>
        </w:rPr>
      </w:pPr>
      <w:r>
        <w:rPr>
          <w:rFonts w:ascii="Arial" w:cs="Arial" w:eastAsia="Arial" w:hAnsi="Arial"/>
          <w:sz w:val="14"/>
          <w:szCs w:val="14"/>
          <w:b w:val="1"/>
          <w:bCs w:val="1"/>
          <w:color w:val="00A5EC"/>
        </w:rPr>
        <w:t xml:space="preserve">68  </w:t>
      </w:r>
      <w:r>
        <w:rPr>
          <w:rFonts w:ascii="Arial" w:cs="Arial" w:eastAsia="Arial" w:hAnsi="Arial"/>
          <w:sz w:val="14"/>
          <w:szCs w:val="14"/>
          <w:color w:val="00A5EC"/>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79" w:name="page80"/>
    <w:bookmarkEnd w:id="79"/>
    <w:p>
      <w:pPr>
        <w:jc w:val="right"/>
        <w:ind w:righ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32"/>
          <w:szCs w:val="32"/>
          <w:b w:val="1"/>
          <w:bCs w:val="1"/>
          <w:color w:val="C44E5E"/>
        </w:rPr>
        <w:t>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29210</wp:posOffset>
            </wp:positionV>
            <wp:extent cx="64465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88" w:lineRule="exact"/>
        <w:rPr>
          <w:sz w:val="20"/>
          <w:szCs w:val="20"/>
          <w:color w:val="auto"/>
        </w:rPr>
      </w:pPr>
    </w:p>
    <w:p>
      <w:pPr>
        <w:ind w:left="540" w:right="680"/>
        <w:spacing w:after="0" w:line="243" w:lineRule="auto"/>
        <w:rPr>
          <w:sz w:val="20"/>
          <w:szCs w:val="20"/>
          <w:color w:val="auto"/>
        </w:rPr>
      </w:pPr>
      <w:r>
        <w:rPr>
          <w:rFonts w:ascii="Arial" w:cs="Arial" w:eastAsia="Arial" w:hAnsi="Arial"/>
          <w:sz w:val="13"/>
          <w:szCs w:val="13"/>
          <w:color w:val="auto"/>
        </w:rPr>
        <w:t>Equity grants represent the largest portion of the value awarded annually to our NEOs for compensation purposes. These awards are designed to incentivize delivery of sustainable long-term value, which we believe is created by focusing on the discovery, development, and commercialization of new medicines. Our Compensation Committee utilizes a customized framework for determining the size and mix of the annual equity awards of our NEOs and other executives, which is periodically reassessed in light of our business objectives, feedback from our shareholders, and market practices. This framework and the relevant considerations underlying our equity program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145415</wp:posOffset>
            </wp:positionV>
            <wp:extent cx="5391785" cy="18427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391785" cy="1842770"/>
                    </a:xfrm>
                    <a:prstGeom prst="rect">
                      <a:avLst/>
                    </a:prstGeom>
                    <a:noFill/>
                  </pic:spPr>
                </pic:pic>
              </a:graphicData>
            </a:graphic>
          </wp:anchor>
        </w:drawing>
      </w:r>
    </w:p>
    <w:p>
      <w:pPr>
        <w:spacing w:after="0" w:line="268"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205BA8"/>
        </w:rPr>
        <w:t>Performance-Based Sizing and Value Delivery</w:t>
      </w:r>
    </w:p>
    <w:p>
      <w:pPr>
        <w:spacing w:after="0" w:line="141" w:lineRule="exact"/>
        <w:rPr>
          <w:sz w:val="20"/>
          <w:szCs w:val="20"/>
          <w:color w:val="auto"/>
        </w:rPr>
      </w:pPr>
    </w:p>
    <w:p>
      <w:pPr>
        <w:ind w:left="2420" w:hanging="122"/>
        <w:spacing w:after="0"/>
        <w:tabs>
          <w:tab w:leader="none" w:pos="2420" w:val="left"/>
        </w:tabs>
        <w:numPr>
          <w:ilvl w:val="0"/>
          <w:numId w:val="104"/>
        </w:numPr>
        <w:rPr>
          <w:rFonts w:ascii="Arial" w:cs="Arial" w:eastAsia="Arial" w:hAnsi="Arial"/>
          <w:sz w:val="13"/>
          <w:szCs w:val="13"/>
          <w:color w:val="205BA8"/>
        </w:rPr>
      </w:pPr>
      <w:r>
        <w:rPr>
          <w:rFonts w:ascii="Arial" w:cs="Arial" w:eastAsia="Arial" w:hAnsi="Arial"/>
          <w:sz w:val="13"/>
          <w:szCs w:val="13"/>
          <w:b w:val="1"/>
          <w:bCs w:val="1"/>
          <w:color w:val="auto"/>
        </w:rPr>
        <w:t>In determining the size of equity awards to our NEOs, we take into account:</w:t>
      </w:r>
    </w:p>
    <w:p>
      <w:pPr>
        <w:spacing w:after="0" w:line="136" w:lineRule="exact"/>
        <w:rPr>
          <w:rFonts w:ascii="Arial" w:cs="Arial" w:eastAsia="Arial" w:hAnsi="Arial"/>
          <w:sz w:val="13"/>
          <w:szCs w:val="13"/>
          <w:color w:val="205BA8"/>
        </w:rPr>
      </w:pPr>
    </w:p>
    <w:p>
      <w:pPr>
        <w:ind w:left="2560" w:hanging="118"/>
        <w:spacing w:after="0"/>
        <w:tabs>
          <w:tab w:leader="none" w:pos="2560" w:val="left"/>
        </w:tabs>
        <w:numPr>
          <w:ilvl w:val="1"/>
          <w:numId w:val="104"/>
        </w:numPr>
        <w:rPr>
          <w:rFonts w:ascii="Arial" w:cs="Arial" w:eastAsia="Arial" w:hAnsi="Arial"/>
          <w:sz w:val="13"/>
          <w:szCs w:val="13"/>
          <w:color w:val="205BA8"/>
        </w:rPr>
      </w:pPr>
      <w:r>
        <w:rPr>
          <w:rFonts w:ascii="Arial" w:cs="Arial" w:eastAsia="Arial" w:hAnsi="Arial"/>
          <w:sz w:val="13"/>
          <w:szCs w:val="13"/>
          <w:color w:val="auto"/>
        </w:rPr>
        <w:t>Corporate performance (assessment of Regeneron’s corporate accomplishments, particularly as they relate to our product pipeline); and/or</w:t>
      </w:r>
    </w:p>
    <w:p>
      <w:pPr>
        <w:spacing w:after="0" w:line="120" w:lineRule="exact"/>
        <w:rPr>
          <w:rFonts w:ascii="Arial" w:cs="Arial" w:eastAsia="Arial" w:hAnsi="Arial"/>
          <w:sz w:val="13"/>
          <w:szCs w:val="13"/>
          <w:color w:val="205BA8"/>
        </w:rPr>
      </w:pPr>
    </w:p>
    <w:p>
      <w:pPr>
        <w:ind w:left="2580" w:right="740" w:hanging="138"/>
        <w:spacing w:after="0" w:line="243" w:lineRule="auto"/>
        <w:tabs>
          <w:tab w:leader="none" w:pos="2554" w:val="left"/>
        </w:tabs>
        <w:numPr>
          <w:ilvl w:val="1"/>
          <w:numId w:val="104"/>
        </w:numPr>
        <w:rPr>
          <w:rFonts w:ascii="Arial" w:cs="Arial" w:eastAsia="Arial" w:hAnsi="Arial"/>
          <w:sz w:val="13"/>
          <w:szCs w:val="13"/>
          <w:color w:val="205BA8"/>
        </w:rPr>
      </w:pPr>
      <w:r>
        <w:rPr>
          <w:rFonts w:ascii="Arial" w:cs="Arial" w:eastAsia="Arial" w:hAnsi="Arial"/>
          <w:sz w:val="13"/>
          <w:szCs w:val="13"/>
          <w:color w:val="auto"/>
        </w:rPr>
        <w:t>Individual performance (assessment of performance against the corporate goals established by the board of directors for the CEO and the goals established by the Committee and/or the CEO for the other NEOs, as well as an assessment of the individual’s importance to the Company’s future performance).</w:t>
      </w:r>
    </w:p>
    <w:p>
      <w:pPr>
        <w:spacing w:after="0" w:line="110" w:lineRule="exact"/>
        <w:rPr>
          <w:rFonts w:ascii="Arial" w:cs="Arial" w:eastAsia="Arial" w:hAnsi="Arial"/>
          <w:sz w:val="13"/>
          <w:szCs w:val="13"/>
          <w:color w:val="205BA8"/>
        </w:rPr>
      </w:pPr>
    </w:p>
    <w:p>
      <w:pPr>
        <w:ind w:left="2440" w:right="760" w:hanging="142"/>
        <w:spacing w:after="0" w:line="274" w:lineRule="auto"/>
        <w:tabs>
          <w:tab w:leader="none" w:pos="2414" w:val="left"/>
        </w:tabs>
        <w:numPr>
          <w:ilvl w:val="0"/>
          <w:numId w:val="104"/>
        </w:numPr>
        <w:rPr>
          <w:rFonts w:ascii="Arial" w:cs="Arial" w:eastAsia="Arial" w:hAnsi="Arial"/>
          <w:sz w:val="13"/>
          <w:szCs w:val="13"/>
          <w:color w:val="205BA8"/>
        </w:rPr>
      </w:pPr>
      <w:r>
        <w:rPr>
          <w:rFonts w:ascii="Arial" w:cs="Arial" w:eastAsia="Arial" w:hAnsi="Arial"/>
          <w:sz w:val="13"/>
          <w:szCs w:val="13"/>
          <w:b w:val="1"/>
          <w:bCs w:val="1"/>
          <w:color w:val="auto"/>
        </w:rPr>
        <w:t>Both PSUs (used exclusively for equity awards to our CEO and CSO in 2020) and stock options (the primary component of each of our other NEOs’ annual equity awards in 2020) are performance-based:</w:t>
      </w:r>
    </w:p>
    <w:p>
      <w:pPr>
        <w:spacing w:after="0" w:line="93" w:lineRule="exact"/>
        <w:rPr>
          <w:rFonts w:ascii="Arial" w:cs="Arial" w:eastAsia="Arial" w:hAnsi="Arial"/>
          <w:sz w:val="13"/>
          <w:szCs w:val="13"/>
          <w:color w:val="205BA8"/>
        </w:rPr>
      </w:pPr>
    </w:p>
    <w:p>
      <w:pPr>
        <w:ind w:left="2580" w:right="760" w:hanging="138"/>
        <w:spacing w:after="0" w:line="243" w:lineRule="auto"/>
        <w:tabs>
          <w:tab w:leader="none" w:pos="2554" w:val="left"/>
        </w:tabs>
        <w:numPr>
          <w:ilvl w:val="1"/>
          <w:numId w:val="104"/>
        </w:numPr>
        <w:rPr>
          <w:rFonts w:ascii="Arial" w:cs="Arial" w:eastAsia="Arial" w:hAnsi="Arial"/>
          <w:sz w:val="13"/>
          <w:szCs w:val="13"/>
          <w:color w:val="205BA8"/>
        </w:rPr>
      </w:pPr>
      <w:r>
        <w:rPr>
          <w:rFonts w:ascii="Arial" w:cs="Arial" w:eastAsia="Arial" w:hAnsi="Arial"/>
          <w:sz w:val="13"/>
          <w:szCs w:val="13"/>
          <w:color w:val="auto"/>
        </w:rPr>
        <w:t>PSUs only vest if the relevant performance criteria related to TSR are satisfied. They are designed to reward top performance; reward exceptional long-term shareholder value creation; and ensure stability and continuity of leadership to support the achievement of the next phase of Regeneron’s ambitious product, pipeline, and talent development plans.</w:t>
      </w:r>
    </w:p>
    <w:p>
      <w:pPr>
        <w:spacing w:after="0" w:line="112" w:lineRule="exact"/>
        <w:rPr>
          <w:rFonts w:ascii="Arial" w:cs="Arial" w:eastAsia="Arial" w:hAnsi="Arial"/>
          <w:sz w:val="13"/>
          <w:szCs w:val="13"/>
          <w:color w:val="205BA8"/>
        </w:rPr>
      </w:pPr>
    </w:p>
    <w:p>
      <w:pPr>
        <w:ind w:left="2580" w:right="960" w:hanging="138"/>
        <w:spacing w:after="0" w:line="248" w:lineRule="auto"/>
        <w:tabs>
          <w:tab w:leader="none" w:pos="2554" w:val="left"/>
        </w:tabs>
        <w:numPr>
          <w:ilvl w:val="1"/>
          <w:numId w:val="104"/>
        </w:numPr>
        <w:rPr>
          <w:rFonts w:ascii="Arial" w:cs="Arial" w:eastAsia="Arial" w:hAnsi="Arial"/>
          <w:sz w:val="13"/>
          <w:szCs w:val="13"/>
          <w:color w:val="205BA8"/>
        </w:rPr>
      </w:pPr>
      <w:r>
        <w:rPr>
          <w:rFonts w:ascii="Arial" w:cs="Arial" w:eastAsia="Arial" w:hAnsi="Arial"/>
          <w:sz w:val="13"/>
          <w:szCs w:val="13"/>
          <w:color w:val="auto"/>
        </w:rPr>
        <w:t>Stock options only deliver value if we deliver stock price appreciation for shareholders after grant. No amount of time will make a stock option deliver any value unless the company’s stock price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-1312545</wp:posOffset>
            </wp:positionV>
            <wp:extent cx="1045845" cy="8572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045845" cy="85725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135890</wp:posOffset>
            </wp:positionV>
            <wp:extent cx="6446520" cy="37287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446520" cy="3728720"/>
                    </a:xfrm>
                    <a:prstGeom prst="rect">
                      <a:avLst/>
                    </a:prstGeom>
                    <a:noFill/>
                  </pic:spPr>
                </pic:pic>
              </a:graphicData>
            </a:graphic>
          </wp:anchor>
        </w:drawing>
      </w:r>
    </w:p>
    <w:p>
      <w:pPr>
        <w:spacing w:after="0" w:line="252"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205BA8"/>
        </w:rPr>
        <w:t>Long-Term Value Creation</w:t>
      </w:r>
    </w:p>
    <w:p>
      <w:pPr>
        <w:spacing w:after="0" w:line="141" w:lineRule="exact"/>
        <w:rPr>
          <w:sz w:val="20"/>
          <w:szCs w:val="20"/>
          <w:color w:val="auto"/>
        </w:rPr>
      </w:pPr>
    </w:p>
    <w:p>
      <w:pPr>
        <w:ind w:left="2440" w:right="720" w:hanging="142"/>
        <w:spacing w:after="0" w:line="274" w:lineRule="auto"/>
        <w:tabs>
          <w:tab w:leader="none" w:pos="2414" w:val="left"/>
        </w:tabs>
        <w:numPr>
          <w:ilvl w:val="0"/>
          <w:numId w:val="105"/>
        </w:numPr>
        <w:rPr>
          <w:rFonts w:ascii="Arial" w:cs="Arial" w:eastAsia="Arial" w:hAnsi="Arial"/>
          <w:sz w:val="13"/>
          <w:szCs w:val="13"/>
          <w:color w:val="205BA8"/>
        </w:rPr>
      </w:pPr>
      <w:r>
        <w:rPr>
          <w:rFonts w:ascii="Arial" w:cs="Arial" w:eastAsia="Arial" w:hAnsi="Arial"/>
          <w:sz w:val="13"/>
          <w:szCs w:val="13"/>
          <w:b w:val="1"/>
          <w:bCs w:val="1"/>
          <w:color w:val="auto"/>
        </w:rPr>
        <w:t>PSUs incorporate a long-term, five-year performance period. In addition, the PSUs granted in 2020 require a three-year deferral and holding period, thus promoting and rewarding value creation over eight years.</w:t>
      </w:r>
    </w:p>
    <w:p>
      <w:pPr>
        <w:spacing w:after="0" w:line="77" w:lineRule="exact"/>
        <w:rPr>
          <w:rFonts w:ascii="Arial" w:cs="Arial" w:eastAsia="Arial" w:hAnsi="Arial"/>
          <w:sz w:val="13"/>
          <w:szCs w:val="13"/>
          <w:color w:val="205BA8"/>
        </w:rPr>
      </w:pPr>
    </w:p>
    <w:p>
      <w:pPr>
        <w:ind w:left="2440" w:right="680" w:hanging="142"/>
        <w:spacing w:after="0" w:line="256" w:lineRule="auto"/>
        <w:tabs>
          <w:tab w:leader="none" w:pos="2414" w:val="left"/>
        </w:tabs>
        <w:numPr>
          <w:ilvl w:val="0"/>
          <w:numId w:val="105"/>
        </w:numPr>
        <w:rPr>
          <w:rFonts w:ascii="Arial" w:cs="Arial" w:eastAsia="Arial" w:hAnsi="Arial"/>
          <w:sz w:val="13"/>
          <w:szCs w:val="13"/>
          <w:color w:val="205BA8"/>
        </w:rPr>
      </w:pPr>
      <w:r>
        <w:rPr>
          <w:rFonts w:ascii="Arial" w:cs="Arial" w:eastAsia="Arial" w:hAnsi="Arial"/>
          <w:sz w:val="13"/>
          <w:szCs w:val="13"/>
          <w:b w:val="1"/>
          <w:bCs w:val="1"/>
          <w:color w:val="auto"/>
        </w:rPr>
        <w:t>Stock option grants have ten-year terms and four-year vesting provisions (generally requiring our employees, including our NEOs, to remain employed for four years in order for all options to vest*) to align with long-term value creation and the development cycle of our products.</w:t>
      </w:r>
    </w:p>
    <w:p>
      <w:pPr>
        <w:spacing w:after="0" w:line="88" w:lineRule="exact"/>
        <w:rPr>
          <w:rFonts w:ascii="Arial" w:cs="Arial" w:eastAsia="Arial" w:hAnsi="Arial"/>
          <w:sz w:val="13"/>
          <w:szCs w:val="13"/>
          <w:color w:val="205BA8"/>
        </w:rPr>
      </w:pPr>
    </w:p>
    <w:p>
      <w:pPr>
        <w:ind w:left="2420" w:hanging="122"/>
        <w:spacing w:after="0"/>
        <w:tabs>
          <w:tab w:leader="none" w:pos="2420" w:val="left"/>
        </w:tabs>
        <w:numPr>
          <w:ilvl w:val="0"/>
          <w:numId w:val="105"/>
        </w:numPr>
        <w:rPr>
          <w:rFonts w:ascii="Arial" w:cs="Arial" w:eastAsia="Arial" w:hAnsi="Arial"/>
          <w:sz w:val="13"/>
          <w:szCs w:val="13"/>
          <w:color w:val="205BA8"/>
        </w:rPr>
      </w:pPr>
      <w:r>
        <w:rPr>
          <w:rFonts w:ascii="Arial" w:cs="Arial" w:eastAsia="Arial" w:hAnsi="Arial"/>
          <w:sz w:val="13"/>
          <w:szCs w:val="13"/>
          <w:b w:val="1"/>
          <w:bCs w:val="1"/>
          <w:color w:val="auto"/>
        </w:rPr>
        <w:t>RSAs/RSUs promote long-term employment:</w:t>
      </w:r>
    </w:p>
    <w:p>
      <w:pPr>
        <w:spacing w:after="0" w:line="150" w:lineRule="exact"/>
        <w:rPr>
          <w:rFonts w:ascii="Arial" w:cs="Arial" w:eastAsia="Arial" w:hAnsi="Arial"/>
          <w:sz w:val="13"/>
          <w:szCs w:val="13"/>
          <w:color w:val="205BA8"/>
        </w:rPr>
      </w:pPr>
    </w:p>
    <w:p>
      <w:pPr>
        <w:ind w:left="2580" w:right="680" w:hanging="138"/>
        <w:spacing w:after="0" w:line="248" w:lineRule="auto"/>
        <w:tabs>
          <w:tab w:leader="none" w:pos="2554" w:val="left"/>
        </w:tabs>
        <w:numPr>
          <w:ilvl w:val="1"/>
          <w:numId w:val="105"/>
        </w:numPr>
        <w:rPr>
          <w:rFonts w:ascii="Arial" w:cs="Arial" w:eastAsia="Arial" w:hAnsi="Arial"/>
          <w:sz w:val="13"/>
          <w:szCs w:val="13"/>
          <w:color w:val="205BA8"/>
        </w:rPr>
      </w:pPr>
      <w:r>
        <w:rPr>
          <w:rFonts w:ascii="Arial" w:cs="Arial" w:eastAsia="Arial" w:hAnsi="Arial"/>
          <w:sz w:val="13"/>
          <w:szCs w:val="13"/>
          <w:color w:val="auto"/>
        </w:rPr>
        <w:t>RSAs/RSUs awarded as a component of annual equity awards vest 50% on the second anniversary of the date of grant and 50% on fourth anniversary of the date of grant, which is a more backloaded vesting schedule than is typical in the industry.</w:t>
      </w:r>
    </w:p>
    <w:p>
      <w:pPr>
        <w:spacing w:after="0" w:line="109" w:lineRule="exact"/>
        <w:rPr>
          <w:rFonts w:ascii="Arial" w:cs="Arial" w:eastAsia="Arial" w:hAnsi="Arial"/>
          <w:sz w:val="13"/>
          <w:szCs w:val="13"/>
          <w:color w:val="205BA8"/>
        </w:rPr>
      </w:pPr>
    </w:p>
    <w:p>
      <w:pPr>
        <w:ind w:left="2560" w:hanging="118"/>
        <w:spacing w:after="0"/>
        <w:tabs>
          <w:tab w:leader="none" w:pos="2560" w:val="left"/>
        </w:tabs>
        <w:numPr>
          <w:ilvl w:val="1"/>
          <w:numId w:val="105"/>
        </w:numPr>
        <w:rPr>
          <w:rFonts w:ascii="Arial" w:cs="Arial" w:eastAsia="Arial" w:hAnsi="Arial"/>
          <w:sz w:val="13"/>
          <w:szCs w:val="13"/>
          <w:color w:val="205BA8"/>
        </w:rPr>
      </w:pPr>
      <w:r>
        <w:rPr>
          <w:rFonts w:ascii="Arial" w:cs="Arial" w:eastAsia="Arial" w:hAnsi="Arial"/>
          <w:sz w:val="13"/>
          <w:szCs w:val="13"/>
          <w:color w:val="auto"/>
        </w:rPr>
        <w:t>Special RSAs awarded to our NEOs vest 100% on the fifth anniversary of the date of grant.</w:t>
      </w:r>
    </w:p>
    <w:p>
      <w:pPr>
        <w:spacing w:after="0" w:line="283"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205BA8"/>
        </w:rPr>
        <w:t>Meaningful Holding Requirements</w:t>
      </w:r>
    </w:p>
    <w:p>
      <w:pPr>
        <w:spacing w:after="0" w:line="141" w:lineRule="exact"/>
        <w:rPr>
          <w:sz w:val="20"/>
          <w:szCs w:val="20"/>
          <w:color w:val="auto"/>
        </w:rPr>
      </w:pPr>
    </w:p>
    <w:p>
      <w:pPr>
        <w:ind w:left="2420" w:hanging="122"/>
        <w:spacing w:after="0"/>
        <w:tabs>
          <w:tab w:leader="none" w:pos="2420" w:val="left"/>
        </w:tabs>
        <w:numPr>
          <w:ilvl w:val="0"/>
          <w:numId w:val="106"/>
        </w:numPr>
        <w:rPr>
          <w:rFonts w:ascii="Arial" w:cs="Arial" w:eastAsia="Arial" w:hAnsi="Arial"/>
          <w:sz w:val="13"/>
          <w:szCs w:val="13"/>
          <w:color w:val="205BA8"/>
        </w:rPr>
      </w:pPr>
      <w:r>
        <w:rPr>
          <w:rFonts w:ascii="Arial" w:cs="Arial" w:eastAsia="Arial" w:hAnsi="Arial"/>
          <w:sz w:val="13"/>
          <w:szCs w:val="13"/>
          <w:b w:val="1"/>
          <w:bCs w:val="1"/>
          <w:color w:val="auto"/>
        </w:rPr>
        <w:t>PSUs awarded in 2020 require a three-year deferral and holding period following vesting, except in certain limited circumstances.</w:t>
      </w:r>
    </w:p>
    <w:p>
      <w:pPr>
        <w:spacing w:after="0" w:line="120" w:lineRule="exact"/>
        <w:rPr>
          <w:rFonts w:ascii="Arial" w:cs="Arial" w:eastAsia="Arial" w:hAnsi="Arial"/>
          <w:sz w:val="13"/>
          <w:szCs w:val="13"/>
          <w:color w:val="205BA8"/>
        </w:rPr>
      </w:pPr>
    </w:p>
    <w:p>
      <w:pPr>
        <w:ind w:left="2420" w:hanging="122"/>
        <w:spacing w:after="0"/>
        <w:tabs>
          <w:tab w:leader="none" w:pos="2420" w:val="left"/>
        </w:tabs>
        <w:numPr>
          <w:ilvl w:val="0"/>
          <w:numId w:val="106"/>
        </w:numPr>
        <w:rPr>
          <w:rFonts w:ascii="Arial" w:cs="Arial" w:eastAsia="Arial" w:hAnsi="Arial"/>
          <w:sz w:val="13"/>
          <w:szCs w:val="13"/>
          <w:color w:val="205BA8"/>
        </w:rPr>
      </w:pPr>
      <w:r>
        <w:rPr>
          <w:rFonts w:ascii="Arial" w:cs="Arial" w:eastAsia="Arial" w:hAnsi="Arial"/>
          <w:sz w:val="13"/>
          <w:szCs w:val="13"/>
          <w:b w:val="1"/>
          <w:bCs w:val="1"/>
          <w:color w:val="auto"/>
        </w:rPr>
        <w:t>We require NEOs to retain a significant amount of equity within five years of their employment with Regeneron:</w:t>
      </w:r>
    </w:p>
    <w:p>
      <w:pPr>
        <w:spacing w:after="0" w:line="136" w:lineRule="exact"/>
        <w:rPr>
          <w:rFonts w:ascii="Arial" w:cs="Arial" w:eastAsia="Arial" w:hAnsi="Arial"/>
          <w:sz w:val="13"/>
          <w:szCs w:val="13"/>
          <w:color w:val="205BA8"/>
        </w:rPr>
      </w:pPr>
    </w:p>
    <w:p>
      <w:pPr>
        <w:ind w:left="2560" w:hanging="118"/>
        <w:spacing w:after="0"/>
        <w:tabs>
          <w:tab w:leader="none" w:pos="2560" w:val="left"/>
        </w:tabs>
        <w:numPr>
          <w:ilvl w:val="1"/>
          <w:numId w:val="106"/>
        </w:numPr>
        <w:rPr>
          <w:rFonts w:ascii="Arial" w:cs="Arial" w:eastAsia="Arial" w:hAnsi="Arial"/>
          <w:sz w:val="13"/>
          <w:szCs w:val="13"/>
          <w:color w:val="205BA8"/>
        </w:rPr>
      </w:pPr>
      <w:r>
        <w:rPr>
          <w:rFonts w:ascii="Arial" w:cs="Arial" w:eastAsia="Arial" w:hAnsi="Arial"/>
          <w:sz w:val="13"/>
          <w:szCs w:val="13"/>
          <w:color w:val="auto"/>
        </w:rPr>
        <w:t>Our CEO and CSO must own shares with a value at least 6-times their respective base salaries.</w:t>
      </w:r>
    </w:p>
    <w:p>
      <w:pPr>
        <w:spacing w:after="0" w:line="134" w:lineRule="exact"/>
        <w:rPr>
          <w:rFonts w:ascii="Arial" w:cs="Arial" w:eastAsia="Arial" w:hAnsi="Arial"/>
          <w:sz w:val="13"/>
          <w:szCs w:val="13"/>
          <w:color w:val="205BA8"/>
        </w:rPr>
      </w:pPr>
    </w:p>
    <w:p>
      <w:pPr>
        <w:ind w:left="2560" w:hanging="118"/>
        <w:spacing w:after="0"/>
        <w:tabs>
          <w:tab w:leader="none" w:pos="2560" w:val="left"/>
        </w:tabs>
        <w:numPr>
          <w:ilvl w:val="1"/>
          <w:numId w:val="106"/>
        </w:numPr>
        <w:rPr>
          <w:rFonts w:ascii="Arial" w:cs="Arial" w:eastAsia="Arial" w:hAnsi="Arial"/>
          <w:sz w:val="13"/>
          <w:szCs w:val="13"/>
          <w:color w:val="205BA8"/>
        </w:rPr>
      </w:pPr>
      <w:r>
        <w:rPr>
          <w:rFonts w:ascii="Arial" w:cs="Arial" w:eastAsia="Arial" w:hAnsi="Arial"/>
          <w:sz w:val="13"/>
          <w:szCs w:val="13"/>
          <w:color w:val="auto"/>
        </w:rPr>
        <w:t>Our other NEOs must own shares with a value at least 2-times their respective base salaries.</w:t>
      </w:r>
    </w:p>
    <w:p>
      <w:pPr>
        <w:spacing w:after="0" w:line="27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205BA8"/>
        </w:rPr>
        <w:t>Risk-Mitigating Policies and Practices</w:t>
      </w:r>
    </w:p>
    <w:p>
      <w:pPr>
        <w:spacing w:after="0" w:line="141" w:lineRule="exact"/>
        <w:rPr>
          <w:sz w:val="20"/>
          <w:szCs w:val="20"/>
          <w:color w:val="auto"/>
        </w:rPr>
      </w:pPr>
    </w:p>
    <w:p>
      <w:pPr>
        <w:ind w:left="2440" w:right="820" w:hanging="142"/>
        <w:spacing w:after="0" w:line="256" w:lineRule="auto"/>
        <w:tabs>
          <w:tab w:leader="none" w:pos="2414" w:val="left"/>
        </w:tabs>
        <w:numPr>
          <w:ilvl w:val="1"/>
          <w:numId w:val="107"/>
        </w:numPr>
        <w:rPr>
          <w:rFonts w:ascii="Arial" w:cs="Arial" w:eastAsia="Arial" w:hAnsi="Arial"/>
          <w:sz w:val="13"/>
          <w:szCs w:val="13"/>
          <w:color w:val="205BA8"/>
        </w:rPr>
      </w:pPr>
      <w:r>
        <w:rPr>
          <w:rFonts w:ascii="Arial" w:cs="Arial" w:eastAsia="Arial" w:hAnsi="Arial"/>
          <w:sz w:val="13"/>
          <w:szCs w:val="13"/>
          <w:b w:val="1"/>
          <w:bCs w:val="1"/>
          <w:color w:val="auto"/>
        </w:rPr>
        <w:t>We have a recoupment (clawback) policy that enables us to reduce or recoup equity and other incentive compensation for compliance violations by NEOs and other covered officers and employees; importantly, the policy covers both financial and non-financial violations.**</w:t>
      </w:r>
    </w:p>
    <w:p>
      <w:pPr>
        <w:spacing w:after="0" w:line="88" w:lineRule="exact"/>
        <w:rPr>
          <w:rFonts w:ascii="Arial" w:cs="Arial" w:eastAsia="Arial" w:hAnsi="Arial"/>
          <w:sz w:val="13"/>
          <w:szCs w:val="13"/>
          <w:color w:val="205BA8"/>
        </w:rPr>
      </w:pPr>
    </w:p>
    <w:p>
      <w:pPr>
        <w:ind w:left="2420" w:hanging="122"/>
        <w:spacing w:after="0"/>
        <w:tabs>
          <w:tab w:leader="none" w:pos="2420" w:val="left"/>
        </w:tabs>
        <w:numPr>
          <w:ilvl w:val="1"/>
          <w:numId w:val="107"/>
        </w:numPr>
        <w:rPr>
          <w:rFonts w:ascii="Arial" w:cs="Arial" w:eastAsia="Arial" w:hAnsi="Arial"/>
          <w:sz w:val="13"/>
          <w:szCs w:val="13"/>
          <w:color w:val="205BA8"/>
        </w:rPr>
      </w:pPr>
      <w:r>
        <w:rPr>
          <w:rFonts w:ascii="Arial" w:cs="Arial" w:eastAsia="Arial" w:hAnsi="Arial"/>
          <w:sz w:val="13"/>
          <w:szCs w:val="13"/>
          <w:b w:val="1"/>
          <w:bCs w:val="1"/>
          <w:color w:val="auto"/>
        </w:rPr>
        <w:t>We prohibit our NEOs from hedging or pledging Regeneron securities they hold.</w:t>
      </w:r>
    </w:p>
    <w:p>
      <w:pPr>
        <w:spacing w:after="0" w:line="120" w:lineRule="exact"/>
        <w:rPr>
          <w:rFonts w:ascii="Arial" w:cs="Arial" w:eastAsia="Arial" w:hAnsi="Arial"/>
          <w:sz w:val="13"/>
          <w:szCs w:val="13"/>
          <w:color w:val="205BA8"/>
        </w:rPr>
      </w:pPr>
    </w:p>
    <w:p>
      <w:pPr>
        <w:ind w:left="2440" w:right="800" w:hanging="142"/>
        <w:spacing w:after="0" w:line="256" w:lineRule="auto"/>
        <w:tabs>
          <w:tab w:leader="none" w:pos="2414" w:val="left"/>
        </w:tabs>
        <w:numPr>
          <w:ilvl w:val="1"/>
          <w:numId w:val="107"/>
        </w:numPr>
        <w:rPr>
          <w:rFonts w:ascii="Arial" w:cs="Arial" w:eastAsia="Arial" w:hAnsi="Arial"/>
          <w:sz w:val="13"/>
          <w:szCs w:val="13"/>
          <w:color w:val="205BA8"/>
        </w:rPr>
      </w:pPr>
      <w:r>
        <w:rPr>
          <w:rFonts w:ascii="Arial" w:cs="Arial" w:eastAsia="Arial" w:hAnsi="Arial"/>
          <w:sz w:val="13"/>
          <w:szCs w:val="13"/>
          <w:b w:val="1"/>
          <w:bCs w:val="1"/>
          <w:color w:val="auto"/>
        </w:rPr>
        <w:t>We periodically evaluate each NEO’s grant history and prior grant size amounts, as well as the amount of outstanding unvested and/or vested but unexercised stock options and other equity awards (if applicable) held, including whether such awards are “in-the-money.” These considerations inform future NEO grant sizes and the mix of equity awards utilized.</w:t>
      </w:r>
    </w:p>
    <w:p>
      <w:pPr>
        <w:spacing w:after="0" w:line="302" w:lineRule="exact"/>
        <w:rPr>
          <w:rFonts w:ascii="Arial" w:cs="Arial" w:eastAsia="Arial" w:hAnsi="Arial"/>
          <w:sz w:val="13"/>
          <w:szCs w:val="13"/>
          <w:color w:val="205BA8"/>
        </w:rPr>
      </w:pPr>
    </w:p>
    <w:p>
      <w:pPr>
        <w:ind w:left="720" w:right="600" w:hanging="175"/>
        <w:spacing w:after="0" w:line="248" w:lineRule="auto"/>
        <w:rPr>
          <w:rFonts w:ascii="Arial" w:cs="Arial" w:eastAsia="Arial" w:hAnsi="Arial"/>
          <w:sz w:val="13"/>
          <w:szCs w:val="13"/>
          <w:color w:val="205BA8"/>
        </w:rPr>
      </w:pPr>
      <w:r>
        <w:rPr>
          <w:rFonts w:ascii="Arial" w:cs="Arial" w:eastAsia="Arial" w:hAnsi="Arial"/>
          <w:sz w:val="13"/>
          <w:szCs w:val="13"/>
          <w:color w:val="auto"/>
        </w:rPr>
        <w:t>* In the case of our CEO, this is subject to the terms of his employment agreement. See the subsection “Compensation Dashboard—2020 Compensation Tables—Post-Employment Compensation—Leonard S. Schleifer, M.D., Ph.D. Employment Agreement.” In the case of our CSO, any unvested stock options granted to him in December 2018 and 2019 will continue to vest following his qualified retirement (as defined in the applicable Company policy).</w:t>
      </w:r>
    </w:p>
    <w:p>
      <w:pPr>
        <w:spacing w:after="0" w:line="76" w:lineRule="exact"/>
        <w:rPr>
          <w:rFonts w:ascii="Arial" w:cs="Arial" w:eastAsia="Arial" w:hAnsi="Arial"/>
          <w:sz w:val="13"/>
          <w:szCs w:val="13"/>
          <w:color w:val="205BA8"/>
        </w:rPr>
      </w:pPr>
    </w:p>
    <w:p>
      <w:pPr>
        <w:ind w:left="720" w:hanging="172"/>
        <w:spacing w:after="0"/>
        <w:tabs>
          <w:tab w:leader="none" w:pos="72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See the subsection “Compensation Processes—Risk Assessment” below for further information about the recoupment (clawback) policy.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69</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80" w:name="page81"/>
    <w:bookmarkEnd w:id="80"/>
    <w:p>
      <w:pPr>
        <w:ind w:lef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In applying this framework in 2020, the Compensation Committee granted our NEOs the equity awards discussed below.</w:t>
      </w:r>
    </w:p>
    <w:p>
      <w:pPr>
        <w:spacing w:after="0" w:line="228"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3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00" w:type="dxa"/>
            <w:vAlign w:val="bottom"/>
          </w:tcPr>
          <w:p>
            <w:pPr>
              <w:jc w:val="right"/>
              <w:ind w:right="217"/>
              <w:spacing w:after="0"/>
              <w:rPr>
                <w:sz w:val="20"/>
                <w:szCs w:val="20"/>
                <w:color w:val="auto"/>
              </w:rPr>
            </w:pPr>
            <w:r>
              <w:rPr>
                <w:rFonts w:ascii="Arial" w:cs="Arial" w:eastAsia="Arial" w:hAnsi="Arial"/>
                <w:sz w:val="12"/>
                <w:szCs w:val="12"/>
                <w:b w:val="1"/>
                <w:bCs w:val="1"/>
                <w:color w:val="205BA8"/>
              </w:rPr>
              <w:t>Annual Stock</w:t>
            </w: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7"/>
        </w:trPr>
        <w:tc>
          <w:tcPr>
            <w:tcW w:w="3520" w:type="dxa"/>
            <w:vAlign w:val="bottom"/>
            <w:tcBorders>
              <w:bottom w:val="single" w:sz="8" w:color="1F5AA8"/>
            </w:tcBorders>
          </w:tcPr>
          <w:p>
            <w:pPr>
              <w:spacing w:after="0"/>
              <w:rPr>
                <w:sz w:val="20"/>
                <w:szCs w:val="20"/>
                <w:color w:val="auto"/>
              </w:rPr>
            </w:pPr>
            <w:r>
              <w:rPr>
                <w:rFonts w:ascii="Arial" w:cs="Arial" w:eastAsia="Arial" w:hAnsi="Arial"/>
                <w:sz w:val="12"/>
                <w:szCs w:val="12"/>
                <w:b w:val="1"/>
                <w:bCs w:val="1"/>
                <w:color w:val="205BA8"/>
              </w:rPr>
              <w:t>Named Executive Officer</w:t>
            </w:r>
          </w:p>
        </w:tc>
        <w:tc>
          <w:tcPr>
            <w:tcW w:w="2680" w:type="dxa"/>
            <w:vAlign w:val="bottom"/>
            <w:tcBorders>
              <w:bottom w:val="single" w:sz="8" w:color="1F5AA8"/>
            </w:tcBorders>
          </w:tcPr>
          <w:p>
            <w:pPr>
              <w:jc w:val="right"/>
              <w:ind w:right="856"/>
              <w:spacing w:after="0"/>
              <w:rPr>
                <w:sz w:val="20"/>
                <w:szCs w:val="20"/>
                <w:color w:val="auto"/>
              </w:rPr>
            </w:pPr>
            <w:r>
              <w:rPr>
                <w:rFonts w:ascii="Arial" w:cs="Arial" w:eastAsia="Arial" w:hAnsi="Arial"/>
                <w:sz w:val="12"/>
                <w:szCs w:val="12"/>
                <w:b w:val="1"/>
                <w:bCs w:val="1"/>
                <w:color w:val="205BA8"/>
              </w:rPr>
              <w:t>PSUs</w:t>
            </w:r>
          </w:p>
        </w:tc>
        <w:tc>
          <w:tcPr>
            <w:tcW w:w="1300" w:type="dxa"/>
            <w:vAlign w:val="bottom"/>
            <w:tcBorders>
              <w:bottom w:val="single" w:sz="8" w:color="1F5AA8"/>
            </w:tcBorders>
          </w:tcPr>
          <w:p>
            <w:pPr>
              <w:jc w:val="right"/>
              <w:ind w:right="377"/>
              <w:spacing w:after="0"/>
              <w:rPr>
                <w:sz w:val="20"/>
                <w:szCs w:val="20"/>
                <w:color w:val="auto"/>
              </w:rPr>
            </w:pPr>
            <w:r>
              <w:rPr>
                <w:rFonts w:ascii="Arial" w:cs="Arial" w:eastAsia="Arial" w:hAnsi="Arial"/>
                <w:sz w:val="12"/>
                <w:szCs w:val="12"/>
                <w:b w:val="1"/>
                <w:bCs w:val="1"/>
                <w:color w:val="205BA8"/>
              </w:rPr>
              <w:t>Options</w:t>
            </w:r>
          </w:p>
        </w:tc>
        <w:tc>
          <w:tcPr>
            <w:tcW w:w="1300" w:type="dxa"/>
            <w:vAlign w:val="bottom"/>
            <w:tcBorders>
              <w:bottom w:val="single" w:sz="8" w:color="1F5AA8"/>
            </w:tcBorders>
          </w:tcPr>
          <w:p>
            <w:pPr>
              <w:jc w:val="right"/>
              <w:ind w:right="216"/>
              <w:spacing w:after="0"/>
              <w:rPr>
                <w:sz w:val="20"/>
                <w:szCs w:val="20"/>
                <w:color w:val="auto"/>
              </w:rPr>
            </w:pPr>
            <w:r>
              <w:rPr>
                <w:rFonts w:ascii="Arial" w:cs="Arial" w:eastAsia="Arial" w:hAnsi="Arial"/>
                <w:sz w:val="12"/>
                <w:szCs w:val="12"/>
                <w:b w:val="1"/>
                <w:bCs w:val="1"/>
                <w:color w:val="205BA8"/>
              </w:rPr>
              <w:t>Annual RSAs</w:t>
            </w:r>
          </w:p>
        </w:tc>
        <w:tc>
          <w:tcPr>
            <w:tcW w:w="1360" w:type="dxa"/>
            <w:vAlign w:val="bottom"/>
            <w:tcBorders>
              <w:bottom w:val="single" w:sz="8" w:color="1F5AA8"/>
            </w:tcBorders>
          </w:tcPr>
          <w:p>
            <w:pPr>
              <w:jc w:val="right"/>
              <w:ind w:right="256"/>
              <w:spacing w:after="0"/>
              <w:rPr>
                <w:sz w:val="20"/>
                <w:szCs w:val="20"/>
                <w:color w:val="auto"/>
              </w:rPr>
            </w:pPr>
            <w:r>
              <w:rPr>
                <w:rFonts w:ascii="Arial" w:cs="Arial" w:eastAsia="Arial" w:hAnsi="Arial"/>
                <w:sz w:val="12"/>
                <w:szCs w:val="12"/>
                <w:b w:val="1"/>
                <w:bCs w:val="1"/>
                <w:color w:val="205BA8"/>
              </w:rPr>
              <w:t>Special RSAs</w:t>
            </w:r>
          </w:p>
        </w:tc>
      </w:tr>
      <w:tr>
        <w:trPr>
          <w:trHeight w:val="142"/>
        </w:trPr>
        <w:tc>
          <w:tcPr>
            <w:tcW w:w="3520" w:type="dxa"/>
            <w:vAlign w:val="bottom"/>
            <w:tcBorders>
              <w:bottom w:val="single" w:sz="8" w:color="58585A"/>
            </w:tcBorders>
          </w:tcPr>
          <w:p>
            <w:pPr>
              <w:spacing w:after="0" w:line="142" w:lineRule="exact"/>
              <w:rPr>
                <w:sz w:val="20"/>
                <w:szCs w:val="20"/>
                <w:color w:val="auto"/>
              </w:rPr>
            </w:pPr>
            <w:r>
              <w:rPr>
                <w:rFonts w:ascii="Arial" w:cs="Arial" w:eastAsia="Arial" w:hAnsi="Arial"/>
                <w:sz w:val="13"/>
                <w:szCs w:val="13"/>
                <w:color w:val="C44E5E"/>
              </w:rPr>
              <w:t>Leonard S. Schleifer, M.D., Ph.D.</w:t>
            </w:r>
          </w:p>
        </w:tc>
        <w:tc>
          <w:tcPr>
            <w:tcW w:w="2680" w:type="dxa"/>
            <w:vAlign w:val="bottom"/>
            <w:tcBorders>
              <w:bottom w:val="single" w:sz="8" w:color="58585A"/>
            </w:tcBorders>
          </w:tcPr>
          <w:p>
            <w:pPr>
              <w:jc w:val="right"/>
              <w:ind w:right="196"/>
              <w:spacing w:after="0" w:line="142" w:lineRule="exact"/>
              <w:rPr>
                <w:sz w:val="20"/>
                <w:szCs w:val="20"/>
                <w:color w:val="auto"/>
              </w:rPr>
            </w:pPr>
            <w:r>
              <w:rPr>
                <w:rFonts w:ascii="Arial" w:cs="Arial" w:eastAsia="Arial" w:hAnsi="Arial"/>
                <w:sz w:val="13"/>
                <w:szCs w:val="13"/>
                <w:color w:val="auto"/>
              </w:rPr>
              <w:t>248,108 (Target)</w:t>
            </w:r>
          </w:p>
        </w:tc>
        <w:tc>
          <w:tcPr>
            <w:tcW w:w="1300" w:type="dxa"/>
            <w:vAlign w:val="bottom"/>
            <w:tcBorders>
              <w:bottom w:val="single" w:sz="8" w:color="58585A"/>
            </w:tcBorders>
          </w:tcPr>
          <w:p>
            <w:pPr>
              <w:jc w:val="right"/>
              <w:ind w:right="377"/>
              <w:spacing w:after="0" w:line="142" w:lineRule="exact"/>
              <w:rPr>
                <w:sz w:val="20"/>
                <w:szCs w:val="20"/>
                <w:color w:val="auto"/>
              </w:rPr>
            </w:pPr>
            <w:r>
              <w:rPr>
                <w:rFonts w:ascii="Arial" w:cs="Arial" w:eastAsia="Arial" w:hAnsi="Arial"/>
                <w:sz w:val="13"/>
                <w:szCs w:val="13"/>
                <w:color w:val="auto"/>
              </w:rPr>
              <w:t>—</w:t>
            </w:r>
          </w:p>
        </w:tc>
        <w:tc>
          <w:tcPr>
            <w:tcW w:w="1300" w:type="dxa"/>
            <w:vAlign w:val="bottom"/>
            <w:tcBorders>
              <w:bottom w:val="single" w:sz="8" w:color="58585A"/>
            </w:tcBorders>
          </w:tcPr>
          <w:p>
            <w:pPr>
              <w:jc w:val="right"/>
              <w:ind w:right="356"/>
              <w:spacing w:after="0" w:line="142" w:lineRule="exact"/>
              <w:rPr>
                <w:sz w:val="20"/>
                <w:szCs w:val="20"/>
                <w:color w:val="auto"/>
              </w:rPr>
            </w:pPr>
            <w:r>
              <w:rPr>
                <w:rFonts w:ascii="Arial" w:cs="Arial" w:eastAsia="Arial" w:hAnsi="Arial"/>
                <w:sz w:val="13"/>
                <w:szCs w:val="13"/>
                <w:color w:val="auto"/>
              </w:rPr>
              <w:t>—</w:t>
            </w:r>
          </w:p>
        </w:tc>
        <w:tc>
          <w:tcPr>
            <w:tcW w:w="1360" w:type="dxa"/>
            <w:vAlign w:val="bottom"/>
            <w:tcBorders>
              <w:bottom w:val="single" w:sz="8" w:color="58585A"/>
            </w:tcBorders>
          </w:tcPr>
          <w:p>
            <w:pPr>
              <w:jc w:val="right"/>
              <w:ind w:right="416"/>
              <w:spacing w:after="0" w:line="142" w:lineRule="exact"/>
              <w:rPr>
                <w:sz w:val="20"/>
                <w:szCs w:val="20"/>
                <w:color w:val="auto"/>
              </w:rPr>
            </w:pPr>
            <w:r>
              <w:rPr>
                <w:rFonts w:ascii="Arial" w:cs="Arial" w:eastAsia="Arial" w:hAnsi="Arial"/>
                <w:sz w:val="13"/>
                <w:szCs w:val="13"/>
                <w:color w:val="auto"/>
              </w:rPr>
              <w:t>—</w:t>
            </w:r>
          </w:p>
        </w:tc>
      </w:tr>
      <w:tr>
        <w:trPr>
          <w:trHeight w:val="142"/>
        </w:trPr>
        <w:tc>
          <w:tcPr>
            <w:tcW w:w="3520" w:type="dxa"/>
            <w:vAlign w:val="bottom"/>
            <w:tcBorders>
              <w:bottom w:val="single" w:sz="8" w:color="58585A"/>
            </w:tcBorders>
            <w:shd w:val="clear" w:color="auto" w:fill="EBEBEB"/>
          </w:tcPr>
          <w:p>
            <w:pPr>
              <w:spacing w:after="0" w:line="142" w:lineRule="exact"/>
              <w:rPr>
                <w:sz w:val="20"/>
                <w:szCs w:val="20"/>
                <w:color w:val="auto"/>
              </w:rPr>
            </w:pPr>
            <w:r>
              <w:rPr>
                <w:rFonts w:ascii="Arial" w:cs="Arial" w:eastAsia="Arial" w:hAnsi="Arial"/>
                <w:sz w:val="13"/>
                <w:szCs w:val="13"/>
                <w:color w:val="C44E5E"/>
              </w:rPr>
              <w:t>George D. Yancopoulos, M.D., Ph.D.</w:t>
            </w:r>
          </w:p>
        </w:tc>
        <w:tc>
          <w:tcPr>
            <w:tcW w:w="2680" w:type="dxa"/>
            <w:vAlign w:val="bottom"/>
            <w:tcBorders>
              <w:bottom w:val="single" w:sz="8" w:color="58585A"/>
            </w:tcBorders>
            <w:shd w:val="clear" w:color="auto" w:fill="EBEBEB"/>
          </w:tcPr>
          <w:p>
            <w:pPr>
              <w:jc w:val="right"/>
              <w:ind w:right="196"/>
              <w:spacing w:after="0" w:line="142" w:lineRule="exact"/>
              <w:rPr>
                <w:sz w:val="20"/>
                <w:szCs w:val="20"/>
                <w:color w:val="auto"/>
              </w:rPr>
            </w:pPr>
            <w:r>
              <w:rPr>
                <w:rFonts w:ascii="Arial" w:cs="Arial" w:eastAsia="Arial" w:hAnsi="Arial"/>
                <w:sz w:val="13"/>
                <w:szCs w:val="13"/>
                <w:color w:val="auto"/>
              </w:rPr>
              <w:t>248,108 (Target)</w:t>
            </w:r>
          </w:p>
        </w:tc>
        <w:tc>
          <w:tcPr>
            <w:tcW w:w="1300" w:type="dxa"/>
            <w:vAlign w:val="bottom"/>
            <w:tcBorders>
              <w:bottom w:val="single" w:sz="8" w:color="58585A"/>
            </w:tcBorders>
            <w:shd w:val="clear" w:color="auto" w:fill="EBEBEB"/>
          </w:tcPr>
          <w:p>
            <w:pPr>
              <w:jc w:val="right"/>
              <w:ind w:right="377"/>
              <w:spacing w:after="0" w:line="142" w:lineRule="exact"/>
              <w:rPr>
                <w:sz w:val="20"/>
                <w:szCs w:val="20"/>
                <w:color w:val="auto"/>
              </w:rPr>
            </w:pPr>
            <w:r>
              <w:rPr>
                <w:rFonts w:ascii="Arial" w:cs="Arial" w:eastAsia="Arial" w:hAnsi="Arial"/>
                <w:sz w:val="13"/>
                <w:szCs w:val="13"/>
                <w:color w:val="auto"/>
              </w:rPr>
              <w:t>—</w:t>
            </w:r>
          </w:p>
        </w:tc>
        <w:tc>
          <w:tcPr>
            <w:tcW w:w="1300" w:type="dxa"/>
            <w:vAlign w:val="bottom"/>
            <w:tcBorders>
              <w:bottom w:val="single" w:sz="8" w:color="58585A"/>
            </w:tcBorders>
            <w:shd w:val="clear" w:color="auto" w:fill="EBEBEB"/>
          </w:tcPr>
          <w:p>
            <w:pPr>
              <w:jc w:val="right"/>
              <w:ind w:right="356"/>
              <w:spacing w:after="0" w:line="142" w:lineRule="exact"/>
              <w:rPr>
                <w:sz w:val="20"/>
                <w:szCs w:val="20"/>
                <w:color w:val="auto"/>
              </w:rPr>
            </w:pPr>
            <w:r>
              <w:rPr>
                <w:rFonts w:ascii="Arial" w:cs="Arial" w:eastAsia="Arial" w:hAnsi="Arial"/>
                <w:sz w:val="13"/>
                <w:szCs w:val="13"/>
                <w:color w:val="auto"/>
              </w:rPr>
              <w:t>—</w:t>
            </w:r>
          </w:p>
        </w:tc>
        <w:tc>
          <w:tcPr>
            <w:tcW w:w="1360" w:type="dxa"/>
            <w:vAlign w:val="bottom"/>
            <w:tcBorders>
              <w:bottom w:val="single" w:sz="8" w:color="58585A"/>
            </w:tcBorders>
            <w:shd w:val="clear" w:color="auto" w:fill="EBEBEB"/>
          </w:tcPr>
          <w:p>
            <w:pPr>
              <w:jc w:val="right"/>
              <w:ind w:right="416"/>
              <w:spacing w:after="0" w:line="142" w:lineRule="exact"/>
              <w:rPr>
                <w:sz w:val="20"/>
                <w:szCs w:val="20"/>
                <w:color w:val="auto"/>
              </w:rPr>
            </w:pPr>
            <w:r>
              <w:rPr>
                <w:rFonts w:ascii="Arial" w:cs="Arial" w:eastAsia="Arial" w:hAnsi="Arial"/>
                <w:sz w:val="13"/>
                <w:szCs w:val="13"/>
                <w:color w:val="auto"/>
              </w:rPr>
              <w:t>—</w:t>
            </w:r>
          </w:p>
        </w:tc>
      </w:tr>
      <w:tr>
        <w:trPr>
          <w:trHeight w:val="142"/>
        </w:trPr>
        <w:tc>
          <w:tcPr>
            <w:tcW w:w="3520" w:type="dxa"/>
            <w:vAlign w:val="bottom"/>
            <w:tcBorders>
              <w:bottom w:val="single" w:sz="8" w:color="58585A"/>
            </w:tcBorders>
          </w:tcPr>
          <w:p>
            <w:pPr>
              <w:spacing w:after="0" w:line="142" w:lineRule="exact"/>
              <w:rPr>
                <w:sz w:val="20"/>
                <w:szCs w:val="20"/>
                <w:color w:val="auto"/>
              </w:rPr>
            </w:pPr>
            <w:r>
              <w:rPr>
                <w:rFonts w:ascii="Arial" w:cs="Arial" w:eastAsia="Arial" w:hAnsi="Arial"/>
                <w:sz w:val="13"/>
                <w:szCs w:val="13"/>
                <w:color w:val="C44E5E"/>
              </w:rPr>
              <w:t>Robert E. Landry</w:t>
            </w:r>
          </w:p>
        </w:tc>
        <w:tc>
          <w:tcPr>
            <w:tcW w:w="2680" w:type="dxa"/>
            <w:vAlign w:val="bottom"/>
            <w:tcBorders>
              <w:bottom w:val="single" w:sz="8" w:color="58585A"/>
            </w:tcBorders>
          </w:tcPr>
          <w:p>
            <w:pPr>
              <w:jc w:val="right"/>
              <w:ind w:right="196"/>
              <w:spacing w:after="0" w:line="142" w:lineRule="exact"/>
              <w:rPr>
                <w:sz w:val="20"/>
                <w:szCs w:val="20"/>
                <w:color w:val="auto"/>
              </w:rPr>
            </w:pPr>
            <w:r>
              <w:rPr>
                <w:rFonts w:ascii="Arial" w:cs="Arial" w:eastAsia="Arial" w:hAnsi="Arial"/>
                <w:sz w:val="13"/>
                <w:szCs w:val="13"/>
                <w:color w:val="auto"/>
              </w:rPr>
              <w:t>—</w:t>
            </w:r>
          </w:p>
        </w:tc>
        <w:tc>
          <w:tcPr>
            <w:tcW w:w="1300" w:type="dxa"/>
            <w:vAlign w:val="bottom"/>
            <w:tcBorders>
              <w:bottom w:val="single" w:sz="8" w:color="58585A"/>
            </w:tcBorders>
          </w:tcPr>
          <w:p>
            <w:pPr>
              <w:jc w:val="right"/>
              <w:ind w:right="377"/>
              <w:spacing w:after="0" w:line="142" w:lineRule="exact"/>
              <w:rPr>
                <w:sz w:val="20"/>
                <w:szCs w:val="20"/>
                <w:color w:val="auto"/>
              </w:rPr>
            </w:pPr>
            <w:r>
              <w:rPr>
                <w:rFonts w:ascii="Arial" w:cs="Arial" w:eastAsia="Arial" w:hAnsi="Arial"/>
                <w:sz w:val="13"/>
                <w:szCs w:val="13"/>
                <w:color w:val="auto"/>
              </w:rPr>
              <w:t>19,950</w:t>
            </w:r>
          </w:p>
        </w:tc>
        <w:tc>
          <w:tcPr>
            <w:tcW w:w="1300" w:type="dxa"/>
            <w:vAlign w:val="bottom"/>
            <w:tcBorders>
              <w:bottom w:val="single" w:sz="8" w:color="58585A"/>
            </w:tcBorders>
          </w:tcPr>
          <w:p>
            <w:pPr>
              <w:jc w:val="right"/>
              <w:ind w:right="356"/>
              <w:spacing w:after="0" w:line="142" w:lineRule="exact"/>
              <w:rPr>
                <w:sz w:val="20"/>
                <w:szCs w:val="20"/>
                <w:color w:val="auto"/>
              </w:rPr>
            </w:pPr>
            <w:r>
              <w:rPr>
                <w:rFonts w:ascii="Arial" w:cs="Arial" w:eastAsia="Arial" w:hAnsi="Arial"/>
                <w:sz w:val="13"/>
                <w:szCs w:val="13"/>
                <w:color w:val="auto"/>
              </w:rPr>
              <w:t>1,930</w:t>
            </w:r>
          </w:p>
        </w:tc>
        <w:tc>
          <w:tcPr>
            <w:tcW w:w="1360" w:type="dxa"/>
            <w:vAlign w:val="bottom"/>
            <w:tcBorders>
              <w:bottom w:val="single" w:sz="8" w:color="58585A"/>
            </w:tcBorders>
          </w:tcPr>
          <w:p>
            <w:pPr>
              <w:jc w:val="right"/>
              <w:ind w:right="416"/>
              <w:spacing w:after="0" w:line="142" w:lineRule="exact"/>
              <w:rPr>
                <w:sz w:val="20"/>
                <w:szCs w:val="20"/>
                <w:color w:val="auto"/>
              </w:rPr>
            </w:pPr>
            <w:r>
              <w:rPr>
                <w:rFonts w:ascii="Arial" w:cs="Arial" w:eastAsia="Arial" w:hAnsi="Arial"/>
                <w:sz w:val="13"/>
                <w:szCs w:val="13"/>
                <w:color w:val="auto"/>
              </w:rPr>
              <w:t>—</w:t>
            </w:r>
          </w:p>
        </w:tc>
      </w:tr>
      <w:tr>
        <w:trPr>
          <w:trHeight w:val="142"/>
        </w:trPr>
        <w:tc>
          <w:tcPr>
            <w:tcW w:w="3520" w:type="dxa"/>
            <w:vAlign w:val="bottom"/>
            <w:tcBorders>
              <w:bottom w:val="single" w:sz="8" w:color="58585A"/>
            </w:tcBorders>
            <w:shd w:val="clear" w:color="auto" w:fill="EBEBEB"/>
          </w:tcPr>
          <w:p>
            <w:pPr>
              <w:spacing w:after="0" w:line="142" w:lineRule="exact"/>
              <w:rPr>
                <w:sz w:val="20"/>
                <w:szCs w:val="20"/>
                <w:color w:val="auto"/>
              </w:rPr>
            </w:pPr>
            <w:r>
              <w:rPr>
                <w:rFonts w:ascii="Arial" w:cs="Arial" w:eastAsia="Arial" w:hAnsi="Arial"/>
                <w:sz w:val="13"/>
                <w:szCs w:val="13"/>
                <w:color w:val="C44E5E"/>
              </w:rPr>
              <w:t>Daniel P. Van Plew</w:t>
            </w:r>
          </w:p>
        </w:tc>
        <w:tc>
          <w:tcPr>
            <w:tcW w:w="2680" w:type="dxa"/>
            <w:vAlign w:val="bottom"/>
            <w:tcBorders>
              <w:bottom w:val="single" w:sz="8" w:color="58585A"/>
            </w:tcBorders>
            <w:shd w:val="clear" w:color="auto" w:fill="EBEBEB"/>
          </w:tcPr>
          <w:p>
            <w:pPr>
              <w:jc w:val="right"/>
              <w:ind w:right="196"/>
              <w:spacing w:after="0" w:line="142" w:lineRule="exact"/>
              <w:rPr>
                <w:sz w:val="20"/>
                <w:szCs w:val="20"/>
                <w:color w:val="auto"/>
              </w:rPr>
            </w:pPr>
            <w:r>
              <w:rPr>
                <w:rFonts w:ascii="Arial" w:cs="Arial" w:eastAsia="Arial" w:hAnsi="Arial"/>
                <w:sz w:val="13"/>
                <w:szCs w:val="13"/>
                <w:color w:val="auto"/>
              </w:rPr>
              <w:t>—</w:t>
            </w:r>
          </w:p>
        </w:tc>
        <w:tc>
          <w:tcPr>
            <w:tcW w:w="1300" w:type="dxa"/>
            <w:vAlign w:val="bottom"/>
            <w:tcBorders>
              <w:bottom w:val="single" w:sz="8" w:color="58585A"/>
            </w:tcBorders>
            <w:shd w:val="clear" w:color="auto" w:fill="EBEBEB"/>
          </w:tcPr>
          <w:p>
            <w:pPr>
              <w:jc w:val="right"/>
              <w:ind w:right="377"/>
              <w:spacing w:after="0" w:line="142" w:lineRule="exact"/>
              <w:rPr>
                <w:sz w:val="20"/>
                <w:szCs w:val="20"/>
                <w:color w:val="auto"/>
              </w:rPr>
            </w:pPr>
            <w:r>
              <w:rPr>
                <w:rFonts w:ascii="Arial" w:cs="Arial" w:eastAsia="Arial" w:hAnsi="Arial"/>
                <w:sz w:val="13"/>
                <w:szCs w:val="13"/>
                <w:color w:val="auto"/>
              </w:rPr>
              <w:t>19,950</w:t>
            </w:r>
          </w:p>
        </w:tc>
        <w:tc>
          <w:tcPr>
            <w:tcW w:w="1300" w:type="dxa"/>
            <w:vAlign w:val="bottom"/>
            <w:tcBorders>
              <w:bottom w:val="single" w:sz="8" w:color="58585A"/>
            </w:tcBorders>
            <w:shd w:val="clear" w:color="auto" w:fill="EBEBEB"/>
          </w:tcPr>
          <w:p>
            <w:pPr>
              <w:jc w:val="right"/>
              <w:ind w:right="356"/>
              <w:spacing w:after="0" w:line="142" w:lineRule="exact"/>
              <w:rPr>
                <w:sz w:val="20"/>
                <w:szCs w:val="20"/>
                <w:color w:val="auto"/>
              </w:rPr>
            </w:pPr>
            <w:r>
              <w:rPr>
                <w:rFonts w:ascii="Arial" w:cs="Arial" w:eastAsia="Arial" w:hAnsi="Arial"/>
                <w:sz w:val="13"/>
                <w:szCs w:val="13"/>
                <w:color w:val="auto"/>
              </w:rPr>
              <w:t>1,930</w:t>
            </w:r>
          </w:p>
        </w:tc>
        <w:tc>
          <w:tcPr>
            <w:tcW w:w="1360" w:type="dxa"/>
            <w:vAlign w:val="bottom"/>
            <w:tcBorders>
              <w:bottom w:val="single" w:sz="8" w:color="58585A"/>
            </w:tcBorders>
            <w:shd w:val="clear" w:color="auto" w:fill="EBEBEB"/>
          </w:tcPr>
          <w:p>
            <w:pPr>
              <w:jc w:val="right"/>
              <w:ind w:right="416"/>
              <w:spacing w:after="0" w:line="142" w:lineRule="exact"/>
              <w:rPr>
                <w:sz w:val="20"/>
                <w:szCs w:val="20"/>
                <w:color w:val="auto"/>
              </w:rPr>
            </w:pPr>
            <w:r>
              <w:rPr>
                <w:rFonts w:ascii="Arial" w:cs="Arial" w:eastAsia="Arial" w:hAnsi="Arial"/>
                <w:sz w:val="13"/>
                <w:szCs w:val="13"/>
                <w:color w:val="auto"/>
              </w:rPr>
              <w:t>5,000</w:t>
            </w:r>
          </w:p>
        </w:tc>
      </w:tr>
      <w:tr>
        <w:trPr>
          <w:trHeight w:val="142"/>
        </w:trPr>
        <w:tc>
          <w:tcPr>
            <w:tcW w:w="3520" w:type="dxa"/>
            <w:vAlign w:val="bottom"/>
            <w:tcBorders>
              <w:bottom w:val="single" w:sz="8" w:color="58585A"/>
            </w:tcBorders>
          </w:tcPr>
          <w:p>
            <w:pPr>
              <w:spacing w:after="0" w:line="142" w:lineRule="exact"/>
              <w:rPr>
                <w:sz w:val="20"/>
                <w:szCs w:val="20"/>
                <w:color w:val="auto"/>
              </w:rPr>
            </w:pPr>
            <w:r>
              <w:rPr>
                <w:rFonts w:ascii="Arial" w:cs="Arial" w:eastAsia="Arial" w:hAnsi="Arial"/>
                <w:sz w:val="13"/>
                <w:szCs w:val="13"/>
                <w:color w:val="C44E5E"/>
              </w:rPr>
              <w:t>Andrew J. Murphy, Ph.D.</w:t>
            </w:r>
          </w:p>
        </w:tc>
        <w:tc>
          <w:tcPr>
            <w:tcW w:w="2680" w:type="dxa"/>
            <w:vAlign w:val="bottom"/>
            <w:tcBorders>
              <w:bottom w:val="single" w:sz="8" w:color="58585A"/>
            </w:tcBorders>
          </w:tcPr>
          <w:p>
            <w:pPr>
              <w:jc w:val="right"/>
              <w:ind w:right="196"/>
              <w:spacing w:after="0" w:line="142" w:lineRule="exact"/>
              <w:rPr>
                <w:sz w:val="20"/>
                <w:szCs w:val="20"/>
                <w:color w:val="auto"/>
              </w:rPr>
            </w:pPr>
            <w:r>
              <w:rPr>
                <w:rFonts w:ascii="Arial" w:cs="Arial" w:eastAsia="Arial" w:hAnsi="Arial"/>
                <w:sz w:val="13"/>
                <w:szCs w:val="13"/>
                <w:color w:val="auto"/>
              </w:rPr>
              <w:t>—</w:t>
            </w:r>
          </w:p>
        </w:tc>
        <w:tc>
          <w:tcPr>
            <w:tcW w:w="1300" w:type="dxa"/>
            <w:vAlign w:val="bottom"/>
            <w:tcBorders>
              <w:bottom w:val="single" w:sz="8" w:color="58585A"/>
            </w:tcBorders>
          </w:tcPr>
          <w:p>
            <w:pPr>
              <w:jc w:val="right"/>
              <w:ind w:right="377"/>
              <w:spacing w:after="0" w:line="142" w:lineRule="exact"/>
              <w:rPr>
                <w:sz w:val="20"/>
                <w:szCs w:val="20"/>
                <w:color w:val="auto"/>
              </w:rPr>
            </w:pPr>
            <w:r>
              <w:rPr>
                <w:rFonts w:ascii="Arial" w:cs="Arial" w:eastAsia="Arial" w:hAnsi="Arial"/>
                <w:sz w:val="13"/>
                <w:szCs w:val="13"/>
                <w:color w:val="auto"/>
              </w:rPr>
              <w:t>25,000</w:t>
            </w:r>
          </w:p>
        </w:tc>
        <w:tc>
          <w:tcPr>
            <w:tcW w:w="1300" w:type="dxa"/>
            <w:vAlign w:val="bottom"/>
            <w:tcBorders>
              <w:bottom w:val="single" w:sz="8" w:color="58585A"/>
            </w:tcBorders>
          </w:tcPr>
          <w:p>
            <w:pPr>
              <w:jc w:val="right"/>
              <w:ind w:right="356"/>
              <w:spacing w:after="0" w:line="142" w:lineRule="exact"/>
              <w:rPr>
                <w:sz w:val="20"/>
                <w:szCs w:val="20"/>
                <w:color w:val="auto"/>
              </w:rPr>
            </w:pPr>
            <w:r>
              <w:rPr>
                <w:rFonts w:ascii="Arial" w:cs="Arial" w:eastAsia="Arial" w:hAnsi="Arial"/>
                <w:sz w:val="13"/>
                <w:szCs w:val="13"/>
                <w:color w:val="auto"/>
              </w:rPr>
              <w:t>1,929</w:t>
            </w:r>
          </w:p>
        </w:tc>
        <w:tc>
          <w:tcPr>
            <w:tcW w:w="1360" w:type="dxa"/>
            <w:vAlign w:val="bottom"/>
            <w:tcBorders>
              <w:bottom w:val="single" w:sz="8" w:color="58585A"/>
            </w:tcBorders>
          </w:tcPr>
          <w:p>
            <w:pPr>
              <w:jc w:val="right"/>
              <w:ind w:right="416"/>
              <w:spacing w:after="0" w:line="142" w:lineRule="exact"/>
              <w:rPr>
                <w:sz w:val="20"/>
                <w:szCs w:val="20"/>
                <w:color w:val="auto"/>
              </w:rPr>
            </w:pPr>
            <w:r>
              <w:rPr>
                <w:rFonts w:ascii="Arial" w:cs="Arial" w:eastAsia="Arial" w:hAnsi="Arial"/>
                <w:sz w:val="13"/>
                <w:szCs w:val="13"/>
                <w:color w:val="auto"/>
              </w:rPr>
              <w:t>8,285</w:t>
            </w:r>
          </w:p>
        </w:tc>
      </w:tr>
    </w:tbl>
    <w:p>
      <w:pPr>
        <w:spacing w:after="0" w:line="242" w:lineRule="exact"/>
        <w:rPr>
          <w:sz w:val="20"/>
          <w:szCs w:val="20"/>
          <w:color w:val="auto"/>
        </w:rPr>
      </w:pPr>
    </w:p>
    <w:p>
      <w:pPr>
        <w:ind w:left="540" w:right="700"/>
        <w:spacing w:after="0" w:line="258" w:lineRule="auto"/>
        <w:rPr>
          <w:sz w:val="20"/>
          <w:szCs w:val="20"/>
          <w:color w:val="auto"/>
        </w:rPr>
      </w:pPr>
      <w:r>
        <w:rPr>
          <w:rFonts w:ascii="Arial" w:cs="Arial" w:eastAsia="Arial" w:hAnsi="Arial"/>
          <w:sz w:val="13"/>
          <w:szCs w:val="13"/>
          <w:color w:val="auto"/>
        </w:rPr>
        <w:t>All of the equity awards granted to the NEOs in 2020 are subject to the Company’s policy regarding recoupment or reduction (clawback) of incentive compensation for compliance violations, including after such awards have been earned/vested and (in the case of the PSUs) after the expiration of the Holding Period (as defined below).</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05BA8"/>
        </w:rPr>
        <w:t>Five-Year, Front-Loaded PSU Awards for CEO and CSO Replacing Five Years of CEO and CSO Equity Awards</w:t>
      </w:r>
    </w:p>
    <w:p>
      <w:pPr>
        <w:spacing w:after="0" w:line="247" w:lineRule="exact"/>
        <w:rPr>
          <w:sz w:val="20"/>
          <w:szCs w:val="20"/>
          <w:color w:val="auto"/>
        </w:rPr>
      </w:pPr>
    </w:p>
    <w:p>
      <w:pPr>
        <w:ind w:left="540" w:right="640"/>
        <w:spacing w:after="0" w:line="249" w:lineRule="auto"/>
        <w:rPr>
          <w:sz w:val="20"/>
          <w:szCs w:val="20"/>
          <w:color w:val="auto"/>
        </w:rPr>
      </w:pPr>
      <w:r>
        <w:rPr>
          <w:rFonts w:ascii="Arial" w:cs="Arial" w:eastAsia="Arial" w:hAnsi="Arial"/>
          <w:sz w:val="13"/>
          <w:szCs w:val="13"/>
          <w:color w:val="auto"/>
        </w:rPr>
        <w:t>In lieu of five years of annual equity awards (</w:t>
      </w:r>
      <w:r>
        <w:rPr>
          <w:rFonts w:ascii="Arial" w:cs="Arial" w:eastAsia="Arial" w:hAnsi="Arial"/>
          <w:sz w:val="13"/>
          <w:szCs w:val="13"/>
          <w:i w:val="1"/>
          <w:iCs w:val="1"/>
          <w:color w:val="auto"/>
        </w:rPr>
        <w:t>i.e.,</w:t>
      </w:r>
      <w:r>
        <w:rPr>
          <w:rFonts w:ascii="Arial" w:cs="Arial" w:eastAsia="Arial" w:hAnsi="Arial"/>
          <w:sz w:val="13"/>
          <w:szCs w:val="13"/>
          <w:color w:val="auto"/>
        </w:rPr>
        <w:t xml:space="preserve"> until the Company’s regular year-end grant cycle in December 2025), our CEO and CSO were each granted a five-year, front-loaded PSU award in December 2020. The awards were designed following detailed and extensive analysis conducted by the Compensation Committee’s independent compensation consultant under the Compensation Committee’s direction, considering, among other relevant factors, Regeneron’s business model and strategy, compensation philosophy, and strategic and financial objectives; Regeneron’s TSR performance compared to its peers and the biotechnology and pharmaceutical industries; and compensation practices of other high-growth companies.</w:t>
      </w:r>
    </w:p>
    <w:p>
      <w:pPr>
        <w:spacing w:after="0" w:line="224" w:lineRule="exact"/>
        <w:rPr>
          <w:sz w:val="20"/>
          <w:szCs w:val="20"/>
          <w:color w:val="auto"/>
        </w:rPr>
      </w:pPr>
    </w:p>
    <w:p>
      <w:pPr>
        <w:jc w:val="both"/>
        <w:ind w:left="540" w:right="540"/>
        <w:spacing w:after="0" w:line="248" w:lineRule="auto"/>
        <w:rPr>
          <w:sz w:val="20"/>
          <w:szCs w:val="20"/>
          <w:color w:val="auto"/>
        </w:rPr>
      </w:pPr>
      <w:r>
        <w:rPr>
          <w:rFonts w:ascii="Arial" w:cs="Arial" w:eastAsia="Arial" w:hAnsi="Arial"/>
          <w:sz w:val="13"/>
          <w:szCs w:val="13"/>
          <w:color w:val="auto"/>
        </w:rPr>
        <w:t>In using PSUs for all of the CEO and CSO 2020 equity awards, the Compensation Committee took into account shareholder feedback and shareholder preference for this type of performance-based award. Historically, annual equity awards to Drs. Schleifer and Yancopoulos overwhelmingly consisted of time-based stock options; in contrast, the 2020 awards consist entirely of PSUs.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PSUs are 100% performance-based and are designed to:</w:t>
      </w:r>
    </w:p>
    <w:p>
      <w:pPr>
        <w:spacing w:after="0" w:line="242" w:lineRule="exact"/>
        <w:rPr>
          <w:sz w:val="20"/>
          <w:szCs w:val="20"/>
          <w:color w:val="auto"/>
        </w:rPr>
      </w:pPr>
    </w:p>
    <w:p>
      <w:pPr>
        <w:ind w:left="760" w:right="660" w:hanging="212"/>
        <w:spacing w:after="0" w:line="258" w:lineRule="auto"/>
        <w:tabs>
          <w:tab w:leader="none" w:pos="760" w:val="left"/>
        </w:tabs>
        <w:numPr>
          <w:ilvl w:val="0"/>
          <w:numId w:val="109"/>
        </w:numPr>
        <w:rPr>
          <w:rFonts w:ascii="Arial" w:cs="Arial" w:eastAsia="Arial" w:hAnsi="Arial"/>
          <w:sz w:val="13"/>
          <w:szCs w:val="13"/>
          <w:color w:val="205BA8"/>
        </w:rPr>
      </w:pPr>
      <w:r>
        <w:rPr>
          <w:rFonts w:ascii="Arial" w:cs="Arial" w:eastAsia="Arial" w:hAnsi="Arial"/>
          <w:sz w:val="13"/>
          <w:szCs w:val="13"/>
          <w:color w:val="auto"/>
        </w:rPr>
        <w:t>further align CEO and CSO interests with those of Regeneron’s long-term shareholders by rewarding top performance and eliminating time-based stock options from their compensation program;</w:t>
      </w:r>
    </w:p>
    <w:p>
      <w:pPr>
        <w:spacing w:after="0" w:line="110" w:lineRule="exact"/>
        <w:rPr>
          <w:rFonts w:ascii="Arial" w:cs="Arial" w:eastAsia="Arial" w:hAnsi="Arial"/>
          <w:sz w:val="13"/>
          <w:szCs w:val="13"/>
          <w:color w:val="205BA8"/>
        </w:rPr>
      </w:pPr>
    </w:p>
    <w:p>
      <w:pPr>
        <w:ind w:left="760" w:right="560" w:hanging="212"/>
        <w:spacing w:after="0" w:line="281" w:lineRule="auto"/>
        <w:tabs>
          <w:tab w:leader="none" w:pos="760" w:val="left"/>
        </w:tabs>
        <w:numPr>
          <w:ilvl w:val="0"/>
          <w:numId w:val="109"/>
        </w:numPr>
        <w:rPr>
          <w:rFonts w:ascii="Arial" w:cs="Arial" w:eastAsia="Arial" w:hAnsi="Arial"/>
          <w:sz w:val="13"/>
          <w:szCs w:val="13"/>
          <w:color w:val="205BA8"/>
        </w:rPr>
      </w:pPr>
      <w:r>
        <w:rPr>
          <w:rFonts w:ascii="Arial" w:cs="Arial" w:eastAsia="Arial" w:hAnsi="Arial"/>
          <w:sz w:val="13"/>
          <w:szCs w:val="13"/>
          <w:color w:val="auto"/>
        </w:rPr>
        <w:t>reward exceptional shareholder value creation over the next eight years (</w:t>
      </w:r>
      <w:r>
        <w:rPr>
          <w:rFonts w:ascii="Arial" w:cs="Arial" w:eastAsia="Arial" w:hAnsi="Arial"/>
          <w:sz w:val="13"/>
          <w:szCs w:val="13"/>
          <w:i w:val="1"/>
          <w:iCs w:val="1"/>
          <w:color w:val="auto"/>
        </w:rPr>
        <w:t>i.e.,</w:t>
      </w:r>
      <w:r>
        <w:rPr>
          <w:rFonts w:ascii="Arial" w:cs="Arial" w:eastAsia="Arial" w:hAnsi="Arial"/>
          <w:sz w:val="13"/>
          <w:szCs w:val="13"/>
          <w:color w:val="auto"/>
        </w:rPr>
        <w:t xml:space="preserve"> over the five-year performance period and the subsequent three-year mandatory deferral and holding period); and</w:t>
      </w:r>
    </w:p>
    <w:p>
      <w:pPr>
        <w:spacing w:after="0" w:line="109" w:lineRule="exact"/>
        <w:rPr>
          <w:rFonts w:ascii="Arial" w:cs="Arial" w:eastAsia="Arial" w:hAnsi="Arial"/>
          <w:sz w:val="13"/>
          <w:szCs w:val="13"/>
          <w:color w:val="205BA8"/>
        </w:rPr>
      </w:pPr>
    </w:p>
    <w:p>
      <w:pPr>
        <w:ind w:left="760" w:hanging="212"/>
        <w:spacing w:after="0"/>
        <w:tabs>
          <w:tab w:leader="none" w:pos="760" w:val="left"/>
        </w:tabs>
        <w:numPr>
          <w:ilvl w:val="0"/>
          <w:numId w:val="109"/>
        </w:numPr>
        <w:rPr>
          <w:rFonts w:ascii="Arial" w:cs="Arial" w:eastAsia="Arial" w:hAnsi="Arial"/>
          <w:sz w:val="13"/>
          <w:szCs w:val="13"/>
          <w:color w:val="205BA8"/>
        </w:rPr>
      </w:pPr>
      <w:r>
        <w:rPr>
          <w:rFonts w:ascii="Arial" w:cs="Arial" w:eastAsia="Arial" w:hAnsi="Arial"/>
          <w:sz w:val="13"/>
          <w:szCs w:val="13"/>
          <w:color w:val="auto"/>
        </w:rPr>
        <w:t>ensure stability and continuity of leadership to support the achievement of the next phase of Regeneron’s ambitious product, pipeline, and talent development plans.</w:t>
      </w:r>
    </w:p>
    <w:p>
      <w:pPr>
        <w:spacing w:after="0" w:line="148" w:lineRule="exact"/>
        <w:rPr>
          <w:sz w:val="20"/>
          <w:szCs w:val="20"/>
          <w:color w:val="auto"/>
        </w:rPr>
      </w:pPr>
    </w:p>
    <w:p>
      <w:pPr>
        <w:jc w:val="both"/>
        <w:ind w:left="540" w:right="540"/>
        <w:spacing w:after="0" w:line="248" w:lineRule="auto"/>
        <w:rPr>
          <w:sz w:val="20"/>
          <w:szCs w:val="20"/>
          <w:color w:val="auto"/>
        </w:rPr>
      </w:pPr>
      <w:r>
        <w:rPr>
          <w:rFonts w:ascii="Arial" w:cs="Arial" w:eastAsia="Arial" w:hAnsi="Arial"/>
          <w:sz w:val="13"/>
          <w:szCs w:val="13"/>
          <w:color w:val="auto"/>
        </w:rPr>
        <w:t>In approving the grant, the board also recognized the Company’s long track record of success for patients, shareholders, and employees achieved under the leadership of these executives, as well as the board’s confidence in their vision for the Company and in their ability to leverage Regeneron’s technology platforms, product pipeline, and commercialized assets to create long-term shareholder value.</w:t>
      </w:r>
    </w:p>
    <w:p>
      <w:pPr>
        <w:spacing w:after="0" w:line="225" w:lineRule="exact"/>
        <w:rPr>
          <w:sz w:val="20"/>
          <w:szCs w:val="20"/>
          <w:color w:val="auto"/>
        </w:rPr>
      </w:pPr>
    </w:p>
    <w:p>
      <w:pPr>
        <w:ind w:left="540" w:right="780"/>
        <w:spacing w:after="0" w:line="258" w:lineRule="auto"/>
        <w:rPr>
          <w:sz w:val="20"/>
          <w:szCs w:val="20"/>
          <w:color w:val="auto"/>
        </w:rPr>
      </w:pPr>
      <w:r>
        <w:rPr>
          <w:rFonts w:ascii="Arial" w:cs="Arial" w:eastAsia="Arial" w:hAnsi="Arial"/>
          <w:sz w:val="13"/>
          <w:szCs w:val="13"/>
          <w:color w:val="auto"/>
        </w:rPr>
        <w:t>As a condition to the grant of these awards, it has been agreed that Drs. Schleifer and Yancopoulos will not be entitled to any additional equity or equity-based awards from the Company until the Company’s regular year-end grant cycle in December 2025.</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As shown in the chart below, the PSUs are designed so that nearly all of the incremental value created is delivered to our shareholders.</w:t>
      </w:r>
    </w:p>
    <w:p>
      <w:pPr>
        <w:spacing w:after="0" w:line="34" w:lineRule="exact"/>
        <w:rPr>
          <w:sz w:val="20"/>
          <w:szCs w:val="20"/>
          <w:color w:val="auto"/>
        </w:rPr>
      </w:pPr>
    </w:p>
    <w:p>
      <w:pPr>
        <w:spacing w:after="0"/>
        <w:tabs>
          <w:tab w:leader="none" w:pos="5440" w:val="left"/>
        </w:tabs>
        <w:rPr>
          <w:sz w:val="20"/>
          <w:szCs w:val="20"/>
          <w:color w:val="auto"/>
        </w:rPr>
      </w:pPr>
      <w:r>
        <w:rPr>
          <w:rFonts w:ascii="Arial" w:cs="Arial" w:eastAsia="Arial" w:hAnsi="Arial"/>
          <w:sz w:val="28"/>
          <w:szCs w:val="28"/>
          <w:b w:val="1"/>
          <w:bCs w:val="1"/>
          <w:color w:val="00A5EC"/>
          <w:vertAlign w:val="subscript"/>
        </w:rPr>
        <w:t>70</w:t>
      </w:r>
      <w:r>
        <w:rPr>
          <w:rFonts w:ascii="Arial" w:cs="Arial" w:eastAsia="Arial" w:hAnsi="Arial"/>
          <w:sz w:val="15"/>
          <w:szCs w:val="15"/>
          <w:b w:val="1"/>
          <w:bCs w:val="1"/>
          <w:color w:val="2952A4"/>
        </w:rPr>
        <w:t xml:space="preserve">  </w:t>
      </w:r>
      <w:r>
        <w:rPr>
          <w:rFonts w:ascii="Arial" w:cs="Arial" w:eastAsia="Arial" w:hAnsi="Arial"/>
          <w:sz w:val="28"/>
          <w:szCs w:val="28"/>
          <w:color w:val="00A5EC"/>
          <w:vertAlign w:val="subscript"/>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1" w:name="page82"/>
    <w:bookmarkEnd w:id="81"/>
    <w:p>
      <w:pPr>
        <w:ind w:left="402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C44E5E"/>
        </w:rPr>
        <w:t>Shareholder and CEO/CSO Value Creation from PSUs ($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164465</wp:posOffset>
            </wp:positionV>
            <wp:extent cx="3394710" cy="16459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9471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terms of the PSUs are further described below.</w:t>
      </w:r>
    </w:p>
    <w:p>
      <w:pPr>
        <w:spacing w:after="0" w:line="118" w:lineRule="exact"/>
        <w:rPr>
          <w:sz w:val="20"/>
          <w:szCs w:val="20"/>
          <w:color w:val="auto"/>
        </w:rPr>
      </w:pPr>
    </w:p>
    <w:p>
      <w:pPr>
        <w:ind w:left="540" w:right="740"/>
        <w:spacing w:after="0" w:line="261" w:lineRule="auto"/>
        <w:rPr>
          <w:sz w:val="20"/>
          <w:szCs w:val="20"/>
          <w:color w:val="auto"/>
        </w:rPr>
      </w:pPr>
      <w:r>
        <w:rPr>
          <w:rFonts w:ascii="Arial" w:cs="Arial" w:eastAsia="Arial" w:hAnsi="Arial"/>
          <w:sz w:val="13"/>
          <w:szCs w:val="13"/>
          <w:b w:val="1"/>
          <w:bCs w:val="1"/>
          <w:color w:val="C44E5E"/>
        </w:rPr>
        <w:t xml:space="preserve">Primary Performance Measure, Performance Period, and Payout Range. </w:t>
      </w:r>
      <w:r>
        <w:rPr>
          <w:rFonts w:ascii="Arial" w:cs="Arial" w:eastAsia="Arial" w:hAnsi="Arial"/>
          <w:sz w:val="13"/>
          <w:szCs w:val="13"/>
          <w:color w:val="000000"/>
        </w:rPr>
        <w:t>The PSUs have a primary performance period of five years from December 31, 2020 (the</w:t>
      </w:r>
      <w:r>
        <w:rPr>
          <w:rFonts w:ascii="Arial" w:cs="Arial" w:eastAsia="Arial" w:hAnsi="Arial"/>
          <w:sz w:val="13"/>
          <w:szCs w:val="13"/>
          <w:b w:val="1"/>
          <w:bCs w:val="1"/>
          <w:color w:val="C44E5E"/>
        </w:rPr>
        <w:t xml:space="preserve"> </w:t>
      </w:r>
      <w:r>
        <w:rPr>
          <w:rFonts w:ascii="Arial" w:cs="Arial" w:eastAsia="Arial" w:hAnsi="Arial"/>
          <w:sz w:val="13"/>
          <w:szCs w:val="13"/>
          <w:color w:val="000000"/>
        </w:rPr>
        <w:t>“Grant Date”). Between 50% and 250% of the target number of PSUs granted to each recipient (248,108 PSUs) may become eligible to vest upon achievement of absolute TSR goals that were derived from five-year CAGRs of 5.6% (threshold) to 19.2% (maximum), as set forth in the schedule below:</w:t>
      </w:r>
    </w:p>
    <w:p>
      <w:pPr>
        <w:spacing w:after="0" w:line="174" w:lineRule="exact"/>
        <w:rPr>
          <w:sz w:val="20"/>
          <w:szCs w:val="20"/>
          <w:color w:val="auto"/>
        </w:rPr>
      </w:pPr>
    </w:p>
    <w:tbl>
      <w:tblPr>
        <w:tblLayout w:type="fixed"/>
        <w:tblInd w:w="540" w:type="dxa"/>
        <w:tblCellMar>
          <w:top w:w="0" w:type="dxa"/>
          <w:left w:w="0" w:type="dxa"/>
          <w:bottom w:w="0" w:type="dxa"/>
          <w:right w:w="0" w:type="dxa"/>
        </w:tblCellMar>
      </w:tblPr>
      <w:tr>
        <w:trPr>
          <w:trHeight w:val="218"/>
        </w:trPr>
        <w:tc>
          <w:tcPr>
            <w:tcW w:w="2900" w:type="dxa"/>
            <w:vAlign w:val="bottom"/>
            <w:tcBorders>
              <w:bottom w:val="single" w:sz="8" w:color="1F5AA8"/>
            </w:tcBorders>
          </w:tcPr>
          <w:p>
            <w:pPr>
              <w:ind w:left="60"/>
              <w:spacing w:after="0"/>
              <w:rPr>
                <w:sz w:val="20"/>
                <w:szCs w:val="20"/>
                <w:color w:val="auto"/>
              </w:rPr>
            </w:pPr>
            <w:r>
              <w:rPr>
                <w:rFonts w:ascii="Arial" w:cs="Arial" w:eastAsia="Arial" w:hAnsi="Arial"/>
                <w:sz w:val="12"/>
                <w:szCs w:val="12"/>
                <w:b w:val="1"/>
                <w:bCs w:val="1"/>
                <w:color w:val="205BA8"/>
              </w:rPr>
              <w:t>Performance Level</w:t>
            </w:r>
          </w:p>
        </w:tc>
        <w:tc>
          <w:tcPr>
            <w:tcW w:w="3420" w:type="dxa"/>
            <w:vAlign w:val="bottom"/>
            <w:tcBorders>
              <w:bottom w:val="single" w:sz="8" w:color="1F5AA8"/>
            </w:tcBorders>
          </w:tcPr>
          <w:p>
            <w:pPr>
              <w:jc w:val="right"/>
              <w:ind w:right="435"/>
              <w:spacing w:after="0"/>
              <w:rPr>
                <w:sz w:val="20"/>
                <w:szCs w:val="20"/>
                <w:color w:val="auto"/>
              </w:rPr>
            </w:pPr>
            <w:r>
              <w:rPr>
                <w:rFonts w:ascii="Arial" w:cs="Arial" w:eastAsia="Arial" w:hAnsi="Arial"/>
                <w:sz w:val="12"/>
                <w:szCs w:val="12"/>
                <w:b w:val="1"/>
                <w:bCs w:val="1"/>
                <w:color w:val="205BA8"/>
              </w:rPr>
              <w:t>Absolute TSR Goal</w:t>
            </w:r>
            <w:r>
              <w:rPr>
                <w:rFonts w:ascii="Arial" w:cs="Arial" w:eastAsia="Arial" w:hAnsi="Arial"/>
                <w:sz w:val="19"/>
                <w:szCs w:val="19"/>
                <w:b w:val="1"/>
                <w:bCs w:val="1"/>
                <w:color w:val="205BA8"/>
                <w:vertAlign w:val="superscript"/>
              </w:rPr>
              <w:t>1</w:t>
            </w:r>
          </w:p>
        </w:tc>
        <w:tc>
          <w:tcPr>
            <w:tcW w:w="1560" w:type="dxa"/>
            <w:vAlign w:val="bottom"/>
            <w:tcBorders>
              <w:bottom w:val="single" w:sz="8" w:color="1F5AA8"/>
            </w:tcBorders>
          </w:tcPr>
          <w:p>
            <w:pPr>
              <w:jc w:val="right"/>
              <w:ind w:right="375"/>
              <w:spacing w:after="0"/>
              <w:rPr>
                <w:sz w:val="20"/>
                <w:szCs w:val="20"/>
                <w:color w:val="auto"/>
              </w:rPr>
            </w:pPr>
            <w:r>
              <w:rPr>
                <w:rFonts w:ascii="Arial" w:cs="Arial" w:eastAsia="Arial" w:hAnsi="Arial"/>
                <w:sz w:val="12"/>
                <w:szCs w:val="12"/>
                <w:b w:val="1"/>
                <w:bCs w:val="1"/>
                <w:color w:val="205BA8"/>
              </w:rPr>
              <w:t>TSR CAGR</w:t>
            </w:r>
          </w:p>
        </w:tc>
        <w:tc>
          <w:tcPr>
            <w:tcW w:w="1480" w:type="dxa"/>
            <w:vAlign w:val="bottom"/>
            <w:tcBorders>
              <w:bottom w:val="single" w:sz="8" w:color="1F5AA8"/>
            </w:tcBorders>
          </w:tcPr>
          <w:p>
            <w:pPr>
              <w:jc w:val="right"/>
              <w:ind w:right="235"/>
              <w:spacing w:after="0"/>
              <w:rPr>
                <w:sz w:val="20"/>
                <w:szCs w:val="20"/>
                <w:color w:val="auto"/>
              </w:rPr>
            </w:pPr>
            <w:r>
              <w:rPr>
                <w:rFonts w:ascii="Arial" w:cs="Arial" w:eastAsia="Arial" w:hAnsi="Arial"/>
                <w:sz w:val="12"/>
                <w:szCs w:val="12"/>
                <w:b w:val="1"/>
                <w:bCs w:val="1"/>
                <w:color w:val="205BA8"/>
              </w:rPr>
              <w:t>Price Target</w:t>
            </w:r>
            <w:r>
              <w:rPr>
                <w:rFonts w:ascii="Arial" w:cs="Arial" w:eastAsia="Arial" w:hAnsi="Arial"/>
                <w:sz w:val="19"/>
                <w:szCs w:val="19"/>
                <w:b w:val="1"/>
                <w:bCs w:val="1"/>
                <w:color w:val="205BA8"/>
                <w:vertAlign w:val="superscript"/>
              </w:rPr>
              <w:t>2</w:t>
            </w:r>
          </w:p>
        </w:tc>
        <w:tc>
          <w:tcPr>
            <w:tcW w:w="800" w:type="dxa"/>
            <w:vAlign w:val="bottom"/>
            <w:tcBorders>
              <w:bottom w:val="single" w:sz="8" w:color="1F5AA8"/>
            </w:tcBorders>
          </w:tcPr>
          <w:p>
            <w:pPr>
              <w:jc w:val="right"/>
              <w:spacing w:after="0"/>
              <w:rPr>
                <w:sz w:val="20"/>
                <w:szCs w:val="20"/>
                <w:color w:val="auto"/>
              </w:rPr>
            </w:pPr>
            <w:r>
              <w:rPr>
                <w:rFonts w:ascii="Arial" w:cs="Arial" w:eastAsia="Arial" w:hAnsi="Arial"/>
                <w:sz w:val="12"/>
                <w:szCs w:val="12"/>
                <w:b w:val="1"/>
                <w:bCs w:val="1"/>
                <w:color w:val="205BA8"/>
              </w:rPr>
              <w:t>Payout</w:t>
            </w:r>
            <w:r>
              <w:rPr>
                <w:rFonts w:ascii="Arial" w:cs="Arial" w:eastAsia="Arial" w:hAnsi="Arial"/>
                <w:sz w:val="19"/>
                <w:szCs w:val="19"/>
                <w:b w:val="1"/>
                <w:bCs w:val="1"/>
                <w:color w:val="205BA8"/>
                <w:vertAlign w:val="superscript"/>
              </w:rPr>
              <w:t>3</w:t>
            </w:r>
          </w:p>
        </w:tc>
      </w:tr>
      <w:tr>
        <w:trPr>
          <w:trHeight w:val="142"/>
        </w:trPr>
        <w:tc>
          <w:tcPr>
            <w:tcW w:w="2900" w:type="dxa"/>
            <w:vAlign w:val="bottom"/>
            <w:tcBorders>
              <w:bottom w:val="single" w:sz="8" w:color="58585A"/>
            </w:tcBorders>
            <w:shd w:val="clear" w:color="auto" w:fill="E5E5E5"/>
          </w:tcPr>
          <w:p>
            <w:pPr>
              <w:ind w:left="60"/>
              <w:spacing w:after="0" w:line="142" w:lineRule="exact"/>
              <w:rPr>
                <w:sz w:val="20"/>
                <w:szCs w:val="20"/>
                <w:color w:val="auto"/>
              </w:rPr>
            </w:pPr>
            <w:r>
              <w:rPr>
                <w:rFonts w:ascii="Arial" w:cs="Arial" w:eastAsia="Arial" w:hAnsi="Arial"/>
                <w:sz w:val="13"/>
                <w:szCs w:val="13"/>
                <w:color w:val="auto"/>
              </w:rPr>
              <w:t>Maximum</w:t>
            </w:r>
          </w:p>
        </w:tc>
        <w:tc>
          <w:tcPr>
            <w:tcW w:w="3420" w:type="dxa"/>
            <w:vAlign w:val="bottom"/>
            <w:tcBorders>
              <w:bottom w:val="single" w:sz="8" w:color="58585A"/>
            </w:tcBorders>
            <w:shd w:val="clear" w:color="auto" w:fill="E5E5E5"/>
          </w:tcPr>
          <w:p>
            <w:pPr>
              <w:jc w:val="right"/>
              <w:ind w:right="435"/>
              <w:spacing w:after="0" w:line="142" w:lineRule="exact"/>
              <w:rPr>
                <w:sz w:val="20"/>
                <w:szCs w:val="20"/>
                <w:color w:val="auto"/>
              </w:rPr>
            </w:pPr>
            <w:r>
              <w:rPr>
                <w:rFonts w:ascii="Arial" w:cs="Arial" w:eastAsia="Arial" w:hAnsi="Arial"/>
                <w:sz w:val="13"/>
                <w:szCs w:val="13"/>
                <w:color w:val="auto"/>
              </w:rPr>
              <w:t>+140.4%</w:t>
            </w:r>
          </w:p>
        </w:tc>
        <w:tc>
          <w:tcPr>
            <w:tcW w:w="1560" w:type="dxa"/>
            <w:vAlign w:val="bottom"/>
            <w:tcBorders>
              <w:bottom w:val="single" w:sz="8" w:color="58585A"/>
            </w:tcBorders>
            <w:shd w:val="clear" w:color="auto" w:fill="E5E5E5"/>
          </w:tcPr>
          <w:p>
            <w:pPr>
              <w:jc w:val="right"/>
              <w:ind w:right="375"/>
              <w:spacing w:after="0" w:line="142" w:lineRule="exact"/>
              <w:rPr>
                <w:sz w:val="20"/>
                <w:szCs w:val="20"/>
                <w:color w:val="auto"/>
              </w:rPr>
            </w:pPr>
            <w:r>
              <w:rPr>
                <w:rFonts w:ascii="Arial" w:cs="Arial" w:eastAsia="Arial" w:hAnsi="Arial"/>
                <w:sz w:val="13"/>
                <w:szCs w:val="13"/>
                <w:color w:val="auto"/>
              </w:rPr>
              <w:t>+19.2%</w:t>
            </w:r>
          </w:p>
        </w:tc>
        <w:tc>
          <w:tcPr>
            <w:tcW w:w="1480" w:type="dxa"/>
            <w:vAlign w:val="bottom"/>
            <w:tcBorders>
              <w:bottom w:val="single" w:sz="8" w:color="58585A"/>
            </w:tcBorders>
            <w:shd w:val="clear" w:color="auto" w:fill="E5E5E5"/>
          </w:tcPr>
          <w:p>
            <w:pPr>
              <w:jc w:val="right"/>
              <w:ind w:right="235"/>
              <w:spacing w:after="0" w:line="142" w:lineRule="exact"/>
              <w:rPr>
                <w:sz w:val="20"/>
                <w:szCs w:val="20"/>
                <w:color w:val="auto"/>
              </w:rPr>
            </w:pPr>
            <w:r>
              <w:rPr>
                <w:rFonts w:ascii="Arial" w:cs="Arial" w:eastAsia="Arial" w:hAnsi="Arial"/>
                <w:sz w:val="13"/>
                <w:szCs w:val="13"/>
                <w:color w:val="auto"/>
              </w:rPr>
              <w:t>$1,150</w:t>
            </w:r>
          </w:p>
        </w:tc>
        <w:tc>
          <w:tcPr>
            <w:tcW w:w="800" w:type="dxa"/>
            <w:vAlign w:val="bottom"/>
            <w:tcBorders>
              <w:bottom w:val="single" w:sz="8" w:color="58585A"/>
            </w:tcBorders>
            <w:shd w:val="clear" w:color="auto" w:fill="E5E5E5"/>
          </w:tcPr>
          <w:p>
            <w:pPr>
              <w:jc w:val="right"/>
              <w:spacing w:after="0" w:line="142" w:lineRule="exact"/>
              <w:rPr>
                <w:sz w:val="20"/>
                <w:szCs w:val="20"/>
                <w:color w:val="auto"/>
              </w:rPr>
            </w:pPr>
            <w:r>
              <w:rPr>
                <w:rFonts w:ascii="Arial" w:cs="Arial" w:eastAsia="Arial" w:hAnsi="Arial"/>
                <w:sz w:val="13"/>
                <w:szCs w:val="13"/>
                <w:color w:val="auto"/>
              </w:rPr>
              <w:t>250%</w:t>
            </w:r>
          </w:p>
        </w:tc>
      </w:tr>
      <w:tr>
        <w:trPr>
          <w:trHeight w:val="142"/>
        </w:trPr>
        <w:tc>
          <w:tcPr>
            <w:tcW w:w="2900" w:type="dxa"/>
            <w:vAlign w:val="bottom"/>
            <w:tcBorders>
              <w:bottom w:val="single" w:sz="8" w:color="58585A"/>
            </w:tcBorders>
          </w:tcPr>
          <w:p>
            <w:pPr>
              <w:spacing w:after="0"/>
              <w:rPr>
                <w:sz w:val="12"/>
                <w:szCs w:val="12"/>
                <w:color w:val="auto"/>
              </w:rPr>
            </w:pPr>
          </w:p>
        </w:tc>
        <w:tc>
          <w:tcPr>
            <w:tcW w:w="3420" w:type="dxa"/>
            <w:vAlign w:val="bottom"/>
            <w:tcBorders>
              <w:bottom w:val="single" w:sz="8" w:color="58585A"/>
            </w:tcBorders>
          </w:tcPr>
          <w:p>
            <w:pPr>
              <w:jc w:val="right"/>
              <w:ind w:right="435"/>
              <w:spacing w:after="0" w:line="142" w:lineRule="exact"/>
              <w:rPr>
                <w:sz w:val="20"/>
                <w:szCs w:val="20"/>
                <w:color w:val="auto"/>
              </w:rPr>
            </w:pPr>
            <w:r>
              <w:rPr>
                <w:rFonts w:ascii="Arial" w:cs="Arial" w:eastAsia="Arial" w:hAnsi="Arial"/>
                <w:sz w:val="13"/>
                <w:szCs w:val="13"/>
                <w:color w:val="auto"/>
              </w:rPr>
              <w:t>+125.6%</w:t>
            </w:r>
          </w:p>
        </w:tc>
        <w:tc>
          <w:tcPr>
            <w:tcW w:w="1560" w:type="dxa"/>
            <w:vAlign w:val="bottom"/>
            <w:tcBorders>
              <w:bottom w:val="single" w:sz="8" w:color="58585A"/>
            </w:tcBorders>
          </w:tcPr>
          <w:p>
            <w:pPr>
              <w:jc w:val="right"/>
              <w:ind w:right="375"/>
              <w:spacing w:after="0" w:line="142" w:lineRule="exact"/>
              <w:rPr>
                <w:sz w:val="20"/>
                <w:szCs w:val="20"/>
                <w:color w:val="auto"/>
              </w:rPr>
            </w:pPr>
            <w:r>
              <w:rPr>
                <w:rFonts w:ascii="Arial" w:cs="Arial" w:eastAsia="Arial" w:hAnsi="Arial"/>
                <w:sz w:val="13"/>
                <w:szCs w:val="13"/>
                <w:color w:val="auto"/>
              </w:rPr>
              <w:t>+17.7%</w:t>
            </w:r>
          </w:p>
        </w:tc>
        <w:tc>
          <w:tcPr>
            <w:tcW w:w="1480" w:type="dxa"/>
            <w:vAlign w:val="bottom"/>
            <w:tcBorders>
              <w:bottom w:val="single" w:sz="8" w:color="58585A"/>
            </w:tcBorders>
          </w:tcPr>
          <w:p>
            <w:pPr>
              <w:jc w:val="right"/>
              <w:ind w:right="235"/>
              <w:spacing w:after="0" w:line="142" w:lineRule="exact"/>
              <w:rPr>
                <w:sz w:val="20"/>
                <w:szCs w:val="20"/>
                <w:color w:val="auto"/>
              </w:rPr>
            </w:pPr>
            <w:r>
              <w:rPr>
                <w:rFonts w:ascii="Arial" w:cs="Arial" w:eastAsia="Arial" w:hAnsi="Arial"/>
                <w:sz w:val="13"/>
                <w:szCs w:val="13"/>
                <w:color w:val="auto"/>
              </w:rPr>
              <w:t>$1,079</w:t>
            </w:r>
          </w:p>
        </w:tc>
        <w:tc>
          <w:tcPr>
            <w:tcW w:w="8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225%</w:t>
            </w:r>
          </w:p>
        </w:tc>
      </w:tr>
      <w:tr>
        <w:trPr>
          <w:trHeight w:val="142"/>
        </w:trPr>
        <w:tc>
          <w:tcPr>
            <w:tcW w:w="2900" w:type="dxa"/>
            <w:vAlign w:val="bottom"/>
            <w:tcBorders>
              <w:bottom w:val="single" w:sz="8" w:color="58585A"/>
            </w:tcBorders>
          </w:tcPr>
          <w:p>
            <w:pPr>
              <w:spacing w:after="0"/>
              <w:rPr>
                <w:sz w:val="12"/>
                <w:szCs w:val="12"/>
                <w:color w:val="auto"/>
              </w:rPr>
            </w:pPr>
          </w:p>
        </w:tc>
        <w:tc>
          <w:tcPr>
            <w:tcW w:w="3420" w:type="dxa"/>
            <w:vAlign w:val="bottom"/>
            <w:tcBorders>
              <w:bottom w:val="single" w:sz="8" w:color="58585A"/>
            </w:tcBorders>
          </w:tcPr>
          <w:p>
            <w:pPr>
              <w:jc w:val="right"/>
              <w:ind w:right="435"/>
              <w:spacing w:after="0" w:line="142" w:lineRule="exact"/>
              <w:rPr>
                <w:sz w:val="20"/>
                <w:szCs w:val="20"/>
                <w:color w:val="auto"/>
              </w:rPr>
            </w:pPr>
            <w:r>
              <w:rPr>
                <w:rFonts w:ascii="Arial" w:cs="Arial" w:eastAsia="Arial" w:hAnsi="Arial"/>
                <w:sz w:val="13"/>
                <w:szCs w:val="13"/>
                <w:color w:val="auto"/>
              </w:rPr>
              <w:t>+112.4%</w:t>
            </w:r>
          </w:p>
        </w:tc>
        <w:tc>
          <w:tcPr>
            <w:tcW w:w="1560" w:type="dxa"/>
            <w:vAlign w:val="bottom"/>
            <w:tcBorders>
              <w:bottom w:val="single" w:sz="8" w:color="58585A"/>
            </w:tcBorders>
          </w:tcPr>
          <w:p>
            <w:pPr>
              <w:jc w:val="right"/>
              <w:ind w:right="375"/>
              <w:spacing w:after="0" w:line="142" w:lineRule="exact"/>
              <w:rPr>
                <w:sz w:val="20"/>
                <w:szCs w:val="20"/>
                <w:color w:val="auto"/>
              </w:rPr>
            </w:pPr>
            <w:r>
              <w:rPr>
                <w:rFonts w:ascii="Arial" w:cs="Arial" w:eastAsia="Arial" w:hAnsi="Arial"/>
                <w:sz w:val="13"/>
                <w:szCs w:val="13"/>
                <w:color w:val="auto"/>
              </w:rPr>
              <w:t>+16.3%</w:t>
            </w:r>
          </w:p>
        </w:tc>
        <w:tc>
          <w:tcPr>
            <w:tcW w:w="1480" w:type="dxa"/>
            <w:vAlign w:val="bottom"/>
            <w:tcBorders>
              <w:bottom w:val="single" w:sz="8" w:color="58585A"/>
            </w:tcBorders>
          </w:tcPr>
          <w:p>
            <w:pPr>
              <w:jc w:val="right"/>
              <w:ind w:right="235"/>
              <w:spacing w:after="0" w:line="142" w:lineRule="exact"/>
              <w:rPr>
                <w:sz w:val="20"/>
                <w:szCs w:val="20"/>
                <w:color w:val="auto"/>
              </w:rPr>
            </w:pPr>
            <w:r>
              <w:rPr>
                <w:rFonts w:ascii="Arial" w:cs="Arial" w:eastAsia="Arial" w:hAnsi="Arial"/>
                <w:sz w:val="13"/>
                <w:szCs w:val="13"/>
                <w:color w:val="auto"/>
              </w:rPr>
              <w:t>$1,016</w:t>
            </w:r>
          </w:p>
        </w:tc>
        <w:tc>
          <w:tcPr>
            <w:tcW w:w="8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200%</w:t>
            </w:r>
          </w:p>
        </w:tc>
      </w:tr>
      <w:tr>
        <w:trPr>
          <w:trHeight w:val="142"/>
        </w:trPr>
        <w:tc>
          <w:tcPr>
            <w:tcW w:w="2900" w:type="dxa"/>
            <w:vAlign w:val="bottom"/>
            <w:tcBorders>
              <w:bottom w:val="single" w:sz="8" w:color="58585A"/>
            </w:tcBorders>
          </w:tcPr>
          <w:p>
            <w:pPr>
              <w:spacing w:after="0"/>
              <w:rPr>
                <w:sz w:val="12"/>
                <w:szCs w:val="12"/>
                <w:color w:val="auto"/>
              </w:rPr>
            </w:pPr>
          </w:p>
        </w:tc>
        <w:tc>
          <w:tcPr>
            <w:tcW w:w="3420" w:type="dxa"/>
            <w:vAlign w:val="bottom"/>
            <w:tcBorders>
              <w:bottom w:val="single" w:sz="8" w:color="58585A"/>
            </w:tcBorders>
          </w:tcPr>
          <w:p>
            <w:pPr>
              <w:jc w:val="right"/>
              <w:ind w:right="435"/>
              <w:spacing w:after="0" w:line="142" w:lineRule="exact"/>
              <w:rPr>
                <w:sz w:val="20"/>
                <w:szCs w:val="20"/>
                <w:color w:val="auto"/>
              </w:rPr>
            </w:pPr>
            <w:r>
              <w:rPr>
                <w:rFonts w:ascii="Arial" w:cs="Arial" w:eastAsia="Arial" w:hAnsi="Arial"/>
                <w:sz w:val="13"/>
                <w:szCs w:val="13"/>
                <w:color w:val="auto"/>
              </w:rPr>
              <w:t>+99.9%</w:t>
            </w:r>
          </w:p>
        </w:tc>
        <w:tc>
          <w:tcPr>
            <w:tcW w:w="1560" w:type="dxa"/>
            <w:vAlign w:val="bottom"/>
            <w:tcBorders>
              <w:bottom w:val="single" w:sz="8" w:color="58585A"/>
            </w:tcBorders>
          </w:tcPr>
          <w:p>
            <w:pPr>
              <w:jc w:val="right"/>
              <w:ind w:right="375"/>
              <w:spacing w:after="0" w:line="142" w:lineRule="exact"/>
              <w:rPr>
                <w:sz w:val="20"/>
                <w:szCs w:val="20"/>
                <w:color w:val="auto"/>
              </w:rPr>
            </w:pPr>
            <w:r>
              <w:rPr>
                <w:rFonts w:ascii="Arial" w:cs="Arial" w:eastAsia="Arial" w:hAnsi="Arial"/>
                <w:sz w:val="13"/>
                <w:szCs w:val="13"/>
                <w:color w:val="auto"/>
              </w:rPr>
              <w:t>+14.9%</w:t>
            </w:r>
          </w:p>
        </w:tc>
        <w:tc>
          <w:tcPr>
            <w:tcW w:w="1480" w:type="dxa"/>
            <w:vAlign w:val="bottom"/>
            <w:tcBorders>
              <w:bottom w:val="single" w:sz="8" w:color="58585A"/>
            </w:tcBorders>
          </w:tcPr>
          <w:p>
            <w:pPr>
              <w:jc w:val="right"/>
              <w:ind w:right="235"/>
              <w:spacing w:after="0" w:line="142" w:lineRule="exact"/>
              <w:rPr>
                <w:sz w:val="20"/>
                <w:szCs w:val="20"/>
                <w:color w:val="auto"/>
              </w:rPr>
            </w:pPr>
            <w:r>
              <w:rPr>
                <w:rFonts w:ascii="Arial" w:cs="Arial" w:eastAsia="Arial" w:hAnsi="Arial"/>
                <w:sz w:val="13"/>
                <w:szCs w:val="13"/>
                <w:color w:val="auto"/>
              </w:rPr>
              <w:t>$956</w:t>
            </w:r>
          </w:p>
        </w:tc>
        <w:tc>
          <w:tcPr>
            <w:tcW w:w="8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175%</w:t>
            </w:r>
          </w:p>
        </w:tc>
      </w:tr>
      <w:tr>
        <w:trPr>
          <w:trHeight w:val="142"/>
        </w:trPr>
        <w:tc>
          <w:tcPr>
            <w:tcW w:w="2900" w:type="dxa"/>
            <w:vAlign w:val="bottom"/>
            <w:tcBorders>
              <w:bottom w:val="single" w:sz="8" w:color="58585A"/>
            </w:tcBorders>
          </w:tcPr>
          <w:p>
            <w:pPr>
              <w:spacing w:after="0"/>
              <w:rPr>
                <w:sz w:val="12"/>
                <w:szCs w:val="12"/>
                <w:color w:val="auto"/>
              </w:rPr>
            </w:pPr>
          </w:p>
        </w:tc>
        <w:tc>
          <w:tcPr>
            <w:tcW w:w="3420" w:type="dxa"/>
            <w:vAlign w:val="bottom"/>
            <w:tcBorders>
              <w:bottom w:val="single" w:sz="8" w:color="58585A"/>
            </w:tcBorders>
          </w:tcPr>
          <w:p>
            <w:pPr>
              <w:jc w:val="right"/>
              <w:ind w:right="435"/>
              <w:spacing w:after="0" w:line="142" w:lineRule="exact"/>
              <w:rPr>
                <w:sz w:val="20"/>
                <w:szCs w:val="20"/>
                <w:color w:val="auto"/>
              </w:rPr>
            </w:pPr>
            <w:r>
              <w:rPr>
                <w:rFonts w:ascii="Arial" w:cs="Arial" w:eastAsia="Arial" w:hAnsi="Arial"/>
                <w:sz w:val="13"/>
                <w:szCs w:val="13"/>
                <w:color w:val="auto"/>
              </w:rPr>
              <w:t>+87.7%</w:t>
            </w:r>
          </w:p>
        </w:tc>
        <w:tc>
          <w:tcPr>
            <w:tcW w:w="1560" w:type="dxa"/>
            <w:vAlign w:val="bottom"/>
            <w:tcBorders>
              <w:bottom w:val="single" w:sz="8" w:color="58585A"/>
            </w:tcBorders>
          </w:tcPr>
          <w:p>
            <w:pPr>
              <w:jc w:val="right"/>
              <w:ind w:right="375"/>
              <w:spacing w:after="0" w:line="142" w:lineRule="exact"/>
              <w:rPr>
                <w:sz w:val="20"/>
                <w:szCs w:val="20"/>
                <w:color w:val="auto"/>
              </w:rPr>
            </w:pPr>
            <w:r>
              <w:rPr>
                <w:rFonts w:ascii="Arial" w:cs="Arial" w:eastAsia="Arial" w:hAnsi="Arial"/>
                <w:sz w:val="13"/>
                <w:szCs w:val="13"/>
                <w:color w:val="auto"/>
              </w:rPr>
              <w:t>+13.4%</w:t>
            </w:r>
          </w:p>
        </w:tc>
        <w:tc>
          <w:tcPr>
            <w:tcW w:w="1480" w:type="dxa"/>
            <w:vAlign w:val="bottom"/>
            <w:tcBorders>
              <w:bottom w:val="single" w:sz="8" w:color="58585A"/>
            </w:tcBorders>
          </w:tcPr>
          <w:p>
            <w:pPr>
              <w:jc w:val="right"/>
              <w:ind w:right="235"/>
              <w:spacing w:after="0" w:line="142" w:lineRule="exact"/>
              <w:rPr>
                <w:sz w:val="20"/>
                <w:szCs w:val="20"/>
                <w:color w:val="auto"/>
              </w:rPr>
            </w:pPr>
            <w:r>
              <w:rPr>
                <w:rFonts w:ascii="Arial" w:cs="Arial" w:eastAsia="Arial" w:hAnsi="Arial"/>
                <w:sz w:val="13"/>
                <w:szCs w:val="13"/>
                <w:color w:val="auto"/>
              </w:rPr>
              <w:t>$898</w:t>
            </w:r>
          </w:p>
        </w:tc>
        <w:tc>
          <w:tcPr>
            <w:tcW w:w="8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150%</w:t>
            </w:r>
          </w:p>
        </w:tc>
      </w:tr>
      <w:tr>
        <w:trPr>
          <w:trHeight w:val="142"/>
        </w:trPr>
        <w:tc>
          <w:tcPr>
            <w:tcW w:w="2900" w:type="dxa"/>
            <w:vAlign w:val="bottom"/>
            <w:tcBorders>
              <w:bottom w:val="single" w:sz="8" w:color="58585A"/>
            </w:tcBorders>
          </w:tcPr>
          <w:p>
            <w:pPr>
              <w:spacing w:after="0"/>
              <w:rPr>
                <w:sz w:val="12"/>
                <w:szCs w:val="12"/>
                <w:color w:val="auto"/>
              </w:rPr>
            </w:pPr>
          </w:p>
        </w:tc>
        <w:tc>
          <w:tcPr>
            <w:tcW w:w="3420" w:type="dxa"/>
            <w:vAlign w:val="bottom"/>
            <w:tcBorders>
              <w:bottom w:val="single" w:sz="8" w:color="58585A"/>
            </w:tcBorders>
          </w:tcPr>
          <w:p>
            <w:pPr>
              <w:jc w:val="right"/>
              <w:ind w:right="435"/>
              <w:spacing w:after="0" w:line="142" w:lineRule="exact"/>
              <w:rPr>
                <w:sz w:val="20"/>
                <w:szCs w:val="20"/>
                <w:color w:val="auto"/>
              </w:rPr>
            </w:pPr>
            <w:r>
              <w:rPr>
                <w:rFonts w:ascii="Arial" w:cs="Arial" w:eastAsia="Arial" w:hAnsi="Arial"/>
                <w:sz w:val="13"/>
                <w:szCs w:val="13"/>
                <w:color w:val="auto"/>
              </w:rPr>
              <w:t>+76.5%</w:t>
            </w:r>
          </w:p>
        </w:tc>
        <w:tc>
          <w:tcPr>
            <w:tcW w:w="1560" w:type="dxa"/>
            <w:vAlign w:val="bottom"/>
            <w:tcBorders>
              <w:bottom w:val="single" w:sz="8" w:color="58585A"/>
            </w:tcBorders>
          </w:tcPr>
          <w:p>
            <w:pPr>
              <w:jc w:val="right"/>
              <w:ind w:right="375"/>
              <w:spacing w:after="0" w:line="142" w:lineRule="exact"/>
              <w:rPr>
                <w:sz w:val="20"/>
                <w:szCs w:val="20"/>
                <w:color w:val="auto"/>
              </w:rPr>
            </w:pPr>
            <w:r>
              <w:rPr>
                <w:rFonts w:ascii="Arial" w:cs="Arial" w:eastAsia="Arial" w:hAnsi="Arial"/>
                <w:sz w:val="13"/>
                <w:szCs w:val="13"/>
                <w:color w:val="auto"/>
              </w:rPr>
              <w:t>+12.0%</w:t>
            </w:r>
          </w:p>
        </w:tc>
        <w:tc>
          <w:tcPr>
            <w:tcW w:w="1480" w:type="dxa"/>
            <w:vAlign w:val="bottom"/>
            <w:tcBorders>
              <w:bottom w:val="single" w:sz="8" w:color="58585A"/>
            </w:tcBorders>
          </w:tcPr>
          <w:p>
            <w:pPr>
              <w:jc w:val="right"/>
              <w:ind w:right="235"/>
              <w:spacing w:after="0" w:line="142" w:lineRule="exact"/>
              <w:rPr>
                <w:sz w:val="20"/>
                <w:szCs w:val="20"/>
                <w:color w:val="auto"/>
              </w:rPr>
            </w:pPr>
            <w:r>
              <w:rPr>
                <w:rFonts w:ascii="Arial" w:cs="Arial" w:eastAsia="Arial" w:hAnsi="Arial"/>
                <w:sz w:val="13"/>
                <w:szCs w:val="13"/>
                <w:color w:val="auto"/>
              </w:rPr>
              <w:t>$844</w:t>
            </w:r>
          </w:p>
        </w:tc>
        <w:tc>
          <w:tcPr>
            <w:tcW w:w="8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125%</w:t>
            </w:r>
          </w:p>
        </w:tc>
      </w:tr>
      <w:tr>
        <w:trPr>
          <w:trHeight w:val="142"/>
        </w:trPr>
        <w:tc>
          <w:tcPr>
            <w:tcW w:w="2900" w:type="dxa"/>
            <w:vAlign w:val="bottom"/>
            <w:tcBorders>
              <w:bottom w:val="single" w:sz="8" w:color="58585A"/>
            </w:tcBorders>
            <w:shd w:val="clear" w:color="auto" w:fill="205BA8"/>
          </w:tcPr>
          <w:p>
            <w:pPr>
              <w:ind w:left="60"/>
              <w:spacing w:after="0" w:line="142" w:lineRule="exact"/>
              <w:rPr>
                <w:sz w:val="20"/>
                <w:szCs w:val="20"/>
                <w:color w:val="auto"/>
              </w:rPr>
            </w:pPr>
            <w:r>
              <w:rPr>
                <w:rFonts w:ascii="Arial" w:cs="Arial" w:eastAsia="Arial" w:hAnsi="Arial"/>
                <w:sz w:val="13"/>
                <w:szCs w:val="13"/>
                <w:color w:val="FFFFFF"/>
              </w:rPr>
              <w:t>Target</w:t>
            </w:r>
          </w:p>
        </w:tc>
        <w:tc>
          <w:tcPr>
            <w:tcW w:w="3420" w:type="dxa"/>
            <w:vAlign w:val="bottom"/>
            <w:tcBorders>
              <w:bottom w:val="single" w:sz="8" w:color="58585A"/>
            </w:tcBorders>
            <w:shd w:val="clear" w:color="auto" w:fill="205BA8"/>
          </w:tcPr>
          <w:p>
            <w:pPr>
              <w:jc w:val="right"/>
              <w:ind w:right="435"/>
              <w:spacing w:after="0" w:line="142" w:lineRule="exact"/>
              <w:rPr>
                <w:sz w:val="20"/>
                <w:szCs w:val="20"/>
                <w:color w:val="auto"/>
              </w:rPr>
            </w:pPr>
            <w:r>
              <w:rPr>
                <w:rFonts w:ascii="Arial" w:cs="Arial" w:eastAsia="Arial" w:hAnsi="Arial"/>
                <w:sz w:val="13"/>
                <w:szCs w:val="13"/>
                <w:color w:val="FFFFFF"/>
              </w:rPr>
              <w:t>+65.6%</w:t>
            </w:r>
          </w:p>
        </w:tc>
        <w:tc>
          <w:tcPr>
            <w:tcW w:w="1560" w:type="dxa"/>
            <w:vAlign w:val="bottom"/>
            <w:tcBorders>
              <w:bottom w:val="single" w:sz="8" w:color="58585A"/>
            </w:tcBorders>
            <w:shd w:val="clear" w:color="auto" w:fill="205BA8"/>
          </w:tcPr>
          <w:p>
            <w:pPr>
              <w:jc w:val="right"/>
              <w:ind w:right="375"/>
              <w:spacing w:after="0" w:line="142" w:lineRule="exact"/>
              <w:rPr>
                <w:sz w:val="20"/>
                <w:szCs w:val="20"/>
                <w:color w:val="auto"/>
              </w:rPr>
            </w:pPr>
            <w:r>
              <w:rPr>
                <w:rFonts w:ascii="Arial" w:cs="Arial" w:eastAsia="Arial" w:hAnsi="Arial"/>
                <w:sz w:val="13"/>
                <w:szCs w:val="13"/>
                <w:color w:val="FFFFFF"/>
              </w:rPr>
              <w:t>+10.6%</w:t>
            </w:r>
          </w:p>
        </w:tc>
        <w:tc>
          <w:tcPr>
            <w:tcW w:w="1480" w:type="dxa"/>
            <w:vAlign w:val="bottom"/>
            <w:tcBorders>
              <w:bottom w:val="single" w:sz="8" w:color="58585A"/>
            </w:tcBorders>
            <w:shd w:val="clear" w:color="auto" w:fill="205BA8"/>
          </w:tcPr>
          <w:p>
            <w:pPr>
              <w:jc w:val="right"/>
              <w:ind w:right="235"/>
              <w:spacing w:after="0" w:line="142" w:lineRule="exact"/>
              <w:rPr>
                <w:sz w:val="20"/>
                <w:szCs w:val="20"/>
                <w:color w:val="auto"/>
              </w:rPr>
            </w:pPr>
            <w:r>
              <w:rPr>
                <w:rFonts w:ascii="Arial" w:cs="Arial" w:eastAsia="Arial" w:hAnsi="Arial"/>
                <w:sz w:val="13"/>
                <w:szCs w:val="13"/>
                <w:color w:val="FFFFFF"/>
              </w:rPr>
              <w:t>$792</w:t>
            </w:r>
          </w:p>
        </w:tc>
        <w:tc>
          <w:tcPr>
            <w:tcW w:w="800" w:type="dxa"/>
            <w:vAlign w:val="bottom"/>
            <w:tcBorders>
              <w:bottom w:val="single" w:sz="8" w:color="58585A"/>
            </w:tcBorders>
            <w:shd w:val="clear" w:color="auto" w:fill="205BA8"/>
          </w:tcPr>
          <w:p>
            <w:pPr>
              <w:jc w:val="right"/>
              <w:spacing w:after="0" w:line="142" w:lineRule="exact"/>
              <w:rPr>
                <w:sz w:val="20"/>
                <w:szCs w:val="20"/>
                <w:color w:val="auto"/>
              </w:rPr>
            </w:pPr>
            <w:r>
              <w:rPr>
                <w:rFonts w:ascii="Arial" w:cs="Arial" w:eastAsia="Arial" w:hAnsi="Arial"/>
                <w:sz w:val="13"/>
                <w:szCs w:val="13"/>
                <w:color w:val="FFFFFF"/>
              </w:rPr>
              <w:t>100%</w:t>
            </w:r>
          </w:p>
        </w:tc>
      </w:tr>
      <w:tr>
        <w:trPr>
          <w:trHeight w:val="142"/>
        </w:trPr>
        <w:tc>
          <w:tcPr>
            <w:tcW w:w="2900" w:type="dxa"/>
            <w:vAlign w:val="bottom"/>
            <w:tcBorders>
              <w:bottom w:val="single" w:sz="8" w:color="58585A"/>
            </w:tcBorders>
          </w:tcPr>
          <w:p>
            <w:pPr>
              <w:spacing w:after="0"/>
              <w:rPr>
                <w:sz w:val="12"/>
                <w:szCs w:val="12"/>
                <w:color w:val="auto"/>
              </w:rPr>
            </w:pPr>
          </w:p>
        </w:tc>
        <w:tc>
          <w:tcPr>
            <w:tcW w:w="3420" w:type="dxa"/>
            <w:vAlign w:val="bottom"/>
            <w:tcBorders>
              <w:bottom w:val="single" w:sz="8" w:color="58585A"/>
            </w:tcBorders>
          </w:tcPr>
          <w:p>
            <w:pPr>
              <w:jc w:val="right"/>
              <w:ind w:right="435"/>
              <w:spacing w:after="0" w:line="142" w:lineRule="exact"/>
              <w:rPr>
                <w:sz w:val="20"/>
                <w:szCs w:val="20"/>
                <w:color w:val="auto"/>
              </w:rPr>
            </w:pPr>
            <w:r>
              <w:rPr>
                <w:rFonts w:ascii="Arial" w:cs="Arial" w:eastAsia="Arial" w:hAnsi="Arial"/>
                <w:sz w:val="13"/>
                <w:szCs w:val="13"/>
                <w:color w:val="auto"/>
              </w:rPr>
              <w:t>+47.6%</w:t>
            </w:r>
          </w:p>
        </w:tc>
        <w:tc>
          <w:tcPr>
            <w:tcW w:w="1560" w:type="dxa"/>
            <w:vAlign w:val="bottom"/>
            <w:tcBorders>
              <w:bottom w:val="single" w:sz="8" w:color="58585A"/>
            </w:tcBorders>
          </w:tcPr>
          <w:p>
            <w:pPr>
              <w:jc w:val="right"/>
              <w:ind w:right="375"/>
              <w:spacing w:after="0" w:line="142" w:lineRule="exact"/>
              <w:rPr>
                <w:sz w:val="20"/>
                <w:szCs w:val="20"/>
                <w:color w:val="auto"/>
              </w:rPr>
            </w:pPr>
            <w:r>
              <w:rPr>
                <w:rFonts w:ascii="Arial" w:cs="Arial" w:eastAsia="Arial" w:hAnsi="Arial"/>
                <w:sz w:val="13"/>
                <w:szCs w:val="13"/>
                <w:color w:val="auto"/>
              </w:rPr>
              <w:t>+8.1%</w:t>
            </w:r>
          </w:p>
        </w:tc>
        <w:tc>
          <w:tcPr>
            <w:tcW w:w="1480" w:type="dxa"/>
            <w:vAlign w:val="bottom"/>
            <w:tcBorders>
              <w:bottom w:val="single" w:sz="8" w:color="58585A"/>
            </w:tcBorders>
          </w:tcPr>
          <w:p>
            <w:pPr>
              <w:jc w:val="right"/>
              <w:ind w:right="235"/>
              <w:spacing w:after="0" w:line="142" w:lineRule="exact"/>
              <w:rPr>
                <w:sz w:val="20"/>
                <w:szCs w:val="20"/>
                <w:color w:val="auto"/>
              </w:rPr>
            </w:pPr>
            <w:r>
              <w:rPr>
                <w:rFonts w:ascii="Arial" w:cs="Arial" w:eastAsia="Arial" w:hAnsi="Arial"/>
                <w:sz w:val="13"/>
                <w:szCs w:val="13"/>
                <w:color w:val="auto"/>
              </w:rPr>
              <w:t>$706</w:t>
            </w:r>
          </w:p>
        </w:tc>
        <w:tc>
          <w:tcPr>
            <w:tcW w:w="8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75%</w:t>
            </w:r>
          </w:p>
        </w:tc>
      </w:tr>
      <w:tr>
        <w:trPr>
          <w:trHeight w:val="142"/>
        </w:trPr>
        <w:tc>
          <w:tcPr>
            <w:tcW w:w="2900" w:type="dxa"/>
            <w:vAlign w:val="bottom"/>
            <w:tcBorders>
              <w:bottom w:val="single" w:sz="8" w:color="58585A"/>
            </w:tcBorders>
            <w:shd w:val="clear" w:color="auto" w:fill="E5E5E5"/>
          </w:tcPr>
          <w:p>
            <w:pPr>
              <w:ind w:left="60"/>
              <w:spacing w:after="0" w:line="142" w:lineRule="exact"/>
              <w:rPr>
                <w:sz w:val="20"/>
                <w:szCs w:val="20"/>
                <w:color w:val="auto"/>
              </w:rPr>
            </w:pPr>
            <w:r>
              <w:rPr>
                <w:rFonts w:ascii="Arial" w:cs="Arial" w:eastAsia="Arial" w:hAnsi="Arial"/>
                <w:sz w:val="13"/>
                <w:szCs w:val="13"/>
                <w:b w:val="1"/>
                <w:bCs w:val="1"/>
                <w:color w:val="auto"/>
              </w:rPr>
              <w:t>Threshold</w:t>
            </w:r>
          </w:p>
        </w:tc>
        <w:tc>
          <w:tcPr>
            <w:tcW w:w="3420" w:type="dxa"/>
            <w:vAlign w:val="bottom"/>
            <w:tcBorders>
              <w:bottom w:val="single" w:sz="8" w:color="58585A"/>
            </w:tcBorders>
            <w:shd w:val="clear" w:color="auto" w:fill="E5E5E5"/>
          </w:tcPr>
          <w:p>
            <w:pPr>
              <w:jc w:val="right"/>
              <w:ind w:right="435"/>
              <w:spacing w:after="0" w:line="142" w:lineRule="exact"/>
              <w:rPr>
                <w:sz w:val="20"/>
                <w:szCs w:val="20"/>
                <w:color w:val="auto"/>
              </w:rPr>
            </w:pPr>
            <w:r>
              <w:rPr>
                <w:rFonts w:ascii="Arial" w:cs="Arial" w:eastAsia="Arial" w:hAnsi="Arial"/>
                <w:sz w:val="13"/>
                <w:szCs w:val="13"/>
                <w:b w:val="1"/>
                <w:bCs w:val="1"/>
                <w:color w:val="auto"/>
              </w:rPr>
              <w:t>+31.3%</w:t>
            </w:r>
          </w:p>
        </w:tc>
        <w:tc>
          <w:tcPr>
            <w:tcW w:w="1560" w:type="dxa"/>
            <w:vAlign w:val="bottom"/>
            <w:tcBorders>
              <w:bottom w:val="single" w:sz="8" w:color="58585A"/>
            </w:tcBorders>
            <w:shd w:val="clear" w:color="auto" w:fill="E5E5E5"/>
          </w:tcPr>
          <w:p>
            <w:pPr>
              <w:jc w:val="right"/>
              <w:ind w:right="375"/>
              <w:spacing w:after="0" w:line="142" w:lineRule="exact"/>
              <w:rPr>
                <w:sz w:val="20"/>
                <w:szCs w:val="20"/>
                <w:color w:val="auto"/>
              </w:rPr>
            </w:pPr>
            <w:r>
              <w:rPr>
                <w:rFonts w:ascii="Arial" w:cs="Arial" w:eastAsia="Arial" w:hAnsi="Arial"/>
                <w:sz w:val="13"/>
                <w:szCs w:val="13"/>
                <w:b w:val="1"/>
                <w:bCs w:val="1"/>
                <w:color w:val="auto"/>
              </w:rPr>
              <w:t>+5.6%</w:t>
            </w:r>
          </w:p>
        </w:tc>
        <w:tc>
          <w:tcPr>
            <w:tcW w:w="1480" w:type="dxa"/>
            <w:vAlign w:val="bottom"/>
            <w:tcBorders>
              <w:bottom w:val="single" w:sz="8" w:color="58585A"/>
            </w:tcBorders>
            <w:shd w:val="clear" w:color="auto" w:fill="E5E5E5"/>
          </w:tcPr>
          <w:p>
            <w:pPr>
              <w:jc w:val="right"/>
              <w:ind w:right="235"/>
              <w:spacing w:after="0" w:line="142" w:lineRule="exact"/>
              <w:rPr>
                <w:sz w:val="20"/>
                <w:szCs w:val="20"/>
                <w:color w:val="auto"/>
              </w:rPr>
            </w:pPr>
            <w:r>
              <w:rPr>
                <w:rFonts w:ascii="Arial" w:cs="Arial" w:eastAsia="Arial" w:hAnsi="Arial"/>
                <w:sz w:val="13"/>
                <w:szCs w:val="13"/>
                <w:b w:val="1"/>
                <w:bCs w:val="1"/>
                <w:color w:val="auto"/>
              </w:rPr>
              <w:t>$628</w:t>
            </w:r>
          </w:p>
        </w:tc>
        <w:tc>
          <w:tcPr>
            <w:tcW w:w="800" w:type="dxa"/>
            <w:vAlign w:val="bottom"/>
            <w:tcBorders>
              <w:bottom w:val="single" w:sz="8" w:color="58585A"/>
            </w:tcBorders>
            <w:shd w:val="clear" w:color="auto" w:fill="E5E5E5"/>
          </w:tcPr>
          <w:p>
            <w:pPr>
              <w:jc w:val="right"/>
              <w:spacing w:after="0" w:line="142" w:lineRule="exact"/>
              <w:rPr>
                <w:sz w:val="20"/>
                <w:szCs w:val="20"/>
                <w:color w:val="auto"/>
              </w:rPr>
            </w:pPr>
            <w:r>
              <w:rPr>
                <w:rFonts w:ascii="Arial" w:cs="Arial" w:eastAsia="Arial" w:hAnsi="Arial"/>
                <w:sz w:val="13"/>
                <w:szCs w:val="13"/>
                <w:b w:val="1"/>
                <w:bCs w:val="1"/>
                <w:color w:val="auto"/>
              </w:rPr>
              <w:t>50%</w:t>
            </w:r>
          </w:p>
        </w:tc>
      </w:tr>
    </w:tbl>
    <w:p>
      <w:pPr>
        <w:spacing w:after="0" w:line="99" w:lineRule="exact"/>
        <w:rPr>
          <w:sz w:val="20"/>
          <w:szCs w:val="20"/>
          <w:color w:val="auto"/>
        </w:rPr>
      </w:pPr>
    </w:p>
    <w:p>
      <w:pPr>
        <w:ind w:left="760" w:right="700" w:hanging="212"/>
        <w:spacing w:after="0" w:line="258" w:lineRule="auto"/>
        <w:tabs>
          <w:tab w:leader="none" w:pos="760" w:val="left"/>
        </w:tabs>
        <w:numPr>
          <w:ilvl w:val="0"/>
          <w:numId w:val="110"/>
        </w:numPr>
        <w:rPr>
          <w:rFonts w:ascii="Arial" w:cs="Arial" w:eastAsia="Arial" w:hAnsi="Arial"/>
          <w:sz w:val="13"/>
          <w:szCs w:val="13"/>
          <w:b w:val="1"/>
          <w:bCs w:val="1"/>
          <w:color w:val="205BA8"/>
        </w:rPr>
      </w:pPr>
      <w:r>
        <w:rPr>
          <w:rFonts w:ascii="Arial" w:cs="Arial" w:eastAsia="Arial" w:hAnsi="Arial"/>
          <w:sz w:val="14"/>
          <w:szCs w:val="14"/>
          <w:color w:val="auto"/>
        </w:rPr>
        <w:t>Starting from $478.30 (the most recent closing price of the Company’s common stock at the time of grant) (the “Initial Share Price”); to be adjusted for any dividends or other shareholder distributions paid during the performance period.</w:t>
      </w:r>
    </w:p>
    <w:p>
      <w:pPr>
        <w:spacing w:after="0" w:line="59" w:lineRule="exact"/>
        <w:rPr>
          <w:sz w:val="20"/>
          <w:szCs w:val="20"/>
          <w:color w:val="auto"/>
        </w:rPr>
      </w:pPr>
    </w:p>
    <w:p>
      <w:pPr>
        <w:ind w:left="760" w:right="600" w:hanging="212"/>
        <w:spacing w:after="0" w:line="258" w:lineRule="auto"/>
        <w:tabs>
          <w:tab w:leader="none" w:pos="760" w:val="left"/>
        </w:tabs>
        <w:numPr>
          <w:ilvl w:val="0"/>
          <w:numId w:val="111"/>
        </w:numPr>
        <w:rPr>
          <w:rFonts w:ascii="Arial" w:cs="Arial" w:eastAsia="Arial" w:hAnsi="Arial"/>
          <w:sz w:val="13"/>
          <w:szCs w:val="13"/>
          <w:b w:val="1"/>
          <w:bCs w:val="1"/>
          <w:color w:val="205BA8"/>
        </w:rPr>
      </w:pPr>
      <w:r>
        <w:rPr>
          <w:rFonts w:ascii="Arial" w:cs="Arial" w:eastAsia="Arial" w:hAnsi="Arial"/>
          <w:sz w:val="14"/>
          <w:szCs w:val="14"/>
          <w:color w:val="auto"/>
        </w:rPr>
        <w:t>Determined by applying the five-year TSR CAGR goals to the Initial Share Price; to be adjusted for any dividends or other shareholder distributions paid out during the performance period.</w:t>
      </w:r>
    </w:p>
    <w:p>
      <w:pPr>
        <w:spacing w:after="0" w:line="59" w:lineRule="exact"/>
        <w:rPr>
          <w:sz w:val="20"/>
          <w:szCs w:val="20"/>
          <w:color w:val="auto"/>
        </w:rPr>
      </w:pPr>
    </w:p>
    <w:p>
      <w:pPr>
        <w:ind w:left="760" w:right="740" w:hanging="212"/>
        <w:spacing w:after="0" w:line="258" w:lineRule="auto"/>
        <w:tabs>
          <w:tab w:leader="none" w:pos="760" w:val="left"/>
        </w:tabs>
        <w:numPr>
          <w:ilvl w:val="0"/>
          <w:numId w:val="112"/>
        </w:numPr>
        <w:rPr>
          <w:rFonts w:ascii="Arial" w:cs="Arial" w:eastAsia="Arial" w:hAnsi="Arial"/>
          <w:sz w:val="13"/>
          <w:szCs w:val="13"/>
          <w:b w:val="1"/>
          <w:bCs w:val="1"/>
          <w:color w:val="205BA8"/>
        </w:rPr>
      </w:pPr>
      <w:r>
        <w:rPr>
          <w:rFonts w:ascii="Arial" w:cs="Arial" w:eastAsia="Arial" w:hAnsi="Arial"/>
          <w:sz w:val="14"/>
          <w:szCs w:val="14"/>
          <w:color w:val="auto"/>
        </w:rPr>
        <w:t>Payouts are expressed as a percentage of the target number of PSUs awarded to each recipient. Payouts for performance between the levels set forth in this table are determined by interpolation.</w:t>
      </w:r>
    </w:p>
    <w:p>
      <w:pPr>
        <w:spacing w:after="0" w:line="168" w:lineRule="exact"/>
        <w:rPr>
          <w:sz w:val="20"/>
          <w:szCs w:val="20"/>
          <w:color w:val="auto"/>
        </w:rPr>
      </w:pPr>
    </w:p>
    <w:p>
      <w:pPr>
        <w:ind w:left="540" w:right="720"/>
        <w:spacing w:after="0" w:line="239" w:lineRule="auto"/>
        <w:rPr>
          <w:sz w:val="20"/>
          <w:szCs w:val="20"/>
          <w:color w:val="auto"/>
        </w:rPr>
      </w:pPr>
      <w:r>
        <w:rPr>
          <w:rFonts w:ascii="Arial" w:cs="Arial" w:eastAsia="Arial" w:hAnsi="Arial"/>
          <w:sz w:val="15"/>
          <w:szCs w:val="15"/>
          <w:b w:val="1"/>
          <w:bCs w:val="1"/>
          <w:color w:val="C44E5E"/>
        </w:rPr>
        <w:t xml:space="preserve">Performance Goal Measurement. </w:t>
      </w:r>
      <w:r>
        <w:rPr>
          <w:rFonts w:ascii="Arial" w:cs="Arial" w:eastAsia="Arial" w:hAnsi="Arial"/>
          <w:sz w:val="15"/>
          <w:szCs w:val="15"/>
          <w:color w:val="000000"/>
        </w:rPr>
        <w:t>The PSUs may be earned at the threshold level beginning March 15, 2021 and may be earned above the</w:t>
      </w:r>
      <w:r>
        <w:rPr>
          <w:rFonts w:ascii="Arial" w:cs="Arial" w:eastAsia="Arial" w:hAnsi="Arial"/>
          <w:sz w:val="15"/>
          <w:szCs w:val="15"/>
          <w:b w:val="1"/>
          <w:bCs w:val="1"/>
          <w:color w:val="C44E5E"/>
        </w:rPr>
        <w:t xml:space="preserve"> </w:t>
      </w:r>
      <w:r>
        <w:rPr>
          <w:rFonts w:ascii="Arial" w:cs="Arial" w:eastAsia="Arial" w:hAnsi="Arial"/>
          <w:sz w:val="15"/>
          <w:szCs w:val="15"/>
          <w:color w:val="000000"/>
        </w:rPr>
        <w:t>threshold level only after the third anniversary of the Grant Date, in each case based on the average closing price of the Company’s common stock over any 20 consecutive trading days. If and to the extent earned, the PSUs vest 100% at the five-year anniversary of the Grant Date, subject to the recipient’s continued service at that time.</w:t>
      </w:r>
    </w:p>
    <w:p>
      <w:pPr>
        <w:spacing w:after="0" w:line="204" w:lineRule="exact"/>
        <w:rPr>
          <w:sz w:val="20"/>
          <w:szCs w:val="20"/>
          <w:color w:val="auto"/>
        </w:rPr>
      </w:pPr>
    </w:p>
    <w:p>
      <w:pPr>
        <w:ind w:left="540" w:right="560"/>
        <w:spacing w:after="0" w:line="236" w:lineRule="auto"/>
        <w:rPr>
          <w:sz w:val="20"/>
          <w:szCs w:val="20"/>
          <w:color w:val="auto"/>
        </w:rPr>
      </w:pPr>
      <w:r>
        <w:rPr>
          <w:rFonts w:ascii="Arial" w:cs="Arial" w:eastAsia="Arial" w:hAnsi="Arial"/>
          <w:sz w:val="15"/>
          <w:szCs w:val="15"/>
          <w:b w:val="1"/>
          <w:bCs w:val="1"/>
          <w:color w:val="C44E5E"/>
        </w:rPr>
        <w:t xml:space="preserve">Secondary Performance Measure. </w:t>
      </w:r>
      <w:r>
        <w:rPr>
          <w:rFonts w:ascii="Arial" w:cs="Arial" w:eastAsia="Arial" w:hAnsi="Arial"/>
          <w:sz w:val="15"/>
          <w:szCs w:val="15"/>
          <w:color w:val="000000"/>
        </w:rPr>
        <w:t>If no PSUs have been earned during the five-year performance period, then the recipient will have an opportunity</w:t>
      </w:r>
      <w:r>
        <w:rPr>
          <w:rFonts w:ascii="Arial" w:cs="Arial" w:eastAsia="Arial" w:hAnsi="Arial"/>
          <w:sz w:val="15"/>
          <w:szCs w:val="15"/>
          <w:b w:val="1"/>
          <w:bCs w:val="1"/>
          <w:color w:val="C44E5E"/>
        </w:rPr>
        <w:t xml:space="preserve"> </w:t>
      </w:r>
      <w:r>
        <w:rPr>
          <w:rFonts w:ascii="Arial" w:cs="Arial" w:eastAsia="Arial" w:hAnsi="Arial"/>
          <w:sz w:val="15"/>
          <w:szCs w:val="15"/>
          <w:color w:val="000000"/>
        </w:rPr>
        <w:t>to earn a threshold payout at 50% of the target number of PSUs if the Company’s cumulative TSR over such five-year period exceeds, on a relative basis, the cumulative TSR of the Nasdaq Biotech Index (composite return) by at least 200 basis points. The rationale for the minimum payout for exceeding the industry five-year index is that there may be circumstances in which Regeneron outperforms the broader market without reaching the minimum absolute TSR goals, such as in the case of a recession or industry-wide developments outside management’s control.</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71</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82" w:name="page83"/>
    <w:bookmarkEnd w:id="82"/>
    <w:p>
      <w:pPr>
        <w:ind w:lef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p>
      <w:pPr>
        <w:ind w:left="540" w:right="680"/>
        <w:spacing w:after="0" w:line="255" w:lineRule="auto"/>
        <w:rPr>
          <w:sz w:val="20"/>
          <w:szCs w:val="20"/>
          <w:color w:val="auto"/>
        </w:rPr>
      </w:pPr>
      <w:r>
        <w:rPr>
          <w:rFonts w:ascii="Arial" w:cs="Arial" w:eastAsia="Arial" w:hAnsi="Arial"/>
          <w:sz w:val="13"/>
          <w:szCs w:val="13"/>
          <w:b w:val="1"/>
          <w:bCs w:val="1"/>
          <w:color w:val="C44E5E"/>
        </w:rPr>
        <w:t xml:space="preserve">Holding Period. </w:t>
      </w:r>
      <w:r>
        <w:rPr>
          <w:rFonts w:ascii="Arial" w:cs="Arial" w:eastAsia="Arial" w:hAnsi="Arial"/>
          <w:sz w:val="13"/>
          <w:szCs w:val="13"/>
          <w:color w:val="000000"/>
        </w:rPr>
        <w:t>Earned PSUs are generally subject to a mandatory deferral and holding period of three years after vesting (the “Holding Period”). Earned and vested</w:t>
      </w:r>
      <w:r>
        <w:rPr>
          <w:rFonts w:ascii="Arial" w:cs="Arial" w:eastAsia="Arial" w:hAnsi="Arial"/>
          <w:sz w:val="13"/>
          <w:szCs w:val="13"/>
          <w:b w:val="1"/>
          <w:bCs w:val="1"/>
          <w:color w:val="C44E5E"/>
        </w:rPr>
        <w:t xml:space="preserve"> </w:t>
      </w:r>
      <w:r>
        <w:rPr>
          <w:rFonts w:ascii="Arial" w:cs="Arial" w:eastAsia="Arial" w:hAnsi="Arial"/>
          <w:sz w:val="13"/>
          <w:szCs w:val="13"/>
          <w:color w:val="000000"/>
        </w:rPr>
        <w:t>PSUs are not forfeited upon termination of the recipient’s service with the Company, but the shares deliverable in respect of the PSUs may not be sold or otherwise transferred during the Holding Period (except as described below). The Holding Period ends early upon the recipient’s death or disability or a change in control involving the Company.</w:t>
      </w:r>
    </w:p>
    <w:p>
      <w:pPr>
        <w:spacing w:after="0" w:line="356" w:lineRule="exact"/>
        <w:rPr>
          <w:sz w:val="20"/>
          <w:szCs w:val="20"/>
          <w:color w:val="auto"/>
        </w:rPr>
      </w:pPr>
    </w:p>
    <w:p>
      <w:pPr>
        <w:ind w:left="540" w:right="580"/>
        <w:spacing w:after="0" w:line="246" w:lineRule="auto"/>
        <w:rPr>
          <w:sz w:val="20"/>
          <w:szCs w:val="20"/>
          <w:color w:val="auto"/>
        </w:rPr>
      </w:pPr>
      <w:r>
        <w:rPr>
          <w:rFonts w:ascii="Arial" w:cs="Arial" w:eastAsia="Arial" w:hAnsi="Arial"/>
          <w:sz w:val="15"/>
          <w:szCs w:val="15"/>
          <w:b w:val="1"/>
          <w:bCs w:val="1"/>
          <w:color w:val="C44E5E"/>
        </w:rPr>
        <w:t xml:space="preserve">Termination Treatment. </w:t>
      </w:r>
      <w:r>
        <w:rPr>
          <w:rFonts w:ascii="Arial" w:cs="Arial" w:eastAsia="Arial" w:hAnsi="Arial"/>
          <w:sz w:val="15"/>
          <w:szCs w:val="15"/>
          <w:color w:val="000000"/>
        </w:rPr>
        <w:t>The PSUs will continue to be outstanding and may be earned and vest for so long as the recipient serves as an employee or</w:t>
      </w:r>
      <w:r>
        <w:rPr>
          <w:rFonts w:ascii="Arial" w:cs="Arial" w:eastAsia="Arial" w:hAnsi="Arial"/>
          <w:sz w:val="15"/>
          <w:szCs w:val="15"/>
          <w:b w:val="1"/>
          <w:bCs w:val="1"/>
          <w:color w:val="C44E5E"/>
        </w:rPr>
        <w:t xml:space="preserve"> </w:t>
      </w:r>
      <w:r>
        <w:rPr>
          <w:rFonts w:ascii="Arial" w:cs="Arial" w:eastAsia="Arial" w:hAnsi="Arial"/>
          <w:sz w:val="15"/>
          <w:szCs w:val="15"/>
          <w:color w:val="000000"/>
        </w:rPr>
        <w:t>consultant of the Company or a member of the board of directors. The following provisions further apply to the PSUs in the circumstances described below:</w:t>
      </w:r>
    </w:p>
    <w:p>
      <w:pPr>
        <w:spacing w:after="0" w:line="118" w:lineRule="exact"/>
        <w:rPr>
          <w:sz w:val="20"/>
          <w:szCs w:val="20"/>
          <w:color w:val="auto"/>
        </w:rPr>
      </w:pPr>
    </w:p>
    <w:p>
      <w:pPr>
        <w:ind w:left="860" w:right="1100" w:hanging="312"/>
        <w:spacing w:after="0" w:line="267" w:lineRule="auto"/>
        <w:tabs>
          <w:tab w:leader="none" w:pos="860" w:val="left"/>
        </w:tabs>
        <w:numPr>
          <w:ilvl w:val="0"/>
          <w:numId w:val="113"/>
        </w:numPr>
        <w:rPr>
          <w:rFonts w:ascii="Arial" w:cs="Arial" w:eastAsia="Arial" w:hAnsi="Arial"/>
          <w:sz w:val="15"/>
          <w:szCs w:val="15"/>
          <w:color w:val="205BA8"/>
        </w:rPr>
      </w:pPr>
      <w:r>
        <w:rPr>
          <w:rFonts w:ascii="Arial" w:cs="Arial" w:eastAsia="Arial" w:hAnsi="Arial"/>
          <w:sz w:val="15"/>
          <w:szCs w:val="15"/>
          <w:b w:val="1"/>
          <w:bCs w:val="1"/>
          <w:color w:val="auto"/>
        </w:rPr>
        <w:t xml:space="preserve">Voluntary Termination or Retirement. </w:t>
      </w:r>
      <w:r>
        <w:rPr>
          <w:rFonts w:ascii="Arial" w:cs="Arial" w:eastAsia="Arial" w:hAnsi="Arial"/>
          <w:sz w:val="15"/>
          <w:szCs w:val="15"/>
          <w:color w:val="auto"/>
        </w:rPr>
        <w:t>Upon voluntary termination or retirement from the Company (except where the recipient’s service</w:t>
      </w:r>
      <w:r>
        <w:rPr>
          <w:rFonts w:ascii="Arial" w:cs="Arial" w:eastAsia="Arial" w:hAnsi="Arial"/>
          <w:sz w:val="15"/>
          <w:szCs w:val="15"/>
          <w:b w:val="1"/>
          <w:bCs w:val="1"/>
          <w:color w:val="auto"/>
        </w:rPr>
        <w:t xml:space="preserve"> </w:t>
      </w:r>
      <w:r>
        <w:rPr>
          <w:rFonts w:ascii="Arial" w:cs="Arial" w:eastAsia="Arial" w:hAnsi="Arial"/>
          <w:sz w:val="15"/>
          <w:szCs w:val="15"/>
          <w:color w:val="auto"/>
        </w:rPr>
        <w:t>continues as noted above), any unvested PSUs are forfeited.</w:t>
      </w:r>
    </w:p>
    <w:p>
      <w:pPr>
        <w:spacing w:after="0" w:line="21" w:lineRule="exact"/>
        <w:rPr>
          <w:rFonts w:ascii="Arial" w:cs="Arial" w:eastAsia="Arial" w:hAnsi="Arial"/>
          <w:sz w:val="15"/>
          <w:szCs w:val="15"/>
          <w:color w:val="205BA8"/>
        </w:rPr>
      </w:pPr>
    </w:p>
    <w:p>
      <w:pPr>
        <w:ind w:left="860" w:right="580" w:hanging="312"/>
        <w:spacing w:after="0" w:line="233" w:lineRule="auto"/>
        <w:tabs>
          <w:tab w:leader="none" w:pos="860" w:val="left"/>
        </w:tabs>
        <w:numPr>
          <w:ilvl w:val="0"/>
          <w:numId w:val="113"/>
        </w:numPr>
        <w:rPr>
          <w:rFonts w:ascii="Arial" w:cs="Arial" w:eastAsia="Arial" w:hAnsi="Arial"/>
          <w:sz w:val="15"/>
          <w:szCs w:val="15"/>
          <w:color w:val="205BA8"/>
        </w:rPr>
      </w:pPr>
      <w:r>
        <w:rPr>
          <w:rFonts w:ascii="Arial" w:cs="Arial" w:eastAsia="Arial" w:hAnsi="Arial"/>
          <w:sz w:val="15"/>
          <w:szCs w:val="15"/>
          <w:b w:val="1"/>
          <w:bCs w:val="1"/>
          <w:color w:val="auto"/>
        </w:rPr>
        <w:t xml:space="preserve">Termination without Cause/Departure for Good Reason. </w:t>
      </w:r>
      <w:r>
        <w:rPr>
          <w:rFonts w:ascii="Arial" w:cs="Arial" w:eastAsia="Arial" w:hAnsi="Arial"/>
          <w:sz w:val="15"/>
          <w:szCs w:val="15"/>
          <w:color w:val="auto"/>
        </w:rPr>
        <w:t>If the recipient’s employment with the Company is terminated without Cause or the</w:t>
      </w:r>
      <w:r>
        <w:rPr>
          <w:rFonts w:ascii="Arial" w:cs="Arial" w:eastAsia="Arial" w:hAnsi="Arial"/>
          <w:sz w:val="15"/>
          <w:szCs w:val="15"/>
          <w:b w:val="1"/>
          <w:bCs w:val="1"/>
          <w:color w:val="auto"/>
        </w:rPr>
        <w:t xml:space="preserve"> </w:t>
      </w:r>
      <w:r>
        <w:rPr>
          <w:rFonts w:ascii="Arial" w:cs="Arial" w:eastAsia="Arial" w:hAnsi="Arial"/>
          <w:sz w:val="15"/>
          <w:szCs w:val="15"/>
          <w:color w:val="auto"/>
        </w:rPr>
        <w:t>recipient leaves his employment with the Company for a Good Reason (each as defined in or incorporated by reference into the Second Amended and Restated Regeneron Pharmaceuticals, Inc. 2014 Long-Term Incentive Plan or the applicable PSU award agreement thereunder (filed as exhibits to the 2020 Annual Report)), earnout is measured as of termination and all PSUs earned as of that date vest and remain subject to the Holding Period. In this circumstance, PSUs not earned as of such termination date have 12 additional months to be earned and, to the extent earned, will vest on the fifth anniversary of the Grant Date or the first anniversary of the termination, whichever comes first (with the Holding Period beginning upon such vesting). Unearned PSUs are forfeited at the end of the 12 months.</w:t>
      </w:r>
    </w:p>
    <w:p>
      <w:pPr>
        <w:spacing w:after="0" w:line="42" w:lineRule="exact"/>
        <w:rPr>
          <w:rFonts w:ascii="Arial" w:cs="Arial" w:eastAsia="Arial" w:hAnsi="Arial"/>
          <w:sz w:val="15"/>
          <w:szCs w:val="15"/>
          <w:color w:val="205BA8"/>
        </w:rPr>
      </w:pPr>
    </w:p>
    <w:p>
      <w:pPr>
        <w:ind w:left="860" w:right="1100" w:hanging="312"/>
        <w:spacing w:after="0" w:line="246" w:lineRule="auto"/>
        <w:tabs>
          <w:tab w:leader="none" w:pos="860" w:val="left"/>
        </w:tabs>
        <w:numPr>
          <w:ilvl w:val="0"/>
          <w:numId w:val="113"/>
        </w:numPr>
        <w:rPr>
          <w:rFonts w:ascii="Arial" w:cs="Arial" w:eastAsia="Arial" w:hAnsi="Arial"/>
          <w:sz w:val="15"/>
          <w:szCs w:val="15"/>
          <w:color w:val="205BA8"/>
        </w:rPr>
      </w:pPr>
      <w:r>
        <w:rPr>
          <w:rFonts w:ascii="Arial" w:cs="Arial" w:eastAsia="Arial" w:hAnsi="Arial"/>
          <w:sz w:val="15"/>
          <w:szCs w:val="15"/>
          <w:b w:val="1"/>
          <w:bCs w:val="1"/>
          <w:color w:val="auto"/>
        </w:rPr>
        <w:t xml:space="preserve">Change in Control. </w:t>
      </w:r>
      <w:r>
        <w:rPr>
          <w:rFonts w:ascii="Arial" w:cs="Arial" w:eastAsia="Arial" w:hAnsi="Arial"/>
          <w:sz w:val="15"/>
          <w:szCs w:val="15"/>
          <w:color w:val="auto"/>
        </w:rPr>
        <w:t>In the case of a change in control, earnout is measured as of the date of the change in control (using the applicable</w:t>
      </w:r>
      <w:r>
        <w:rPr>
          <w:rFonts w:ascii="Arial" w:cs="Arial" w:eastAsia="Arial" w:hAnsi="Arial"/>
          <w:sz w:val="15"/>
          <w:szCs w:val="15"/>
          <w:b w:val="1"/>
          <w:bCs w:val="1"/>
          <w:color w:val="auto"/>
        </w:rPr>
        <w:t xml:space="preserve"> </w:t>
      </w:r>
      <w:r>
        <w:rPr>
          <w:rFonts w:ascii="Arial" w:cs="Arial" w:eastAsia="Arial" w:hAnsi="Arial"/>
          <w:sz w:val="15"/>
          <w:szCs w:val="15"/>
          <w:color w:val="auto"/>
        </w:rPr>
        <w:t>transaction price as the ending stock price), and all PSUs earned as of that date vest with no Holding Period and any unearned PSUs are forfeited immediately.</w:t>
      </w:r>
    </w:p>
    <w:p>
      <w:pPr>
        <w:spacing w:after="0" w:line="36" w:lineRule="exact"/>
        <w:rPr>
          <w:rFonts w:ascii="Arial" w:cs="Arial" w:eastAsia="Arial" w:hAnsi="Arial"/>
          <w:sz w:val="15"/>
          <w:szCs w:val="15"/>
          <w:color w:val="205BA8"/>
        </w:rPr>
      </w:pPr>
    </w:p>
    <w:p>
      <w:pPr>
        <w:ind w:left="860" w:right="740" w:hanging="312"/>
        <w:spacing w:after="0" w:line="267" w:lineRule="auto"/>
        <w:tabs>
          <w:tab w:leader="none" w:pos="860" w:val="left"/>
        </w:tabs>
        <w:numPr>
          <w:ilvl w:val="0"/>
          <w:numId w:val="113"/>
        </w:numPr>
        <w:rPr>
          <w:rFonts w:ascii="Arial" w:cs="Arial" w:eastAsia="Arial" w:hAnsi="Arial"/>
          <w:sz w:val="15"/>
          <w:szCs w:val="15"/>
          <w:color w:val="205BA8"/>
        </w:rPr>
      </w:pPr>
      <w:r>
        <w:rPr>
          <w:rFonts w:ascii="Arial" w:cs="Arial" w:eastAsia="Arial" w:hAnsi="Arial"/>
          <w:sz w:val="15"/>
          <w:szCs w:val="15"/>
          <w:b w:val="1"/>
          <w:bCs w:val="1"/>
          <w:color w:val="auto"/>
        </w:rPr>
        <w:t xml:space="preserve">Death or Disability. </w:t>
      </w:r>
      <w:r>
        <w:rPr>
          <w:rFonts w:ascii="Arial" w:cs="Arial" w:eastAsia="Arial" w:hAnsi="Arial"/>
          <w:sz w:val="15"/>
          <w:szCs w:val="15"/>
          <w:color w:val="auto"/>
        </w:rPr>
        <w:t>In the case of the recipient’s death or disability, the PSUs remain outstanding and may be earned during their term and, to</w:t>
      </w:r>
      <w:r>
        <w:rPr>
          <w:rFonts w:ascii="Arial" w:cs="Arial" w:eastAsia="Arial" w:hAnsi="Arial"/>
          <w:sz w:val="15"/>
          <w:szCs w:val="15"/>
          <w:b w:val="1"/>
          <w:bCs w:val="1"/>
          <w:color w:val="auto"/>
        </w:rPr>
        <w:t xml:space="preserve"> </w:t>
      </w:r>
      <w:r>
        <w:rPr>
          <w:rFonts w:ascii="Arial" w:cs="Arial" w:eastAsia="Arial" w:hAnsi="Arial"/>
          <w:sz w:val="15"/>
          <w:szCs w:val="15"/>
          <w:color w:val="auto"/>
        </w:rPr>
        <w:t>the extent earned, are not subject to the Holding Period.</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05BA8"/>
        </w:rPr>
        <w:t>Annual Stock Option Awards</w:t>
      </w:r>
    </w:p>
    <w:p>
      <w:pPr>
        <w:spacing w:after="0" w:line="15" w:lineRule="exact"/>
        <w:rPr>
          <w:sz w:val="20"/>
          <w:szCs w:val="20"/>
          <w:color w:val="auto"/>
        </w:rPr>
      </w:pPr>
    </w:p>
    <w:p>
      <w:pPr>
        <w:ind w:left="540" w:right="580"/>
        <w:spacing w:after="0" w:line="228" w:lineRule="auto"/>
        <w:rPr>
          <w:sz w:val="20"/>
          <w:szCs w:val="20"/>
          <w:color w:val="auto"/>
        </w:rPr>
      </w:pPr>
      <w:r>
        <w:rPr>
          <w:rFonts w:ascii="Arial" w:cs="Arial" w:eastAsia="Arial" w:hAnsi="Arial"/>
          <w:sz w:val="15"/>
          <w:szCs w:val="15"/>
          <w:color w:val="auto"/>
        </w:rPr>
        <w:t>Stock options represented a significant component and the largest portion of the grant date fair value of the annual equity awards granted to our other NEOs in 2020. Messrs. Landry and Van Plew each received an award of 19,950 stock options in 2020, representing an 18.6% decrease in the number of underlying shares as compared to their 2019 stock option awards; and Dr. Murphy received an award of 25,000 options in 2020, representing a 2% increase in the number of underlying shares as compared to his 2019 stock option award. For Messrs. Landry and Van Plew, this year-over-year decrease resulted from Company-wide decisions to (i) reduce the guidelines for the number of shares underlying the 2020 annual equity awards by 5% year over year for eligible employees and (ii) reduce the proportion of such shares allocated to the stock option component of annual equity awards to eligible employees, which for our other NEOs was reduced from 70% in 2019 to 60% in 2020. The year-over-year increase in Dr. Murphy’s stock option award was in recognition of the outstanding accomplishments of the Company’s research and preclinical development organization in 2020, including the rapid discovery of REGEN-COV, as well as expected future contributions by Dr. Murphy.</w:t>
      </w:r>
    </w:p>
    <w:p>
      <w:pPr>
        <w:spacing w:after="0" w:line="226" w:lineRule="exact"/>
        <w:rPr>
          <w:sz w:val="20"/>
          <w:szCs w:val="20"/>
          <w:color w:val="auto"/>
        </w:rPr>
      </w:pPr>
    </w:p>
    <w:p>
      <w:pPr>
        <w:ind w:left="540" w:right="800"/>
        <w:spacing w:after="0" w:line="231" w:lineRule="auto"/>
        <w:rPr>
          <w:sz w:val="20"/>
          <w:szCs w:val="20"/>
          <w:color w:val="auto"/>
        </w:rPr>
      </w:pPr>
      <w:r>
        <w:rPr>
          <w:rFonts w:ascii="Arial" w:cs="Arial" w:eastAsia="Arial" w:hAnsi="Arial"/>
          <w:sz w:val="15"/>
          <w:szCs w:val="15"/>
          <w:color w:val="auto"/>
        </w:rPr>
        <w:t>The use of stock options for 2020 annual equity awards to our other NEOs was based on our long-held view that stock options are a useful compensation tool when used thoughtfully as part of a well-designed compensation program because they are inherently performance-based, requiring stock price appreciation before there is any real value earned, and simple. No amount of time will make a stock option deliver any value unless the company’s stock price increases. In addition, stock options reward these NEOs for increasing shareholder value over the entire 10-year option term, which we believe is consistent with the drug discovery and development cycle.</w:t>
      </w:r>
    </w:p>
    <w:p>
      <w:pPr>
        <w:spacing w:after="0" w:line="223" w:lineRule="exact"/>
        <w:rPr>
          <w:sz w:val="20"/>
          <w:szCs w:val="20"/>
          <w:color w:val="auto"/>
        </w:rPr>
      </w:pPr>
    </w:p>
    <w:p>
      <w:pPr>
        <w:ind w:left="540" w:right="600"/>
        <w:spacing w:after="0" w:line="233" w:lineRule="auto"/>
        <w:rPr>
          <w:sz w:val="20"/>
          <w:szCs w:val="20"/>
          <w:color w:val="auto"/>
        </w:rPr>
      </w:pPr>
      <w:r>
        <w:rPr>
          <w:rFonts w:ascii="Arial" w:cs="Arial" w:eastAsia="Arial" w:hAnsi="Arial"/>
          <w:sz w:val="15"/>
          <w:szCs w:val="15"/>
          <w:color w:val="auto"/>
        </w:rPr>
        <w:t>All stock options awarded to our NEOs in 2020 have an exercise price of $492.00 per share, the average of the high and low sales price per share of our common stock as quoted on the NASDAQ Global Select Market on the date of grant. All of these grants consist of non-qualified stock options and vest ratably over a period of four years. Except as set forth below in the subsection “Compensation Dashboard—2020 Compensation Tables—Post-Employment Compensation,” stock option vesting ceases, and unvested stock options are forfeited, upon termination of employment.</w:t>
      </w:r>
    </w:p>
    <w:p>
      <w:pPr>
        <w:spacing w:after="0" w:line="16" w:lineRule="exact"/>
        <w:rPr>
          <w:sz w:val="20"/>
          <w:szCs w:val="20"/>
          <w:color w:val="auto"/>
        </w:rPr>
      </w:pPr>
    </w:p>
    <w:p>
      <w:pPr>
        <w:spacing w:after="0"/>
        <w:tabs>
          <w:tab w:leader="none" w:pos="5440" w:val="left"/>
        </w:tabs>
        <w:rPr>
          <w:sz w:val="20"/>
          <w:szCs w:val="20"/>
          <w:color w:val="auto"/>
        </w:rPr>
      </w:pPr>
      <w:r>
        <w:rPr>
          <w:rFonts w:ascii="Arial" w:cs="Arial" w:eastAsia="Arial" w:hAnsi="Arial"/>
          <w:sz w:val="28"/>
          <w:szCs w:val="28"/>
          <w:b w:val="1"/>
          <w:bCs w:val="1"/>
          <w:color w:val="00A5EC"/>
          <w:vertAlign w:val="subscript"/>
        </w:rPr>
        <w:t>72</w:t>
      </w:r>
      <w:r>
        <w:rPr>
          <w:rFonts w:ascii="Arial" w:cs="Arial" w:eastAsia="Arial" w:hAnsi="Arial"/>
          <w:sz w:val="15"/>
          <w:szCs w:val="15"/>
          <w:b w:val="1"/>
          <w:bCs w:val="1"/>
          <w:color w:val="2952A4"/>
        </w:rPr>
        <w:t xml:space="preserve">  </w:t>
      </w:r>
      <w:r>
        <w:rPr>
          <w:rFonts w:ascii="Arial" w:cs="Arial" w:eastAsia="Arial" w:hAnsi="Arial"/>
          <w:sz w:val="28"/>
          <w:szCs w:val="28"/>
          <w:color w:val="00A5EC"/>
          <w:vertAlign w:val="subscript"/>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3" w:name="page84"/>
    <w:bookmarkEnd w:id="83"/>
    <w:p>
      <w:pPr>
        <w:jc w:val="right"/>
        <w:ind w:righ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05BA8"/>
        </w:rPr>
        <w:t>Annual RSAs</w:t>
      </w:r>
    </w:p>
    <w:p>
      <w:pPr>
        <w:spacing w:after="0" w:line="177" w:lineRule="exact"/>
        <w:rPr>
          <w:sz w:val="20"/>
          <w:szCs w:val="20"/>
          <w:color w:val="auto"/>
        </w:rPr>
      </w:pPr>
    </w:p>
    <w:p>
      <w:pPr>
        <w:ind w:left="540" w:right="620"/>
        <w:spacing w:after="0" w:line="229" w:lineRule="auto"/>
        <w:rPr>
          <w:sz w:val="20"/>
          <w:szCs w:val="20"/>
          <w:color w:val="auto"/>
        </w:rPr>
      </w:pPr>
      <w:r>
        <w:rPr>
          <w:rFonts w:ascii="Arial" w:cs="Arial" w:eastAsia="Arial" w:hAnsi="Arial"/>
          <w:sz w:val="15"/>
          <w:szCs w:val="15"/>
          <w:color w:val="auto"/>
        </w:rPr>
        <w:t>Similar to 2019, time-based RSAs were used as a component of the annual equity awards for our NEOs other than our CEO and CSO based on the Company-wide decision to utilize a long-term incentive mix of stock options and RSAs/RSUs for these NEOs as well as other employees. For the 2020 annual RSA/RSU awards, the Committee determined generally to keep the grant date fair value per award unchanged from 2019 both for these NEOs and other employees. In recalibrating the equity award mix for the 2020 annual equity awards, the Committee took into account, among other factors, shareholder feedback about the annual rate of equity compensation dilution, retention considerations, and employee input. Based on this methodology, the Committee granted to Messrs. Landry and Van Plew and Dr. Murphy 1,930 RSAs, 1,930 RSAs, and 1,929 RSAs, respectively, in 2020. Each such RSA vests 50% on the second anniversary of the date of grant and 50% on the fourth anniversary of the date of grant, which is a more backloaded vesting schedule than is typical in the industry.</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05BA8"/>
        </w:rPr>
        <w:t>Special RSAs to Certain NEOs</w:t>
      </w:r>
    </w:p>
    <w:p>
      <w:pPr>
        <w:spacing w:after="0" w:line="177" w:lineRule="exact"/>
        <w:rPr>
          <w:sz w:val="20"/>
          <w:szCs w:val="20"/>
          <w:color w:val="auto"/>
        </w:rPr>
      </w:pPr>
    </w:p>
    <w:p>
      <w:pPr>
        <w:ind w:left="540" w:right="620"/>
        <w:spacing w:after="0" w:line="233" w:lineRule="auto"/>
        <w:rPr>
          <w:sz w:val="20"/>
          <w:szCs w:val="20"/>
          <w:color w:val="auto"/>
        </w:rPr>
      </w:pPr>
      <w:r>
        <w:rPr>
          <w:rFonts w:ascii="Arial" w:cs="Arial" w:eastAsia="Arial" w:hAnsi="Arial"/>
          <w:sz w:val="15"/>
          <w:szCs w:val="15"/>
          <w:color w:val="auto"/>
        </w:rPr>
        <w:t>We supplemented our annual equity awards in 2020 with highly targeted grants of time-based RSAs/RSUs to certain key employees (including two of our NEOs) to reward exceptional performance. In line with this approach, Dr. Murphy and Mr. Van Plew received 8,285 special RSAs and 5,000 special RSAs, respectively, in 2020. Each such RSA vests on the fifth anniversary of the date of grant to promote long-term alignment with the interests of our shareholders as well as employee retention.</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PERQUISITES AND PERSONAL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50" w:lineRule="exact"/>
        <w:rPr>
          <w:sz w:val="20"/>
          <w:szCs w:val="20"/>
          <w:color w:val="auto"/>
        </w:rPr>
      </w:pPr>
    </w:p>
    <w:p>
      <w:pPr>
        <w:ind w:left="540" w:right="680"/>
        <w:spacing w:after="0" w:line="233" w:lineRule="auto"/>
        <w:rPr>
          <w:sz w:val="20"/>
          <w:szCs w:val="20"/>
          <w:color w:val="auto"/>
        </w:rPr>
      </w:pPr>
      <w:r>
        <w:rPr>
          <w:rFonts w:ascii="Arial" w:cs="Arial" w:eastAsia="Arial" w:hAnsi="Arial"/>
          <w:sz w:val="15"/>
          <w:szCs w:val="15"/>
          <w:color w:val="auto"/>
        </w:rPr>
        <w:t>Similar to our other employees, our NEOs may participate in Company-wide health, disability, life insurance, and other benefit plans, as well as our 401(k) Savings Plan. See details concerning the 401(k) Savings Plan in the subsection “Compensation Dashboard—Additional Compensation Information—Perquisites and Personal Benefits.” Our NEOs are eligible to receive a limited number of additional perquisites. These include financial and tax planning assistance, which are taxable benefits.</w:t>
      </w:r>
    </w:p>
    <w:p>
      <w:pPr>
        <w:spacing w:after="0" w:line="194" w:lineRule="exact"/>
        <w:rPr>
          <w:sz w:val="20"/>
          <w:szCs w:val="20"/>
          <w:color w:val="auto"/>
        </w:rPr>
      </w:pPr>
    </w:p>
    <w:p>
      <w:pPr>
        <w:ind w:left="540" w:right="1120"/>
        <w:spacing w:after="0" w:line="242" w:lineRule="auto"/>
        <w:rPr>
          <w:sz w:val="20"/>
          <w:szCs w:val="20"/>
          <w:color w:val="auto"/>
        </w:rPr>
      </w:pPr>
      <w:r>
        <w:rPr>
          <w:rFonts w:ascii="Arial" w:cs="Arial" w:eastAsia="Arial" w:hAnsi="Arial"/>
          <w:sz w:val="15"/>
          <w:szCs w:val="15"/>
          <w:color w:val="auto"/>
        </w:rPr>
        <w:t>In addition, our CEO is entitled to life insurance, long-term disability, medical malpractice insurance premiums, and additional tax and financial planning services pursuant to his employment agreement. These are described in footnote 5 to the Summary Compensation Table.</w:t>
      </w:r>
    </w:p>
    <w:p>
      <w:pPr>
        <w:spacing w:after="0" w:line="192" w:lineRule="exact"/>
        <w:rPr>
          <w:sz w:val="20"/>
          <w:szCs w:val="20"/>
          <w:color w:val="auto"/>
        </w:rPr>
      </w:pPr>
    </w:p>
    <w:p>
      <w:pPr>
        <w:ind w:left="540" w:right="640"/>
        <w:spacing w:after="0" w:line="230" w:lineRule="auto"/>
        <w:rPr>
          <w:sz w:val="20"/>
          <w:szCs w:val="20"/>
          <w:color w:val="auto"/>
        </w:rPr>
      </w:pPr>
      <w:r>
        <w:rPr>
          <w:rFonts w:ascii="Arial" w:cs="Arial" w:eastAsia="Arial" w:hAnsi="Arial"/>
          <w:sz w:val="15"/>
          <w:szCs w:val="15"/>
          <w:color w:val="auto"/>
        </w:rPr>
        <w:t>Our CEO and CSO are also eligible for various benefits under our Company security policy, which was approved by the board of directors in 2015 for the purpose of ensuring increased efficiencies and providing a more secure environment for these executives. Based on the recommendation of an independent, third-party security study, our security policy and related guidelines require our CEO and CSO (as well as their spouses and children when they accompany them) to use, as much as practicable, Company-provided aircraft for all business and personal air travel. As amended in November 2020 based on a new security study, the security policy also provides for 24/7 personal security services for each of Drs. Schleifer and Yancopoulos.</w:t>
      </w:r>
    </w:p>
    <w:p>
      <w:pPr>
        <w:spacing w:after="0" w:line="196" w:lineRule="exact"/>
        <w:rPr>
          <w:sz w:val="20"/>
          <w:szCs w:val="20"/>
          <w:color w:val="auto"/>
        </w:rPr>
      </w:pPr>
    </w:p>
    <w:p>
      <w:pPr>
        <w:ind w:left="540" w:right="580"/>
        <w:spacing w:after="0" w:line="235" w:lineRule="auto"/>
        <w:rPr>
          <w:sz w:val="20"/>
          <w:szCs w:val="20"/>
          <w:color w:val="auto"/>
        </w:rPr>
      </w:pPr>
      <w:r>
        <w:rPr>
          <w:rFonts w:ascii="Arial" w:cs="Arial" w:eastAsia="Arial" w:hAnsi="Arial"/>
          <w:sz w:val="15"/>
          <w:szCs w:val="15"/>
          <w:color w:val="auto"/>
        </w:rPr>
        <w:t>Additional information regarding perquisites and other personal benefits provided to our NEOs in, or with respect to, 2020 is given in the applicable footnotes to the Summary Compensation Table and in the subsection “Compensation Dashboard—Additional Compensation Information—Perquisites and Personal Benefits.”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POTENTIAL SEVERANCE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points are key to understanding our change-in-control and other severance provisions:</w:t>
      </w:r>
    </w:p>
    <w:p>
      <w:pPr>
        <w:spacing w:after="0" w:line="206" w:lineRule="exact"/>
        <w:rPr>
          <w:sz w:val="20"/>
          <w:szCs w:val="20"/>
          <w:color w:val="auto"/>
        </w:rPr>
      </w:pPr>
    </w:p>
    <w:p>
      <w:pPr>
        <w:jc w:val="both"/>
        <w:ind w:left="820" w:right="540" w:hanging="272"/>
        <w:spacing w:after="0" w:line="233" w:lineRule="auto"/>
        <w:tabs>
          <w:tab w:leader="none" w:pos="820" w:val="left"/>
        </w:tabs>
        <w:numPr>
          <w:ilvl w:val="0"/>
          <w:numId w:val="114"/>
        </w:numPr>
        <w:rPr>
          <w:rFonts w:ascii="Arial" w:cs="Arial" w:eastAsia="Arial" w:hAnsi="Arial"/>
          <w:sz w:val="15"/>
          <w:szCs w:val="15"/>
          <w:color w:val="205BA8"/>
        </w:rPr>
      </w:pPr>
      <w:r>
        <w:rPr>
          <w:rFonts w:ascii="Arial" w:cs="Arial" w:eastAsia="Arial" w:hAnsi="Arial"/>
          <w:sz w:val="15"/>
          <w:szCs w:val="15"/>
          <w:color w:val="auto"/>
        </w:rPr>
        <w:t xml:space="preserve">Outstanding equity award agreements (with the exceptions and qualifications described in the subsection “Compensation Dashboard—Additional Compensation Information—Potential Severance Payments”) for all employees other than Dr. Vagelos include a governance best-practice </w:t>
      </w:r>
      <w:r>
        <w:rPr>
          <w:rFonts w:ascii="Arial" w:cs="Arial" w:eastAsia="Arial" w:hAnsi="Arial"/>
          <w:sz w:val="15"/>
          <w:szCs w:val="15"/>
          <w:b w:val="1"/>
          <w:bCs w:val="1"/>
          <w:color w:val="auto"/>
        </w:rPr>
        <w:t xml:space="preserve">“double trigger” </w:t>
      </w:r>
      <w:r>
        <w:rPr>
          <w:rFonts w:ascii="Arial" w:cs="Arial" w:eastAsia="Arial" w:hAnsi="Arial"/>
          <w:sz w:val="15"/>
          <w:szCs w:val="15"/>
          <w:color w:val="auto"/>
        </w:rPr>
        <w:t>provision for the acceleration of vesting of awards granted thereunder only upon a without-cause termination by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within two years of a change in control.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73</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84" w:name="page85"/>
    <w:bookmarkEnd w:id="84"/>
    <w:p>
      <w:pPr>
        <w:ind w:left="540"/>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p>
      <w:pPr>
        <w:jc w:val="both"/>
        <w:ind w:left="820" w:right="540" w:hanging="272"/>
        <w:spacing w:after="0" w:line="246" w:lineRule="auto"/>
        <w:tabs>
          <w:tab w:leader="none" w:pos="820" w:val="left"/>
        </w:tabs>
        <w:numPr>
          <w:ilvl w:val="0"/>
          <w:numId w:val="115"/>
        </w:numPr>
        <w:rPr>
          <w:rFonts w:ascii="Arial" w:cs="Arial" w:eastAsia="Arial" w:hAnsi="Arial"/>
          <w:sz w:val="15"/>
          <w:szCs w:val="15"/>
          <w:color w:val="205BA8"/>
        </w:rPr>
      </w:pPr>
      <w:r>
        <w:rPr>
          <w:rFonts w:ascii="Arial" w:cs="Arial" w:eastAsia="Arial" w:hAnsi="Arial"/>
          <w:sz w:val="15"/>
          <w:szCs w:val="15"/>
          <w:color w:val="auto"/>
        </w:rPr>
        <w:t xml:space="preserve">We have a </w:t>
      </w:r>
      <w:r>
        <w:rPr>
          <w:rFonts w:ascii="Arial" w:cs="Arial" w:eastAsia="Arial" w:hAnsi="Arial"/>
          <w:sz w:val="15"/>
          <w:szCs w:val="15"/>
          <w:b w:val="1"/>
          <w:bCs w:val="1"/>
          <w:color w:val="auto"/>
        </w:rPr>
        <w:t>policy against excise tax gross-up provisions</w:t>
      </w:r>
      <w:r>
        <w:rPr>
          <w:rFonts w:ascii="Arial" w:cs="Arial" w:eastAsia="Arial" w:hAnsi="Arial"/>
          <w:sz w:val="15"/>
          <w:szCs w:val="15"/>
          <w:color w:val="auto"/>
        </w:rPr>
        <w:t xml:space="preserve"> for payments contingent on a change in control of Regeneron in contracts, compensatory plans, and other arrangement with the Company’s officers (including NEOs) with the exception of the CEO under his existing employment agreement or amendments to it.</w:t>
      </w:r>
    </w:p>
    <w:p>
      <w:pPr>
        <w:spacing w:after="0" w:line="63" w:lineRule="exact"/>
        <w:rPr>
          <w:rFonts w:ascii="Arial" w:cs="Arial" w:eastAsia="Arial" w:hAnsi="Arial"/>
          <w:sz w:val="15"/>
          <w:szCs w:val="15"/>
          <w:color w:val="205BA8"/>
        </w:rPr>
      </w:pPr>
    </w:p>
    <w:p>
      <w:pPr>
        <w:ind w:left="820" w:hanging="272"/>
        <w:spacing w:after="0"/>
        <w:tabs>
          <w:tab w:leader="none" w:pos="820" w:val="left"/>
        </w:tabs>
        <w:numPr>
          <w:ilvl w:val="0"/>
          <w:numId w:val="115"/>
        </w:numPr>
        <w:rPr>
          <w:rFonts w:ascii="Arial" w:cs="Arial" w:eastAsia="Arial" w:hAnsi="Arial"/>
          <w:sz w:val="15"/>
          <w:szCs w:val="15"/>
          <w:color w:val="205BA8"/>
        </w:rPr>
      </w:pPr>
      <w:r>
        <w:rPr>
          <w:rFonts w:ascii="Arial" w:cs="Arial" w:eastAsia="Arial" w:hAnsi="Arial"/>
          <w:sz w:val="15"/>
          <w:szCs w:val="15"/>
          <w:color w:val="auto"/>
        </w:rPr>
        <w:t xml:space="preserve">Regeneron has </w:t>
      </w:r>
      <w:r>
        <w:rPr>
          <w:rFonts w:ascii="Arial" w:cs="Arial" w:eastAsia="Arial" w:hAnsi="Arial"/>
          <w:sz w:val="15"/>
          <w:szCs w:val="15"/>
          <w:b w:val="1"/>
          <w:bCs w:val="1"/>
          <w:color w:val="auto"/>
        </w:rPr>
        <w:t>no pension, deferred compensation, or retirement plans</w:t>
      </w:r>
      <w:r>
        <w:rPr>
          <w:rFonts w:ascii="Arial" w:cs="Arial" w:eastAsia="Arial" w:hAnsi="Arial"/>
          <w:sz w:val="15"/>
          <w:szCs w:val="15"/>
          <w:color w:val="auto"/>
        </w:rPr>
        <w:t xml:space="preserve"> other than our 401(k) Savings Plan described above.</w:t>
      </w:r>
    </w:p>
    <w:p>
      <w:pPr>
        <w:spacing w:after="0" w:line="3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additional details, see the subsection “Compensation Dashboard—Additional Compensation Information— Potential Severance Payments.”</w:t>
      </w:r>
    </w:p>
    <w:p>
      <w:pPr>
        <w:spacing w:after="0" w:line="12" w:lineRule="exact"/>
        <w:rPr>
          <w:sz w:val="20"/>
          <w:szCs w:val="20"/>
          <w:color w:val="auto"/>
        </w:rPr>
      </w:pPr>
    </w:p>
    <w:p>
      <w:pPr>
        <w:spacing w:after="0"/>
        <w:tabs>
          <w:tab w:leader="none" w:pos="5440" w:val="left"/>
        </w:tabs>
        <w:rPr>
          <w:sz w:val="20"/>
          <w:szCs w:val="20"/>
          <w:color w:val="auto"/>
        </w:rPr>
      </w:pPr>
      <w:r>
        <w:rPr>
          <w:rFonts w:ascii="Arial" w:cs="Arial" w:eastAsia="Arial" w:hAnsi="Arial"/>
          <w:sz w:val="28"/>
          <w:szCs w:val="28"/>
          <w:b w:val="1"/>
          <w:bCs w:val="1"/>
          <w:color w:val="00A5EC"/>
          <w:vertAlign w:val="subscript"/>
        </w:rPr>
        <w:t>74</w:t>
      </w:r>
      <w:r>
        <w:rPr>
          <w:rFonts w:ascii="Arial" w:cs="Arial" w:eastAsia="Arial" w:hAnsi="Arial"/>
          <w:sz w:val="15"/>
          <w:szCs w:val="15"/>
          <w:b w:val="1"/>
          <w:bCs w:val="1"/>
          <w:color w:val="2952A4"/>
        </w:rPr>
        <w:t xml:space="preserve">  </w:t>
      </w:r>
      <w:r>
        <w:rPr>
          <w:rFonts w:ascii="Arial" w:cs="Arial" w:eastAsia="Arial" w:hAnsi="Arial"/>
          <w:sz w:val="28"/>
          <w:szCs w:val="28"/>
          <w:color w:val="00A5EC"/>
          <w:vertAlign w:val="subscript"/>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5" w:name="page86"/>
    <w:bookmarkEnd w:id="85"/>
    <w:p>
      <w:pPr>
        <w:ind w:left="402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59"/>
          <w:szCs w:val="59"/>
          <w:b w:val="1"/>
          <w:bCs w:val="1"/>
          <w:color w:val="205BA8"/>
        </w:rPr>
        <w:t>COMPENSATION PROCESSES</w:t>
      </w:r>
    </w:p>
    <w:p>
      <w:pPr>
        <w:spacing w:after="0" w:line="246"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50" w:lineRule="exact"/>
        <w:rPr>
          <w:sz w:val="20"/>
          <w:szCs w:val="20"/>
          <w:color w:val="auto"/>
        </w:rPr>
      </w:pPr>
    </w:p>
    <w:p>
      <w:pPr>
        <w:ind w:left="540" w:right="600"/>
        <w:spacing w:after="0" w:line="231" w:lineRule="auto"/>
        <w:rPr>
          <w:sz w:val="20"/>
          <w:szCs w:val="20"/>
          <w:color w:val="auto"/>
        </w:rPr>
      </w:pPr>
      <w:r>
        <w:rPr>
          <w:rFonts w:ascii="Arial" w:cs="Arial" w:eastAsia="Arial" w:hAnsi="Arial"/>
          <w:sz w:val="15"/>
          <w:szCs w:val="15"/>
          <w:color w:val="auto"/>
        </w:rPr>
        <w:t xml:space="preserve">The Compensation Committee is responsible for overseeing the Company’s general compensation objectives and programs. The Compensation Committee evaluates the performance of our NEOs and approves their compensation—in the case of the CEO, subject to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 w:cs="Arial" w:eastAsia="Arial" w:hAnsi="Arial"/>
          <w:sz w:val="15"/>
          <w:szCs w:val="15"/>
          <w:b w:val="1"/>
          <w:bCs w:val="1"/>
          <w:color w:val="auto"/>
        </w:rPr>
        <w:t>www.regeneron.com</w:t>
      </w:r>
      <w:r>
        <w:rPr>
          <w:rFonts w:ascii="Arial" w:cs="Arial" w:eastAsia="Arial" w:hAnsi="Arial"/>
          <w:sz w:val="15"/>
          <w:szCs w:val="15"/>
          <w:color w:val="auto"/>
        </w:rPr>
        <w:t xml:space="preserve"> under the “Corporate Governance” heading on the “Investors &amp; Media” page.</w:t>
      </w:r>
    </w:p>
    <w:p>
      <w:pPr>
        <w:spacing w:after="0" w:line="196" w:lineRule="exact"/>
        <w:rPr>
          <w:sz w:val="20"/>
          <w:szCs w:val="20"/>
          <w:color w:val="auto"/>
        </w:rPr>
      </w:pPr>
    </w:p>
    <w:p>
      <w:pPr>
        <w:ind w:left="540" w:right="660"/>
        <w:spacing w:after="0" w:line="230" w:lineRule="auto"/>
        <w:rPr>
          <w:sz w:val="20"/>
          <w:szCs w:val="20"/>
          <w:color w:val="auto"/>
        </w:rPr>
      </w:pPr>
      <w:r>
        <w:rPr>
          <w:rFonts w:ascii="Arial" w:cs="Arial" w:eastAsia="Arial" w:hAnsi="Arial"/>
          <w:sz w:val="15"/>
          <w:szCs w:val="15"/>
          <w:color w:val="auto"/>
        </w:rPr>
        <w:t>Annual salaries for the following year and year-end cash incentives and equity awards for all employees are determined in December of each year based on Company and individual performance, as well as other factors, which may include compensation trends among our Peer Group and in the biotechnology industry in general. With respect to our CEO, this process is formalized in the Compensation Committee’s charter, which specifies that the Compensation Committee is to annually present the proposed annual compensation of the CEO to the non-employee members of the board of directors for approval. The non-employee directors and the Chairman of the Board are also involved in reviewing the Company’s performance for purposes of setting the annual cash incentive.</w:t>
      </w:r>
    </w:p>
    <w:p>
      <w:pPr>
        <w:spacing w:after="0" w:line="196" w:lineRule="exact"/>
        <w:rPr>
          <w:sz w:val="20"/>
          <w:szCs w:val="20"/>
          <w:color w:val="auto"/>
        </w:rPr>
      </w:pPr>
    </w:p>
    <w:p>
      <w:pPr>
        <w:ind w:left="540" w:right="560"/>
        <w:spacing w:after="0" w:line="235" w:lineRule="auto"/>
        <w:rPr>
          <w:sz w:val="20"/>
          <w:szCs w:val="20"/>
          <w:color w:val="auto"/>
        </w:rPr>
      </w:pPr>
      <w:r>
        <w:rPr>
          <w:rFonts w:ascii="Arial" w:cs="Arial" w:eastAsia="Arial" w:hAnsi="Arial"/>
          <w:sz w:val="15"/>
          <w:szCs w:val="15"/>
          <w:color w:val="auto"/>
        </w:rPr>
        <w:t>We make our annual equity awards on a regular, pre-set schedule. The meetings at which such grants are approved are generally scheduled well in advance of the grant date, without regard to the timing of earnings or other major announcements. We generally grant annual equity awards to eligible employees whose performance is determined to merit an annual grant, including the NEOs, at a meeting held during December.</w:t>
      </w:r>
    </w:p>
    <w:p>
      <w:pPr>
        <w:spacing w:after="0" w:line="195" w:lineRule="exact"/>
        <w:rPr>
          <w:sz w:val="20"/>
          <w:szCs w:val="20"/>
          <w:color w:val="auto"/>
        </w:rPr>
      </w:pPr>
    </w:p>
    <w:p>
      <w:pPr>
        <w:ind w:left="540" w:right="580"/>
        <w:spacing w:after="0" w:line="233" w:lineRule="auto"/>
        <w:rPr>
          <w:sz w:val="20"/>
          <w:szCs w:val="20"/>
          <w:color w:val="auto"/>
        </w:rPr>
      </w:pPr>
      <w:r>
        <w:rPr>
          <w:rFonts w:ascii="Arial" w:cs="Arial" w:eastAsia="Arial" w:hAnsi="Arial"/>
          <w:sz w:val="15"/>
          <w:szCs w:val="15"/>
          <w:color w:val="auto"/>
        </w:rPr>
        <w:t>Pursuant to the terms of the Second Amended and Restated Regeneron Pharmaceuticals, Inc. 2014 Long-Term Incentive Plan, stock option awards are granted with an exercise price equal to the average of the high and low sales price per share of our common stock as quoted on the NASDAQ Global Select Market on the date of the grant or, if such date is not a trading day, on the last preceding date on which there was a sale of our common stock on the NASDAQ Global Select Market.</w:t>
      </w:r>
    </w:p>
    <w:p>
      <w:pPr>
        <w:spacing w:after="0" w:line="194" w:lineRule="exact"/>
        <w:rPr>
          <w:sz w:val="20"/>
          <w:szCs w:val="20"/>
          <w:color w:val="auto"/>
        </w:rPr>
      </w:pPr>
    </w:p>
    <w:p>
      <w:pPr>
        <w:ind w:left="540" w:right="600"/>
        <w:spacing w:after="0" w:line="242" w:lineRule="auto"/>
        <w:rPr>
          <w:sz w:val="20"/>
          <w:szCs w:val="20"/>
          <w:color w:val="auto"/>
        </w:rPr>
      </w:pPr>
      <w:r>
        <w:rPr>
          <w:rFonts w:ascii="Arial" w:cs="Arial" w:eastAsia="Arial" w:hAnsi="Arial"/>
          <w:sz w:val="15"/>
          <w:szCs w:val="15"/>
          <w:color w:val="auto"/>
        </w:rPr>
        <w:t>We periodically evaluate the personal benefits and perquisites afforded to our NEOs. The Compensation Committee also regularly meets in executive session to discuss any of the matters that fall within its responsibilities.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50" w:lineRule="exact"/>
        <w:rPr>
          <w:sz w:val="20"/>
          <w:szCs w:val="20"/>
          <w:color w:val="auto"/>
        </w:rPr>
      </w:pPr>
    </w:p>
    <w:p>
      <w:pPr>
        <w:ind w:left="540" w:right="600"/>
        <w:spacing w:after="0" w:line="230" w:lineRule="auto"/>
        <w:rPr>
          <w:sz w:val="20"/>
          <w:szCs w:val="20"/>
          <w:color w:val="auto"/>
        </w:rPr>
      </w:pPr>
      <w:r>
        <w:rPr>
          <w:rFonts w:ascii="Arial" w:cs="Arial" w:eastAsia="Arial" w:hAnsi="Arial"/>
          <w:sz w:val="15"/>
          <w:szCs w:val="15"/>
          <w:color w:val="auto"/>
        </w:rPr>
        <w:t>Members of our senior management play a role in the overall executive compensation process and assess performance of other officers. They also recommend for the Compensation Committee’s approval the salary, cash incentive, and equity grant budgets for non-officers and make specific recommendations for salary increases, cash incentives, and equity grants for other officers. For our NEOs (other than our CEO), recommendations to the Compensation Committee regarding their compensation are made by our CEO, who also evaluates their performance. Our CEO’s performance is evaluated directly by the Compensation Committee based on the Company’s overall corporate performance against annual goals that are approved by the board of directors at the beginning of each year, as discussed above.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75</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86" w:name="page87"/>
    <w:bookmarkEnd w:id="86"/>
    <w:p>
      <w:pPr>
        <w:ind w:lef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SHAREHOLDER INPUT AND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50" w:lineRule="exact"/>
        <w:rPr>
          <w:sz w:val="20"/>
          <w:szCs w:val="20"/>
          <w:color w:val="auto"/>
        </w:rPr>
      </w:pPr>
    </w:p>
    <w:p>
      <w:pPr>
        <w:ind w:left="540" w:right="700"/>
        <w:spacing w:after="0" w:line="231" w:lineRule="auto"/>
        <w:rPr>
          <w:sz w:val="20"/>
          <w:szCs w:val="20"/>
          <w:color w:val="auto"/>
        </w:rPr>
      </w:pPr>
      <w:r>
        <w:rPr>
          <w:rFonts w:ascii="Arial" w:cs="Arial" w:eastAsia="Arial" w:hAnsi="Arial"/>
          <w:sz w:val="15"/>
          <w:szCs w:val="15"/>
          <w:color w:val="auto"/>
        </w:rPr>
        <w:t>We believe in casting a broad net for information, and think it is very important to reach out to our shareholders for ideas, input, and direct feedback. We do this formally through our triennial say-on-pay votes, as well as through discussions with our shareholders both in connection with our annual shareholder meetings and in the “off-season,” where we discuss compensation, governance, and other issues of importance and interest to our shareholders. In addition, on a more informal basis, we engage with our shareholders through regular investor relations channels, governance engagements, industry conferences, and informal exchanges in other settings.</w:t>
      </w:r>
    </w:p>
    <w:p>
      <w:pPr>
        <w:spacing w:after="0" w:line="178" w:lineRule="exact"/>
        <w:rPr>
          <w:sz w:val="20"/>
          <w:szCs w:val="20"/>
          <w:color w:val="auto"/>
        </w:rPr>
      </w:pPr>
    </w:p>
    <w:p>
      <w:pPr>
        <w:ind w:left="540" w:right="640"/>
        <w:spacing w:after="0" w:line="233" w:lineRule="auto"/>
        <w:rPr>
          <w:sz w:val="20"/>
          <w:szCs w:val="20"/>
          <w:color w:val="auto"/>
        </w:rPr>
      </w:pPr>
      <w:r>
        <w:rPr>
          <w:rFonts w:ascii="Arial" w:cs="Arial" w:eastAsia="Arial" w:hAnsi="Arial"/>
          <w:sz w:val="15"/>
          <w:szCs w:val="15"/>
          <w:b w:val="1"/>
          <w:bCs w:val="1"/>
          <w:color w:val="C44E5E"/>
        </w:rPr>
        <w:t xml:space="preserve">Say-on-pay vote. </w:t>
      </w:r>
      <w:r>
        <w:rPr>
          <w:rFonts w:ascii="Arial" w:cs="Arial" w:eastAsia="Arial" w:hAnsi="Arial"/>
          <w:sz w:val="15"/>
          <w:szCs w:val="15"/>
          <w:color w:val="000000"/>
        </w:rPr>
        <w:t>Our shareholders are provided with an opportunity to cast a non-binding, advisory vote every three years on our executive</w:t>
      </w:r>
      <w:r>
        <w:rPr>
          <w:rFonts w:ascii="Arial" w:cs="Arial" w:eastAsia="Arial" w:hAnsi="Arial"/>
          <w:sz w:val="15"/>
          <w:szCs w:val="15"/>
          <w:b w:val="1"/>
          <w:bCs w:val="1"/>
          <w:color w:val="C44E5E"/>
        </w:rPr>
        <w:t xml:space="preserve"> </w:t>
      </w:r>
      <w:r>
        <w:rPr>
          <w:rFonts w:ascii="Arial" w:cs="Arial" w:eastAsia="Arial" w:hAnsi="Arial"/>
          <w:sz w:val="15"/>
          <w:szCs w:val="15"/>
          <w:color w:val="000000"/>
        </w:rPr>
        <w:t>compensation program. Our most recent advisory say-on-pay vote was held at our 2020 annual shareholder meeting, at which this advisory proposal was approved by 70.2% of the votes cast. As has been the case with previous say-on-pay votes, management and the Compensation Committee carefully considered the result of this say-on-pay vote and subsequently solicited further feedback from our key shareholders on compensation and governance matters. In the last several years, following our recent advisory say-on-pay votes, we implemented several changes to our executive compensation program and continued the implementation of our existing compensation and governance initiatives. These and other changes implemented in the last five years are summarized in the table below.</w:t>
      </w:r>
    </w:p>
    <w:p>
      <w:pPr>
        <w:spacing w:after="0" w:line="178" w:lineRule="exact"/>
        <w:rPr>
          <w:sz w:val="20"/>
          <w:szCs w:val="20"/>
          <w:color w:val="auto"/>
        </w:rPr>
      </w:pPr>
    </w:p>
    <w:p>
      <w:pPr>
        <w:ind w:left="540" w:right="620"/>
        <w:spacing w:after="0" w:line="246" w:lineRule="auto"/>
        <w:rPr>
          <w:sz w:val="20"/>
          <w:szCs w:val="20"/>
          <w:color w:val="auto"/>
        </w:rPr>
      </w:pPr>
      <w:r>
        <w:rPr>
          <w:rFonts w:ascii="Arial" w:cs="Arial" w:eastAsia="Arial" w:hAnsi="Arial"/>
          <w:sz w:val="15"/>
          <w:szCs w:val="15"/>
          <w:b w:val="1"/>
          <w:bCs w:val="1"/>
          <w:color w:val="C44E5E"/>
        </w:rPr>
        <w:t xml:space="preserve">Shareholder outreach. </w:t>
      </w:r>
      <w:r>
        <w:rPr>
          <w:rFonts w:ascii="Arial" w:cs="Arial" w:eastAsia="Arial" w:hAnsi="Arial"/>
          <w:sz w:val="15"/>
          <w:szCs w:val="15"/>
          <w:color w:val="000000"/>
        </w:rPr>
        <w:t>In addition to the more formal input of the say-on-pay vote discussed above, we maintain a robust shareholder outreach</w:t>
      </w:r>
      <w:r>
        <w:rPr>
          <w:rFonts w:ascii="Arial" w:cs="Arial" w:eastAsia="Arial" w:hAnsi="Arial"/>
          <w:sz w:val="15"/>
          <w:szCs w:val="15"/>
          <w:b w:val="1"/>
          <w:bCs w:val="1"/>
          <w:color w:val="C44E5E"/>
        </w:rPr>
        <w:t xml:space="preserve"> </w:t>
      </w:r>
      <w:r>
        <w:rPr>
          <w:rFonts w:ascii="Arial" w:cs="Arial" w:eastAsia="Arial" w:hAnsi="Arial"/>
          <w:sz w:val="15"/>
          <w:szCs w:val="15"/>
          <w:color w:val="000000"/>
        </w:rPr>
        <w:t>program (both in connection with our annual shareholder meetings and in the “off-season”) through which we seek input from shareholders and ESG-focused groups regarding our executive compensation and other governance practices, and implement appropriate changes based on this input.</w:t>
      </w:r>
    </w:p>
    <w:p>
      <w:pPr>
        <w:spacing w:after="0" w:line="190" w:lineRule="exact"/>
        <w:rPr>
          <w:sz w:val="20"/>
          <w:szCs w:val="20"/>
          <w:color w:val="auto"/>
        </w:rPr>
      </w:pPr>
    </w:p>
    <w:p>
      <w:pPr>
        <w:ind w:left="540" w:right="540"/>
        <w:spacing w:after="0"/>
        <w:rPr>
          <w:sz w:val="20"/>
          <w:szCs w:val="20"/>
          <w:color w:val="auto"/>
        </w:rPr>
      </w:pPr>
      <w:r>
        <w:rPr>
          <w:rFonts w:ascii="Arial" w:cs="Arial" w:eastAsia="Arial" w:hAnsi="Arial"/>
          <w:sz w:val="15"/>
          <w:szCs w:val="15"/>
          <w:color w:val="auto"/>
        </w:rPr>
        <w:t>Our annual shareholder outreach program is quite extensive – last year we engaged in direct one-on-one discussions with shareholders collectively representing over 60% of the shares of common stock outstanding as of December 31, 2020 (excluding shares held by our directors and executive officers). We encourage director participation in our outreach, and our Compensation Committee Chair led many of these discussions. Shareholder feedback is discussed with management and, depending on the topic, relayed for consideration to the appropriate committee of the board of directors (typically the Compensation Committee or the Corporate Governance and Compliance Committee), the full board, or both. In recent years, shareholder input resulted in specific changes to our compensation and corporate governance practices and policies, including the changes discussed below.</w:t>
      </w:r>
    </w:p>
    <w:p>
      <w:pPr>
        <w:spacing w:after="0" w:line="315" w:lineRule="exact"/>
        <w:rPr>
          <w:sz w:val="20"/>
          <w:szCs w:val="20"/>
          <w:color w:val="auto"/>
        </w:rPr>
      </w:pPr>
    </w:p>
    <w:p>
      <w:pPr>
        <w:ind w:left="540" w:right="560"/>
        <w:spacing w:after="0"/>
        <w:rPr>
          <w:sz w:val="20"/>
          <w:szCs w:val="20"/>
          <w:color w:val="auto"/>
        </w:rPr>
      </w:pPr>
      <w:r>
        <w:rPr>
          <w:rFonts w:ascii="Arial" w:cs="Arial" w:eastAsia="Arial" w:hAnsi="Arial"/>
          <w:sz w:val="15"/>
          <w:szCs w:val="15"/>
          <w:color w:val="auto"/>
        </w:rPr>
        <w:t>Our 2020 outreach discussions built on an active outreach program in prior years and focused on, among other matters, (i) equity compensation matters, including investor views on performance-based equity, the appropriate scope of equity compensation programs, and acceptable burn rate and dilution and (ii) the impact of the COVID-19 pandemic on governance policies and procedures and corporate governance best practices. As discussed elsewhere in this CD&amp;A, influenced by shareholder feedback and input from the past several years, in December 2020 we utilized PSUs for 100% of the equity awards for our CEO and CSO and incorporated certain design enhancements as compared to the PSUs granted in 2019. These changes and other changes we have adopted in the last five years demonstrate our continued commitment to good governance and are outlined in the table below.</w:t>
      </w:r>
    </w:p>
    <w:p>
      <w:pPr>
        <w:spacing w:after="0" w:line="122" w:lineRule="exact"/>
        <w:rPr>
          <w:sz w:val="20"/>
          <w:szCs w:val="20"/>
          <w:color w:val="auto"/>
        </w:rPr>
      </w:pPr>
    </w:p>
    <w:p>
      <w:pPr>
        <w:spacing w:after="0"/>
        <w:tabs>
          <w:tab w:leader="none" w:pos="5440" w:val="left"/>
        </w:tabs>
        <w:rPr>
          <w:sz w:val="20"/>
          <w:szCs w:val="20"/>
          <w:color w:val="auto"/>
        </w:rPr>
      </w:pPr>
      <w:r>
        <w:rPr>
          <w:rFonts w:ascii="Arial" w:cs="Arial" w:eastAsia="Arial" w:hAnsi="Arial"/>
          <w:sz w:val="28"/>
          <w:szCs w:val="28"/>
          <w:b w:val="1"/>
          <w:bCs w:val="1"/>
          <w:color w:val="00A5EC"/>
          <w:vertAlign w:val="subscript"/>
        </w:rPr>
        <w:t>76</w:t>
      </w:r>
      <w:r>
        <w:rPr>
          <w:rFonts w:ascii="Arial" w:cs="Arial" w:eastAsia="Arial" w:hAnsi="Arial"/>
          <w:sz w:val="15"/>
          <w:szCs w:val="15"/>
          <w:b w:val="1"/>
          <w:bCs w:val="1"/>
          <w:color w:val="2952A4"/>
        </w:rPr>
        <w:t xml:space="preserve">  </w:t>
      </w:r>
      <w:r>
        <w:rPr>
          <w:rFonts w:ascii="Arial" w:cs="Arial" w:eastAsia="Arial" w:hAnsi="Arial"/>
          <w:sz w:val="28"/>
          <w:szCs w:val="28"/>
          <w:color w:val="00A5EC"/>
          <w:vertAlign w:val="subscript"/>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7" w:name="page88"/>
    <w:bookmarkEnd w:id="87"/>
    <w:p>
      <w:pPr>
        <w:ind w:left="402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C44E5E"/>
        </w:rPr>
        <w:t>Changes Adopted Based on Shareholder Feedback (2016–2021)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2"/>
                <w:szCs w:val="12"/>
                <w:b w:val="1"/>
                <w:bCs w:val="1"/>
                <w:color w:val="205BA8"/>
              </w:rPr>
              <w:t>What We Heard</w:t>
            </w:r>
          </w:p>
        </w:tc>
        <w:tc>
          <w:tcPr>
            <w:tcW w:w="5880" w:type="dxa"/>
            <w:vAlign w:val="bottom"/>
            <w:shd w:val="clear" w:color="auto" w:fill="205BA8"/>
          </w:tcPr>
          <w:p>
            <w:pPr>
              <w:ind w:left="60"/>
              <w:spacing w:after="0"/>
              <w:rPr>
                <w:sz w:val="20"/>
                <w:szCs w:val="20"/>
                <w:color w:val="auto"/>
              </w:rPr>
            </w:pPr>
            <w:r>
              <w:rPr>
                <w:rFonts w:ascii="Arial" w:cs="Arial" w:eastAsia="Arial" w:hAnsi="Arial"/>
                <w:sz w:val="12"/>
                <w:szCs w:val="12"/>
                <w:b w:val="1"/>
                <w:bCs w:val="1"/>
                <w:color w:val="FFFFFF"/>
              </w:rPr>
              <w:t>What We Did</w:t>
            </w:r>
          </w:p>
        </w:tc>
        <w:tc>
          <w:tcPr>
            <w:tcW w:w="2060" w:type="dxa"/>
            <w:vAlign w:val="bottom"/>
            <w:gridSpan w:val="2"/>
          </w:tcPr>
          <w:p>
            <w:pPr>
              <w:ind w:left="100"/>
              <w:spacing w:after="0"/>
              <w:rPr>
                <w:sz w:val="20"/>
                <w:szCs w:val="20"/>
                <w:color w:val="auto"/>
              </w:rPr>
            </w:pPr>
            <w:r>
              <w:rPr>
                <w:rFonts w:ascii="Arial" w:cs="Arial" w:eastAsia="Arial" w:hAnsi="Arial"/>
                <w:sz w:val="12"/>
                <w:szCs w:val="12"/>
                <w:color w:val="205BA8"/>
              </w:rPr>
              <w:t>When We Did It</w:t>
            </w:r>
          </w:p>
        </w:tc>
      </w:tr>
      <w:tr>
        <w:trPr>
          <w:trHeight w:val="183"/>
        </w:trPr>
        <w:tc>
          <w:tcPr>
            <w:tcW w:w="540" w:type="dxa"/>
            <w:vAlign w:val="bottom"/>
          </w:tcPr>
          <w:p>
            <w:pPr>
              <w:spacing w:after="0"/>
              <w:rPr>
                <w:sz w:val="15"/>
                <w:szCs w:val="15"/>
                <w:color w:val="auto"/>
              </w:rPr>
            </w:pPr>
          </w:p>
        </w:tc>
        <w:tc>
          <w:tcPr>
            <w:tcW w:w="2760" w:type="dxa"/>
            <w:vAlign w:val="bottom"/>
            <w:tcBorders>
              <w:top w:val="single" w:sz="8" w:color="1F5AA8"/>
            </w:tcBorders>
          </w:tcPr>
          <w:p>
            <w:pPr>
              <w:ind w:left="60"/>
              <w:spacing w:after="0"/>
              <w:rPr>
                <w:sz w:val="20"/>
                <w:szCs w:val="20"/>
                <w:color w:val="auto"/>
              </w:rPr>
            </w:pPr>
            <w:r>
              <w:rPr>
                <w:rFonts w:ascii="Arial" w:cs="Arial" w:eastAsia="Arial" w:hAnsi="Arial"/>
                <w:sz w:val="13"/>
                <w:szCs w:val="13"/>
                <w:b w:val="1"/>
                <w:bCs w:val="1"/>
                <w:color w:val="auto"/>
              </w:rPr>
              <w:t>Preference for further pay-for-</w:t>
            </w:r>
          </w:p>
        </w:tc>
        <w:tc>
          <w:tcPr>
            <w:tcW w:w="5880" w:type="dxa"/>
            <w:vAlign w:val="bottom"/>
            <w:tcBorders>
              <w:top w:val="single" w:sz="8" w:color="1F5AA8"/>
            </w:tcBorders>
            <w:shd w:val="clear" w:color="auto" w:fill="CBD0E9"/>
          </w:tcPr>
          <w:p>
            <w:pPr>
              <w:ind w:left="60"/>
              <w:spacing w:after="0"/>
              <w:rPr>
                <w:sz w:val="20"/>
                <w:szCs w:val="20"/>
                <w:color w:val="auto"/>
              </w:rPr>
            </w:pPr>
            <w:r>
              <w:rPr>
                <w:rFonts w:ascii="Arial" w:cs="Arial" w:eastAsia="Arial" w:hAnsi="Arial"/>
                <w:sz w:val="13"/>
                <w:szCs w:val="13"/>
                <w:color w:val="auto"/>
              </w:rPr>
              <w:t>Replaced five years of CEO and CSO annual equity awards (</w:t>
            </w:r>
            <w:r>
              <w:rPr>
                <w:rFonts w:ascii="Arial" w:cs="Arial" w:eastAsia="Arial" w:hAnsi="Arial"/>
                <w:sz w:val="13"/>
                <w:szCs w:val="13"/>
                <w:i w:val="1"/>
                <w:iCs w:val="1"/>
                <w:color w:val="auto"/>
              </w:rPr>
              <w:t>i.e.,</w:t>
            </w:r>
            <w:r>
              <w:rPr>
                <w:rFonts w:ascii="Arial" w:cs="Arial" w:eastAsia="Arial" w:hAnsi="Arial"/>
                <w:sz w:val="13"/>
                <w:szCs w:val="13"/>
                <w:color w:val="auto"/>
              </w:rPr>
              <w:t xml:space="preserve"> until the Company’s regular year-</w:t>
            </w:r>
          </w:p>
        </w:tc>
        <w:tc>
          <w:tcPr>
            <w:tcW w:w="1520" w:type="dxa"/>
            <w:vAlign w:val="bottom"/>
            <w:tcBorders>
              <w:top w:val="single" w:sz="8" w:color="1F5AA8"/>
            </w:tcBorders>
          </w:tcPr>
          <w:p>
            <w:pPr>
              <w:ind w:left="100"/>
              <w:spacing w:after="0"/>
              <w:rPr>
                <w:sz w:val="20"/>
                <w:szCs w:val="20"/>
                <w:color w:val="auto"/>
              </w:rPr>
            </w:pPr>
            <w:r>
              <w:rPr>
                <w:rFonts w:ascii="Arial" w:cs="Arial" w:eastAsia="Arial" w:hAnsi="Arial"/>
                <w:sz w:val="13"/>
                <w:szCs w:val="13"/>
                <w:color w:val="auto"/>
              </w:rPr>
              <w:t>2020</w:t>
            </w:r>
          </w:p>
        </w:tc>
        <w:tc>
          <w:tcPr>
            <w:tcW w:w="540" w:type="dxa"/>
            <w:vAlign w:val="bottom"/>
          </w:tcPr>
          <w:p>
            <w:pPr>
              <w:spacing w:after="0"/>
              <w:rPr>
                <w:sz w:val="15"/>
                <w:szCs w:val="15"/>
                <w:color w:val="auto"/>
              </w:rPr>
            </w:pPr>
          </w:p>
        </w:tc>
      </w:tr>
      <w:tr>
        <w:trPr>
          <w:trHeight w:val="148"/>
        </w:trPr>
        <w:tc>
          <w:tcPr>
            <w:tcW w:w="540" w:type="dxa"/>
            <w:vAlign w:val="bottom"/>
          </w:tcPr>
          <w:p>
            <w:pPr>
              <w:spacing w:after="0"/>
              <w:rPr>
                <w:sz w:val="12"/>
                <w:szCs w:val="12"/>
                <w:color w:val="auto"/>
              </w:rPr>
            </w:pPr>
          </w:p>
        </w:tc>
        <w:tc>
          <w:tcPr>
            <w:tcW w:w="2760" w:type="dxa"/>
            <w:vAlign w:val="bottom"/>
          </w:tcPr>
          <w:p>
            <w:pPr>
              <w:ind w:left="60"/>
              <w:spacing w:after="0"/>
              <w:rPr>
                <w:sz w:val="20"/>
                <w:szCs w:val="20"/>
                <w:color w:val="auto"/>
              </w:rPr>
            </w:pPr>
            <w:r>
              <w:rPr>
                <w:rFonts w:ascii="Arial" w:cs="Arial" w:eastAsia="Arial" w:hAnsi="Arial"/>
                <w:sz w:val="13"/>
                <w:szCs w:val="13"/>
                <w:b w:val="1"/>
                <w:bCs w:val="1"/>
                <w:color w:val="auto"/>
              </w:rPr>
              <w:t>performance alignment; support for PSUs</w:t>
            </w:r>
          </w:p>
        </w:tc>
        <w:tc>
          <w:tcPr>
            <w:tcW w:w="5880" w:type="dxa"/>
            <w:vAlign w:val="bottom"/>
            <w:shd w:val="clear" w:color="auto" w:fill="CBD0E9"/>
          </w:tcPr>
          <w:p>
            <w:pPr>
              <w:ind w:left="60"/>
              <w:spacing w:after="0"/>
              <w:rPr>
                <w:sz w:val="20"/>
                <w:szCs w:val="20"/>
                <w:color w:val="auto"/>
              </w:rPr>
            </w:pPr>
            <w:r>
              <w:rPr>
                <w:rFonts w:ascii="Arial" w:cs="Arial" w:eastAsia="Arial" w:hAnsi="Arial"/>
                <w:sz w:val="13"/>
                <w:szCs w:val="13"/>
                <w:color w:val="auto"/>
              </w:rPr>
              <w:t>end grant cycle in December 2025) with a single grant of front-loaded PSUs incorporating rigorous</w:t>
            </w:r>
          </w:p>
        </w:tc>
        <w:tc>
          <w:tcPr>
            <w:tcW w:w="15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540" w:type="dxa"/>
            <w:vAlign w:val="bottom"/>
          </w:tcPr>
          <w:p>
            <w:pPr>
              <w:spacing w:after="0"/>
              <w:rPr>
                <w:sz w:val="12"/>
                <w:szCs w:val="12"/>
                <w:color w:val="auto"/>
              </w:rPr>
            </w:pPr>
          </w:p>
        </w:tc>
        <w:tc>
          <w:tcPr>
            <w:tcW w:w="2760" w:type="dxa"/>
            <w:vAlign w:val="bottom"/>
          </w:tcPr>
          <w:p>
            <w:pPr>
              <w:ind w:left="60"/>
              <w:spacing w:after="0"/>
              <w:rPr>
                <w:sz w:val="20"/>
                <w:szCs w:val="20"/>
                <w:color w:val="auto"/>
              </w:rPr>
            </w:pPr>
            <w:r>
              <w:rPr>
                <w:rFonts w:ascii="Arial" w:cs="Arial" w:eastAsia="Arial" w:hAnsi="Arial"/>
                <w:sz w:val="13"/>
                <w:szCs w:val="13"/>
                <w:b w:val="1"/>
                <w:bCs w:val="1"/>
                <w:color w:val="auto"/>
              </w:rPr>
              <w:t>introduced for CEO and CSO in 2019 but</w:t>
            </w:r>
          </w:p>
        </w:tc>
        <w:tc>
          <w:tcPr>
            <w:tcW w:w="5880" w:type="dxa"/>
            <w:vAlign w:val="bottom"/>
            <w:shd w:val="clear" w:color="auto" w:fill="CBD0E9"/>
          </w:tcPr>
          <w:p>
            <w:pPr>
              <w:ind w:left="60"/>
              <w:spacing w:after="0"/>
              <w:rPr>
                <w:sz w:val="20"/>
                <w:szCs w:val="20"/>
                <w:color w:val="auto"/>
              </w:rPr>
            </w:pPr>
            <w:r>
              <w:rPr>
                <w:rFonts w:ascii="Arial" w:cs="Arial" w:eastAsia="Arial" w:hAnsi="Arial"/>
                <w:sz w:val="13"/>
                <w:szCs w:val="13"/>
                <w:color w:val="auto"/>
              </w:rPr>
              <w:t>absolute TSR performance goals over a five-year performance period</w:t>
            </w:r>
          </w:p>
        </w:tc>
        <w:tc>
          <w:tcPr>
            <w:tcW w:w="15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1"/>
        </w:trPr>
        <w:tc>
          <w:tcPr>
            <w:tcW w:w="540" w:type="dxa"/>
            <w:vAlign w:val="bottom"/>
          </w:tcPr>
          <w:p>
            <w:pPr>
              <w:spacing w:after="0"/>
              <w:rPr>
                <w:sz w:val="14"/>
                <w:szCs w:val="14"/>
                <w:color w:val="auto"/>
              </w:rPr>
            </w:pPr>
          </w:p>
        </w:tc>
        <w:tc>
          <w:tcPr>
            <w:tcW w:w="2760" w:type="dxa"/>
            <w:vAlign w:val="bottom"/>
            <w:tcBorders>
              <w:bottom w:val="single" w:sz="8" w:color="58585A"/>
            </w:tcBorders>
          </w:tcPr>
          <w:p>
            <w:pPr>
              <w:ind w:left="60"/>
              <w:spacing w:after="0"/>
              <w:rPr>
                <w:sz w:val="20"/>
                <w:szCs w:val="20"/>
                <w:color w:val="auto"/>
              </w:rPr>
            </w:pPr>
            <w:r>
              <w:rPr>
                <w:rFonts w:ascii="Arial" w:cs="Arial" w:eastAsia="Arial" w:hAnsi="Arial"/>
                <w:sz w:val="13"/>
                <w:szCs w:val="13"/>
                <w:b w:val="1"/>
                <w:bCs w:val="1"/>
                <w:color w:val="auto"/>
              </w:rPr>
              <w:t>preference for:</w:t>
            </w:r>
          </w:p>
        </w:tc>
        <w:tc>
          <w:tcPr>
            <w:tcW w:w="5880" w:type="dxa"/>
            <w:vAlign w:val="bottom"/>
            <w:tcBorders>
              <w:bottom w:val="single" w:sz="8" w:color="58585A"/>
            </w:tcBorders>
            <w:shd w:val="clear" w:color="auto" w:fill="CBD0E9"/>
          </w:tcPr>
          <w:p>
            <w:pPr>
              <w:spacing w:after="0"/>
              <w:rPr>
                <w:sz w:val="14"/>
                <w:szCs w:val="14"/>
                <w:color w:val="auto"/>
              </w:rPr>
            </w:pPr>
          </w:p>
        </w:tc>
        <w:tc>
          <w:tcPr>
            <w:tcW w:w="1520" w:type="dxa"/>
            <w:vAlign w:val="bottom"/>
            <w:tcBorders>
              <w:bottom w:val="single" w:sz="8" w:color="58585A"/>
            </w:tcBorders>
          </w:tcPr>
          <w:p>
            <w:pPr>
              <w:spacing w:after="0"/>
              <w:rPr>
                <w:sz w:val="14"/>
                <w:szCs w:val="14"/>
                <w:color w:val="auto"/>
              </w:rPr>
            </w:pPr>
          </w:p>
        </w:tc>
        <w:tc>
          <w:tcPr>
            <w:tcW w:w="540" w:type="dxa"/>
            <w:vAlign w:val="bottom"/>
          </w:tcPr>
          <w:p>
            <w:pPr>
              <w:spacing w:after="0"/>
              <w:rPr>
                <w:sz w:val="14"/>
                <w:szCs w:val="14"/>
                <w:color w:val="auto"/>
              </w:rPr>
            </w:pPr>
          </w:p>
        </w:tc>
      </w:tr>
      <w:tr>
        <w:trPr>
          <w:trHeight w:val="199"/>
        </w:trPr>
        <w:tc>
          <w:tcPr>
            <w:tcW w:w="540" w:type="dxa"/>
            <w:vAlign w:val="bottom"/>
          </w:tcPr>
          <w:p>
            <w:pPr>
              <w:spacing w:after="0"/>
              <w:rPr>
                <w:sz w:val="17"/>
                <w:szCs w:val="17"/>
                <w:color w:val="auto"/>
              </w:rPr>
            </w:pPr>
          </w:p>
        </w:tc>
        <w:tc>
          <w:tcPr>
            <w:tcW w:w="2760" w:type="dxa"/>
            <w:vAlign w:val="bottom"/>
          </w:tcPr>
          <w:p>
            <w:pPr>
              <w:ind w:left="60"/>
              <w:spacing w:after="0"/>
              <w:rPr>
                <w:sz w:val="20"/>
                <w:szCs w:val="20"/>
                <w:color w:val="auto"/>
              </w:rPr>
            </w:pPr>
            <w:r>
              <w:rPr>
                <w:rFonts w:ascii="Arial" w:cs="Arial" w:eastAsia="Arial" w:hAnsi="Arial"/>
                <w:sz w:val="13"/>
                <w:szCs w:val="13"/>
                <w:b w:val="1"/>
                <w:bCs w:val="1"/>
                <w:color w:val="205BA8"/>
              </w:rPr>
              <w:t xml:space="preserve">• </w:t>
            </w:r>
            <w:r>
              <w:rPr>
                <w:rFonts w:ascii="Arial" w:cs="Arial" w:eastAsia="Arial" w:hAnsi="Arial"/>
                <w:sz w:val="13"/>
                <w:szCs w:val="13"/>
                <w:b w:val="1"/>
                <w:bCs w:val="1"/>
                <w:i w:val="1"/>
                <w:iCs w:val="1"/>
                <w:color w:val="000000"/>
              </w:rPr>
              <w:t>Exclusive use of PSUs</w:t>
            </w:r>
          </w:p>
        </w:tc>
        <w:tc>
          <w:tcPr>
            <w:tcW w:w="5880" w:type="dxa"/>
            <w:vAlign w:val="bottom"/>
            <w:shd w:val="clear" w:color="auto" w:fill="CBD0E9"/>
          </w:tcPr>
          <w:p>
            <w:pPr>
              <w:ind w:left="60"/>
              <w:spacing w:after="0"/>
              <w:rPr>
                <w:sz w:val="20"/>
                <w:szCs w:val="20"/>
                <w:color w:val="auto"/>
              </w:rPr>
            </w:pPr>
            <w:r>
              <w:rPr>
                <w:rFonts w:ascii="Arial" w:cs="Arial" w:eastAsia="Arial" w:hAnsi="Arial"/>
                <w:sz w:val="13"/>
                <w:szCs w:val="13"/>
                <w:color w:val="auto"/>
              </w:rPr>
              <w:t>Granted 100% of CEO and CSO equity awards in the form of PSUs (significant increase compared</w:t>
            </w:r>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45"/>
        </w:trPr>
        <w:tc>
          <w:tcPr>
            <w:tcW w:w="540" w:type="dxa"/>
            <w:vAlign w:val="bottom"/>
          </w:tcPr>
          <w:p>
            <w:pPr>
              <w:spacing w:after="0"/>
              <w:rPr>
                <w:sz w:val="12"/>
                <w:szCs w:val="12"/>
                <w:color w:val="auto"/>
              </w:rPr>
            </w:pPr>
          </w:p>
        </w:tc>
        <w:tc>
          <w:tcPr>
            <w:tcW w:w="2760" w:type="dxa"/>
            <w:vAlign w:val="bottom"/>
            <w:tcBorders>
              <w:bottom w:val="single" w:sz="8" w:color="58585A"/>
            </w:tcBorders>
          </w:tcPr>
          <w:p>
            <w:pPr>
              <w:spacing w:after="0"/>
              <w:rPr>
                <w:sz w:val="12"/>
                <w:szCs w:val="12"/>
                <w:color w:val="auto"/>
              </w:rPr>
            </w:pPr>
          </w:p>
        </w:tc>
        <w:tc>
          <w:tcPr>
            <w:tcW w:w="5880" w:type="dxa"/>
            <w:vAlign w:val="bottom"/>
            <w:tcBorders>
              <w:bottom w:val="single" w:sz="8" w:color="58585A"/>
            </w:tcBorders>
            <w:shd w:val="clear" w:color="auto" w:fill="CBD0E9"/>
          </w:tcPr>
          <w:p>
            <w:pPr>
              <w:ind w:left="60"/>
              <w:spacing w:after="0" w:line="145" w:lineRule="exact"/>
              <w:rPr>
                <w:sz w:val="20"/>
                <w:szCs w:val="20"/>
                <w:color w:val="auto"/>
              </w:rPr>
            </w:pPr>
            <w:r>
              <w:rPr>
                <w:rFonts w:ascii="Arial" w:cs="Arial" w:eastAsia="Arial" w:hAnsi="Arial"/>
                <w:sz w:val="13"/>
                <w:szCs w:val="13"/>
                <w:color w:val="auto"/>
              </w:rPr>
              <w:t>to 2019, when the CEO/CSO equity mix consisted of 30% PSUs and 70% stock options)</w:t>
            </w:r>
          </w:p>
        </w:tc>
        <w:tc>
          <w:tcPr>
            <w:tcW w:w="1520" w:type="dxa"/>
            <w:vAlign w:val="bottom"/>
            <w:tcBorders>
              <w:bottom w:val="single" w:sz="8" w:color="58585A"/>
            </w:tcBorders>
          </w:tcPr>
          <w:p>
            <w:pPr>
              <w:spacing w:after="0"/>
              <w:rPr>
                <w:sz w:val="12"/>
                <w:szCs w:val="12"/>
                <w:color w:val="auto"/>
              </w:rPr>
            </w:pPr>
          </w:p>
        </w:tc>
        <w:tc>
          <w:tcPr>
            <w:tcW w:w="540" w:type="dxa"/>
            <w:vAlign w:val="bottom"/>
          </w:tcPr>
          <w:p>
            <w:pPr>
              <w:spacing w:after="0"/>
              <w:rPr>
                <w:sz w:val="12"/>
                <w:szCs w:val="12"/>
                <w:color w:val="auto"/>
              </w:rPr>
            </w:pPr>
          </w:p>
        </w:tc>
      </w:tr>
      <w:tr>
        <w:trPr>
          <w:trHeight w:val="199"/>
        </w:trPr>
        <w:tc>
          <w:tcPr>
            <w:tcW w:w="540" w:type="dxa"/>
            <w:vAlign w:val="bottom"/>
          </w:tcPr>
          <w:p>
            <w:pPr>
              <w:spacing w:after="0"/>
              <w:rPr>
                <w:sz w:val="17"/>
                <w:szCs w:val="17"/>
                <w:color w:val="auto"/>
              </w:rPr>
            </w:pPr>
          </w:p>
        </w:tc>
        <w:tc>
          <w:tcPr>
            <w:tcW w:w="2760" w:type="dxa"/>
            <w:vAlign w:val="bottom"/>
          </w:tcPr>
          <w:p>
            <w:pPr>
              <w:ind w:left="60"/>
              <w:spacing w:after="0"/>
              <w:rPr>
                <w:sz w:val="20"/>
                <w:szCs w:val="20"/>
                <w:color w:val="auto"/>
              </w:rPr>
            </w:pPr>
            <w:r>
              <w:rPr>
                <w:rFonts w:ascii="Arial" w:cs="Arial" w:eastAsia="Arial" w:hAnsi="Arial"/>
                <w:sz w:val="13"/>
                <w:szCs w:val="13"/>
                <w:b w:val="1"/>
                <w:bCs w:val="1"/>
                <w:color w:val="205BA8"/>
              </w:rPr>
              <w:t xml:space="preserve">• </w:t>
            </w:r>
            <w:r>
              <w:rPr>
                <w:rFonts w:ascii="Arial" w:cs="Arial" w:eastAsia="Arial" w:hAnsi="Arial"/>
                <w:sz w:val="13"/>
                <w:szCs w:val="13"/>
                <w:b w:val="1"/>
                <w:bCs w:val="1"/>
                <w:i w:val="1"/>
                <w:iCs w:val="1"/>
                <w:color w:val="000000"/>
              </w:rPr>
              <w:t>More ambitious PSU goals</w:t>
            </w:r>
          </w:p>
        </w:tc>
        <w:tc>
          <w:tcPr>
            <w:tcW w:w="5880" w:type="dxa"/>
            <w:vAlign w:val="bottom"/>
            <w:shd w:val="clear" w:color="auto" w:fill="CBD0E9"/>
          </w:tcPr>
          <w:p>
            <w:pPr>
              <w:ind w:left="60"/>
              <w:spacing w:after="0"/>
              <w:rPr>
                <w:sz w:val="20"/>
                <w:szCs w:val="20"/>
                <w:color w:val="auto"/>
              </w:rPr>
            </w:pPr>
            <w:r>
              <w:rPr>
                <w:rFonts w:ascii="Arial" w:cs="Arial" w:eastAsia="Arial" w:hAnsi="Arial"/>
                <w:sz w:val="13"/>
                <w:szCs w:val="13"/>
                <w:color w:val="auto"/>
              </w:rPr>
              <w:t>Increased target TSR from 61% to 65.6%; increased TSR goal for maximum payout from 101% to</w:t>
            </w:r>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45"/>
        </w:trPr>
        <w:tc>
          <w:tcPr>
            <w:tcW w:w="540" w:type="dxa"/>
            <w:vAlign w:val="bottom"/>
          </w:tcPr>
          <w:p>
            <w:pPr>
              <w:spacing w:after="0"/>
              <w:rPr>
                <w:sz w:val="12"/>
                <w:szCs w:val="12"/>
                <w:color w:val="auto"/>
              </w:rPr>
            </w:pPr>
          </w:p>
        </w:tc>
        <w:tc>
          <w:tcPr>
            <w:tcW w:w="2760" w:type="dxa"/>
            <w:vAlign w:val="bottom"/>
            <w:tcBorders>
              <w:bottom w:val="single" w:sz="8" w:color="58585A"/>
            </w:tcBorders>
          </w:tcPr>
          <w:p>
            <w:pPr>
              <w:spacing w:after="0"/>
              <w:rPr>
                <w:sz w:val="12"/>
                <w:szCs w:val="12"/>
                <w:color w:val="auto"/>
              </w:rPr>
            </w:pPr>
          </w:p>
        </w:tc>
        <w:tc>
          <w:tcPr>
            <w:tcW w:w="5880" w:type="dxa"/>
            <w:vAlign w:val="bottom"/>
            <w:tcBorders>
              <w:bottom w:val="single" w:sz="8" w:color="58585A"/>
            </w:tcBorders>
            <w:shd w:val="clear" w:color="auto" w:fill="CBD0E9"/>
          </w:tcPr>
          <w:p>
            <w:pPr>
              <w:ind w:left="60"/>
              <w:spacing w:after="0" w:line="145" w:lineRule="exact"/>
              <w:rPr>
                <w:sz w:val="20"/>
                <w:szCs w:val="20"/>
                <w:color w:val="auto"/>
              </w:rPr>
            </w:pPr>
            <w:r>
              <w:rPr>
                <w:rFonts w:ascii="Arial" w:cs="Arial" w:eastAsia="Arial" w:hAnsi="Arial"/>
                <w:sz w:val="13"/>
                <w:szCs w:val="13"/>
                <w:color w:val="auto"/>
              </w:rPr>
              <w:t>140.4% (in each case compared to the terms of the PSUs granted in 2019)</w:t>
            </w:r>
          </w:p>
        </w:tc>
        <w:tc>
          <w:tcPr>
            <w:tcW w:w="1520" w:type="dxa"/>
            <w:vAlign w:val="bottom"/>
            <w:tcBorders>
              <w:bottom w:val="single" w:sz="8" w:color="58585A"/>
            </w:tcBorders>
          </w:tcPr>
          <w:p>
            <w:pPr>
              <w:spacing w:after="0"/>
              <w:rPr>
                <w:sz w:val="12"/>
                <w:szCs w:val="12"/>
                <w:color w:val="auto"/>
              </w:rPr>
            </w:pPr>
          </w:p>
        </w:tc>
        <w:tc>
          <w:tcPr>
            <w:tcW w:w="540" w:type="dxa"/>
            <w:vAlign w:val="bottom"/>
          </w:tcPr>
          <w:p>
            <w:pPr>
              <w:spacing w:after="0"/>
              <w:rPr>
                <w:sz w:val="12"/>
                <w:szCs w:val="12"/>
                <w:color w:val="auto"/>
              </w:rPr>
            </w:pPr>
          </w:p>
        </w:tc>
      </w:tr>
      <w:tr>
        <w:trPr>
          <w:trHeight w:val="196"/>
        </w:trPr>
        <w:tc>
          <w:tcPr>
            <w:tcW w:w="540" w:type="dxa"/>
            <w:vAlign w:val="bottom"/>
          </w:tcPr>
          <w:p>
            <w:pPr>
              <w:spacing w:after="0"/>
              <w:rPr>
                <w:sz w:val="17"/>
                <w:szCs w:val="17"/>
                <w:color w:val="auto"/>
              </w:rPr>
            </w:pPr>
          </w:p>
        </w:tc>
        <w:tc>
          <w:tcPr>
            <w:tcW w:w="2760" w:type="dxa"/>
            <w:vAlign w:val="bottom"/>
            <w:tcBorders>
              <w:bottom w:val="single" w:sz="8" w:color="58585A"/>
            </w:tcBorders>
          </w:tcPr>
          <w:p>
            <w:pPr>
              <w:ind w:left="60"/>
              <w:spacing w:after="0"/>
              <w:rPr>
                <w:sz w:val="20"/>
                <w:szCs w:val="20"/>
                <w:color w:val="auto"/>
              </w:rPr>
            </w:pPr>
            <w:r>
              <w:rPr>
                <w:rFonts w:ascii="Arial" w:cs="Arial" w:eastAsia="Arial" w:hAnsi="Arial"/>
                <w:sz w:val="13"/>
                <w:szCs w:val="13"/>
                <w:b w:val="1"/>
                <w:bCs w:val="1"/>
                <w:color w:val="205BA8"/>
              </w:rPr>
              <w:t xml:space="preserve">• </w:t>
            </w:r>
            <w:r>
              <w:rPr>
                <w:rFonts w:ascii="Arial" w:cs="Arial" w:eastAsia="Arial" w:hAnsi="Arial"/>
                <w:sz w:val="13"/>
                <w:szCs w:val="13"/>
                <w:b w:val="1"/>
                <w:bCs w:val="1"/>
                <w:i w:val="1"/>
                <w:iCs w:val="1"/>
                <w:color w:val="000000"/>
              </w:rPr>
              <w:t>Other PSU design enhancements</w:t>
            </w:r>
          </w:p>
        </w:tc>
        <w:tc>
          <w:tcPr>
            <w:tcW w:w="5880" w:type="dxa"/>
            <w:vAlign w:val="bottom"/>
            <w:tcBorders>
              <w:bottom w:val="single" w:sz="8" w:color="58585A"/>
            </w:tcBorders>
            <w:shd w:val="clear" w:color="auto" w:fill="CBD0E9"/>
          </w:tcPr>
          <w:p>
            <w:pPr>
              <w:ind w:left="60"/>
              <w:spacing w:after="0"/>
              <w:rPr>
                <w:sz w:val="20"/>
                <w:szCs w:val="20"/>
                <w:color w:val="auto"/>
              </w:rPr>
            </w:pPr>
            <w:r>
              <w:rPr>
                <w:rFonts w:ascii="Arial" w:cs="Arial" w:eastAsia="Arial" w:hAnsi="Arial"/>
                <w:sz w:val="13"/>
                <w:szCs w:val="13"/>
                <w:color w:val="auto"/>
              </w:rPr>
              <w:t>Eliminated secondary 4-year performance period; included a 3-year holding period</w:t>
            </w:r>
          </w:p>
        </w:tc>
        <w:tc>
          <w:tcPr>
            <w:tcW w:w="1520" w:type="dxa"/>
            <w:vAlign w:val="bottom"/>
            <w:tcBorders>
              <w:bottom w:val="single" w:sz="8" w:color="58585A"/>
            </w:tcBorders>
          </w:tcPr>
          <w:p>
            <w:pPr>
              <w:spacing w:after="0"/>
              <w:rPr>
                <w:sz w:val="17"/>
                <w:szCs w:val="17"/>
                <w:color w:val="auto"/>
              </w:rPr>
            </w:pPr>
          </w:p>
        </w:tc>
        <w:tc>
          <w:tcPr>
            <w:tcW w:w="540" w:type="dxa"/>
            <w:vAlign w:val="bottom"/>
          </w:tcPr>
          <w:p>
            <w:pPr>
              <w:spacing w:after="0"/>
              <w:rPr>
                <w:sz w:val="17"/>
                <w:szCs w:val="17"/>
                <w:color w:val="auto"/>
              </w:rPr>
            </w:pPr>
          </w:p>
        </w:tc>
      </w:tr>
      <w:tr>
        <w:trPr>
          <w:trHeight w:val="183"/>
        </w:trPr>
        <w:tc>
          <w:tcPr>
            <w:tcW w:w="540" w:type="dxa"/>
            <w:vAlign w:val="bottom"/>
          </w:tcPr>
          <w:p>
            <w:pPr>
              <w:spacing w:after="0"/>
              <w:rPr>
                <w:sz w:val="15"/>
                <w:szCs w:val="15"/>
                <w:color w:val="auto"/>
              </w:rPr>
            </w:pPr>
          </w:p>
        </w:tc>
        <w:tc>
          <w:tcPr>
            <w:tcW w:w="2760" w:type="dxa"/>
            <w:vAlign w:val="bottom"/>
            <w:shd w:val="clear" w:color="auto" w:fill="ECEDED"/>
          </w:tcPr>
          <w:p>
            <w:pPr>
              <w:ind w:left="60"/>
              <w:spacing w:after="0"/>
              <w:rPr>
                <w:sz w:val="20"/>
                <w:szCs w:val="20"/>
                <w:color w:val="auto"/>
              </w:rPr>
            </w:pPr>
            <w:r>
              <w:rPr>
                <w:rFonts w:ascii="Arial" w:cs="Arial" w:eastAsia="Arial" w:hAnsi="Arial"/>
                <w:sz w:val="13"/>
                <w:szCs w:val="13"/>
                <w:b w:val="1"/>
                <w:bCs w:val="1"/>
                <w:color w:val="auto"/>
              </w:rPr>
              <w:t>Investor interest in management team</w:t>
            </w:r>
          </w:p>
        </w:tc>
        <w:tc>
          <w:tcPr>
            <w:tcW w:w="5880" w:type="dxa"/>
            <w:vAlign w:val="bottom"/>
            <w:shd w:val="clear" w:color="auto" w:fill="E3E6F4"/>
          </w:tcPr>
          <w:p>
            <w:pPr>
              <w:ind w:left="60"/>
              <w:spacing w:after="0"/>
              <w:rPr>
                <w:sz w:val="20"/>
                <w:szCs w:val="20"/>
                <w:color w:val="auto"/>
              </w:rPr>
            </w:pPr>
            <w:r>
              <w:rPr>
                <w:rFonts w:ascii="Arial" w:cs="Arial" w:eastAsia="Arial" w:hAnsi="Arial"/>
                <w:sz w:val="13"/>
                <w:szCs w:val="13"/>
                <w:color w:val="auto"/>
              </w:rPr>
              <w:t>Increased holding/vesting requirements for 2020 CEO and CSO PSUs by incorporating a five-year</w:t>
            </w:r>
          </w:p>
        </w:tc>
        <w:tc>
          <w:tcPr>
            <w:tcW w:w="1520" w:type="dxa"/>
            <w:vAlign w:val="bottom"/>
            <w:shd w:val="clear" w:color="auto" w:fill="ECEDED"/>
          </w:tcPr>
          <w:p>
            <w:pPr>
              <w:ind w:left="100"/>
              <w:spacing w:after="0"/>
              <w:rPr>
                <w:sz w:val="20"/>
                <w:szCs w:val="20"/>
                <w:color w:val="auto"/>
              </w:rPr>
            </w:pPr>
            <w:r>
              <w:rPr>
                <w:rFonts w:ascii="Arial" w:cs="Arial" w:eastAsia="Arial" w:hAnsi="Arial"/>
                <w:sz w:val="13"/>
                <w:szCs w:val="13"/>
                <w:color w:val="auto"/>
              </w:rPr>
              <w:t>2020</w:t>
            </w:r>
          </w:p>
        </w:tc>
        <w:tc>
          <w:tcPr>
            <w:tcW w:w="540" w:type="dxa"/>
            <w:vAlign w:val="bottom"/>
          </w:tcPr>
          <w:p>
            <w:pPr>
              <w:spacing w:after="0"/>
              <w:rPr>
                <w:sz w:val="15"/>
                <w:szCs w:val="15"/>
                <w:color w:val="auto"/>
              </w:rPr>
            </w:pPr>
          </w:p>
        </w:tc>
      </w:tr>
      <w:tr>
        <w:trPr>
          <w:trHeight w:val="161"/>
        </w:trPr>
        <w:tc>
          <w:tcPr>
            <w:tcW w:w="540" w:type="dxa"/>
            <w:vAlign w:val="bottom"/>
          </w:tcPr>
          <w:p>
            <w:pPr>
              <w:spacing w:after="0"/>
              <w:rPr>
                <w:sz w:val="14"/>
                <w:szCs w:val="14"/>
                <w:color w:val="auto"/>
              </w:rPr>
            </w:pPr>
          </w:p>
        </w:tc>
        <w:tc>
          <w:tcPr>
            <w:tcW w:w="2760" w:type="dxa"/>
            <w:vAlign w:val="bottom"/>
            <w:tcBorders>
              <w:bottom w:val="single" w:sz="8" w:color="58585A"/>
            </w:tcBorders>
            <w:shd w:val="clear" w:color="auto" w:fill="ECEDED"/>
          </w:tcPr>
          <w:p>
            <w:pPr>
              <w:ind w:left="60"/>
              <w:spacing w:after="0"/>
              <w:rPr>
                <w:sz w:val="20"/>
                <w:szCs w:val="20"/>
                <w:color w:val="auto"/>
              </w:rPr>
            </w:pPr>
            <w:r>
              <w:rPr>
                <w:rFonts w:ascii="Arial" w:cs="Arial" w:eastAsia="Arial" w:hAnsi="Arial"/>
                <w:sz w:val="13"/>
                <w:szCs w:val="13"/>
                <w:b w:val="1"/>
                <w:bCs w:val="1"/>
                <w:color w:val="auto"/>
              </w:rPr>
              <w:t>stability and long-term value creation</w:t>
            </w:r>
          </w:p>
        </w:tc>
        <w:tc>
          <w:tcPr>
            <w:tcW w:w="5880" w:type="dxa"/>
            <w:vAlign w:val="bottom"/>
            <w:tcBorders>
              <w:bottom w:val="single" w:sz="8" w:color="58585A"/>
            </w:tcBorders>
            <w:shd w:val="clear" w:color="auto" w:fill="E3E6F4"/>
          </w:tcPr>
          <w:p>
            <w:pPr>
              <w:ind w:left="60"/>
              <w:spacing w:after="0"/>
              <w:rPr>
                <w:sz w:val="20"/>
                <w:szCs w:val="20"/>
                <w:color w:val="auto"/>
              </w:rPr>
            </w:pPr>
            <w:r>
              <w:rPr>
                <w:rFonts w:ascii="Arial" w:cs="Arial" w:eastAsia="Arial" w:hAnsi="Arial"/>
                <w:sz w:val="13"/>
                <w:szCs w:val="13"/>
                <w:color w:val="auto"/>
              </w:rPr>
              <w:t>performance period and a subsequent three-year holding period</w:t>
            </w:r>
          </w:p>
        </w:tc>
        <w:tc>
          <w:tcPr>
            <w:tcW w:w="1520" w:type="dxa"/>
            <w:vAlign w:val="bottom"/>
            <w:tcBorders>
              <w:bottom w:val="single" w:sz="8" w:color="58585A"/>
            </w:tcBorders>
            <w:shd w:val="clear" w:color="auto" w:fill="ECEDED"/>
          </w:tcPr>
          <w:p>
            <w:pPr>
              <w:spacing w:after="0"/>
              <w:rPr>
                <w:sz w:val="14"/>
                <w:szCs w:val="14"/>
                <w:color w:val="auto"/>
              </w:rPr>
            </w:pPr>
          </w:p>
        </w:tc>
        <w:tc>
          <w:tcPr>
            <w:tcW w:w="540" w:type="dxa"/>
            <w:vAlign w:val="bottom"/>
          </w:tcPr>
          <w:p>
            <w:pPr>
              <w:spacing w:after="0"/>
              <w:rPr>
                <w:sz w:val="14"/>
                <w:szCs w:val="14"/>
                <w:color w:val="auto"/>
              </w:rPr>
            </w:pPr>
          </w:p>
        </w:tc>
      </w:tr>
      <w:tr>
        <w:trPr>
          <w:trHeight w:val="183"/>
        </w:trPr>
        <w:tc>
          <w:tcPr>
            <w:tcW w:w="540" w:type="dxa"/>
            <w:vAlign w:val="bottom"/>
          </w:tcPr>
          <w:p>
            <w:pPr>
              <w:spacing w:after="0"/>
              <w:rPr>
                <w:sz w:val="15"/>
                <w:szCs w:val="15"/>
                <w:color w:val="auto"/>
              </w:rPr>
            </w:pPr>
          </w:p>
        </w:tc>
        <w:tc>
          <w:tcPr>
            <w:tcW w:w="2760" w:type="dxa"/>
            <w:vAlign w:val="bottom"/>
          </w:tcPr>
          <w:p>
            <w:pPr>
              <w:ind w:left="60"/>
              <w:spacing w:after="0"/>
              <w:rPr>
                <w:sz w:val="20"/>
                <w:szCs w:val="20"/>
                <w:color w:val="auto"/>
              </w:rPr>
            </w:pPr>
            <w:r>
              <w:rPr>
                <w:rFonts w:ascii="Arial" w:cs="Arial" w:eastAsia="Arial" w:hAnsi="Arial"/>
                <w:sz w:val="13"/>
                <w:szCs w:val="13"/>
                <w:b w:val="1"/>
                <w:bCs w:val="1"/>
                <w:color w:val="auto"/>
              </w:rPr>
              <w:t>Support for broad-based equity program</w:t>
            </w:r>
          </w:p>
        </w:tc>
        <w:tc>
          <w:tcPr>
            <w:tcW w:w="5880" w:type="dxa"/>
            <w:vAlign w:val="bottom"/>
            <w:shd w:val="clear" w:color="auto" w:fill="CBD0E9"/>
          </w:tcPr>
          <w:p>
            <w:pPr>
              <w:ind w:left="60"/>
              <w:spacing w:after="0"/>
              <w:rPr>
                <w:sz w:val="20"/>
                <w:szCs w:val="20"/>
                <w:color w:val="auto"/>
              </w:rPr>
            </w:pPr>
            <w:r>
              <w:rPr>
                <w:rFonts w:ascii="Arial" w:cs="Arial" w:eastAsia="Arial" w:hAnsi="Arial"/>
                <w:sz w:val="13"/>
                <w:szCs w:val="13"/>
                <w:color w:val="auto"/>
                <w:w w:val="99"/>
              </w:rPr>
              <w:t>Maintained broad-based equity compensation strategy while addressing concerns about the resulting</w:t>
            </w:r>
          </w:p>
        </w:tc>
        <w:tc>
          <w:tcPr>
            <w:tcW w:w="2060" w:type="dxa"/>
            <w:vAlign w:val="bottom"/>
            <w:gridSpan w:val="2"/>
          </w:tcPr>
          <w:p>
            <w:pPr>
              <w:ind w:left="100"/>
              <w:spacing w:after="0"/>
              <w:rPr>
                <w:sz w:val="20"/>
                <w:szCs w:val="20"/>
                <w:color w:val="auto"/>
              </w:rPr>
            </w:pPr>
            <w:r>
              <w:rPr>
                <w:rFonts w:ascii="Arial" w:cs="Arial" w:eastAsia="Arial" w:hAnsi="Arial"/>
                <w:sz w:val="13"/>
                <w:szCs w:val="13"/>
                <w:color w:val="auto"/>
              </w:rPr>
              <w:t>2016–2020 (equity grant</w:t>
            </w:r>
          </w:p>
        </w:tc>
      </w:tr>
      <w:tr>
        <w:trPr>
          <w:trHeight w:val="148"/>
        </w:trPr>
        <w:tc>
          <w:tcPr>
            <w:tcW w:w="540" w:type="dxa"/>
            <w:vAlign w:val="bottom"/>
          </w:tcPr>
          <w:p>
            <w:pPr>
              <w:spacing w:after="0"/>
              <w:rPr>
                <w:sz w:val="12"/>
                <w:szCs w:val="12"/>
                <w:color w:val="auto"/>
              </w:rPr>
            </w:pPr>
          </w:p>
        </w:tc>
        <w:tc>
          <w:tcPr>
            <w:tcW w:w="2760" w:type="dxa"/>
            <w:vAlign w:val="bottom"/>
          </w:tcPr>
          <w:p>
            <w:pPr>
              <w:ind w:left="60"/>
              <w:spacing w:after="0"/>
              <w:rPr>
                <w:sz w:val="20"/>
                <w:szCs w:val="20"/>
                <w:color w:val="auto"/>
              </w:rPr>
            </w:pPr>
            <w:r>
              <w:rPr>
                <w:rFonts w:ascii="Arial" w:cs="Arial" w:eastAsia="Arial" w:hAnsi="Arial"/>
                <w:sz w:val="13"/>
                <w:szCs w:val="13"/>
                <w:b w:val="1"/>
                <w:bCs w:val="1"/>
                <w:color w:val="auto"/>
              </w:rPr>
              <w:t>but concern about burn rate and reliance</w:t>
            </w:r>
          </w:p>
        </w:tc>
        <w:tc>
          <w:tcPr>
            <w:tcW w:w="5880" w:type="dxa"/>
            <w:vAlign w:val="bottom"/>
            <w:shd w:val="clear" w:color="auto" w:fill="CBD0E9"/>
          </w:tcPr>
          <w:p>
            <w:pPr>
              <w:ind w:left="60"/>
              <w:spacing w:after="0"/>
              <w:rPr>
                <w:sz w:val="20"/>
                <w:szCs w:val="20"/>
                <w:color w:val="auto"/>
              </w:rPr>
            </w:pPr>
            <w:r>
              <w:rPr>
                <w:rFonts w:ascii="Arial" w:cs="Arial" w:eastAsia="Arial" w:hAnsi="Arial"/>
                <w:sz w:val="13"/>
                <w:szCs w:val="13"/>
                <w:color w:val="auto"/>
              </w:rPr>
              <w:t>burn rate using a two-part approach:</w:t>
            </w:r>
          </w:p>
        </w:tc>
        <w:tc>
          <w:tcPr>
            <w:tcW w:w="2060" w:type="dxa"/>
            <w:vAlign w:val="bottom"/>
            <w:gridSpan w:val="2"/>
          </w:tcPr>
          <w:p>
            <w:pPr>
              <w:ind w:left="100"/>
              <w:spacing w:after="0"/>
              <w:rPr>
                <w:sz w:val="20"/>
                <w:szCs w:val="20"/>
                <w:color w:val="auto"/>
              </w:rPr>
            </w:pPr>
            <w:r>
              <w:rPr>
                <w:rFonts w:ascii="Arial" w:cs="Arial" w:eastAsia="Arial" w:hAnsi="Arial"/>
                <w:sz w:val="13"/>
                <w:szCs w:val="13"/>
                <w:color w:val="auto"/>
              </w:rPr>
              <w:t>reductions commenced</w:t>
            </w:r>
          </w:p>
        </w:tc>
      </w:tr>
      <w:tr>
        <w:trPr>
          <w:trHeight w:val="172"/>
        </w:trPr>
        <w:tc>
          <w:tcPr>
            <w:tcW w:w="540" w:type="dxa"/>
            <w:vAlign w:val="bottom"/>
          </w:tcPr>
          <w:p>
            <w:pPr>
              <w:spacing w:after="0"/>
              <w:rPr>
                <w:sz w:val="14"/>
                <w:szCs w:val="14"/>
                <w:color w:val="auto"/>
              </w:rPr>
            </w:pPr>
          </w:p>
        </w:tc>
        <w:tc>
          <w:tcPr>
            <w:tcW w:w="2760" w:type="dxa"/>
            <w:vAlign w:val="bottom"/>
          </w:tcPr>
          <w:p>
            <w:pPr>
              <w:ind w:left="60"/>
              <w:spacing w:after="0"/>
              <w:rPr>
                <w:sz w:val="20"/>
                <w:szCs w:val="20"/>
                <w:color w:val="auto"/>
              </w:rPr>
            </w:pPr>
            <w:r>
              <w:rPr>
                <w:rFonts w:ascii="Arial" w:cs="Arial" w:eastAsia="Arial" w:hAnsi="Arial"/>
                <w:sz w:val="13"/>
                <w:szCs w:val="13"/>
                <w:b w:val="1"/>
                <w:bCs w:val="1"/>
                <w:color w:val="auto"/>
              </w:rPr>
              <w:t>on stock options</w:t>
            </w:r>
          </w:p>
        </w:tc>
        <w:tc>
          <w:tcPr>
            <w:tcW w:w="5880" w:type="dxa"/>
            <w:vAlign w:val="bottom"/>
            <w:shd w:val="clear" w:color="auto" w:fill="CBD0E9"/>
          </w:tcPr>
          <w:p>
            <w:pPr>
              <w:spacing w:after="0"/>
              <w:rPr>
                <w:sz w:val="14"/>
                <w:szCs w:val="14"/>
                <w:color w:val="auto"/>
              </w:rPr>
            </w:pPr>
          </w:p>
        </w:tc>
        <w:tc>
          <w:tcPr>
            <w:tcW w:w="2060" w:type="dxa"/>
            <w:vAlign w:val="bottom"/>
            <w:gridSpan w:val="2"/>
          </w:tcPr>
          <w:p>
            <w:pPr>
              <w:ind w:left="100"/>
              <w:spacing w:after="0"/>
              <w:rPr>
                <w:sz w:val="20"/>
                <w:szCs w:val="20"/>
                <w:color w:val="auto"/>
              </w:rPr>
            </w:pPr>
            <w:r>
              <w:rPr>
                <w:rFonts w:ascii="Arial" w:cs="Arial" w:eastAsia="Arial" w:hAnsi="Arial"/>
                <w:sz w:val="13"/>
                <w:szCs w:val="13"/>
                <w:color w:val="auto"/>
              </w:rPr>
              <w:t>in 2013)</w:t>
            </w:r>
          </w:p>
        </w:tc>
      </w:tr>
      <w:tr>
        <w:trPr>
          <w:trHeight w:val="195"/>
        </w:trPr>
        <w:tc>
          <w:tcPr>
            <w:tcW w:w="5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880" w:type="dxa"/>
            <w:vAlign w:val="bottom"/>
            <w:shd w:val="clear" w:color="auto" w:fill="CBD0E9"/>
          </w:tcPr>
          <w:p>
            <w:pPr>
              <w:ind w:left="60"/>
              <w:spacing w:after="0"/>
              <w:rPr>
                <w:sz w:val="20"/>
                <w:szCs w:val="20"/>
                <w:color w:val="auto"/>
              </w:rPr>
            </w:pPr>
            <w:r>
              <w:rPr>
                <w:rFonts w:ascii="Arial" w:cs="Arial" w:eastAsia="Arial" w:hAnsi="Arial"/>
                <w:sz w:val="13"/>
                <w:szCs w:val="13"/>
                <w:color w:val="205BA8"/>
              </w:rPr>
              <w:t xml:space="preserve">1. </w:t>
            </w:r>
            <w:r>
              <w:rPr>
                <w:rFonts w:ascii="Arial" w:cs="Arial" w:eastAsia="Arial" w:hAnsi="Arial"/>
                <w:sz w:val="13"/>
                <w:szCs w:val="13"/>
                <w:color w:val="000000"/>
              </w:rPr>
              <w:t>Reduce equity award grant guidelines with respect to the number of shares underlying annual</w:t>
            </w:r>
          </w:p>
        </w:tc>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56"/>
        </w:trPr>
        <w:tc>
          <w:tcPr>
            <w:tcW w:w="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5880" w:type="dxa"/>
            <w:vAlign w:val="bottom"/>
            <w:shd w:val="clear" w:color="auto" w:fill="CBD0E9"/>
          </w:tcPr>
          <w:p>
            <w:pPr>
              <w:ind w:left="240"/>
              <w:spacing w:after="0"/>
              <w:rPr>
                <w:sz w:val="20"/>
                <w:szCs w:val="20"/>
                <w:color w:val="auto"/>
              </w:rPr>
            </w:pPr>
            <w:r>
              <w:rPr>
                <w:rFonts w:ascii="Arial" w:cs="Arial" w:eastAsia="Arial" w:hAnsi="Arial"/>
                <w:sz w:val="13"/>
                <w:szCs w:val="13"/>
                <w:color w:val="auto"/>
              </w:rPr>
              <w:t>equity awards to eligible employees; and</w:t>
            </w:r>
          </w:p>
        </w:tc>
        <w:tc>
          <w:tcPr>
            <w:tcW w:w="15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95"/>
        </w:trPr>
        <w:tc>
          <w:tcPr>
            <w:tcW w:w="5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880" w:type="dxa"/>
            <w:vAlign w:val="bottom"/>
            <w:shd w:val="clear" w:color="auto" w:fill="CBD0E9"/>
          </w:tcPr>
          <w:p>
            <w:pPr>
              <w:ind w:left="60"/>
              <w:spacing w:after="0"/>
              <w:rPr>
                <w:sz w:val="20"/>
                <w:szCs w:val="20"/>
                <w:color w:val="auto"/>
              </w:rPr>
            </w:pPr>
            <w:r>
              <w:rPr>
                <w:rFonts w:ascii="Arial" w:cs="Arial" w:eastAsia="Arial" w:hAnsi="Arial"/>
                <w:sz w:val="13"/>
                <w:szCs w:val="13"/>
                <w:color w:val="205BA8"/>
              </w:rPr>
              <w:t xml:space="preserve">2. </w:t>
            </w:r>
            <w:r>
              <w:rPr>
                <w:rFonts w:ascii="Arial" w:cs="Arial" w:eastAsia="Arial" w:hAnsi="Arial"/>
                <w:sz w:val="13"/>
                <w:szCs w:val="13"/>
                <w:color w:val="000000"/>
              </w:rPr>
              <w:t>Starting in 2019, recalibrate equity award mix (stock options and RSAs/RSUs) for NEOs below</w:t>
            </w:r>
          </w:p>
        </w:tc>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48"/>
        </w:trPr>
        <w:tc>
          <w:tcPr>
            <w:tcW w:w="5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880" w:type="dxa"/>
            <w:vAlign w:val="bottom"/>
            <w:shd w:val="clear" w:color="auto" w:fill="CBD0E9"/>
          </w:tcPr>
          <w:p>
            <w:pPr>
              <w:ind w:left="240"/>
              <w:spacing w:after="0"/>
              <w:rPr>
                <w:sz w:val="20"/>
                <w:szCs w:val="20"/>
                <w:color w:val="auto"/>
              </w:rPr>
            </w:pPr>
            <w:r>
              <w:rPr>
                <w:rFonts w:ascii="Arial" w:cs="Arial" w:eastAsia="Arial" w:hAnsi="Arial"/>
                <w:sz w:val="13"/>
                <w:szCs w:val="13"/>
                <w:color w:val="auto"/>
              </w:rPr>
              <w:t>the CEO/CSO level and other employees to better balance incentivization of growth and</w:t>
            </w:r>
          </w:p>
        </w:tc>
        <w:tc>
          <w:tcPr>
            <w:tcW w:w="15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56"/>
        </w:trPr>
        <w:tc>
          <w:tcPr>
            <w:tcW w:w="5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5880" w:type="dxa"/>
            <w:vAlign w:val="bottom"/>
            <w:shd w:val="clear" w:color="auto" w:fill="CBD0E9"/>
          </w:tcPr>
          <w:p>
            <w:pPr>
              <w:ind w:left="240"/>
              <w:spacing w:after="0"/>
              <w:rPr>
                <w:sz w:val="20"/>
                <w:szCs w:val="20"/>
                <w:color w:val="auto"/>
              </w:rPr>
            </w:pPr>
            <w:r>
              <w:rPr>
                <w:rFonts w:ascii="Arial" w:cs="Arial" w:eastAsia="Arial" w:hAnsi="Arial"/>
                <w:sz w:val="13"/>
                <w:szCs w:val="13"/>
                <w:color w:val="auto"/>
              </w:rPr>
              <w:t>employee retention.</w:t>
            </w:r>
          </w:p>
        </w:tc>
        <w:tc>
          <w:tcPr>
            <w:tcW w:w="15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95"/>
        </w:trPr>
        <w:tc>
          <w:tcPr>
            <w:tcW w:w="5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880" w:type="dxa"/>
            <w:vAlign w:val="bottom"/>
            <w:shd w:val="clear" w:color="auto" w:fill="CBD0E9"/>
          </w:tcPr>
          <w:p>
            <w:pPr>
              <w:ind w:left="60"/>
              <w:spacing w:after="0"/>
              <w:rPr>
                <w:sz w:val="20"/>
                <w:szCs w:val="20"/>
                <w:color w:val="auto"/>
              </w:rPr>
            </w:pPr>
            <w:r>
              <w:rPr>
                <w:rFonts w:ascii="Arial" w:cs="Arial" w:eastAsia="Arial" w:hAnsi="Arial"/>
                <w:sz w:val="13"/>
                <w:szCs w:val="13"/>
                <w:color w:val="auto"/>
              </w:rPr>
              <w:t>In 2020, as a result of this approach, we decreased by approximately 20% the number of stock</w:t>
            </w:r>
          </w:p>
        </w:tc>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49"/>
        </w:trPr>
        <w:tc>
          <w:tcPr>
            <w:tcW w:w="5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880" w:type="dxa"/>
            <w:vAlign w:val="bottom"/>
            <w:shd w:val="clear" w:color="auto" w:fill="CBD0E9"/>
          </w:tcPr>
          <w:p>
            <w:pPr>
              <w:ind w:left="60"/>
              <w:spacing w:after="0"/>
              <w:rPr>
                <w:sz w:val="20"/>
                <w:szCs w:val="20"/>
                <w:color w:val="auto"/>
              </w:rPr>
            </w:pPr>
            <w:r>
              <w:rPr>
                <w:rFonts w:ascii="Arial" w:cs="Arial" w:eastAsia="Arial" w:hAnsi="Arial"/>
                <w:sz w:val="13"/>
                <w:szCs w:val="13"/>
                <w:color w:val="auto"/>
              </w:rPr>
              <w:t>options granted per recipient and maintained RSA/RSU grant date fair value per recipient at 2019</w:t>
            </w:r>
          </w:p>
        </w:tc>
        <w:tc>
          <w:tcPr>
            <w:tcW w:w="15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5"/>
        </w:trPr>
        <w:tc>
          <w:tcPr>
            <w:tcW w:w="540" w:type="dxa"/>
            <w:vAlign w:val="bottom"/>
          </w:tcPr>
          <w:p>
            <w:pPr>
              <w:spacing w:after="0"/>
              <w:rPr>
                <w:sz w:val="12"/>
                <w:szCs w:val="12"/>
                <w:color w:val="auto"/>
              </w:rPr>
            </w:pPr>
          </w:p>
        </w:tc>
        <w:tc>
          <w:tcPr>
            <w:tcW w:w="2760" w:type="dxa"/>
            <w:vAlign w:val="bottom"/>
            <w:tcBorders>
              <w:bottom w:val="single" w:sz="8" w:color="58585A"/>
            </w:tcBorders>
          </w:tcPr>
          <w:p>
            <w:pPr>
              <w:spacing w:after="0"/>
              <w:rPr>
                <w:sz w:val="12"/>
                <w:szCs w:val="12"/>
                <w:color w:val="auto"/>
              </w:rPr>
            </w:pPr>
          </w:p>
        </w:tc>
        <w:tc>
          <w:tcPr>
            <w:tcW w:w="5880" w:type="dxa"/>
            <w:vAlign w:val="bottom"/>
            <w:tcBorders>
              <w:bottom w:val="single" w:sz="8" w:color="58585A"/>
            </w:tcBorders>
            <w:shd w:val="clear" w:color="auto" w:fill="CBD0E9"/>
          </w:tcPr>
          <w:p>
            <w:pPr>
              <w:ind w:left="60"/>
              <w:spacing w:after="0" w:line="145" w:lineRule="exact"/>
              <w:rPr>
                <w:sz w:val="20"/>
                <w:szCs w:val="20"/>
                <w:color w:val="auto"/>
              </w:rPr>
            </w:pPr>
            <w:r>
              <w:rPr>
                <w:rFonts w:ascii="Arial" w:cs="Arial" w:eastAsia="Arial" w:hAnsi="Arial"/>
                <w:sz w:val="13"/>
                <w:szCs w:val="13"/>
                <w:color w:val="auto"/>
              </w:rPr>
              <w:t>levels, thus reducing burn rate to 3.3%, the lowest level in the last eight years.</w:t>
            </w:r>
          </w:p>
        </w:tc>
        <w:tc>
          <w:tcPr>
            <w:tcW w:w="1520" w:type="dxa"/>
            <w:vAlign w:val="bottom"/>
            <w:tcBorders>
              <w:bottom w:val="single" w:sz="8" w:color="58585A"/>
            </w:tcBorders>
          </w:tcPr>
          <w:p>
            <w:pPr>
              <w:spacing w:after="0"/>
              <w:rPr>
                <w:sz w:val="12"/>
                <w:szCs w:val="12"/>
                <w:color w:val="auto"/>
              </w:rPr>
            </w:pPr>
          </w:p>
        </w:tc>
        <w:tc>
          <w:tcPr>
            <w:tcW w:w="540" w:type="dxa"/>
            <w:vAlign w:val="bottom"/>
          </w:tcPr>
          <w:p>
            <w:pPr>
              <w:spacing w:after="0"/>
              <w:rPr>
                <w:sz w:val="12"/>
                <w:szCs w:val="12"/>
                <w:color w:val="auto"/>
              </w:rPr>
            </w:pPr>
          </w:p>
        </w:tc>
      </w:tr>
      <w:tr>
        <w:trPr>
          <w:trHeight w:val="183"/>
        </w:trPr>
        <w:tc>
          <w:tcPr>
            <w:tcW w:w="540" w:type="dxa"/>
            <w:vAlign w:val="bottom"/>
          </w:tcPr>
          <w:p>
            <w:pPr>
              <w:spacing w:after="0"/>
              <w:rPr>
                <w:sz w:val="15"/>
                <w:szCs w:val="15"/>
                <w:color w:val="auto"/>
              </w:rPr>
            </w:pPr>
          </w:p>
        </w:tc>
        <w:tc>
          <w:tcPr>
            <w:tcW w:w="2760" w:type="dxa"/>
            <w:vAlign w:val="bottom"/>
            <w:shd w:val="clear" w:color="auto" w:fill="ECEDED"/>
          </w:tcPr>
          <w:p>
            <w:pPr>
              <w:ind w:left="60"/>
              <w:spacing w:after="0"/>
              <w:rPr>
                <w:sz w:val="20"/>
                <w:szCs w:val="20"/>
                <w:color w:val="auto"/>
              </w:rPr>
            </w:pPr>
            <w:r>
              <w:rPr>
                <w:rFonts w:ascii="Arial" w:cs="Arial" w:eastAsia="Arial" w:hAnsi="Arial"/>
                <w:sz w:val="13"/>
                <w:szCs w:val="13"/>
                <w:b w:val="1"/>
                <w:bCs w:val="1"/>
                <w:color w:val="auto"/>
              </w:rPr>
              <w:t>Desire for more clarity regarding the</w:t>
            </w:r>
          </w:p>
        </w:tc>
        <w:tc>
          <w:tcPr>
            <w:tcW w:w="5880" w:type="dxa"/>
            <w:vAlign w:val="bottom"/>
            <w:shd w:val="clear" w:color="auto" w:fill="E3E6F4"/>
          </w:tcPr>
          <w:p>
            <w:pPr>
              <w:ind w:left="60"/>
              <w:spacing w:after="0"/>
              <w:rPr>
                <w:sz w:val="20"/>
                <w:szCs w:val="20"/>
                <w:color w:val="auto"/>
              </w:rPr>
            </w:pPr>
            <w:r>
              <w:rPr>
                <w:rFonts w:ascii="Arial" w:cs="Arial" w:eastAsia="Arial" w:hAnsi="Arial"/>
                <w:sz w:val="13"/>
                <w:szCs w:val="13"/>
                <w:color w:val="auto"/>
              </w:rPr>
              <w:t>Enhanced the existing process for determining annual cash incentives and provided more detailed</w:t>
            </w:r>
          </w:p>
        </w:tc>
        <w:tc>
          <w:tcPr>
            <w:tcW w:w="1520" w:type="dxa"/>
            <w:vAlign w:val="bottom"/>
            <w:shd w:val="clear" w:color="auto" w:fill="ECEDED"/>
          </w:tcPr>
          <w:p>
            <w:pPr>
              <w:ind w:left="100"/>
              <w:spacing w:after="0"/>
              <w:rPr>
                <w:sz w:val="20"/>
                <w:szCs w:val="20"/>
                <w:color w:val="auto"/>
              </w:rPr>
            </w:pPr>
            <w:r>
              <w:rPr>
                <w:rFonts w:ascii="Arial" w:cs="Arial" w:eastAsia="Arial" w:hAnsi="Arial"/>
                <w:sz w:val="13"/>
                <w:szCs w:val="13"/>
                <w:color w:val="auto"/>
              </w:rPr>
              <w:t>2019–2021</w:t>
            </w:r>
          </w:p>
        </w:tc>
        <w:tc>
          <w:tcPr>
            <w:tcW w:w="540" w:type="dxa"/>
            <w:vAlign w:val="bottom"/>
          </w:tcPr>
          <w:p>
            <w:pPr>
              <w:spacing w:after="0"/>
              <w:rPr>
                <w:sz w:val="15"/>
                <w:szCs w:val="15"/>
                <w:color w:val="auto"/>
              </w:rPr>
            </w:pPr>
          </w:p>
        </w:tc>
      </w:tr>
      <w:tr>
        <w:trPr>
          <w:trHeight w:val="148"/>
        </w:trPr>
        <w:tc>
          <w:tcPr>
            <w:tcW w:w="540" w:type="dxa"/>
            <w:vAlign w:val="bottom"/>
          </w:tcPr>
          <w:p>
            <w:pPr>
              <w:spacing w:after="0"/>
              <w:rPr>
                <w:sz w:val="12"/>
                <w:szCs w:val="12"/>
                <w:color w:val="auto"/>
              </w:rPr>
            </w:pPr>
          </w:p>
        </w:tc>
        <w:tc>
          <w:tcPr>
            <w:tcW w:w="2760" w:type="dxa"/>
            <w:vAlign w:val="bottom"/>
            <w:shd w:val="clear" w:color="auto" w:fill="ECEDED"/>
          </w:tcPr>
          <w:p>
            <w:pPr>
              <w:ind w:left="60"/>
              <w:spacing w:after="0"/>
              <w:rPr>
                <w:sz w:val="20"/>
                <w:szCs w:val="20"/>
                <w:color w:val="auto"/>
              </w:rPr>
            </w:pPr>
            <w:r>
              <w:rPr>
                <w:rFonts w:ascii="Arial" w:cs="Arial" w:eastAsia="Arial" w:hAnsi="Arial"/>
                <w:sz w:val="13"/>
                <w:szCs w:val="13"/>
                <w:b w:val="1"/>
                <w:bCs w:val="1"/>
                <w:color w:val="auto"/>
              </w:rPr>
              <w:t>process for determining annual cash</w:t>
            </w:r>
          </w:p>
        </w:tc>
        <w:tc>
          <w:tcPr>
            <w:tcW w:w="5880" w:type="dxa"/>
            <w:vAlign w:val="bottom"/>
            <w:shd w:val="clear" w:color="auto" w:fill="E3E6F4"/>
          </w:tcPr>
          <w:p>
            <w:pPr>
              <w:ind w:left="60"/>
              <w:spacing w:after="0"/>
              <w:rPr>
                <w:sz w:val="20"/>
                <w:szCs w:val="20"/>
                <w:color w:val="auto"/>
              </w:rPr>
            </w:pPr>
            <w:r>
              <w:rPr>
                <w:rFonts w:ascii="Arial" w:cs="Arial" w:eastAsia="Arial" w:hAnsi="Arial"/>
                <w:sz w:val="13"/>
                <w:szCs w:val="13"/>
                <w:color w:val="auto"/>
              </w:rPr>
              <w:t>disclosure about the Compensation Committee’s determination of the Company performance</w:t>
            </w:r>
          </w:p>
        </w:tc>
        <w:tc>
          <w:tcPr>
            <w:tcW w:w="1520" w:type="dxa"/>
            <w:vAlign w:val="bottom"/>
            <w:shd w:val="clear" w:color="auto" w:fill="ECEDED"/>
          </w:tcPr>
          <w:p>
            <w:pPr>
              <w:spacing w:after="0"/>
              <w:rPr>
                <w:sz w:val="12"/>
                <w:szCs w:val="12"/>
                <w:color w:val="auto"/>
              </w:rPr>
            </w:pPr>
          </w:p>
        </w:tc>
        <w:tc>
          <w:tcPr>
            <w:tcW w:w="540" w:type="dxa"/>
            <w:vAlign w:val="bottom"/>
          </w:tcPr>
          <w:p>
            <w:pPr>
              <w:spacing w:after="0"/>
              <w:rPr>
                <w:sz w:val="12"/>
                <w:szCs w:val="12"/>
                <w:color w:val="auto"/>
              </w:rPr>
            </w:pPr>
          </w:p>
        </w:tc>
      </w:tr>
      <w:tr>
        <w:trPr>
          <w:trHeight w:val="164"/>
        </w:trPr>
        <w:tc>
          <w:tcPr>
            <w:tcW w:w="540" w:type="dxa"/>
            <w:vAlign w:val="bottom"/>
          </w:tcPr>
          <w:p>
            <w:pPr>
              <w:spacing w:after="0"/>
              <w:rPr>
                <w:sz w:val="14"/>
                <w:szCs w:val="14"/>
                <w:color w:val="auto"/>
              </w:rPr>
            </w:pPr>
          </w:p>
        </w:tc>
        <w:tc>
          <w:tcPr>
            <w:tcW w:w="2760" w:type="dxa"/>
            <w:vAlign w:val="bottom"/>
            <w:shd w:val="clear" w:color="auto" w:fill="ECEDED"/>
          </w:tcPr>
          <w:p>
            <w:pPr>
              <w:ind w:left="60"/>
              <w:spacing w:after="0"/>
              <w:rPr>
                <w:sz w:val="20"/>
                <w:szCs w:val="20"/>
                <w:color w:val="auto"/>
              </w:rPr>
            </w:pPr>
            <w:r>
              <w:rPr>
                <w:rFonts w:ascii="Arial" w:cs="Arial" w:eastAsia="Arial" w:hAnsi="Arial"/>
                <w:sz w:val="13"/>
                <w:szCs w:val="13"/>
                <w:b w:val="1"/>
                <w:bCs w:val="1"/>
                <w:color w:val="auto"/>
              </w:rPr>
              <w:t>incentives</w:t>
            </w:r>
          </w:p>
        </w:tc>
        <w:tc>
          <w:tcPr>
            <w:tcW w:w="5880" w:type="dxa"/>
            <w:vAlign w:val="bottom"/>
            <w:shd w:val="clear" w:color="auto" w:fill="E3E6F4"/>
          </w:tcPr>
          <w:p>
            <w:pPr>
              <w:ind w:left="60"/>
              <w:spacing w:after="0"/>
              <w:rPr>
                <w:sz w:val="20"/>
                <w:szCs w:val="20"/>
                <w:color w:val="auto"/>
              </w:rPr>
            </w:pPr>
            <w:r>
              <w:rPr>
                <w:rFonts w:ascii="Arial" w:cs="Arial" w:eastAsia="Arial" w:hAnsi="Arial"/>
                <w:sz w:val="13"/>
                <w:szCs w:val="13"/>
                <w:color w:val="auto"/>
              </w:rPr>
              <w:t>multiplier. See “Components of Executive Pay: What We Pay and Why We Pay It – Annual Cash</w:t>
            </w:r>
          </w:p>
        </w:tc>
        <w:tc>
          <w:tcPr>
            <w:tcW w:w="1520" w:type="dxa"/>
            <w:vAlign w:val="bottom"/>
            <w:shd w:val="clear" w:color="auto" w:fill="ECEDED"/>
          </w:tcPr>
          <w:p>
            <w:pPr>
              <w:spacing w:after="0"/>
              <w:rPr>
                <w:sz w:val="14"/>
                <w:szCs w:val="14"/>
                <w:color w:val="auto"/>
              </w:rPr>
            </w:pPr>
          </w:p>
        </w:tc>
        <w:tc>
          <w:tcPr>
            <w:tcW w:w="540" w:type="dxa"/>
            <w:vAlign w:val="bottom"/>
          </w:tcPr>
          <w:p>
            <w:pPr>
              <w:spacing w:after="0"/>
              <w:rPr>
                <w:sz w:val="14"/>
                <w:szCs w:val="14"/>
                <w:color w:val="auto"/>
              </w:rPr>
            </w:pPr>
          </w:p>
        </w:tc>
      </w:tr>
      <w:tr>
        <w:trPr>
          <w:trHeight w:val="156"/>
        </w:trPr>
        <w:tc>
          <w:tcPr>
            <w:tcW w:w="540" w:type="dxa"/>
            <w:vAlign w:val="bottom"/>
          </w:tcPr>
          <w:p>
            <w:pPr>
              <w:spacing w:after="0"/>
              <w:rPr>
                <w:sz w:val="13"/>
                <w:szCs w:val="13"/>
                <w:color w:val="auto"/>
              </w:rPr>
            </w:pPr>
          </w:p>
        </w:tc>
        <w:tc>
          <w:tcPr>
            <w:tcW w:w="2760" w:type="dxa"/>
            <w:vAlign w:val="bottom"/>
            <w:shd w:val="clear" w:color="auto" w:fill="ECEDED"/>
          </w:tcPr>
          <w:p>
            <w:pPr>
              <w:spacing w:after="0"/>
              <w:rPr>
                <w:sz w:val="13"/>
                <w:szCs w:val="13"/>
                <w:color w:val="auto"/>
              </w:rPr>
            </w:pPr>
          </w:p>
        </w:tc>
        <w:tc>
          <w:tcPr>
            <w:tcW w:w="5880" w:type="dxa"/>
            <w:vAlign w:val="bottom"/>
            <w:shd w:val="clear" w:color="auto" w:fill="E3E6F4"/>
          </w:tcPr>
          <w:p>
            <w:pPr>
              <w:ind w:left="60"/>
              <w:spacing w:after="0"/>
              <w:rPr>
                <w:sz w:val="20"/>
                <w:szCs w:val="20"/>
                <w:color w:val="auto"/>
              </w:rPr>
            </w:pPr>
            <w:r>
              <w:rPr>
                <w:rFonts w:ascii="Arial" w:cs="Arial" w:eastAsia="Arial" w:hAnsi="Arial"/>
                <w:sz w:val="13"/>
                <w:szCs w:val="13"/>
                <w:color w:val="auto"/>
              </w:rPr>
              <w:t>Incentives” above for more information.</w:t>
            </w:r>
          </w:p>
        </w:tc>
        <w:tc>
          <w:tcPr>
            <w:tcW w:w="1520" w:type="dxa"/>
            <w:vAlign w:val="bottom"/>
            <w:shd w:val="clear" w:color="auto" w:fill="ECEDED"/>
          </w:tcPr>
          <w:p>
            <w:pPr>
              <w:spacing w:after="0"/>
              <w:rPr>
                <w:sz w:val="13"/>
                <w:szCs w:val="13"/>
                <w:color w:val="auto"/>
              </w:rPr>
            </w:pPr>
          </w:p>
        </w:tc>
        <w:tc>
          <w:tcPr>
            <w:tcW w:w="540" w:type="dxa"/>
            <w:vAlign w:val="bottom"/>
          </w:tcPr>
          <w:p>
            <w:pPr>
              <w:spacing w:after="0"/>
              <w:rPr>
                <w:sz w:val="13"/>
                <w:szCs w:val="13"/>
                <w:color w:val="auto"/>
              </w:rPr>
            </w:pPr>
          </w:p>
        </w:tc>
      </w:tr>
      <w:tr>
        <w:trPr>
          <w:trHeight w:val="70"/>
        </w:trPr>
        <w:tc>
          <w:tcPr>
            <w:tcW w:w="540" w:type="dxa"/>
            <w:vAlign w:val="bottom"/>
          </w:tcPr>
          <w:p>
            <w:pPr>
              <w:spacing w:after="0"/>
              <w:rPr>
                <w:sz w:val="6"/>
                <w:szCs w:val="6"/>
                <w:color w:val="auto"/>
              </w:rPr>
            </w:pPr>
          </w:p>
        </w:tc>
        <w:tc>
          <w:tcPr>
            <w:tcW w:w="2760" w:type="dxa"/>
            <w:vAlign w:val="bottom"/>
            <w:tcBorders>
              <w:bottom w:val="single" w:sz="8" w:color="58585A"/>
            </w:tcBorders>
            <w:shd w:val="clear" w:color="auto" w:fill="ECEDED"/>
          </w:tcPr>
          <w:p>
            <w:pPr>
              <w:spacing w:after="0"/>
              <w:rPr>
                <w:sz w:val="6"/>
                <w:szCs w:val="6"/>
                <w:color w:val="auto"/>
              </w:rPr>
            </w:pPr>
          </w:p>
        </w:tc>
        <w:tc>
          <w:tcPr>
            <w:tcW w:w="5880" w:type="dxa"/>
            <w:vAlign w:val="bottom"/>
            <w:tcBorders>
              <w:bottom w:val="single" w:sz="8" w:color="58585A"/>
            </w:tcBorders>
            <w:shd w:val="clear" w:color="auto" w:fill="E3E6F4"/>
          </w:tcPr>
          <w:p>
            <w:pPr>
              <w:spacing w:after="0"/>
              <w:rPr>
                <w:sz w:val="6"/>
                <w:szCs w:val="6"/>
                <w:color w:val="auto"/>
              </w:rPr>
            </w:pPr>
          </w:p>
        </w:tc>
        <w:tc>
          <w:tcPr>
            <w:tcW w:w="1520" w:type="dxa"/>
            <w:vAlign w:val="bottom"/>
            <w:tcBorders>
              <w:bottom w:val="single" w:sz="8" w:color="58585A"/>
            </w:tcBorders>
            <w:shd w:val="clear" w:color="auto" w:fill="ECEDED"/>
          </w:tcPr>
          <w:p>
            <w:pPr>
              <w:spacing w:after="0"/>
              <w:rPr>
                <w:sz w:val="6"/>
                <w:szCs w:val="6"/>
                <w:color w:val="auto"/>
              </w:rPr>
            </w:pPr>
          </w:p>
        </w:tc>
        <w:tc>
          <w:tcPr>
            <w:tcW w:w="540" w:type="dxa"/>
            <w:vAlign w:val="bottom"/>
          </w:tcPr>
          <w:p>
            <w:pPr>
              <w:spacing w:after="0"/>
              <w:rPr>
                <w:sz w:val="6"/>
                <w:szCs w:val="6"/>
                <w:color w:val="auto"/>
              </w:rPr>
            </w:pPr>
          </w:p>
        </w:tc>
      </w:tr>
      <w:tr>
        <w:trPr>
          <w:trHeight w:val="336"/>
        </w:trPr>
        <w:tc>
          <w:tcPr>
            <w:tcW w:w="9180" w:type="dxa"/>
            <w:vAlign w:val="bottom"/>
            <w:gridSpan w:val="3"/>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060" w:type="dxa"/>
            <w:vAlign w:val="bottom"/>
            <w:gridSpan w:val="2"/>
          </w:tcPr>
          <w:p>
            <w:pPr>
              <w:ind w:left="1740"/>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77</w:t>
            </w:r>
          </w:p>
        </w:tc>
      </w:tr>
      <w:tr>
        <w:trPr>
          <w:trHeight w:val="258"/>
        </w:trPr>
        <w:tc>
          <w:tcPr>
            <w:tcW w:w="540" w:type="dxa"/>
            <w:vAlign w:val="bottom"/>
            <w:tcBorders>
              <w:bottom w:val="single" w:sz="8" w:color="C0C0C0"/>
            </w:tcBorders>
          </w:tcPr>
          <w:p>
            <w:pPr>
              <w:spacing w:after="0"/>
              <w:rPr>
                <w:sz w:val="22"/>
                <w:szCs w:val="22"/>
                <w:color w:val="auto"/>
              </w:rPr>
            </w:pPr>
          </w:p>
        </w:tc>
        <w:tc>
          <w:tcPr>
            <w:tcW w:w="2760" w:type="dxa"/>
            <w:vAlign w:val="bottom"/>
            <w:tcBorders>
              <w:bottom w:val="single" w:sz="8" w:color="C0C0C0"/>
            </w:tcBorders>
          </w:tcPr>
          <w:p>
            <w:pPr>
              <w:spacing w:after="0"/>
              <w:rPr>
                <w:sz w:val="22"/>
                <w:szCs w:val="22"/>
                <w:color w:val="auto"/>
              </w:rPr>
            </w:pPr>
          </w:p>
        </w:tc>
        <w:tc>
          <w:tcPr>
            <w:tcW w:w="5880" w:type="dxa"/>
            <w:vAlign w:val="bottom"/>
            <w:tcBorders>
              <w:bottom w:val="single" w:sz="8" w:color="C0C0C0"/>
            </w:tcBorders>
          </w:tcPr>
          <w:p>
            <w:pPr>
              <w:spacing w:after="0"/>
              <w:rPr>
                <w:sz w:val="22"/>
                <w:szCs w:val="22"/>
                <w:color w:val="auto"/>
              </w:rPr>
            </w:pPr>
          </w:p>
        </w:tc>
        <w:tc>
          <w:tcPr>
            <w:tcW w:w="1520" w:type="dxa"/>
            <w:vAlign w:val="bottom"/>
            <w:tcBorders>
              <w:bottom w:val="single" w:sz="8" w:color="C0C0C0"/>
            </w:tcBorders>
          </w:tcPr>
          <w:p>
            <w:pPr>
              <w:spacing w:after="0"/>
              <w:rPr>
                <w:sz w:val="22"/>
                <w:szCs w:val="22"/>
                <w:color w:val="auto"/>
              </w:rPr>
            </w:pPr>
          </w:p>
        </w:tc>
        <w:tc>
          <w:tcPr>
            <w:tcW w:w="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88" w:name="page89"/>
    <w:bookmarkEnd w:id="88"/>
    <w:p>
      <w:pPr>
        <w:ind w:lef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9"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760" w:type="dxa"/>
            <w:vAlign w:val="bottom"/>
            <w:tcBorders>
              <w:top w:val="single" w:sz="8" w:color="58585A"/>
            </w:tcBorders>
          </w:tcPr>
          <w:p>
            <w:pPr>
              <w:ind w:left="60"/>
              <w:spacing w:after="0"/>
              <w:rPr>
                <w:sz w:val="20"/>
                <w:szCs w:val="20"/>
                <w:color w:val="auto"/>
              </w:rPr>
            </w:pPr>
            <w:r>
              <w:rPr>
                <w:rFonts w:ascii="Arial" w:cs="Arial" w:eastAsia="Arial" w:hAnsi="Arial"/>
                <w:sz w:val="13"/>
                <w:szCs w:val="13"/>
                <w:b w:val="1"/>
                <w:bCs w:val="1"/>
                <w:color w:val="auto"/>
              </w:rPr>
              <w:t>Concern about compensation program for</w:t>
            </w:r>
          </w:p>
        </w:tc>
        <w:tc>
          <w:tcPr>
            <w:tcW w:w="5880" w:type="dxa"/>
            <w:vAlign w:val="bottom"/>
            <w:tcBorders>
              <w:top w:val="single" w:sz="8" w:color="58585A"/>
            </w:tcBorders>
            <w:shd w:val="clear" w:color="auto" w:fill="CBD0E9"/>
          </w:tcPr>
          <w:p>
            <w:pPr>
              <w:ind w:left="60"/>
              <w:spacing w:after="0"/>
              <w:rPr>
                <w:sz w:val="20"/>
                <w:szCs w:val="20"/>
                <w:color w:val="auto"/>
              </w:rPr>
            </w:pPr>
            <w:r>
              <w:rPr>
                <w:rFonts w:ascii="Arial" w:cs="Arial" w:eastAsia="Arial" w:hAnsi="Arial"/>
                <w:sz w:val="13"/>
                <w:szCs w:val="13"/>
                <w:color w:val="auto"/>
              </w:rPr>
              <w:t>Introduced a new compensation program for our non-employee directors and the Chairman of the</w:t>
            </w:r>
          </w:p>
        </w:tc>
        <w:tc>
          <w:tcPr>
            <w:tcW w:w="1520" w:type="dxa"/>
            <w:vAlign w:val="bottom"/>
            <w:tcBorders>
              <w:top w:val="single" w:sz="8" w:color="58585A"/>
            </w:tcBorders>
          </w:tcPr>
          <w:p>
            <w:pPr>
              <w:ind w:left="60"/>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49"/>
        </w:trPr>
        <w:tc>
          <w:tcPr>
            <w:tcW w:w="2760" w:type="dxa"/>
            <w:vAlign w:val="bottom"/>
          </w:tcPr>
          <w:p>
            <w:pPr>
              <w:ind w:left="60"/>
              <w:spacing w:after="0"/>
              <w:rPr>
                <w:sz w:val="20"/>
                <w:szCs w:val="20"/>
                <w:color w:val="auto"/>
              </w:rPr>
            </w:pPr>
            <w:r>
              <w:rPr>
                <w:rFonts w:ascii="Arial" w:cs="Arial" w:eastAsia="Arial" w:hAnsi="Arial"/>
                <w:sz w:val="13"/>
                <w:szCs w:val="13"/>
                <w:b w:val="1"/>
                <w:bCs w:val="1"/>
                <w:color w:val="auto"/>
              </w:rPr>
              <w:t>non-employee directors and the Chairman</w:t>
            </w:r>
          </w:p>
        </w:tc>
        <w:tc>
          <w:tcPr>
            <w:tcW w:w="5880" w:type="dxa"/>
            <w:vAlign w:val="bottom"/>
            <w:shd w:val="clear" w:color="auto" w:fill="CBD0E9"/>
          </w:tcPr>
          <w:p>
            <w:pPr>
              <w:ind w:left="60"/>
              <w:spacing w:after="0"/>
              <w:rPr>
                <w:sz w:val="20"/>
                <w:szCs w:val="20"/>
                <w:color w:val="auto"/>
              </w:rPr>
            </w:pPr>
            <w:r>
              <w:rPr>
                <w:rFonts w:ascii="Arial" w:cs="Arial" w:eastAsia="Arial" w:hAnsi="Arial"/>
                <w:sz w:val="13"/>
                <w:szCs w:val="13"/>
                <w:color w:val="auto"/>
              </w:rPr>
              <w:t>Board in November 2018. As a result:</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60" w:type="dxa"/>
            <w:vAlign w:val="bottom"/>
          </w:tcPr>
          <w:p>
            <w:pPr>
              <w:ind w:left="60"/>
              <w:spacing w:after="0"/>
              <w:rPr>
                <w:sz w:val="20"/>
                <w:szCs w:val="20"/>
                <w:color w:val="auto"/>
              </w:rPr>
            </w:pPr>
            <w:r>
              <w:rPr>
                <w:rFonts w:ascii="Arial" w:cs="Arial" w:eastAsia="Arial" w:hAnsi="Arial"/>
                <w:sz w:val="13"/>
                <w:szCs w:val="13"/>
                <w:b w:val="1"/>
                <w:bCs w:val="1"/>
                <w:color w:val="auto"/>
              </w:rPr>
              <w:t>of the Board</w:t>
            </w:r>
          </w:p>
        </w:tc>
        <w:tc>
          <w:tcPr>
            <w:tcW w:w="5880" w:type="dxa"/>
            <w:vAlign w:val="bottom"/>
            <w:vMerge w:val="restart"/>
            <w:shd w:val="clear" w:color="auto" w:fill="CBD0E9"/>
          </w:tcPr>
          <w:p>
            <w:pPr>
              <w:ind w:left="60"/>
              <w:spacing w:after="0"/>
              <w:rPr>
                <w:sz w:val="20"/>
                <w:szCs w:val="20"/>
                <w:color w:val="auto"/>
              </w:rPr>
            </w:pPr>
            <w:r>
              <w:rPr>
                <w:rFonts w:ascii="Arial" w:cs="Arial" w:eastAsia="Arial" w:hAnsi="Arial"/>
                <w:sz w:val="13"/>
                <w:szCs w:val="13"/>
                <w:color w:val="154BFC"/>
              </w:rPr>
              <w:t xml:space="preserve">•  </w:t>
            </w:r>
            <w:r>
              <w:rPr>
                <w:rFonts w:ascii="Arial" w:cs="Arial" w:eastAsia="Arial" w:hAnsi="Arial"/>
                <w:sz w:val="13"/>
                <w:szCs w:val="13"/>
                <w:color w:val="000000"/>
              </w:rPr>
              <w:t>Reduced by nearly 50% the grant date fair value of  equity awards to both the non-employee</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760" w:type="dxa"/>
            <w:vAlign w:val="bottom"/>
          </w:tcPr>
          <w:p>
            <w:pPr>
              <w:spacing w:after="0"/>
              <w:rPr>
                <w:sz w:val="4"/>
                <w:szCs w:val="4"/>
                <w:color w:val="auto"/>
              </w:rPr>
            </w:pPr>
          </w:p>
        </w:tc>
        <w:tc>
          <w:tcPr>
            <w:tcW w:w="5880" w:type="dxa"/>
            <w:vAlign w:val="bottom"/>
            <w:vMerge w:val="continue"/>
            <w:shd w:val="clear" w:color="auto" w:fill="CBD0E9"/>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5880" w:type="dxa"/>
            <w:vAlign w:val="bottom"/>
            <w:shd w:val="clear" w:color="auto" w:fill="CBD0E9"/>
          </w:tcPr>
          <w:p>
            <w:pPr>
              <w:ind w:left="240"/>
              <w:spacing w:after="0"/>
              <w:rPr>
                <w:sz w:val="20"/>
                <w:szCs w:val="20"/>
                <w:color w:val="auto"/>
              </w:rPr>
            </w:pPr>
            <w:r>
              <w:rPr>
                <w:rFonts w:ascii="Arial" w:cs="Arial" w:eastAsia="Arial" w:hAnsi="Arial"/>
                <w:sz w:val="13"/>
                <w:szCs w:val="13"/>
                <w:color w:val="auto"/>
              </w:rPr>
              <w:t>directors and the Chairman of the Board (granted in January 2019 and December 2018,</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5880" w:type="dxa"/>
            <w:vAlign w:val="bottom"/>
            <w:shd w:val="clear" w:color="auto" w:fill="CBD0E9"/>
          </w:tcPr>
          <w:p>
            <w:pPr>
              <w:ind w:left="240"/>
              <w:spacing w:after="0"/>
              <w:rPr>
                <w:sz w:val="20"/>
                <w:szCs w:val="20"/>
                <w:color w:val="auto"/>
              </w:rPr>
            </w:pPr>
            <w:r>
              <w:rPr>
                <w:rFonts w:ascii="Arial" w:cs="Arial" w:eastAsia="Arial" w:hAnsi="Arial"/>
                <w:sz w:val="13"/>
                <w:szCs w:val="13"/>
                <w:color w:val="auto"/>
              </w:rPr>
              <w:t>respectively); and</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760" w:type="dxa"/>
            <w:vAlign w:val="bottom"/>
          </w:tcPr>
          <w:p>
            <w:pPr>
              <w:spacing w:after="0"/>
              <w:rPr>
                <w:sz w:val="21"/>
                <w:szCs w:val="21"/>
                <w:color w:val="auto"/>
              </w:rPr>
            </w:pPr>
          </w:p>
        </w:tc>
        <w:tc>
          <w:tcPr>
            <w:tcW w:w="5880" w:type="dxa"/>
            <w:vAlign w:val="bottom"/>
            <w:tcBorders>
              <w:bottom w:val="single" w:sz="8" w:color="CBD0E9"/>
            </w:tcBorders>
            <w:shd w:val="clear" w:color="auto" w:fill="CBD0E9"/>
          </w:tcPr>
          <w:p>
            <w:pPr>
              <w:ind w:left="60"/>
              <w:spacing w:after="0"/>
              <w:rPr>
                <w:sz w:val="20"/>
                <w:szCs w:val="20"/>
                <w:color w:val="auto"/>
              </w:rPr>
            </w:pPr>
            <w:r>
              <w:rPr>
                <w:rFonts w:ascii="Arial" w:cs="Arial" w:eastAsia="Arial" w:hAnsi="Arial"/>
                <w:sz w:val="13"/>
                <w:szCs w:val="13"/>
                <w:color w:val="154BFC"/>
              </w:rPr>
              <w:t xml:space="preserve">•  </w:t>
            </w:r>
            <w:r>
              <w:rPr>
                <w:rFonts w:ascii="Arial" w:cs="Arial" w:eastAsia="Arial" w:hAnsi="Arial"/>
                <w:sz w:val="13"/>
                <w:szCs w:val="13"/>
                <w:color w:val="000000"/>
              </w:rPr>
              <w:t>Introduced full-value awards (RSUs) as part of the non-employee director equity awards.</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760" w:type="dxa"/>
            <w:vAlign w:val="bottom"/>
            <w:tcBorders>
              <w:top w:val="single" w:sz="8" w:color="58585A"/>
            </w:tcBorders>
            <w:shd w:val="clear" w:color="auto" w:fill="ECEDED"/>
          </w:tcPr>
          <w:p>
            <w:pPr>
              <w:ind w:left="60"/>
              <w:spacing w:after="0" w:line="129" w:lineRule="exact"/>
              <w:rPr>
                <w:sz w:val="20"/>
                <w:szCs w:val="20"/>
                <w:color w:val="auto"/>
              </w:rPr>
            </w:pPr>
            <w:r>
              <w:rPr>
                <w:rFonts w:ascii="Arial" w:cs="Arial" w:eastAsia="Arial" w:hAnsi="Arial"/>
                <w:sz w:val="13"/>
                <w:szCs w:val="13"/>
                <w:b w:val="1"/>
                <w:bCs w:val="1"/>
                <w:color w:val="auto"/>
              </w:rPr>
              <w:t>Requests for additional information with</w:t>
            </w:r>
          </w:p>
        </w:tc>
        <w:tc>
          <w:tcPr>
            <w:tcW w:w="5880" w:type="dxa"/>
            <w:vAlign w:val="bottom"/>
            <w:tcBorders>
              <w:top w:val="single" w:sz="8" w:color="58585A"/>
            </w:tcBorders>
            <w:shd w:val="clear" w:color="auto" w:fill="E3E6F4"/>
          </w:tcPr>
          <w:p>
            <w:pPr>
              <w:ind w:left="60"/>
              <w:spacing w:after="0" w:line="129" w:lineRule="exact"/>
              <w:rPr>
                <w:sz w:val="20"/>
                <w:szCs w:val="20"/>
                <w:color w:val="auto"/>
              </w:rPr>
            </w:pPr>
            <w:r>
              <w:rPr>
                <w:rFonts w:ascii="Arial" w:cs="Arial" w:eastAsia="Arial" w:hAnsi="Arial"/>
                <w:sz w:val="13"/>
                <w:szCs w:val="13"/>
                <w:color w:val="auto"/>
              </w:rPr>
              <w:t>Conducted ESG audit in 2017 to identify potential gaps with respect to ESG matters.</w:t>
            </w:r>
          </w:p>
        </w:tc>
        <w:tc>
          <w:tcPr>
            <w:tcW w:w="1520" w:type="dxa"/>
            <w:vAlign w:val="bottom"/>
            <w:tcBorders>
              <w:top w:val="single" w:sz="8" w:color="58585A"/>
            </w:tcBorders>
            <w:shd w:val="clear" w:color="auto" w:fill="ECEDED"/>
          </w:tcPr>
          <w:p>
            <w:pPr>
              <w:ind w:left="60"/>
              <w:spacing w:after="0" w:line="129" w:lineRule="exact"/>
              <w:rPr>
                <w:sz w:val="20"/>
                <w:szCs w:val="20"/>
                <w:color w:val="auto"/>
              </w:rPr>
            </w:pPr>
            <w:r>
              <w:rPr>
                <w:rFonts w:ascii="Arial" w:cs="Arial" w:eastAsia="Arial" w:hAnsi="Arial"/>
                <w:sz w:val="13"/>
                <w:szCs w:val="13"/>
                <w:color w:val="auto"/>
              </w:rPr>
              <w:t>2017–2021</w:t>
            </w:r>
          </w:p>
        </w:tc>
        <w:tc>
          <w:tcPr>
            <w:tcW w:w="0" w:type="dxa"/>
            <w:vAlign w:val="bottom"/>
          </w:tcPr>
          <w:p>
            <w:pPr>
              <w:spacing w:after="0"/>
              <w:rPr>
                <w:sz w:val="1"/>
                <w:szCs w:val="1"/>
                <w:color w:val="auto"/>
              </w:rPr>
            </w:pPr>
          </w:p>
        </w:tc>
      </w:tr>
      <w:tr>
        <w:trPr>
          <w:trHeight w:val="172"/>
        </w:trPr>
        <w:tc>
          <w:tcPr>
            <w:tcW w:w="2760" w:type="dxa"/>
            <w:vAlign w:val="bottom"/>
            <w:shd w:val="clear" w:color="auto" w:fill="ECEDED"/>
          </w:tcPr>
          <w:p>
            <w:pPr>
              <w:ind w:left="60"/>
              <w:spacing w:after="0"/>
              <w:rPr>
                <w:sz w:val="20"/>
                <w:szCs w:val="20"/>
                <w:color w:val="auto"/>
              </w:rPr>
            </w:pPr>
            <w:r>
              <w:rPr>
                <w:rFonts w:ascii="Arial" w:cs="Arial" w:eastAsia="Arial" w:hAnsi="Arial"/>
                <w:sz w:val="13"/>
                <w:szCs w:val="13"/>
                <w:b w:val="1"/>
                <w:bCs w:val="1"/>
                <w:color w:val="auto"/>
              </w:rPr>
              <w:t>respect to ESG matters</w:t>
            </w:r>
          </w:p>
        </w:tc>
        <w:tc>
          <w:tcPr>
            <w:tcW w:w="5880" w:type="dxa"/>
            <w:vAlign w:val="bottom"/>
            <w:vMerge w:val="restart"/>
            <w:shd w:val="clear" w:color="auto" w:fill="E3E6F4"/>
          </w:tcPr>
          <w:p>
            <w:pPr>
              <w:ind w:left="60"/>
              <w:spacing w:after="0"/>
              <w:rPr>
                <w:sz w:val="20"/>
                <w:szCs w:val="20"/>
                <w:color w:val="auto"/>
              </w:rPr>
            </w:pPr>
            <w:r>
              <w:rPr>
                <w:rFonts w:ascii="Arial" w:cs="Arial" w:eastAsia="Arial" w:hAnsi="Arial"/>
                <w:sz w:val="13"/>
                <w:szCs w:val="13"/>
                <w:color w:val="auto"/>
              </w:rPr>
              <w:t>Increased the breadth and depth of ESG data collection and reporting, including introducing first</w:t>
            </w:r>
          </w:p>
        </w:tc>
        <w:tc>
          <w:tcPr>
            <w:tcW w:w="1520" w:type="dxa"/>
            <w:vAlign w:val="bottom"/>
            <w:shd w:val="clear" w:color="auto" w:fill="ECEDED"/>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760" w:type="dxa"/>
            <w:vAlign w:val="bottom"/>
            <w:shd w:val="clear" w:color="auto" w:fill="ECEDED"/>
          </w:tcPr>
          <w:p>
            <w:pPr>
              <w:spacing w:after="0"/>
              <w:rPr>
                <w:sz w:val="4"/>
                <w:szCs w:val="4"/>
                <w:color w:val="auto"/>
              </w:rPr>
            </w:pPr>
          </w:p>
        </w:tc>
        <w:tc>
          <w:tcPr>
            <w:tcW w:w="5880" w:type="dxa"/>
            <w:vAlign w:val="bottom"/>
            <w:vMerge w:val="continue"/>
            <w:shd w:val="clear" w:color="auto" w:fill="E3E6F4"/>
          </w:tcPr>
          <w:p>
            <w:pPr>
              <w:spacing w:after="0"/>
              <w:rPr>
                <w:sz w:val="4"/>
                <w:szCs w:val="4"/>
                <w:color w:val="auto"/>
              </w:rPr>
            </w:pPr>
          </w:p>
        </w:tc>
        <w:tc>
          <w:tcPr>
            <w:tcW w:w="1520" w:type="dxa"/>
            <w:vAlign w:val="bottom"/>
            <w:shd w:val="clear" w:color="auto" w:fill="ECEDED"/>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ECEDED"/>
          </w:tcPr>
          <w:p>
            <w:pPr>
              <w:spacing w:after="0"/>
              <w:rPr>
                <w:sz w:val="12"/>
                <w:szCs w:val="12"/>
                <w:color w:val="auto"/>
              </w:rPr>
            </w:pPr>
          </w:p>
        </w:tc>
        <w:tc>
          <w:tcPr>
            <w:tcW w:w="5880" w:type="dxa"/>
            <w:vAlign w:val="bottom"/>
            <w:shd w:val="clear" w:color="auto" w:fill="E3E6F4"/>
          </w:tcPr>
          <w:p>
            <w:pPr>
              <w:ind w:left="60"/>
              <w:spacing w:after="0"/>
              <w:rPr>
                <w:sz w:val="20"/>
                <w:szCs w:val="20"/>
                <w:color w:val="auto"/>
              </w:rPr>
            </w:pPr>
            <w:r>
              <w:rPr>
                <w:rFonts w:ascii="Arial" w:cs="Arial" w:eastAsia="Arial" w:hAnsi="Arial"/>
                <w:sz w:val="13"/>
                <w:szCs w:val="13"/>
                <w:color w:val="auto"/>
              </w:rPr>
              <w:t>comprehensive Responsibility Report in 2018, and actively engaged with various ESG ratings</w:t>
            </w:r>
          </w:p>
        </w:tc>
        <w:tc>
          <w:tcPr>
            <w:tcW w:w="1520" w:type="dxa"/>
            <w:vAlign w:val="bottom"/>
            <w:shd w:val="clear" w:color="auto" w:fill="ECEDED"/>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60" w:type="dxa"/>
            <w:vAlign w:val="bottom"/>
            <w:shd w:val="clear" w:color="auto" w:fill="ECEDED"/>
          </w:tcPr>
          <w:p>
            <w:pPr>
              <w:spacing w:after="0"/>
              <w:rPr>
                <w:sz w:val="13"/>
                <w:szCs w:val="13"/>
                <w:color w:val="auto"/>
              </w:rPr>
            </w:pPr>
          </w:p>
        </w:tc>
        <w:tc>
          <w:tcPr>
            <w:tcW w:w="5880" w:type="dxa"/>
            <w:vAlign w:val="bottom"/>
            <w:shd w:val="clear" w:color="auto" w:fill="E3E6F4"/>
          </w:tcPr>
          <w:p>
            <w:pPr>
              <w:ind w:left="60"/>
              <w:spacing w:after="0"/>
              <w:rPr>
                <w:sz w:val="20"/>
                <w:szCs w:val="20"/>
                <w:color w:val="auto"/>
              </w:rPr>
            </w:pPr>
            <w:r>
              <w:rPr>
                <w:rFonts w:ascii="Arial" w:cs="Arial" w:eastAsia="Arial" w:hAnsi="Arial"/>
                <w:sz w:val="13"/>
                <w:szCs w:val="13"/>
                <w:color w:val="auto"/>
              </w:rPr>
              <w:t>agencies, resulting in significant improvements to several ESG scores.</w:t>
            </w:r>
          </w:p>
        </w:tc>
        <w:tc>
          <w:tcPr>
            <w:tcW w:w="1520" w:type="dxa"/>
            <w:vAlign w:val="bottom"/>
            <w:shd w:val="clear" w:color="auto" w:fill="ECEDED"/>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760" w:type="dxa"/>
            <w:vAlign w:val="bottom"/>
            <w:shd w:val="clear" w:color="auto" w:fill="ECEDED"/>
          </w:tcPr>
          <w:p>
            <w:pPr>
              <w:spacing w:after="0"/>
              <w:rPr>
                <w:sz w:val="16"/>
                <w:szCs w:val="16"/>
                <w:color w:val="auto"/>
              </w:rPr>
            </w:pPr>
          </w:p>
        </w:tc>
        <w:tc>
          <w:tcPr>
            <w:tcW w:w="5880" w:type="dxa"/>
            <w:vAlign w:val="bottom"/>
            <w:shd w:val="clear" w:color="auto" w:fill="E3E6F4"/>
          </w:tcPr>
          <w:p>
            <w:pPr>
              <w:ind w:left="60"/>
              <w:spacing w:after="0"/>
              <w:rPr>
                <w:sz w:val="20"/>
                <w:szCs w:val="20"/>
                <w:color w:val="auto"/>
              </w:rPr>
            </w:pPr>
            <w:r>
              <w:rPr>
                <w:rFonts w:ascii="Arial" w:cs="Arial" w:eastAsia="Arial" w:hAnsi="Arial"/>
                <w:sz w:val="13"/>
                <w:szCs w:val="13"/>
                <w:color w:val="auto"/>
              </w:rPr>
              <w:t>Built an ESG strategy operational structure, including by instituting board-level oversight and</w:t>
            </w:r>
          </w:p>
        </w:tc>
        <w:tc>
          <w:tcPr>
            <w:tcW w:w="1520" w:type="dxa"/>
            <w:vAlign w:val="bottom"/>
            <w:shd w:val="clear" w:color="auto" w:fill="ECEDED"/>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760" w:type="dxa"/>
            <w:vAlign w:val="bottom"/>
            <w:shd w:val="clear" w:color="auto" w:fill="ECEDED"/>
          </w:tcPr>
          <w:p>
            <w:pPr>
              <w:spacing w:after="0"/>
              <w:rPr>
                <w:sz w:val="13"/>
                <w:szCs w:val="13"/>
                <w:color w:val="auto"/>
              </w:rPr>
            </w:pPr>
          </w:p>
        </w:tc>
        <w:tc>
          <w:tcPr>
            <w:tcW w:w="5880" w:type="dxa"/>
            <w:vAlign w:val="bottom"/>
            <w:shd w:val="clear" w:color="auto" w:fill="E3E6F4"/>
          </w:tcPr>
          <w:p>
            <w:pPr>
              <w:ind w:left="60"/>
              <w:spacing w:after="0"/>
              <w:rPr>
                <w:sz w:val="20"/>
                <w:szCs w:val="20"/>
                <w:color w:val="auto"/>
              </w:rPr>
            </w:pPr>
            <w:r>
              <w:rPr>
                <w:rFonts w:ascii="Arial" w:cs="Arial" w:eastAsia="Arial" w:hAnsi="Arial"/>
                <w:sz w:val="13"/>
                <w:szCs w:val="13"/>
                <w:color w:val="auto"/>
              </w:rPr>
              <w:t>establishing a cross-functional responsibility committee comprised of management members.</w:t>
            </w:r>
          </w:p>
        </w:tc>
        <w:tc>
          <w:tcPr>
            <w:tcW w:w="1520" w:type="dxa"/>
            <w:vAlign w:val="bottom"/>
            <w:shd w:val="clear" w:color="auto" w:fill="ECEDED"/>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760" w:type="dxa"/>
            <w:vAlign w:val="bottom"/>
            <w:shd w:val="clear" w:color="auto" w:fill="ECEDED"/>
          </w:tcPr>
          <w:p>
            <w:pPr>
              <w:spacing w:after="0"/>
              <w:rPr>
                <w:sz w:val="16"/>
                <w:szCs w:val="16"/>
                <w:color w:val="auto"/>
              </w:rPr>
            </w:pPr>
          </w:p>
        </w:tc>
        <w:tc>
          <w:tcPr>
            <w:tcW w:w="5880" w:type="dxa"/>
            <w:vAlign w:val="bottom"/>
            <w:shd w:val="clear" w:color="auto" w:fill="E3E6F4"/>
          </w:tcPr>
          <w:p>
            <w:pPr>
              <w:ind w:left="60"/>
              <w:spacing w:after="0"/>
              <w:rPr>
                <w:sz w:val="20"/>
                <w:szCs w:val="20"/>
                <w:color w:val="auto"/>
              </w:rPr>
            </w:pPr>
            <w:r>
              <w:rPr>
                <w:rFonts w:ascii="Arial" w:cs="Arial" w:eastAsia="Arial" w:hAnsi="Arial"/>
                <w:sz w:val="13"/>
                <w:szCs w:val="13"/>
                <w:color w:val="auto"/>
              </w:rPr>
              <w:t>Set bold, global ESG goals, spanning across the environmental and social issues that are most</w:t>
            </w:r>
          </w:p>
        </w:tc>
        <w:tc>
          <w:tcPr>
            <w:tcW w:w="1520" w:type="dxa"/>
            <w:vAlign w:val="bottom"/>
            <w:shd w:val="clear" w:color="auto" w:fill="ECEDED"/>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760" w:type="dxa"/>
            <w:vAlign w:val="bottom"/>
            <w:shd w:val="clear" w:color="auto" w:fill="ECEDED"/>
          </w:tcPr>
          <w:p>
            <w:pPr>
              <w:spacing w:after="0"/>
              <w:rPr>
                <w:sz w:val="13"/>
                <w:szCs w:val="13"/>
                <w:color w:val="auto"/>
              </w:rPr>
            </w:pPr>
          </w:p>
        </w:tc>
        <w:tc>
          <w:tcPr>
            <w:tcW w:w="5880" w:type="dxa"/>
            <w:vAlign w:val="bottom"/>
            <w:shd w:val="clear" w:color="auto" w:fill="E3E6F4"/>
          </w:tcPr>
          <w:p>
            <w:pPr>
              <w:ind w:left="60"/>
              <w:spacing w:after="0"/>
              <w:rPr>
                <w:sz w:val="20"/>
                <w:szCs w:val="20"/>
                <w:color w:val="auto"/>
              </w:rPr>
            </w:pPr>
            <w:r>
              <w:rPr>
                <w:rFonts w:ascii="Arial" w:cs="Arial" w:eastAsia="Arial" w:hAnsi="Arial"/>
                <w:sz w:val="13"/>
                <w:szCs w:val="13"/>
                <w:color w:val="auto"/>
              </w:rPr>
              <w:t>significant to our business and stakeholders.</w:t>
            </w:r>
          </w:p>
        </w:tc>
        <w:tc>
          <w:tcPr>
            <w:tcW w:w="1520" w:type="dxa"/>
            <w:vAlign w:val="bottom"/>
            <w:shd w:val="clear" w:color="auto" w:fill="ECEDED"/>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ECEDED"/>
          </w:tcPr>
          <w:p>
            <w:pPr>
              <w:spacing w:after="0"/>
              <w:rPr>
                <w:sz w:val="17"/>
                <w:szCs w:val="17"/>
                <w:color w:val="auto"/>
              </w:rPr>
            </w:pPr>
          </w:p>
        </w:tc>
        <w:tc>
          <w:tcPr>
            <w:tcW w:w="5880" w:type="dxa"/>
            <w:vAlign w:val="bottom"/>
            <w:shd w:val="clear" w:color="auto" w:fill="E3E6F4"/>
          </w:tcPr>
          <w:p>
            <w:pPr>
              <w:ind w:left="60"/>
              <w:spacing w:after="0"/>
              <w:rPr>
                <w:sz w:val="20"/>
                <w:szCs w:val="20"/>
                <w:color w:val="auto"/>
              </w:rPr>
            </w:pPr>
            <w:r>
              <w:rPr>
                <w:rFonts w:ascii="Arial" w:cs="Arial" w:eastAsia="Arial" w:hAnsi="Arial"/>
                <w:sz w:val="13"/>
                <w:szCs w:val="13"/>
                <w:color w:val="auto"/>
              </w:rPr>
              <w:t>Advanced access to medicine strategy in low- and middle-income countries.</w:t>
            </w:r>
          </w:p>
        </w:tc>
        <w:tc>
          <w:tcPr>
            <w:tcW w:w="1520" w:type="dxa"/>
            <w:vAlign w:val="bottom"/>
            <w:shd w:val="clear" w:color="auto" w:fill="ECEDED"/>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60" w:type="dxa"/>
            <w:vAlign w:val="bottom"/>
            <w:shd w:val="clear" w:color="auto" w:fill="ECEDED"/>
          </w:tcPr>
          <w:p>
            <w:pPr>
              <w:spacing w:after="0"/>
              <w:rPr>
                <w:sz w:val="16"/>
                <w:szCs w:val="16"/>
                <w:color w:val="auto"/>
              </w:rPr>
            </w:pPr>
          </w:p>
        </w:tc>
        <w:tc>
          <w:tcPr>
            <w:tcW w:w="5880" w:type="dxa"/>
            <w:vAlign w:val="bottom"/>
            <w:shd w:val="clear" w:color="auto" w:fill="E3E6F4"/>
          </w:tcPr>
          <w:p>
            <w:pPr>
              <w:ind w:left="60"/>
              <w:spacing w:after="0"/>
              <w:rPr>
                <w:sz w:val="20"/>
                <w:szCs w:val="20"/>
                <w:color w:val="auto"/>
              </w:rPr>
            </w:pPr>
            <w:r>
              <w:rPr>
                <w:rFonts w:ascii="Arial" w:cs="Arial" w:eastAsia="Arial" w:hAnsi="Arial"/>
                <w:sz w:val="13"/>
                <w:szCs w:val="13"/>
                <w:color w:val="auto"/>
              </w:rPr>
              <w:t>See “Corporate Responsibility—Corporate Governance— Corporate Responsibility” for more</w:t>
            </w:r>
          </w:p>
        </w:tc>
        <w:tc>
          <w:tcPr>
            <w:tcW w:w="1520" w:type="dxa"/>
            <w:vAlign w:val="bottom"/>
            <w:shd w:val="clear" w:color="auto" w:fill="ECEDE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60" w:type="dxa"/>
            <w:vAlign w:val="bottom"/>
            <w:tcBorders>
              <w:bottom w:val="single" w:sz="8" w:color="ECEDED"/>
            </w:tcBorders>
            <w:shd w:val="clear" w:color="auto" w:fill="ECEDED"/>
          </w:tcPr>
          <w:p>
            <w:pPr>
              <w:spacing w:after="0"/>
              <w:rPr>
                <w:sz w:val="17"/>
                <w:szCs w:val="17"/>
                <w:color w:val="auto"/>
              </w:rPr>
            </w:pPr>
          </w:p>
        </w:tc>
        <w:tc>
          <w:tcPr>
            <w:tcW w:w="5880" w:type="dxa"/>
            <w:vAlign w:val="bottom"/>
            <w:tcBorders>
              <w:bottom w:val="single" w:sz="8" w:color="E3E6F4"/>
            </w:tcBorders>
            <w:shd w:val="clear" w:color="auto" w:fill="E3E6F4"/>
          </w:tcPr>
          <w:p>
            <w:pPr>
              <w:ind w:left="60"/>
              <w:spacing w:after="0"/>
              <w:rPr>
                <w:sz w:val="20"/>
                <w:szCs w:val="20"/>
                <w:color w:val="auto"/>
              </w:rPr>
            </w:pPr>
            <w:r>
              <w:rPr>
                <w:rFonts w:ascii="Arial" w:cs="Arial" w:eastAsia="Arial" w:hAnsi="Arial"/>
                <w:sz w:val="13"/>
                <w:szCs w:val="13"/>
                <w:color w:val="auto"/>
              </w:rPr>
              <w:t>information.</w:t>
            </w:r>
          </w:p>
        </w:tc>
        <w:tc>
          <w:tcPr>
            <w:tcW w:w="1520" w:type="dxa"/>
            <w:vAlign w:val="bottom"/>
            <w:tcBorders>
              <w:bottom w:val="single" w:sz="8" w:color="ECEDED"/>
            </w:tcBorders>
            <w:shd w:val="clear" w:color="auto" w:fill="ECEDED"/>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760" w:type="dxa"/>
            <w:vAlign w:val="bottom"/>
            <w:tcBorders>
              <w:top w:val="single" w:sz="8" w:color="58585A"/>
            </w:tcBorders>
          </w:tcPr>
          <w:p>
            <w:pPr>
              <w:ind w:left="60"/>
              <w:spacing w:after="0" w:line="129" w:lineRule="exact"/>
              <w:rPr>
                <w:sz w:val="20"/>
                <w:szCs w:val="20"/>
                <w:color w:val="auto"/>
              </w:rPr>
            </w:pPr>
            <w:r>
              <w:rPr>
                <w:rFonts w:ascii="Arial" w:cs="Arial" w:eastAsia="Arial" w:hAnsi="Arial"/>
                <w:sz w:val="13"/>
                <w:szCs w:val="13"/>
                <w:b w:val="1"/>
                <w:bCs w:val="1"/>
                <w:color w:val="auto"/>
              </w:rPr>
              <w:t>Preference for alignment with key ESG</w:t>
            </w:r>
          </w:p>
        </w:tc>
        <w:tc>
          <w:tcPr>
            <w:tcW w:w="5880" w:type="dxa"/>
            <w:vAlign w:val="bottom"/>
            <w:tcBorders>
              <w:top w:val="single" w:sz="8" w:color="58585A"/>
            </w:tcBorders>
            <w:shd w:val="clear" w:color="auto" w:fill="CBD0E9"/>
          </w:tcPr>
          <w:p>
            <w:pPr>
              <w:ind w:left="60"/>
              <w:spacing w:after="0" w:line="129" w:lineRule="exact"/>
              <w:rPr>
                <w:sz w:val="20"/>
                <w:szCs w:val="20"/>
                <w:color w:val="auto"/>
              </w:rPr>
            </w:pPr>
            <w:r>
              <w:rPr>
                <w:rFonts w:ascii="Arial" w:cs="Arial" w:eastAsia="Arial" w:hAnsi="Arial"/>
                <w:sz w:val="13"/>
                <w:szCs w:val="13"/>
                <w:color w:val="auto"/>
                <w:w w:val="99"/>
              </w:rPr>
              <w:t>Announced our support for the United Nation’s Sustainable Development Goals, disclosing where we</w:t>
            </w:r>
          </w:p>
        </w:tc>
        <w:tc>
          <w:tcPr>
            <w:tcW w:w="1520" w:type="dxa"/>
            <w:vAlign w:val="bottom"/>
            <w:tcBorders>
              <w:top w:val="single" w:sz="8" w:color="58585A"/>
            </w:tcBorders>
          </w:tcPr>
          <w:p>
            <w:pPr>
              <w:ind w:left="60"/>
              <w:spacing w:after="0" w:line="129" w:lineRule="exact"/>
              <w:rPr>
                <w:sz w:val="20"/>
                <w:szCs w:val="20"/>
                <w:color w:val="auto"/>
              </w:rPr>
            </w:pPr>
            <w:r>
              <w:rPr>
                <w:rFonts w:ascii="Arial" w:cs="Arial" w:eastAsia="Arial" w:hAnsi="Arial"/>
                <w:sz w:val="13"/>
                <w:szCs w:val="13"/>
                <w:color w:val="auto"/>
              </w:rPr>
              <w:t>2019–2021</w:t>
            </w:r>
          </w:p>
        </w:tc>
        <w:tc>
          <w:tcPr>
            <w:tcW w:w="0" w:type="dxa"/>
            <w:vAlign w:val="bottom"/>
          </w:tcPr>
          <w:p>
            <w:pPr>
              <w:spacing w:after="0"/>
              <w:rPr>
                <w:sz w:val="1"/>
                <w:szCs w:val="1"/>
                <w:color w:val="auto"/>
              </w:rPr>
            </w:pPr>
          </w:p>
        </w:tc>
      </w:tr>
      <w:tr>
        <w:trPr>
          <w:trHeight w:val="172"/>
        </w:trPr>
        <w:tc>
          <w:tcPr>
            <w:tcW w:w="2760" w:type="dxa"/>
            <w:vAlign w:val="bottom"/>
          </w:tcPr>
          <w:p>
            <w:pPr>
              <w:ind w:left="60"/>
              <w:spacing w:after="0"/>
              <w:rPr>
                <w:sz w:val="20"/>
                <w:szCs w:val="20"/>
                <w:color w:val="auto"/>
              </w:rPr>
            </w:pPr>
            <w:r>
              <w:rPr>
                <w:rFonts w:ascii="Arial" w:cs="Arial" w:eastAsia="Arial" w:hAnsi="Arial"/>
                <w:sz w:val="13"/>
                <w:szCs w:val="13"/>
                <w:b w:val="1"/>
                <w:bCs w:val="1"/>
                <w:color w:val="auto"/>
              </w:rPr>
              <w:t>frameworks</w:t>
            </w:r>
          </w:p>
        </w:tc>
        <w:tc>
          <w:tcPr>
            <w:tcW w:w="5880" w:type="dxa"/>
            <w:vAlign w:val="bottom"/>
            <w:shd w:val="clear" w:color="auto" w:fill="CBD0E9"/>
          </w:tcPr>
          <w:p>
            <w:pPr>
              <w:ind w:left="60"/>
              <w:spacing w:after="0"/>
              <w:rPr>
                <w:sz w:val="20"/>
                <w:szCs w:val="20"/>
                <w:color w:val="auto"/>
              </w:rPr>
            </w:pPr>
            <w:r>
              <w:rPr>
                <w:rFonts w:ascii="Arial" w:cs="Arial" w:eastAsia="Arial" w:hAnsi="Arial"/>
                <w:sz w:val="13"/>
                <w:szCs w:val="13"/>
                <w:color w:val="auto"/>
              </w:rPr>
              <w:t>plan to focus to deliver the most impact.</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760" w:type="dxa"/>
            <w:vAlign w:val="bottom"/>
          </w:tcPr>
          <w:p>
            <w:pPr>
              <w:spacing w:after="0"/>
              <w:rPr>
                <w:sz w:val="18"/>
                <w:szCs w:val="18"/>
                <w:color w:val="auto"/>
              </w:rPr>
            </w:pPr>
          </w:p>
        </w:tc>
        <w:tc>
          <w:tcPr>
            <w:tcW w:w="5880" w:type="dxa"/>
            <w:vAlign w:val="bottom"/>
            <w:shd w:val="clear" w:color="auto" w:fill="CBD0E9"/>
          </w:tcPr>
          <w:p>
            <w:pPr>
              <w:ind w:left="60"/>
              <w:spacing w:after="0"/>
              <w:rPr>
                <w:sz w:val="20"/>
                <w:szCs w:val="20"/>
                <w:color w:val="auto"/>
              </w:rPr>
            </w:pPr>
            <w:r>
              <w:rPr>
                <w:rFonts w:ascii="Arial" w:cs="Arial" w:eastAsia="Arial" w:hAnsi="Arial"/>
                <w:sz w:val="13"/>
                <w:szCs w:val="13"/>
                <w:color w:val="auto"/>
              </w:rPr>
              <w:t>Aligned Responsibility Report with the SASB framework and separately published on our website our</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5880" w:type="dxa"/>
            <w:vAlign w:val="bottom"/>
            <w:shd w:val="clear" w:color="auto" w:fill="CBD0E9"/>
          </w:tcPr>
          <w:p>
            <w:pPr>
              <w:ind w:left="60"/>
              <w:spacing w:after="0"/>
              <w:rPr>
                <w:sz w:val="20"/>
                <w:szCs w:val="20"/>
                <w:color w:val="auto"/>
              </w:rPr>
            </w:pPr>
            <w:r>
              <w:rPr>
                <w:rFonts w:ascii="Arial" w:cs="Arial" w:eastAsia="Arial" w:hAnsi="Arial"/>
                <w:sz w:val="13"/>
                <w:szCs w:val="13"/>
                <w:color w:val="auto"/>
              </w:rPr>
              <w:t>first report on climate-related risks and opportunities, aligned with the recommendations developed</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760" w:type="dxa"/>
            <w:vAlign w:val="bottom"/>
          </w:tcPr>
          <w:p>
            <w:pPr>
              <w:spacing w:after="0"/>
              <w:rPr>
                <w:sz w:val="17"/>
                <w:szCs w:val="17"/>
                <w:color w:val="auto"/>
              </w:rPr>
            </w:pPr>
          </w:p>
        </w:tc>
        <w:tc>
          <w:tcPr>
            <w:tcW w:w="5880" w:type="dxa"/>
            <w:vAlign w:val="bottom"/>
            <w:tcBorders>
              <w:bottom w:val="single" w:sz="8" w:color="CBD0E9"/>
            </w:tcBorders>
            <w:shd w:val="clear" w:color="auto" w:fill="CBD0E9"/>
          </w:tcPr>
          <w:p>
            <w:pPr>
              <w:ind w:left="60"/>
              <w:spacing w:after="0"/>
              <w:rPr>
                <w:sz w:val="20"/>
                <w:szCs w:val="20"/>
                <w:color w:val="auto"/>
              </w:rPr>
            </w:pPr>
            <w:r>
              <w:rPr>
                <w:rFonts w:ascii="Arial" w:cs="Arial" w:eastAsia="Arial" w:hAnsi="Arial"/>
                <w:sz w:val="13"/>
                <w:szCs w:val="13"/>
                <w:color w:val="auto"/>
              </w:rPr>
              <w:t>by the TCFD.</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760" w:type="dxa"/>
            <w:vAlign w:val="bottom"/>
            <w:tcBorders>
              <w:top w:val="single" w:sz="8" w:color="58585A"/>
            </w:tcBorders>
            <w:shd w:val="clear" w:color="auto" w:fill="ECEDED"/>
          </w:tcPr>
          <w:p>
            <w:pPr>
              <w:ind w:left="60"/>
              <w:spacing w:after="0" w:line="129" w:lineRule="exact"/>
              <w:rPr>
                <w:sz w:val="20"/>
                <w:szCs w:val="20"/>
                <w:color w:val="auto"/>
              </w:rPr>
            </w:pPr>
            <w:r>
              <w:rPr>
                <w:rFonts w:ascii="Arial" w:cs="Arial" w:eastAsia="Arial" w:hAnsi="Arial"/>
                <w:sz w:val="13"/>
                <w:szCs w:val="13"/>
                <w:b w:val="1"/>
                <w:bCs w:val="1"/>
                <w:color w:val="auto"/>
              </w:rPr>
              <w:t>Support for bolstering DE&amp;I initiatives and</w:t>
            </w:r>
          </w:p>
        </w:tc>
        <w:tc>
          <w:tcPr>
            <w:tcW w:w="5880" w:type="dxa"/>
            <w:vAlign w:val="bottom"/>
            <w:tcBorders>
              <w:top w:val="single" w:sz="8" w:color="58585A"/>
            </w:tcBorders>
            <w:shd w:val="clear" w:color="auto" w:fill="E3E6F4"/>
          </w:tcPr>
          <w:p>
            <w:pPr>
              <w:ind w:left="60"/>
              <w:spacing w:after="0" w:line="129" w:lineRule="exact"/>
              <w:rPr>
                <w:sz w:val="20"/>
                <w:szCs w:val="20"/>
                <w:color w:val="auto"/>
              </w:rPr>
            </w:pPr>
            <w:r>
              <w:rPr>
                <w:rFonts w:ascii="Arial" w:cs="Arial" w:eastAsia="Arial" w:hAnsi="Arial"/>
                <w:sz w:val="13"/>
                <w:szCs w:val="13"/>
                <w:color w:val="auto"/>
              </w:rPr>
              <w:t>Hired Chief DE&amp;I Officer (2021)</w:t>
            </w:r>
          </w:p>
        </w:tc>
        <w:tc>
          <w:tcPr>
            <w:tcW w:w="1520" w:type="dxa"/>
            <w:vAlign w:val="bottom"/>
            <w:tcBorders>
              <w:top w:val="single" w:sz="8" w:color="58585A"/>
            </w:tcBorders>
            <w:shd w:val="clear" w:color="auto" w:fill="ECEDED"/>
          </w:tcPr>
          <w:p>
            <w:pPr>
              <w:ind w:left="60"/>
              <w:spacing w:after="0" w:line="129" w:lineRule="exact"/>
              <w:rPr>
                <w:sz w:val="20"/>
                <w:szCs w:val="20"/>
                <w:color w:val="auto"/>
              </w:rPr>
            </w:pPr>
            <w:r>
              <w:rPr>
                <w:rFonts w:ascii="Arial" w:cs="Arial" w:eastAsia="Arial" w:hAnsi="Arial"/>
                <w:sz w:val="13"/>
                <w:szCs w:val="13"/>
                <w:color w:val="auto"/>
              </w:rPr>
              <w:t>2018–2021</w:t>
            </w:r>
          </w:p>
        </w:tc>
        <w:tc>
          <w:tcPr>
            <w:tcW w:w="0" w:type="dxa"/>
            <w:vAlign w:val="bottom"/>
          </w:tcPr>
          <w:p>
            <w:pPr>
              <w:spacing w:after="0"/>
              <w:rPr>
                <w:sz w:val="1"/>
                <w:szCs w:val="1"/>
                <w:color w:val="auto"/>
              </w:rPr>
            </w:pPr>
          </w:p>
        </w:tc>
      </w:tr>
      <w:tr>
        <w:trPr>
          <w:trHeight w:val="172"/>
        </w:trPr>
        <w:tc>
          <w:tcPr>
            <w:tcW w:w="2760" w:type="dxa"/>
            <w:vAlign w:val="bottom"/>
            <w:shd w:val="clear" w:color="auto" w:fill="ECEDED"/>
          </w:tcPr>
          <w:p>
            <w:pPr>
              <w:ind w:left="60"/>
              <w:spacing w:after="0"/>
              <w:rPr>
                <w:sz w:val="20"/>
                <w:szCs w:val="20"/>
                <w:color w:val="auto"/>
              </w:rPr>
            </w:pPr>
            <w:r>
              <w:rPr>
                <w:rFonts w:ascii="Arial" w:cs="Arial" w:eastAsia="Arial" w:hAnsi="Arial"/>
                <w:sz w:val="13"/>
                <w:szCs w:val="13"/>
                <w:b w:val="1"/>
                <w:bCs w:val="1"/>
                <w:color w:val="auto"/>
              </w:rPr>
              <w:t>reporting</w:t>
            </w:r>
          </w:p>
        </w:tc>
        <w:tc>
          <w:tcPr>
            <w:tcW w:w="5880" w:type="dxa"/>
            <w:vAlign w:val="bottom"/>
            <w:vMerge w:val="restart"/>
            <w:shd w:val="clear" w:color="auto" w:fill="E3E6F4"/>
          </w:tcPr>
          <w:p>
            <w:pPr>
              <w:ind w:left="60"/>
              <w:spacing w:after="0"/>
              <w:rPr>
                <w:sz w:val="20"/>
                <w:szCs w:val="20"/>
                <w:color w:val="auto"/>
              </w:rPr>
            </w:pPr>
            <w:r>
              <w:rPr>
                <w:rFonts w:ascii="Arial" w:cs="Arial" w:eastAsia="Arial" w:hAnsi="Arial"/>
                <w:sz w:val="13"/>
                <w:szCs w:val="13"/>
                <w:color w:val="auto"/>
              </w:rPr>
              <w:t>Enhanced DE&amp;I disclosures, including reporting progress and metrics in our annual Responsibility</w:t>
            </w:r>
          </w:p>
        </w:tc>
        <w:tc>
          <w:tcPr>
            <w:tcW w:w="1520" w:type="dxa"/>
            <w:vAlign w:val="bottom"/>
            <w:shd w:val="clear" w:color="auto" w:fill="ECEDED"/>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760" w:type="dxa"/>
            <w:vAlign w:val="bottom"/>
            <w:shd w:val="clear" w:color="auto" w:fill="ECEDED"/>
          </w:tcPr>
          <w:p>
            <w:pPr>
              <w:spacing w:after="0"/>
              <w:rPr>
                <w:sz w:val="5"/>
                <w:szCs w:val="5"/>
                <w:color w:val="auto"/>
              </w:rPr>
            </w:pPr>
          </w:p>
        </w:tc>
        <w:tc>
          <w:tcPr>
            <w:tcW w:w="5880" w:type="dxa"/>
            <w:vAlign w:val="bottom"/>
            <w:vMerge w:val="continue"/>
            <w:shd w:val="clear" w:color="auto" w:fill="E3E6F4"/>
          </w:tcPr>
          <w:p>
            <w:pPr>
              <w:spacing w:after="0"/>
              <w:rPr>
                <w:sz w:val="5"/>
                <w:szCs w:val="5"/>
                <w:color w:val="auto"/>
              </w:rPr>
            </w:pPr>
          </w:p>
        </w:tc>
        <w:tc>
          <w:tcPr>
            <w:tcW w:w="1520" w:type="dxa"/>
            <w:vAlign w:val="bottom"/>
            <w:shd w:val="clear" w:color="auto" w:fill="ECEDED"/>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ECEDED"/>
          </w:tcPr>
          <w:p>
            <w:pPr>
              <w:spacing w:after="0"/>
              <w:rPr>
                <w:sz w:val="12"/>
                <w:szCs w:val="12"/>
                <w:color w:val="auto"/>
              </w:rPr>
            </w:pPr>
          </w:p>
        </w:tc>
        <w:tc>
          <w:tcPr>
            <w:tcW w:w="5880" w:type="dxa"/>
            <w:vAlign w:val="bottom"/>
            <w:shd w:val="clear" w:color="auto" w:fill="E3E6F4"/>
          </w:tcPr>
          <w:p>
            <w:pPr>
              <w:ind w:left="60"/>
              <w:spacing w:after="0"/>
              <w:rPr>
                <w:sz w:val="20"/>
                <w:szCs w:val="20"/>
                <w:color w:val="auto"/>
              </w:rPr>
            </w:pPr>
            <w:r>
              <w:rPr>
                <w:rFonts w:ascii="Arial" w:cs="Arial" w:eastAsia="Arial" w:hAnsi="Arial"/>
                <w:sz w:val="13"/>
                <w:szCs w:val="13"/>
                <w:color w:val="auto"/>
              </w:rPr>
              <w:t>Report and publishing consolidated EEO-1 data (data from annual reports submitted to the U.S.</w:t>
            </w:r>
          </w:p>
        </w:tc>
        <w:tc>
          <w:tcPr>
            <w:tcW w:w="1520" w:type="dxa"/>
            <w:vAlign w:val="bottom"/>
            <w:shd w:val="clear" w:color="auto" w:fill="ECEDED"/>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60" w:type="dxa"/>
            <w:vAlign w:val="bottom"/>
            <w:shd w:val="clear" w:color="auto" w:fill="ECEDED"/>
          </w:tcPr>
          <w:p>
            <w:pPr>
              <w:spacing w:after="0"/>
              <w:rPr>
                <w:sz w:val="13"/>
                <w:szCs w:val="13"/>
                <w:color w:val="auto"/>
              </w:rPr>
            </w:pPr>
          </w:p>
        </w:tc>
        <w:tc>
          <w:tcPr>
            <w:tcW w:w="5880" w:type="dxa"/>
            <w:vAlign w:val="bottom"/>
            <w:shd w:val="clear" w:color="auto" w:fill="E3E6F4"/>
          </w:tcPr>
          <w:p>
            <w:pPr>
              <w:ind w:left="60"/>
              <w:spacing w:after="0"/>
              <w:rPr>
                <w:sz w:val="20"/>
                <w:szCs w:val="20"/>
                <w:color w:val="auto"/>
              </w:rPr>
            </w:pPr>
            <w:r>
              <w:rPr>
                <w:rFonts w:ascii="Arial" w:cs="Arial" w:eastAsia="Arial" w:hAnsi="Arial"/>
                <w:sz w:val="13"/>
                <w:szCs w:val="13"/>
                <w:color w:val="auto"/>
              </w:rPr>
              <w:t>Equal Employment Opportunity Commission) on our website.</w:t>
            </w:r>
          </w:p>
        </w:tc>
        <w:tc>
          <w:tcPr>
            <w:tcW w:w="1520" w:type="dxa"/>
            <w:vAlign w:val="bottom"/>
            <w:shd w:val="clear" w:color="auto" w:fill="ECEDED"/>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760" w:type="dxa"/>
            <w:vAlign w:val="bottom"/>
            <w:shd w:val="clear" w:color="auto" w:fill="ECEDED"/>
          </w:tcPr>
          <w:p>
            <w:pPr>
              <w:spacing w:after="0"/>
              <w:rPr>
                <w:sz w:val="16"/>
                <w:szCs w:val="16"/>
                <w:color w:val="auto"/>
              </w:rPr>
            </w:pPr>
          </w:p>
        </w:tc>
        <w:tc>
          <w:tcPr>
            <w:tcW w:w="5880" w:type="dxa"/>
            <w:vAlign w:val="bottom"/>
            <w:shd w:val="clear" w:color="auto" w:fill="E3E6F4"/>
          </w:tcPr>
          <w:p>
            <w:pPr>
              <w:ind w:left="60"/>
              <w:spacing w:after="0"/>
              <w:rPr>
                <w:sz w:val="20"/>
                <w:szCs w:val="20"/>
                <w:color w:val="auto"/>
              </w:rPr>
            </w:pPr>
            <w:r>
              <w:rPr>
                <w:rFonts w:ascii="Arial" w:cs="Arial" w:eastAsia="Arial" w:hAnsi="Arial"/>
                <w:sz w:val="13"/>
                <w:szCs w:val="13"/>
                <w:color w:val="auto"/>
              </w:rPr>
              <w:t>Committed to increasing diversity in leadership and strengthening a culture of inclusion as part of our</w:t>
            </w:r>
          </w:p>
        </w:tc>
        <w:tc>
          <w:tcPr>
            <w:tcW w:w="1520" w:type="dxa"/>
            <w:vAlign w:val="bottom"/>
            <w:shd w:val="clear" w:color="auto" w:fill="ECEDED"/>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760" w:type="dxa"/>
            <w:vAlign w:val="bottom"/>
            <w:tcBorders>
              <w:bottom w:val="single" w:sz="8" w:color="ECEDED"/>
            </w:tcBorders>
            <w:shd w:val="clear" w:color="auto" w:fill="ECEDED"/>
          </w:tcPr>
          <w:p>
            <w:pPr>
              <w:spacing w:after="0"/>
              <w:rPr>
                <w:sz w:val="15"/>
                <w:szCs w:val="15"/>
                <w:color w:val="auto"/>
              </w:rPr>
            </w:pPr>
          </w:p>
        </w:tc>
        <w:tc>
          <w:tcPr>
            <w:tcW w:w="5880" w:type="dxa"/>
            <w:vAlign w:val="bottom"/>
            <w:tcBorders>
              <w:bottom w:val="single" w:sz="8" w:color="E3E6F4"/>
            </w:tcBorders>
            <w:shd w:val="clear" w:color="auto" w:fill="E3E6F4"/>
          </w:tcPr>
          <w:p>
            <w:pPr>
              <w:ind w:left="60"/>
              <w:spacing w:after="0"/>
              <w:rPr>
                <w:sz w:val="20"/>
                <w:szCs w:val="20"/>
                <w:color w:val="auto"/>
              </w:rPr>
            </w:pPr>
            <w:r>
              <w:rPr>
                <w:rFonts w:ascii="Arial" w:cs="Arial" w:eastAsia="Arial" w:hAnsi="Arial"/>
                <w:sz w:val="13"/>
                <w:szCs w:val="13"/>
                <w:color w:val="auto"/>
              </w:rPr>
              <w:t>2025 global ESG goals.</w:t>
            </w:r>
          </w:p>
        </w:tc>
        <w:tc>
          <w:tcPr>
            <w:tcW w:w="1520" w:type="dxa"/>
            <w:vAlign w:val="bottom"/>
            <w:tcBorders>
              <w:bottom w:val="single" w:sz="8" w:color="ECEDED"/>
            </w:tcBorders>
            <w:shd w:val="clear" w:color="auto" w:fill="ECEDED"/>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58585A"/>
          </w:tcPr>
          <w:p>
            <w:pPr>
              <w:spacing w:after="0" w:line="20" w:lineRule="exact"/>
              <w:rPr>
                <w:sz w:val="1"/>
                <w:szCs w:val="1"/>
                <w:color w:val="auto"/>
              </w:rPr>
            </w:pPr>
          </w:p>
        </w:tc>
        <w:tc>
          <w:tcPr>
            <w:tcW w:w="5880" w:type="dxa"/>
            <w:vAlign w:val="bottom"/>
            <w:shd w:val="clear" w:color="auto" w:fill="58585A"/>
          </w:tcPr>
          <w:p>
            <w:pPr>
              <w:spacing w:after="0" w:line="20" w:lineRule="exact"/>
              <w:rPr>
                <w:sz w:val="1"/>
                <w:szCs w:val="1"/>
                <w:color w:val="auto"/>
              </w:rPr>
            </w:pPr>
          </w:p>
        </w:tc>
        <w:tc>
          <w:tcPr>
            <w:tcW w:w="1520" w:type="dxa"/>
            <w:vAlign w:val="bottom"/>
            <w:shd w:val="clear" w:color="auto" w:fill="58585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0" w:type="dxa"/>
            <w:vAlign w:val="bottom"/>
          </w:tcPr>
          <w:p>
            <w:pPr>
              <w:spacing w:after="0"/>
              <w:rPr>
                <w:sz w:val="14"/>
                <w:szCs w:val="14"/>
                <w:color w:val="auto"/>
              </w:rPr>
            </w:pPr>
          </w:p>
        </w:tc>
        <w:tc>
          <w:tcPr>
            <w:tcW w:w="10800" w:type="dxa"/>
            <w:vAlign w:val="bottom"/>
          </w:tcPr>
          <w:p>
            <w:pPr>
              <w:ind w:left="100"/>
              <w:spacing w:after="0"/>
              <w:rPr>
                <w:sz w:val="20"/>
                <w:szCs w:val="20"/>
                <w:color w:val="auto"/>
              </w:rPr>
            </w:pPr>
            <w:r>
              <w:rPr>
                <w:rFonts w:ascii="Arial" w:cs="Arial" w:eastAsia="Arial" w:hAnsi="Arial"/>
                <w:sz w:val="15"/>
                <w:szCs w:val="15"/>
                <w:color w:val="auto"/>
              </w:rPr>
              <w:t>We also provide all shareholders and others a means to contact us at any time. That information is included in this proxy statement—see</w:t>
            </w:r>
          </w:p>
        </w:tc>
      </w:tr>
      <w:tr>
        <w:trPr>
          <w:trHeight w:val="184"/>
        </w:trPr>
        <w:tc>
          <w:tcPr>
            <w:tcW w:w="440" w:type="dxa"/>
            <w:vAlign w:val="bottom"/>
          </w:tcPr>
          <w:p>
            <w:pPr>
              <w:spacing w:after="0"/>
              <w:rPr>
                <w:sz w:val="16"/>
                <w:szCs w:val="16"/>
                <w:color w:val="auto"/>
              </w:rPr>
            </w:pPr>
          </w:p>
        </w:tc>
        <w:tc>
          <w:tcPr>
            <w:tcW w:w="10800" w:type="dxa"/>
            <w:vAlign w:val="bottom"/>
          </w:tcPr>
          <w:p>
            <w:pPr>
              <w:ind w:left="100"/>
              <w:spacing w:after="0"/>
              <w:rPr>
                <w:sz w:val="20"/>
                <w:szCs w:val="20"/>
                <w:color w:val="auto"/>
              </w:rPr>
            </w:pPr>
            <w:r>
              <w:rPr>
                <w:rFonts w:ascii="Arial" w:cs="Arial" w:eastAsia="Arial" w:hAnsi="Arial"/>
                <w:sz w:val="15"/>
                <w:szCs w:val="15"/>
                <w:color w:val="auto"/>
              </w:rPr>
              <w:t>“Shareholders—Shareholder Communications.” We welcome your input.</w:t>
            </w:r>
          </w:p>
        </w:tc>
      </w:tr>
      <w:tr>
        <w:trPr>
          <w:trHeight w:val="347"/>
        </w:trPr>
        <w:tc>
          <w:tcPr>
            <w:tcW w:w="440" w:type="dxa"/>
            <w:vAlign w:val="bottom"/>
          </w:tcPr>
          <w:p>
            <w:pPr>
              <w:jc w:val="right"/>
              <w:ind w:right="48"/>
              <w:spacing w:after="0"/>
              <w:rPr>
                <w:sz w:val="20"/>
                <w:szCs w:val="20"/>
                <w:color w:val="auto"/>
              </w:rPr>
            </w:pPr>
            <w:r>
              <w:rPr>
                <w:rFonts w:ascii="Arial" w:cs="Arial" w:eastAsia="Arial" w:hAnsi="Arial"/>
                <w:sz w:val="14"/>
                <w:szCs w:val="14"/>
                <w:b w:val="1"/>
                <w:bCs w:val="1"/>
                <w:color w:val="00A5EC"/>
              </w:rPr>
              <w:t xml:space="preserve">78  </w:t>
            </w:r>
            <w:r>
              <w:rPr>
                <w:rFonts w:ascii="Arial" w:cs="Arial" w:eastAsia="Arial" w:hAnsi="Arial"/>
                <w:sz w:val="14"/>
                <w:szCs w:val="14"/>
                <w:color w:val="00A5EC"/>
              </w:rPr>
              <w:t>/</w:t>
            </w:r>
          </w:p>
        </w:tc>
        <w:tc>
          <w:tcPr>
            <w:tcW w:w="10800" w:type="dxa"/>
            <w:vAlign w:val="bottom"/>
          </w:tcPr>
          <w:p>
            <w:pPr>
              <w:ind w:left="5020"/>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9" w:name="page90"/>
    <w:bookmarkEnd w:id="89"/>
    <w:p>
      <w:pPr>
        <w:ind w:left="402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04" w:lineRule="exact"/>
        <w:rPr>
          <w:sz w:val="20"/>
          <w:szCs w:val="20"/>
          <w:color w:val="auto"/>
        </w:rPr>
      </w:pPr>
    </w:p>
    <w:p>
      <w:pPr>
        <w:ind w:left="540" w:right="560"/>
        <w:spacing w:after="0" w:line="243" w:lineRule="auto"/>
        <w:rPr>
          <w:sz w:val="20"/>
          <w:szCs w:val="20"/>
          <w:color w:val="auto"/>
        </w:rPr>
      </w:pPr>
      <w:r>
        <w:rPr>
          <w:rFonts w:ascii="Arial" w:cs="Arial" w:eastAsia="Arial" w:hAnsi="Arial"/>
          <w:sz w:val="14"/>
          <w:szCs w:val="14"/>
          <w:color w:val="auto"/>
        </w:rPr>
        <w:t>The Compensation Committee has the sole authority to retain, at the Company’s expense, one or more third-party compensation consultants to assist the Compensation Committee in performing its responsibilities and to terminate the services of the consultant if the Compensation Committee deems it appropriate. In 2020, the Compensation Committee (and, as discussed above with respect to non-employee director compensation matters, the Corporate Governance and Compliance Committee) utilized the services of Frederic W. Cook &amp; Co. In order to maintain its independence, the Compensation Committee retained Frederic W. Cook &amp; Co. directly and Frederic W. Cook &amp; Co. performed services for the Compensation Committee exclusively at the Compensation Committee’s direction. The Compensation Committee periodically evaluates the independence of its compensation consultant. In accordance with applicable listing standards of the NASDAQ Stock Market LLC and SEC rules, in 2020 the Compensation Committee evaluated the independence of Frederic W. Cook &amp; Co.; and, on the basis of this evaluation, concluded that the engagement of Frederic W. Cook &amp; Co. did not raise any conflicts of interest.</w:t>
      </w:r>
    </w:p>
    <w:p>
      <w:pPr>
        <w:spacing w:after="0" w:line="154" w:lineRule="exact"/>
        <w:rPr>
          <w:sz w:val="20"/>
          <w:szCs w:val="20"/>
          <w:color w:val="auto"/>
        </w:rPr>
      </w:pPr>
    </w:p>
    <w:p>
      <w:pPr>
        <w:ind w:left="540" w:right="580"/>
        <w:spacing w:after="0" w:line="243" w:lineRule="auto"/>
        <w:rPr>
          <w:sz w:val="20"/>
          <w:szCs w:val="20"/>
          <w:color w:val="auto"/>
        </w:rPr>
      </w:pPr>
      <w:r>
        <w:rPr>
          <w:rFonts w:ascii="Arial" w:cs="Arial" w:eastAsia="Arial" w:hAnsi="Arial"/>
          <w:sz w:val="14"/>
          <w:szCs w:val="14"/>
          <w:color w:val="auto"/>
        </w:rPr>
        <w:t>The Compensation Committee’s consultant reviews management recommendations for compensation plans, budgets, and strategies, and also advises the Compensation Committee on how regulations and trends in executive compensation nationally and specifically in the pharmaceutical and biopharmaceutical industries may be relevant to the Company. It also assists with developing the Peer Group; provides comparative compensation information for our CEO and CSO and the other members of the board of directors (using the Peer Group and other compensation data as described below); reviews senior management’s compensation recommendations for other officers, including the other NEOs; and provides general advice to the Compensation Committee on compensation matters, including facilitating the articulation and periodic review of the Company’s compensation philosophy or replenishment of our long-term equity incentive plan. In 2020, the Compensation Committee’s consultant also conducted a detailed and extensive analysis under the Compensation Committee’s direction with respect to the five-year, front-loaded PSU award for our CEO and CSO.</w:t>
      </w:r>
    </w:p>
    <w:p>
      <w:pPr>
        <w:spacing w:after="0" w:line="285"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PEER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04" w:lineRule="exact"/>
        <w:rPr>
          <w:sz w:val="20"/>
          <w:szCs w:val="20"/>
          <w:color w:val="auto"/>
        </w:rPr>
      </w:pPr>
    </w:p>
    <w:p>
      <w:pPr>
        <w:jc w:val="both"/>
        <w:ind w:left="540" w:right="820"/>
        <w:spacing w:after="0" w:line="249" w:lineRule="auto"/>
        <w:rPr>
          <w:sz w:val="20"/>
          <w:szCs w:val="20"/>
          <w:color w:val="auto"/>
        </w:rPr>
      </w:pPr>
      <w:r>
        <w:rPr>
          <w:rFonts w:ascii="Arial" w:cs="Arial" w:eastAsia="Arial" w:hAnsi="Arial"/>
          <w:sz w:val="14"/>
          <w:szCs w:val="14"/>
          <w:color w:val="auto"/>
        </w:rPr>
        <w:t>For purposes of setting our NEOs’ and other senior executives’ compensation, we use comparative compensation information from a relevant peer group of companies (referred to in this proxy statement as “Peer Group”). We select the companies in the Peer Group with the assistance of Frederic W. Cook &amp; Co. based on factors including, but not limited to, the following:</w:t>
      </w:r>
    </w:p>
    <w:p>
      <w:pPr>
        <w:sectPr>
          <w:pgSz w:w="11900" w:h="16838" w:orient="portrait"/>
          <w:cols w:equalWidth="0" w:num="1">
            <w:col w:w="11240"/>
          </w:cols>
          <w:pgMar w:left="320" w:top="405" w:right="339" w:bottom="1440" w:gutter="0" w:footer="0" w:header="0"/>
        </w:sectPr>
      </w:pPr>
    </w:p>
    <w:p>
      <w:pPr>
        <w:spacing w:after="0" w:line="147" w:lineRule="exact"/>
        <w:rPr>
          <w:sz w:val="20"/>
          <w:szCs w:val="20"/>
          <w:color w:val="auto"/>
        </w:rPr>
      </w:pPr>
    </w:p>
    <w:p>
      <w:pPr>
        <w:ind w:left="540"/>
        <w:spacing w:after="0"/>
        <w:tabs>
          <w:tab w:leader="none" w:pos="700" w:val="left"/>
        </w:tabs>
        <w:rPr>
          <w:sz w:val="20"/>
          <w:szCs w:val="20"/>
          <w:color w:val="auto"/>
        </w:rPr>
      </w:pPr>
      <w:r>
        <w:rPr>
          <w:rFonts w:ascii="Arial" w:cs="Arial" w:eastAsia="Arial" w:hAnsi="Arial"/>
          <w:sz w:val="14"/>
          <w:szCs w:val="14"/>
          <w:color w:val="205BA8"/>
        </w:rPr>
        <w:t>•</w:t>
      </w:r>
      <w:r>
        <w:rPr>
          <w:rFonts w:ascii="Arial" w:cs="Arial" w:eastAsia="Arial" w:hAnsi="Arial"/>
          <w:sz w:val="14"/>
          <w:szCs w:val="14"/>
          <w:color w:val="auto"/>
        </w:rPr>
        <w:tab/>
        <w:t>research and development orientation;</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205BA8"/>
        </w:rPr>
        <w:t>•</w:t>
      </w:r>
      <w:r>
        <w:rPr>
          <w:rFonts w:ascii="Arial" w:cs="Arial" w:eastAsia="Arial" w:hAnsi="Arial"/>
          <w:sz w:val="14"/>
          <w:szCs w:val="14"/>
          <w:color w:val="auto"/>
        </w:rPr>
        <w:tab/>
        <w:t>stage of development; and</w:t>
      </w:r>
    </w:p>
    <w:p>
      <w:pPr>
        <w:spacing w:after="0" w:line="82" w:lineRule="exact"/>
        <w:rPr>
          <w:sz w:val="20"/>
          <w:szCs w:val="20"/>
          <w:color w:val="auto"/>
        </w:rPr>
      </w:pPr>
    </w:p>
    <w:p>
      <w:pPr>
        <w:sectPr>
          <w:pgSz w:w="11900" w:h="16838" w:orient="portrait"/>
          <w:cols w:equalWidth="0" w:num="2">
            <w:col w:w="5800" w:space="720"/>
            <w:col w:w="4720"/>
          </w:cols>
          <w:pgMar w:left="320" w:top="405" w:right="339" w:bottom="1440" w:gutter="0" w:footer="0" w:header="0"/>
          <w:type w:val="continuous"/>
        </w:sectPr>
      </w:pPr>
    </w:p>
    <w:p>
      <w:pPr>
        <w:ind w:left="540"/>
        <w:spacing w:after="0"/>
        <w:tabs>
          <w:tab w:leader="none" w:pos="700" w:val="left"/>
        </w:tabs>
        <w:rPr>
          <w:sz w:val="20"/>
          <w:szCs w:val="20"/>
          <w:color w:val="auto"/>
        </w:rPr>
      </w:pPr>
      <w:r>
        <w:rPr>
          <w:rFonts w:ascii="Arial" w:cs="Arial" w:eastAsia="Arial" w:hAnsi="Arial"/>
          <w:sz w:val="14"/>
          <w:szCs w:val="14"/>
          <w:color w:val="205BA8"/>
        </w:rPr>
        <w:t>•</w:t>
      </w:r>
      <w:r>
        <w:rPr>
          <w:rFonts w:ascii="Arial" w:cs="Arial" w:eastAsia="Arial" w:hAnsi="Arial"/>
          <w:sz w:val="14"/>
          <w:szCs w:val="14"/>
          <w:color w:val="auto"/>
        </w:rPr>
        <w:tab/>
        <w:t>market capitalization;</w:t>
      </w:r>
    </w:p>
    <w:p>
      <w:pPr>
        <w:spacing w:after="0" w:line="20" w:lineRule="exact"/>
        <w:rPr>
          <w:sz w:val="20"/>
          <w:szCs w:val="20"/>
          <w:color w:val="auto"/>
        </w:rPr>
      </w:pPr>
      <w:r>
        <w:rPr>
          <w:sz w:val="20"/>
          <w:szCs w:val="20"/>
          <w:color w:val="auto"/>
        </w:rPr>
        <w:br w:type="column"/>
      </w:r>
    </w:p>
    <w:p>
      <w:pPr>
        <w:spacing w:after="0"/>
        <w:tabs>
          <w:tab w:leader="none" w:pos="160" w:val="left"/>
        </w:tabs>
        <w:rPr>
          <w:sz w:val="20"/>
          <w:szCs w:val="20"/>
          <w:color w:val="auto"/>
        </w:rPr>
      </w:pPr>
      <w:r>
        <w:rPr>
          <w:rFonts w:ascii="Arial" w:cs="Arial" w:eastAsia="Arial" w:hAnsi="Arial"/>
          <w:sz w:val="14"/>
          <w:szCs w:val="14"/>
          <w:color w:val="205BA8"/>
        </w:rPr>
        <w:t>•</w:t>
      </w:r>
      <w:r>
        <w:rPr>
          <w:rFonts w:ascii="Arial" w:cs="Arial" w:eastAsia="Arial" w:hAnsi="Arial"/>
          <w:sz w:val="14"/>
          <w:szCs w:val="14"/>
          <w:color w:val="auto"/>
        </w:rPr>
        <w:tab/>
        <w:t>total revenues.</w:t>
      </w:r>
    </w:p>
    <w:p>
      <w:pPr>
        <w:spacing w:after="0" w:line="82" w:lineRule="exact"/>
        <w:rPr>
          <w:sz w:val="20"/>
          <w:szCs w:val="20"/>
          <w:color w:val="auto"/>
        </w:rPr>
      </w:pPr>
    </w:p>
    <w:p>
      <w:pPr>
        <w:sectPr>
          <w:pgSz w:w="11900" w:h="16838" w:orient="portrait"/>
          <w:cols w:equalWidth="0" w:num="2">
            <w:col w:w="5800" w:space="720"/>
            <w:col w:w="4720"/>
          </w:cols>
          <w:pgMar w:left="320" w:top="405" w:right="339" w:bottom="1440" w:gutter="0" w:footer="0" w:header="0"/>
          <w:type w:val="continuous"/>
        </w:sectPr>
      </w:pPr>
    </w:p>
    <w:p>
      <w:pPr>
        <w:ind w:left="720" w:hanging="172"/>
        <w:spacing w:after="0"/>
        <w:tabs>
          <w:tab w:leader="none" w:pos="720" w:val="left"/>
        </w:tabs>
        <w:numPr>
          <w:ilvl w:val="0"/>
          <w:numId w:val="116"/>
        </w:numPr>
        <w:rPr>
          <w:rFonts w:ascii="Arial" w:cs="Arial" w:eastAsia="Arial" w:hAnsi="Arial"/>
          <w:sz w:val="14"/>
          <w:szCs w:val="14"/>
          <w:color w:val="205BA8"/>
        </w:rPr>
      </w:pPr>
      <w:r>
        <w:rPr>
          <w:rFonts w:ascii="Arial" w:cs="Arial" w:eastAsia="Arial" w:hAnsi="Arial"/>
          <w:sz w:val="14"/>
          <w:szCs w:val="14"/>
          <w:color w:val="auto"/>
        </w:rPr>
        <w:t>number of employees;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79</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type w:val="continuous"/>
        </w:sectPr>
      </w:pPr>
    </w:p>
    <w:bookmarkStart w:id="90" w:name="page91"/>
    <w:bookmarkEnd w:id="90"/>
    <w:p>
      <w:pPr>
        <w:ind w:lef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p>
      <w:pPr>
        <w:ind w:left="540" w:right="640"/>
        <w:spacing w:after="0" w:line="249" w:lineRule="auto"/>
        <w:rPr>
          <w:sz w:val="20"/>
          <w:szCs w:val="20"/>
          <w:color w:val="auto"/>
        </w:rPr>
      </w:pPr>
      <w:r>
        <w:rPr>
          <w:rFonts w:ascii="Arial" w:cs="Arial" w:eastAsia="Arial" w:hAnsi="Arial"/>
          <w:sz w:val="14"/>
          <w:szCs w:val="14"/>
          <w:color w:val="auto"/>
        </w:rPr>
        <w:t>The Peer Group is also meant to provide a representative sample of companies with which we compete for talent. We periodically reassess the composition of the Peer Group and make changes as appropriate, taking into account factors such as changes in the Company’s market capitalization and merger-and-acquisition activity impacting the existing Peer Group companies.</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C44E5E"/>
        </w:rPr>
        <w:t>The Peer Group utilized in 2020 consists of the following 13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114300</wp:posOffset>
            </wp:positionV>
            <wp:extent cx="64465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27"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2840" w:type="dxa"/>
            <w:vAlign w:val="bottom"/>
          </w:tcPr>
          <w:p>
            <w:pPr>
              <w:ind w:left="60"/>
              <w:spacing w:after="0"/>
              <w:rPr>
                <w:sz w:val="20"/>
                <w:szCs w:val="20"/>
                <w:color w:val="auto"/>
              </w:rPr>
            </w:pPr>
            <w:r>
              <w:rPr>
                <w:rFonts w:ascii="Arial" w:cs="Arial" w:eastAsia="Arial" w:hAnsi="Arial"/>
                <w:sz w:val="13"/>
                <w:szCs w:val="13"/>
                <w:color w:val="auto"/>
              </w:rPr>
              <w:t>AbbVie Inc.</w:t>
            </w:r>
          </w:p>
        </w:tc>
        <w:tc>
          <w:tcPr>
            <w:tcW w:w="3580" w:type="dxa"/>
            <w:vAlign w:val="bottom"/>
          </w:tcPr>
          <w:p>
            <w:pPr>
              <w:ind w:left="940"/>
              <w:spacing w:after="0"/>
              <w:rPr>
                <w:sz w:val="20"/>
                <w:szCs w:val="20"/>
                <w:color w:val="auto"/>
              </w:rPr>
            </w:pPr>
            <w:r>
              <w:rPr>
                <w:rFonts w:ascii="Arial" w:cs="Arial" w:eastAsia="Arial" w:hAnsi="Arial"/>
                <w:sz w:val="13"/>
                <w:szCs w:val="13"/>
                <w:color w:val="auto"/>
              </w:rPr>
              <w:t>BioMarin Pharmaceutical Inc.*</w:t>
            </w:r>
          </w:p>
        </w:tc>
        <w:tc>
          <w:tcPr>
            <w:tcW w:w="3740" w:type="dxa"/>
            <w:vAlign w:val="bottom"/>
          </w:tcPr>
          <w:p>
            <w:pPr>
              <w:ind w:left="800"/>
              <w:spacing w:after="0"/>
              <w:rPr>
                <w:sz w:val="20"/>
                <w:szCs w:val="20"/>
                <w:color w:val="auto"/>
              </w:rPr>
            </w:pPr>
            <w:r>
              <w:rPr>
                <w:rFonts w:ascii="Arial" w:cs="Arial" w:eastAsia="Arial" w:hAnsi="Arial"/>
                <w:sz w:val="13"/>
                <w:szCs w:val="13"/>
                <w:color w:val="auto"/>
              </w:rPr>
              <w:t>Incyte Corporation*</w:t>
            </w:r>
          </w:p>
        </w:tc>
      </w:tr>
      <w:tr>
        <w:trPr>
          <w:trHeight w:val="41"/>
        </w:trPr>
        <w:tc>
          <w:tcPr>
            <w:tcW w:w="2840" w:type="dxa"/>
            <w:vAlign w:val="bottom"/>
            <w:tcBorders>
              <w:bottom w:val="single" w:sz="8" w:color="58585A"/>
            </w:tcBorders>
          </w:tcPr>
          <w:p>
            <w:pPr>
              <w:spacing w:after="0"/>
              <w:rPr>
                <w:sz w:val="3"/>
                <w:szCs w:val="3"/>
                <w:color w:val="auto"/>
              </w:rPr>
            </w:pPr>
          </w:p>
        </w:tc>
        <w:tc>
          <w:tcPr>
            <w:tcW w:w="3580" w:type="dxa"/>
            <w:vAlign w:val="bottom"/>
            <w:tcBorders>
              <w:bottom w:val="single" w:sz="8" w:color="58585A"/>
            </w:tcBorders>
          </w:tcPr>
          <w:p>
            <w:pPr>
              <w:spacing w:after="0"/>
              <w:rPr>
                <w:sz w:val="3"/>
                <w:szCs w:val="3"/>
                <w:color w:val="auto"/>
              </w:rPr>
            </w:pPr>
          </w:p>
        </w:tc>
        <w:tc>
          <w:tcPr>
            <w:tcW w:w="3740" w:type="dxa"/>
            <w:vAlign w:val="bottom"/>
            <w:tcBorders>
              <w:bottom w:val="single" w:sz="8" w:color="58585A"/>
            </w:tcBorders>
          </w:tcPr>
          <w:p>
            <w:pPr>
              <w:spacing w:after="0"/>
              <w:rPr>
                <w:sz w:val="3"/>
                <w:szCs w:val="3"/>
                <w:color w:val="auto"/>
              </w:rPr>
            </w:pPr>
          </w:p>
        </w:tc>
      </w:tr>
      <w:tr>
        <w:trPr>
          <w:trHeight w:val="209"/>
        </w:trPr>
        <w:tc>
          <w:tcPr>
            <w:tcW w:w="2840" w:type="dxa"/>
            <w:vAlign w:val="bottom"/>
          </w:tcPr>
          <w:p>
            <w:pPr>
              <w:ind w:left="60"/>
              <w:spacing w:after="0"/>
              <w:rPr>
                <w:sz w:val="20"/>
                <w:szCs w:val="20"/>
                <w:color w:val="auto"/>
              </w:rPr>
            </w:pPr>
            <w:r>
              <w:rPr>
                <w:rFonts w:ascii="Arial" w:cs="Arial" w:eastAsia="Arial" w:hAnsi="Arial"/>
                <w:sz w:val="13"/>
                <w:szCs w:val="13"/>
                <w:color w:val="auto"/>
              </w:rPr>
              <w:t>Alexion Pharmaceuticals, Inc.*</w:t>
            </w:r>
          </w:p>
        </w:tc>
        <w:tc>
          <w:tcPr>
            <w:tcW w:w="3580" w:type="dxa"/>
            <w:vAlign w:val="bottom"/>
          </w:tcPr>
          <w:p>
            <w:pPr>
              <w:ind w:left="940"/>
              <w:spacing w:after="0"/>
              <w:rPr>
                <w:sz w:val="20"/>
                <w:szCs w:val="20"/>
                <w:color w:val="auto"/>
              </w:rPr>
            </w:pPr>
            <w:r>
              <w:rPr>
                <w:rFonts w:ascii="Arial" w:cs="Arial" w:eastAsia="Arial" w:hAnsi="Arial"/>
                <w:sz w:val="13"/>
                <w:szCs w:val="13"/>
                <w:color w:val="auto"/>
              </w:rPr>
              <w:t>Bristol-Myers Squibb Company</w:t>
            </w:r>
          </w:p>
        </w:tc>
        <w:tc>
          <w:tcPr>
            <w:tcW w:w="3740" w:type="dxa"/>
            <w:vAlign w:val="bottom"/>
          </w:tcPr>
          <w:p>
            <w:pPr>
              <w:ind w:left="800"/>
              <w:spacing w:after="0"/>
              <w:rPr>
                <w:sz w:val="20"/>
                <w:szCs w:val="20"/>
                <w:color w:val="auto"/>
              </w:rPr>
            </w:pPr>
            <w:r>
              <w:rPr>
                <w:rFonts w:ascii="Arial" w:cs="Arial" w:eastAsia="Arial" w:hAnsi="Arial"/>
                <w:sz w:val="13"/>
                <w:szCs w:val="13"/>
                <w:color w:val="auto"/>
              </w:rPr>
              <w:t>Merck &amp; Co., Inc.</w:t>
            </w:r>
          </w:p>
        </w:tc>
      </w:tr>
      <w:tr>
        <w:trPr>
          <w:trHeight w:val="41"/>
        </w:trPr>
        <w:tc>
          <w:tcPr>
            <w:tcW w:w="2840" w:type="dxa"/>
            <w:vAlign w:val="bottom"/>
            <w:tcBorders>
              <w:bottom w:val="single" w:sz="8" w:color="58585A"/>
            </w:tcBorders>
          </w:tcPr>
          <w:p>
            <w:pPr>
              <w:spacing w:after="0"/>
              <w:rPr>
                <w:sz w:val="3"/>
                <w:szCs w:val="3"/>
                <w:color w:val="auto"/>
              </w:rPr>
            </w:pPr>
          </w:p>
        </w:tc>
        <w:tc>
          <w:tcPr>
            <w:tcW w:w="3580" w:type="dxa"/>
            <w:vAlign w:val="bottom"/>
            <w:tcBorders>
              <w:bottom w:val="single" w:sz="8" w:color="58585A"/>
            </w:tcBorders>
          </w:tcPr>
          <w:p>
            <w:pPr>
              <w:spacing w:after="0"/>
              <w:rPr>
                <w:sz w:val="3"/>
                <w:szCs w:val="3"/>
                <w:color w:val="auto"/>
              </w:rPr>
            </w:pPr>
          </w:p>
        </w:tc>
        <w:tc>
          <w:tcPr>
            <w:tcW w:w="3740" w:type="dxa"/>
            <w:vAlign w:val="bottom"/>
            <w:tcBorders>
              <w:bottom w:val="single" w:sz="8" w:color="58585A"/>
            </w:tcBorders>
          </w:tcPr>
          <w:p>
            <w:pPr>
              <w:spacing w:after="0"/>
              <w:rPr>
                <w:sz w:val="3"/>
                <w:szCs w:val="3"/>
                <w:color w:val="auto"/>
              </w:rPr>
            </w:pPr>
          </w:p>
        </w:tc>
      </w:tr>
      <w:tr>
        <w:trPr>
          <w:trHeight w:val="209"/>
        </w:trPr>
        <w:tc>
          <w:tcPr>
            <w:tcW w:w="2840" w:type="dxa"/>
            <w:vAlign w:val="bottom"/>
          </w:tcPr>
          <w:p>
            <w:pPr>
              <w:ind w:left="60"/>
              <w:spacing w:after="0"/>
              <w:rPr>
                <w:sz w:val="20"/>
                <w:szCs w:val="20"/>
                <w:color w:val="auto"/>
              </w:rPr>
            </w:pPr>
            <w:r>
              <w:rPr>
                <w:rFonts w:ascii="Arial" w:cs="Arial" w:eastAsia="Arial" w:hAnsi="Arial"/>
                <w:sz w:val="13"/>
                <w:szCs w:val="13"/>
                <w:color w:val="auto"/>
              </w:rPr>
              <w:t>Alnylam Pharmaceuticals, Inc.*</w:t>
            </w:r>
          </w:p>
        </w:tc>
        <w:tc>
          <w:tcPr>
            <w:tcW w:w="3580" w:type="dxa"/>
            <w:vAlign w:val="bottom"/>
          </w:tcPr>
          <w:p>
            <w:pPr>
              <w:ind w:left="940"/>
              <w:spacing w:after="0"/>
              <w:rPr>
                <w:sz w:val="20"/>
                <w:szCs w:val="20"/>
                <w:color w:val="auto"/>
              </w:rPr>
            </w:pPr>
            <w:r>
              <w:rPr>
                <w:rFonts w:ascii="Arial" w:cs="Arial" w:eastAsia="Arial" w:hAnsi="Arial"/>
                <w:sz w:val="13"/>
                <w:szCs w:val="13"/>
                <w:color w:val="auto"/>
              </w:rPr>
              <w:t>Eli Lilly and Company</w:t>
            </w:r>
          </w:p>
        </w:tc>
        <w:tc>
          <w:tcPr>
            <w:tcW w:w="3740" w:type="dxa"/>
            <w:vAlign w:val="bottom"/>
          </w:tcPr>
          <w:p>
            <w:pPr>
              <w:ind w:left="800"/>
              <w:spacing w:after="0"/>
              <w:rPr>
                <w:sz w:val="20"/>
                <w:szCs w:val="20"/>
                <w:color w:val="auto"/>
              </w:rPr>
            </w:pPr>
            <w:r>
              <w:rPr>
                <w:rFonts w:ascii="Arial" w:cs="Arial" w:eastAsia="Arial" w:hAnsi="Arial"/>
                <w:sz w:val="13"/>
                <w:szCs w:val="13"/>
                <w:color w:val="auto"/>
              </w:rPr>
              <w:t>Seagen Inc.*</w:t>
            </w:r>
          </w:p>
        </w:tc>
      </w:tr>
      <w:tr>
        <w:trPr>
          <w:trHeight w:val="41"/>
        </w:trPr>
        <w:tc>
          <w:tcPr>
            <w:tcW w:w="2840" w:type="dxa"/>
            <w:vAlign w:val="bottom"/>
            <w:tcBorders>
              <w:bottom w:val="single" w:sz="8" w:color="58585A"/>
            </w:tcBorders>
          </w:tcPr>
          <w:p>
            <w:pPr>
              <w:spacing w:after="0"/>
              <w:rPr>
                <w:sz w:val="3"/>
                <w:szCs w:val="3"/>
                <w:color w:val="auto"/>
              </w:rPr>
            </w:pPr>
          </w:p>
        </w:tc>
        <w:tc>
          <w:tcPr>
            <w:tcW w:w="3580" w:type="dxa"/>
            <w:vAlign w:val="bottom"/>
            <w:tcBorders>
              <w:bottom w:val="single" w:sz="8" w:color="58585A"/>
            </w:tcBorders>
          </w:tcPr>
          <w:p>
            <w:pPr>
              <w:spacing w:after="0"/>
              <w:rPr>
                <w:sz w:val="3"/>
                <w:szCs w:val="3"/>
                <w:color w:val="auto"/>
              </w:rPr>
            </w:pPr>
          </w:p>
        </w:tc>
        <w:tc>
          <w:tcPr>
            <w:tcW w:w="3740" w:type="dxa"/>
            <w:vAlign w:val="bottom"/>
            <w:tcBorders>
              <w:bottom w:val="single" w:sz="8" w:color="58585A"/>
            </w:tcBorders>
          </w:tcPr>
          <w:p>
            <w:pPr>
              <w:spacing w:after="0"/>
              <w:rPr>
                <w:sz w:val="3"/>
                <w:szCs w:val="3"/>
                <w:color w:val="auto"/>
              </w:rPr>
            </w:pPr>
          </w:p>
        </w:tc>
      </w:tr>
      <w:tr>
        <w:trPr>
          <w:trHeight w:val="209"/>
        </w:trPr>
        <w:tc>
          <w:tcPr>
            <w:tcW w:w="2840" w:type="dxa"/>
            <w:vAlign w:val="bottom"/>
          </w:tcPr>
          <w:p>
            <w:pPr>
              <w:ind w:left="60"/>
              <w:spacing w:after="0"/>
              <w:rPr>
                <w:sz w:val="20"/>
                <w:szCs w:val="20"/>
                <w:color w:val="auto"/>
              </w:rPr>
            </w:pPr>
            <w:r>
              <w:rPr>
                <w:rFonts w:ascii="Arial" w:cs="Arial" w:eastAsia="Arial" w:hAnsi="Arial"/>
                <w:sz w:val="13"/>
                <w:szCs w:val="13"/>
                <w:color w:val="auto"/>
              </w:rPr>
              <w:t>Amgen Inc.</w:t>
            </w:r>
          </w:p>
        </w:tc>
        <w:tc>
          <w:tcPr>
            <w:tcW w:w="3580" w:type="dxa"/>
            <w:vAlign w:val="bottom"/>
          </w:tcPr>
          <w:p>
            <w:pPr>
              <w:ind w:left="940"/>
              <w:spacing w:after="0"/>
              <w:rPr>
                <w:sz w:val="20"/>
                <w:szCs w:val="20"/>
                <w:color w:val="auto"/>
              </w:rPr>
            </w:pPr>
            <w:r>
              <w:rPr>
                <w:rFonts w:ascii="Arial" w:cs="Arial" w:eastAsia="Arial" w:hAnsi="Arial"/>
                <w:sz w:val="13"/>
                <w:szCs w:val="13"/>
                <w:color w:val="auto"/>
              </w:rPr>
              <w:t>Gilead Sciences, Inc.*</w:t>
            </w:r>
          </w:p>
        </w:tc>
        <w:tc>
          <w:tcPr>
            <w:tcW w:w="3740" w:type="dxa"/>
            <w:vAlign w:val="bottom"/>
          </w:tcPr>
          <w:p>
            <w:pPr>
              <w:ind w:left="800"/>
              <w:spacing w:after="0"/>
              <w:rPr>
                <w:sz w:val="20"/>
                <w:szCs w:val="20"/>
                <w:color w:val="auto"/>
              </w:rPr>
            </w:pPr>
            <w:r>
              <w:rPr>
                <w:rFonts w:ascii="Arial" w:cs="Arial" w:eastAsia="Arial" w:hAnsi="Arial"/>
                <w:sz w:val="13"/>
                <w:szCs w:val="13"/>
                <w:color w:val="auto"/>
              </w:rPr>
              <w:t>Vertex Pharmaceuticals, Inc.*</w:t>
            </w:r>
          </w:p>
        </w:tc>
      </w:tr>
      <w:tr>
        <w:trPr>
          <w:trHeight w:val="41"/>
        </w:trPr>
        <w:tc>
          <w:tcPr>
            <w:tcW w:w="2840" w:type="dxa"/>
            <w:vAlign w:val="bottom"/>
            <w:tcBorders>
              <w:bottom w:val="single" w:sz="8" w:color="58585A"/>
            </w:tcBorders>
          </w:tcPr>
          <w:p>
            <w:pPr>
              <w:spacing w:after="0"/>
              <w:rPr>
                <w:sz w:val="3"/>
                <w:szCs w:val="3"/>
                <w:color w:val="auto"/>
              </w:rPr>
            </w:pPr>
          </w:p>
        </w:tc>
        <w:tc>
          <w:tcPr>
            <w:tcW w:w="3580" w:type="dxa"/>
            <w:vAlign w:val="bottom"/>
            <w:tcBorders>
              <w:bottom w:val="single" w:sz="8" w:color="58585A"/>
            </w:tcBorders>
          </w:tcPr>
          <w:p>
            <w:pPr>
              <w:spacing w:after="0"/>
              <w:rPr>
                <w:sz w:val="3"/>
                <w:szCs w:val="3"/>
                <w:color w:val="auto"/>
              </w:rPr>
            </w:pPr>
          </w:p>
        </w:tc>
        <w:tc>
          <w:tcPr>
            <w:tcW w:w="3740" w:type="dxa"/>
            <w:vAlign w:val="bottom"/>
            <w:tcBorders>
              <w:bottom w:val="single" w:sz="8" w:color="58585A"/>
            </w:tcBorders>
          </w:tcPr>
          <w:p>
            <w:pPr>
              <w:spacing w:after="0"/>
              <w:rPr>
                <w:sz w:val="3"/>
                <w:szCs w:val="3"/>
                <w:color w:val="auto"/>
              </w:rPr>
            </w:pPr>
          </w:p>
        </w:tc>
      </w:tr>
      <w:tr>
        <w:trPr>
          <w:trHeight w:val="209"/>
        </w:trPr>
        <w:tc>
          <w:tcPr>
            <w:tcW w:w="2840" w:type="dxa"/>
            <w:vAlign w:val="bottom"/>
          </w:tcPr>
          <w:p>
            <w:pPr>
              <w:ind w:left="60"/>
              <w:spacing w:after="0"/>
              <w:rPr>
                <w:sz w:val="20"/>
                <w:szCs w:val="20"/>
                <w:color w:val="auto"/>
              </w:rPr>
            </w:pPr>
            <w:r>
              <w:rPr>
                <w:rFonts w:ascii="Arial" w:cs="Arial" w:eastAsia="Arial" w:hAnsi="Arial"/>
                <w:sz w:val="13"/>
                <w:szCs w:val="13"/>
                <w:color w:val="auto"/>
              </w:rPr>
              <w:t>Biogen Inc.*</w:t>
            </w:r>
          </w:p>
        </w:tc>
        <w:tc>
          <w:tcPr>
            <w:tcW w:w="358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41"/>
        </w:trPr>
        <w:tc>
          <w:tcPr>
            <w:tcW w:w="2840" w:type="dxa"/>
            <w:vAlign w:val="bottom"/>
            <w:tcBorders>
              <w:bottom w:val="single" w:sz="8" w:color="1F5AA8"/>
            </w:tcBorders>
          </w:tcPr>
          <w:p>
            <w:pPr>
              <w:spacing w:after="0"/>
              <w:rPr>
                <w:sz w:val="3"/>
                <w:szCs w:val="3"/>
                <w:color w:val="auto"/>
              </w:rPr>
            </w:pPr>
          </w:p>
        </w:tc>
        <w:tc>
          <w:tcPr>
            <w:tcW w:w="3580" w:type="dxa"/>
            <w:vAlign w:val="bottom"/>
            <w:tcBorders>
              <w:bottom w:val="single" w:sz="8" w:color="1F5AA8"/>
            </w:tcBorders>
          </w:tcPr>
          <w:p>
            <w:pPr>
              <w:spacing w:after="0"/>
              <w:rPr>
                <w:sz w:val="3"/>
                <w:szCs w:val="3"/>
                <w:color w:val="auto"/>
              </w:rPr>
            </w:pPr>
          </w:p>
        </w:tc>
        <w:tc>
          <w:tcPr>
            <w:tcW w:w="3740" w:type="dxa"/>
            <w:vAlign w:val="bottom"/>
            <w:tcBorders>
              <w:bottom w:val="single" w:sz="8" w:color="1F5AA8"/>
            </w:tcBorders>
          </w:tcPr>
          <w:p>
            <w:pPr>
              <w:spacing w:after="0"/>
              <w:rPr>
                <w:sz w:val="3"/>
                <w:szCs w:val="3"/>
                <w:color w:val="auto"/>
              </w:rPr>
            </w:pPr>
          </w:p>
        </w:tc>
      </w:tr>
    </w:tbl>
    <w:p>
      <w:pPr>
        <w:spacing w:after="0" w:line="34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Regeneron’s Biotech R&amp;D Peer.</w:t>
      </w:r>
    </w:p>
    <w:p>
      <w:pPr>
        <w:spacing w:after="0" w:line="163" w:lineRule="exact"/>
        <w:rPr>
          <w:sz w:val="20"/>
          <w:szCs w:val="20"/>
          <w:color w:val="auto"/>
        </w:rPr>
      </w:pPr>
    </w:p>
    <w:p>
      <w:pPr>
        <w:ind w:left="540" w:right="600"/>
        <w:spacing w:after="0" w:line="244" w:lineRule="auto"/>
        <w:rPr>
          <w:sz w:val="20"/>
          <w:szCs w:val="20"/>
          <w:color w:val="auto"/>
        </w:rPr>
      </w:pPr>
      <w:r>
        <w:rPr>
          <w:rFonts w:ascii="Arial" w:cs="Arial" w:eastAsia="Arial" w:hAnsi="Arial"/>
          <w:sz w:val="14"/>
          <w:szCs w:val="14"/>
          <w:color w:val="auto"/>
        </w:rPr>
        <w:t>The Compensation Committee reviewed the Peer Group in June 2020 and, based on the recommendation of Frederic W. Cook &amp; Co., made the following changes: (i) eliminated Celgene Corporation due to its acquisition by Bristol-Myers Squibb Company completed in November 2019; (ii) eliminated Alkermes plc and United Therapeutics Corporation due to their respective market capitalizations being significantly below the Company’s; and (iii) added Merck &amp; Co., Inc. and Seagen Inc. (formerly Seattle Genetics, Inc.) due to a number of factors, including their respective business models and the scope of their operations in relation to the Company. As part of its assessment, the Compensation Committee took into account that Regeneron was the median company (or just below the median) in the Peer Group based on market capitalization, the then-available consensus revenue estimates for 2020, and the then-available reported number of employees, based on the data provided to the Committee, as shown in the table below.</w:t>
      </w:r>
    </w:p>
    <w:p>
      <w:pPr>
        <w:spacing w:after="0" w:line="188" w:lineRule="exact"/>
        <w:rPr>
          <w:sz w:val="20"/>
          <w:szCs w:val="20"/>
          <w:color w:val="auto"/>
        </w:rPr>
      </w:pPr>
    </w:p>
    <w:tbl>
      <w:tblPr>
        <w:tblLayout w:type="fixed"/>
        <w:tblInd w:w="540" w:type="dxa"/>
        <w:tblCellMar>
          <w:top w:w="0" w:type="dxa"/>
          <w:left w:w="0" w:type="dxa"/>
          <w:bottom w:w="0" w:type="dxa"/>
          <w:right w:w="0" w:type="dxa"/>
        </w:tblCellMar>
      </w:tblPr>
      <w:tr>
        <w:trPr>
          <w:trHeight w:val="154"/>
        </w:trPr>
        <w:tc>
          <w:tcPr>
            <w:tcW w:w="1520" w:type="dxa"/>
            <w:vAlign w:val="bottom"/>
          </w:tcPr>
          <w:p>
            <w:pPr>
              <w:spacing w:after="0"/>
              <w:rPr>
                <w:sz w:val="13"/>
                <w:szCs w:val="13"/>
                <w:color w:val="auto"/>
              </w:rPr>
            </w:pPr>
          </w:p>
        </w:tc>
        <w:tc>
          <w:tcPr>
            <w:tcW w:w="2560" w:type="dxa"/>
            <w:vAlign w:val="bottom"/>
            <w:gridSpan w:val="3"/>
          </w:tcPr>
          <w:p>
            <w:pPr>
              <w:ind w:left="40"/>
              <w:spacing w:after="0"/>
              <w:rPr>
                <w:sz w:val="20"/>
                <w:szCs w:val="20"/>
                <w:color w:val="auto"/>
              </w:rPr>
            </w:pPr>
            <w:r>
              <w:rPr>
                <w:rFonts w:ascii="Arial" w:cs="Arial" w:eastAsia="Arial" w:hAnsi="Arial"/>
                <w:sz w:val="12"/>
                <w:szCs w:val="12"/>
                <w:b w:val="1"/>
                <w:bCs w:val="1"/>
                <w:color w:val="205BA8"/>
              </w:rPr>
              <w:t>Market Capitalization ($ Millions)</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ind w:left="780"/>
              <w:spacing w:after="0"/>
              <w:rPr>
                <w:sz w:val="20"/>
                <w:szCs w:val="20"/>
                <w:color w:val="auto"/>
              </w:rPr>
            </w:pPr>
            <w:r>
              <w:rPr>
                <w:rFonts w:ascii="Arial" w:cs="Arial" w:eastAsia="Arial" w:hAnsi="Arial"/>
                <w:sz w:val="12"/>
                <w:szCs w:val="12"/>
                <w:b w:val="1"/>
                <w:bCs w:val="1"/>
                <w:color w:val="205BA8"/>
              </w:rPr>
              <w:t>2020 Revenue</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tcPr>
          <w:p>
            <w:pPr>
              <w:ind w:left="860"/>
              <w:spacing w:after="0"/>
              <w:rPr>
                <w:sz w:val="20"/>
                <w:szCs w:val="20"/>
                <w:color w:val="auto"/>
              </w:rPr>
            </w:pPr>
            <w:r>
              <w:rPr>
                <w:rFonts w:ascii="Arial" w:cs="Arial" w:eastAsia="Arial" w:hAnsi="Arial"/>
                <w:sz w:val="12"/>
                <w:szCs w:val="12"/>
                <w:b w:val="1"/>
                <w:bCs w:val="1"/>
                <w:color w:val="205BA8"/>
              </w:rPr>
              <w:t>Employees</w:t>
            </w:r>
          </w:p>
        </w:tc>
        <w:tc>
          <w:tcPr>
            <w:tcW w:w="520" w:type="dxa"/>
            <w:vAlign w:val="bottom"/>
          </w:tcPr>
          <w:p>
            <w:pPr>
              <w:spacing w:after="0"/>
              <w:rPr>
                <w:sz w:val="13"/>
                <w:szCs w:val="13"/>
                <w:color w:val="auto"/>
              </w:rPr>
            </w:pPr>
          </w:p>
        </w:tc>
      </w:tr>
      <w:tr>
        <w:trPr>
          <w:trHeight w:val="47"/>
        </w:trPr>
        <w:tc>
          <w:tcPr>
            <w:tcW w:w="1520" w:type="dxa"/>
            <w:vAlign w:val="bottom"/>
            <w:tcBorders>
              <w:bottom w:val="single" w:sz="8" w:color="1F5AA8"/>
            </w:tcBorders>
          </w:tcPr>
          <w:p>
            <w:pPr>
              <w:spacing w:after="0"/>
              <w:rPr>
                <w:sz w:val="4"/>
                <w:szCs w:val="4"/>
                <w:color w:val="auto"/>
              </w:rPr>
            </w:pPr>
          </w:p>
        </w:tc>
        <w:tc>
          <w:tcPr>
            <w:tcW w:w="740" w:type="dxa"/>
            <w:vAlign w:val="bottom"/>
            <w:tcBorders>
              <w:bottom w:val="single" w:sz="8" w:color="1F5AA8"/>
            </w:tcBorders>
          </w:tcPr>
          <w:p>
            <w:pPr>
              <w:spacing w:after="0"/>
              <w:rPr>
                <w:sz w:val="4"/>
                <w:szCs w:val="4"/>
                <w:color w:val="auto"/>
              </w:rPr>
            </w:pPr>
          </w:p>
        </w:tc>
        <w:tc>
          <w:tcPr>
            <w:tcW w:w="320" w:type="dxa"/>
            <w:vAlign w:val="bottom"/>
            <w:tcBorders>
              <w:bottom w:val="single" w:sz="8" w:color="1F5AA8"/>
            </w:tcBorders>
          </w:tcPr>
          <w:p>
            <w:pPr>
              <w:spacing w:after="0"/>
              <w:rPr>
                <w:sz w:val="4"/>
                <w:szCs w:val="4"/>
                <w:color w:val="auto"/>
              </w:rPr>
            </w:pPr>
          </w:p>
        </w:tc>
        <w:tc>
          <w:tcPr>
            <w:tcW w:w="2340" w:type="dxa"/>
            <w:vAlign w:val="bottom"/>
            <w:tcBorders>
              <w:bottom w:val="single" w:sz="8" w:color="1F5AA8"/>
            </w:tcBorders>
            <w:gridSpan w:val="2"/>
          </w:tcPr>
          <w:p>
            <w:pPr>
              <w:spacing w:after="0"/>
              <w:rPr>
                <w:sz w:val="4"/>
                <w:szCs w:val="4"/>
                <w:color w:val="auto"/>
              </w:rPr>
            </w:pPr>
          </w:p>
        </w:tc>
        <w:tc>
          <w:tcPr>
            <w:tcW w:w="300" w:type="dxa"/>
            <w:vAlign w:val="bottom"/>
          </w:tcPr>
          <w:p>
            <w:pPr>
              <w:spacing w:after="0"/>
              <w:rPr>
                <w:sz w:val="4"/>
                <w:szCs w:val="4"/>
                <w:color w:val="auto"/>
              </w:rPr>
            </w:pPr>
          </w:p>
        </w:tc>
        <w:tc>
          <w:tcPr>
            <w:tcW w:w="1760" w:type="dxa"/>
            <w:vAlign w:val="bottom"/>
            <w:tcBorders>
              <w:bottom w:val="single" w:sz="8" w:color="1F5AA8"/>
            </w:tcBorders>
          </w:tcPr>
          <w:p>
            <w:pPr>
              <w:spacing w:after="0"/>
              <w:rPr>
                <w:sz w:val="4"/>
                <w:szCs w:val="4"/>
                <w:color w:val="auto"/>
              </w:rPr>
            </w:pPr>
          </w:p>
        </w:tc>
        <w:tc>
          <w:tcPr>
            <w:tcW w:w="560" w:type="dxa"/>
            <w:vAlign w:val="bottom"/>
            <w:tcBorders>
              <w:bottom w:val="single" w:sz="8" w:color="1F5AA8"/>
            </w:tcBorders>
          </w:tcPr>
          <w:p>
            <w:pPr>
              <w:spacing w:after="0"/>
              <w:rPr>
                <w:sz w:val="4"/>
                <w:szCs w:val="4"/>
                <w:color w:val="auto"/>
              </w:rPr>
            </w:pPr>
          </w:p>
        </w:tc>
        <w:tc>
          <w:tcPr>
            <w:tcW w:w="300" w:type="dxa"/>
            <w:vAlign w:val="bottom"/>
          </w:tcPr>
          <w:p>
            <w:pPr>
              <w:spacing w:after="0"/>
              <w:rPr>
                <w:sz w:val="4"/>
                <w:szCs w:val="4"/>
                <w:color w:val="auto"/>
              </w:rPr>
            </w:pPr>
          </w:p>
        </w:tc>
        <w:tc>
          <w:tcPr>
            <w:tcW w:w="1800" w:type="dxa"/>
            <w:vAlign w:val="bottom"/>
            <w:tcBorders>
              <w:bottom w:val="single" w:sz="8" w:color="1F5AA8"/>
            </w:tcBorders>
          </w:tcPr>
          <w:p>
            <w:pPr>
              <w:spacing w:after="0"/>
              <w:rPr>
                <w:sz w:val="4"/>
                <w:szCs w:val="4"/>
                <w:color w:val="auto"/>
              </w:rPr>
            </w:pPr>
          </w:p>
        </w:tc>
        <w:tc>
          <w:tcPr>
            <w:tcW w:w="520" w:type="dxa"/>
            <w:vAlign w:val="bottom"/>
            <w:tcBorders>
              <w:bottom w:val="single" w:sz="8" w:color="1F5AA8"/>
            </w:tcBorders>
          </w:tcPr>
          <w:p>
            <w:pPr>
              <w:spacing w:after="0"/>
              <w:rPr>
                <w:sz w:val="4"/>
                <w:szCs w:val="4"/>
                <w:color w:val="auto"/>
              </w:rPr>
            </w:pPr>
          </w:p>
        </w:tc>
      </w:tr>
      <w:tr>
        <w:trPr>
          <w:trHeight w:val="190"/>
        </w:trPr>
        <w:tc>
          <w:tcPr>
            <w:tcW w:w="1520" w:type="dxa"/>
            <w:vAlign w:val="bottom"/>
          </w:tcPr>
          <w:p>
            <w:pPr>
              <w:ind w:left="780"/>
              <w:spacing w:after="0"/>
              <w:rPr>
                <w:sz w:val="20"/>
                <w:szCs w:val="20"/>
                <w:color w:val="auto"/>
              </w:rPr>
            </w:pPr>
            <w:r>
              <w:rPr>
                <w:rFonts w:ascii="Arial" w:cs="Arial" w:eastAsia="Arial" w:hAnsi="Arial"/>
                <w:sz w:val="12"/>
                <w:szCs w:val="12"/>
                <w:b w:val="1"/>
                <w:bCs w:val="1"/>
                <w:color w:val="205BA8"/>
                <w:w w:val="98"/>
              </w:rPr>
              <w:t>As of 5/31/20</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40" w:type="dxa"/>
            <w:vAlign w:val="bottom"/>
            <w:gridSpan w:val="2"/>
          </w:tcPr>
          <w:p>
            <w:pPr>
              <w:jc w:val="right"/>
              <w:ind w:right="453"/>
              <w:spacing w:after="0"/>
              <w:rPr>
                <w:sz w:val="20"/>
                <w:szCs w:val="20"/>
                <w:color w:val="auto"/>
              </w:rPr>
            </w:pPr>
            <w:r>
              <w:rPr>
                <w:rFonts w:ascii="Arial" w:cs="Arial" w:eastAsia="Arial" w:hAnsi="Arial"/>
                <w:sz w:val="12"/>
                <w:szCs w:val="12"/>
                <w:b w:val="1"/>
                <w:bCs w:val="1"/>
                <w:color w:val="205BA8"/>
              </w:rPr>
              <w:t>2019 12-Month Average</w:t>
            </w:r>
          </w:p>
        </w:tc>
        <w:tc>
          <w:tcPr>
            <w:tcW w:w="300" w:type="dxa"/>
            <w:vAlign w:val="bottom"/>
          </w:tcPr>
          <w:p>
            <w:pPr>
              <w:spacing w:after="0"/>
              <w:rPr>
                <w:sz w:val="16"/>
                <w:szCs w:val="16"/>
                <w:color w:val="auto"/>
              </w:rPr>
            </w:pPr>
          </w:p>
        </w:tc>
        <w:tc>
          <w:tcPr>
            <w:tcW w:w="1760" w:type="dxa"/>
            <w:vAlign w:val="bottom"/>
          </w:tcPr>
          <w:p>
            <w:pPr>
              <w:ind w:left="600"/>
              <w:spacing w:after="0"/>
              <w:rPr>
                <w:sz w:val="20"/>
                <w:szCs w:val="20"/>
                <w:color w:val="auto"/>
              </w:rPr>
            </w:pPr>
            <w:r>
              <w:rPr>
                <w:rFonts w:ascii="Arial" w:cs="Arial" w:eastAsia="Arial" w:hAnsi="Arial"/>
                <w:sz w:val="12"/>
                <w:szCs w:val="12"/>
                <w:b w:val="1"/>
                <w:bCs w:val="1"/>
                <w:color w:val="205BA8"/>
                <w:w w:val="98"/>
              </w:rPr>
              <w:t>Estimate ($ Millions)</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ind w:left="560"/>
              <w:spacing w:after="0"/>
              <w:rPr>
                <w:sz w:val="20"/>
                <w:szCs w:val="20"/>
                <w:color w:val="auto"/>
              </w:rPr>
            </w:pPr>
            <w:r>
              <w:rPr>
                <w:rFonts w:ascii="Arial" w:cs="Arial" w:eastAsia="Arial" w:hAnsi="Arial"/>
                <w:sz w:val="12"/>
                <w:szCs w:val="12"/>
                <w:b w:val="1"/>
                <w:bCs w:val="1"/>
                <w:color w:val="205BA8"/>
              </w:rPr>
              <w:t>(as of last 10-K filing)</w:t>
            </w:r>
          </w:p>
        </w:tc>
        <w:tc>
          <w:tcPr>
            <w:tcW w:w="520" w:type="dxa"/>
            <w:vAlign w:val="bottom"/>
          </w:tcPr>
          <w:p>
            <w:pPr>
              <w:spacing w:after="0"/>
              <w:rPr>
                <w:sz w:val="16"/>
                <w:szCs w:val="16"/>
                <w:color w:val="auto"/>
              </w:rPr>
            </w:pPr>
          </w:p>
        </w:tc>
      </w:tr>
      <w:tr>
        <w:trPr>
          <w:trHeight w:val="47"/>
        </w:trPr>
        <w:tc>
          <w:tcPr>
            <w:tcW w:w="1520" w:type="dxa"/>
            <w:vAlign w:val="bottom"/>
            <w:tcBorders>
              <w:bottom w:val="single" w:sz="8" w:color="1F5AA8"/>
            </w:tcBorders>
          </w:tcPr>
          <w:p>
            <w:pPr>
              <w:spacing w:after="0"/>
              <w:rPr>
                <w:sz w:val="4"/>
                <w:szCs w:val="4"/>
                <w:color w:val="auto"/>
              </w:rPr>
            </w:pPr>
          </w:p>
        </w:tc>
        <w:tc>
          <w:tcPr>
            <w:tcW w:w="740" w:type="dxa"/>
            <w:vAlign w:val="bottom"/>
            <w:tcBorders>
              <w:bottom w:val="single" w:sz="8" w:color="1F5AA8"/>
            </w:tcBorders>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tcBorders>
              <w:bottom w:val="single" w:sz="8" w:color="1F5AA8"/>
            </w:tcBorders>
          </w:tcPr>
          <w:p>
            <w:pPr>
              <w:spacing w:after="0"/>
              <w:rPr>
                <w:sz w:val="4"/>
                <w:szCs w:val="4"/>
                <w:color w:val="auto"/>
              </w:rPr>
            </w:pPr>
          </w:p>
        </w:tc>
        <w:tc>
          <w:tcPr>
            <w:tcW w:w="840" w:type="dxa"/>
            <w:vAlign w:val="bottom"/>
            <w:tcBorders>
              <w:bottom w:val="single" w:sz="8" w:color="1F5AA8"/>
            </w:tcBorders>
          </w:tcPr>
          <w:p>
            <w:pPr>
              <w:spacing w:after="0"/>
              <w:rPr>
                <w:sz w:val="4"/>
                <w:szCs w:val="4"/>
                <w:color w:val="auto"/>
              </w:rPr>
            </w:pPr>
          </w:p>
        </w:tc>
        <w:tc>
          <w:tcPr>
            <w:tcW w:w="300" w:type="dxa"/>
            <w:vAlign w:val="bottom"/>
          </w:tcPr>
          <w:p>
            <w:pPr>
              <w:spacing w:after="0"/>
              <w:rPr>
                <w:sz w:val="4"/>
                <w:szCs w:val="4"/>
                <w:color w:val="auto"/>
              </w:rPr>
            </w:pPr>
          </w:p>
        </w:tc>
        <w:tc>
          <w:tcPr>
            <w:tcW w:w="1760" w:type="dxa"/>
            <w:vAlign w:val="bottom"/>
            <w:tcBorders>
              <w:bottom w:val="single" w:sz="8" w:color="1F5AA8"/>
            </w:tcBorders>
          </w:tcPr>
          <w:p>
            <w:pPr>
              <w:spacing w:after="0"/>
              <w:rPr>
                <w:sz w:val="4"/>
                <w:szCs w:val="4"/>
                <w:color w:val="auto"/>
              </w:rPr>
            </w:pPr>
          </w:p>
        </w:tc>
        <w:tc>
          <w:tcPr>
            <w:tcW w:w="560" w:type="dxa"/>
            <w:vAlign w:val="bottom"/>
            <w:tcBorders>
              <w:bottom w:val="single" w:sz="8" w:color="1F5AA8"/>
            </w:tcBorders>
          </w:tcPr>
          <w:p>
            <w:pPr>
              <w:spacing w:after="0"/>
              <w:rPr>
                <w:sz w:val="4"/>
                <w:szCs w:val="4"/>
                <w:color w:val="auto"/>
              </w:rPr>
            </w:pPr>
          </w:p>
        </w:tc>
        <w:tc>
          <w:tcPr>
            <w:tcW w:w="300" w:type="dxa"/>
            <w:vAlign w:val="bottom"/>
          </w:tcPr>
          <w:p>
            <w:pPr>
              <w:spacing w:after="0"/>
              <w:rPr>
                <w:sz w:val="4"/>
                <w:szCs w:val="4"/>
                <w:color w:val="auto"/>
              </w:rPr>
            </w:pPr>
          </w:p>
        </w:tc>
        <w:tc>
          <w:tcPr>
            <w:tcW w:w="1800" w:type="dxa"/>
            <w:vAlign w:val="bottom"/>
            <w:tcBorders>
              <w:bottom w:val="single" w:sz="8" w:color="1F5AA8"/>
            </w:tcBorders>
          </w:tcPr>
          <w:p>
            <w:pPr>
              <w:spacing w:after="0"/>
              <w:rPr>
                <w:sz w:val="4"/>
                <w:szCs w:val="4"/>
                <w:color w:val="auto"/>
              </w:rPr>
            </w:pPr>
          </w:p>
        </w:tc>
        <w:tc>
          <w:tcPr>
            <w:tcW w:w="520" w:type="dxa"/>
            <w:vAlign w:val="bottom"/>
            <w:tcBorders>
              <w:bottom w:val="single" w:sz="8" w:color="1F5AA8"/>
            </w:tcBorders>
          </w:tcPr>
          <w:p>
            <w:pPr>
              <w:spacing w:after="0"/>
              <w:rPr>
                <w:sz w:val="4"/>
                <w:szCs w:val="4"/>
                <w:color w:val="auto"/>
              </w:rPr>
            </w:pPr>
          </w:p>
        </w:tc>
      </w:tr>
      <w:tr>
        <w:trPr>
          <w:trHeight w:val="209"/>
        </w:trPr>
        <w:tc>
          <w:tcPr>
            <w:tcW w:w="1520" w:type="dxa"/>
            <w:vAlign w:val="bottom"/>
          </w:tcPr>
          <w:p>
            <w:pPr>
              <w:ind w:left="60"/>
              <w:spacing w:after="0"/>
              <w:rPr>
                <w:sz w:val="20"/>
                <w:szCs w:val="20"/>
                <w:color w:val="auto"/>
              </w:rPr>
            </w:pPr>
            <w:r>
              <w:rPr>
                <w:rFonts w:ascii="Arial" w:cs="Arial" w:eastAsia="Arial" w:hAnsi="Arial"/>
                <w:sz w:val="13"/>
                <w:szCs w:val="13"/>
                <w:color w:val="auto"/>
              </w:rPr>
              <w:t>Merck</w:t>
            </w:r>
          </w:p>
        </w:tc>
        <w:tc>
          <w:tcPr>
            <w:tcW w:w="740" w:type="dxa"/>
            <w:vAlign w:val="bottom"/>
          </w:tcPr>
          <w:p>
            <w:pPr>
              <w:jc w:val="right"/>
              <w:spacing w:after="0"/>
              <w:rPr>
                <w:sz w:val="20"/>
                <w:szCs w:val="20"/>
                <w:color w:val="auto"/>
              </w:rPr>
            </w:pPr>
            <w:r>
              <w:rPr>
                <w:rFonts w:ascii="Arial" w:cs="Arial" w:eastAsia="Arial" w:hAnsi="Arial"/>
                <w:sz w:val="13"/>
                <w:szCs w:val="13"/>
                <w:color w:val="auto"/>
              </w:rPr>
              <w:t>$203,745</w:t>
            </w:r>
          </w:p>
        </w:tc>
        <w:tc>
          <w:tcPr>
            <w:tcW w:w="32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Arial" w:cs="Arial" w:eastAsia="Arial" w:hAnsi="Arial"/>
                <w:sz w:val="13"/>
                <w:szCs w:val="13"/>
                <w:color w:val="auto"/>
              </w:rPr>
              <w:t>Merck</w:t>
            </w:r>
          </w:p>
        </w:tc>
        <w:tc>
          <w:tcPr>
            <w:tcW w:w="840" w:type="dxa"/>
            <w:vAlign w:val="bottom"/>
          </w:tcPr>
          <w:p>
            <w:pPr>
              <w:jc w:val="right"/>
              <w:spacing w:after="0"/>
              <w:rPr>
                <w:sz w:val="20"/>
                <w:szCs w:val="20"/>
                <w:color w:val="auto"/>
              </w:rPr>
            </w:pPr>
            <w:r>
              <w:rPr>
                <w:rFonts w:ascii="Arial" w:cs="Arial" w:eastAsia="Arial" w:hAnsi="Arial"/>
                <w:sz w:val="13"/>
                <w:szCs w:val="13"/>
                <w:color w:val="auto"/>
              </w:rPr>
              <w:t>$211,379</w:t>
            </w:r>
          </w:p>
        </w:tc>
        <w:tc>
          <w:tcPr>
            <w:tcW w:w="300" w:type="dxa"/>
            <w:vAlign w:val="bottom"/>
          </w:tcPr>
          <w:p>
            <w:pPr>
              <w:spacing w:after="0"/>
              <w:rPr>
                <w:sz w:val="18"/>
                <w:szCs w:val="18"/>
                <w:color w:val="auto"/>
              </w:rPr>
            </w:pPr>
          </w:p>
        </w:tc>
        <w:tc>
          <w:tcPr>
            <w:tcW w:w="1760" w:type="dxa"/>
            <w:vAlign w:val="bottom"/>
          </w:tcPr>
          <w:p>
            <w:pPr>
              <w:ind w:left="60"/>
              <w:spacing w:after="0"/>
              <w:rPr>
                <w:sz w:val="20"/>
                <w:szCs w:val="20"/>
                <w:color w:val="auto"/>
              </w:rPr>
            </w:pPr>
            <w:r>
              <w:rPr>
                <w:rFonts w:ascii="Arial" w:cs="Arial" w:eastAsia="Arial" w:hAnsi="Arial"/>
                <w:sz w:val="13"/>
                <w:szCs w:val="13"/>
                <w:color w:val="auto"/>
              </w:rPr>
              <w:t>AbbVie</w:t>
            </w:r>
          </w:p>
        </w:tc>
        <w:tc>
          <w:tcPr>
            <w:tcW w:w="560" w:type="dxa"/>
            <w:vAlign w:val="bottom"/>
          </w:tcPr>
          <w:p>
            <w:pPr>
              <w:jc w:val="right"/>
              <w:spacing w:after="0"/>
              <w:rPr>
                <w:sz w:val="20"/>
                <w:szCs w:val="20"/>
                <w:color w:val="auto"/>
              </w:rPr>
            </w:pPr>
            <w:r>
              <w:rPr>
                <w:rFonts w:ascii="Arial" w:cs="Arial" w:eastAsia="Arial" w:hAnsi="Arial"/>
                <w:sz w:val="13"/>
                <w:szCs w:val="13"/>
                <w:color w:val="auto"/>
              </w:rPr>
              <w:t>$45,052</w:t>
            </w:r>
          </w:p>
        </w:tc>
        <w:tc>
          <w:tcPr>
            <w:tcW w:w="30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3"/>
                <w:szCs w:val="13"/>
                <w:color w:val="auto"/>
              </w:rPr>
              <w:t>Merck</w:t>
            </w:r>
          </w:p>
        </w:tc>
        <w:tc>
          <w:tcPr>
            <w:tcW w:w="520" w:type="dxa"/>
            <w:vAlign w:val="bottom"/>
          </w:tcPr>
          <w:p>
            <w:pPr>
              <w:jc w:val="right"/>
              <w:spacing w:after="0"/>
              <w:rPr>
                <w:sz w:val="20"/>
                <w:szCs w:val="20"/>
                <w:color w:val="auto"/>
              </w:rPr>
            </w:pPr>
            <w:r>
              <w:rPr>
                <w:rFonts w:ascii="Arial" w:cs="Arial" w:eastAsia="Arial" w:hAnsi="Arial"/>
                <w:sz w:val="13"/>
                <w:szCs w:val="13"/>
                <w:color w:val="auto"/>
              </w:rPr>
              <w:t>71,000</w:t>
            </w:r>
          </w:p>
        </w:tc>
      </w:tr>
      <w:tr>
        <w:trPr>
          <w:trHeight w:val="41"/>
        </w:trPr>
        <w:tc>
          <w:tcPr>
            <w:tcW w:w="1520" w:type="dxa"/>
            <w:vAlign w:val="bottom"/>
            <w:tcBorders>
              <w:bottom w:val="single" w:sz="8" w:color="58585A"/>
            </w:tcBorders>
          </w:tcPr>
          <w:p>
            <w:pPr>
              <w:spacing w:after="0"/>
              <w:rPr>
                <w:sz w:val="3"/>
                <w:szCs w:val="3"/>
                <w:color w:val="auto"/>
              </w:rPr>
            </w:pPr>
          </w:p>
        </w:tc>
        <w:tc>
          <w:tcPr>
            <w:tcW w:w="740" w:type="dxa"/>
            <w:vAlign w:val="bottom"/>
            <w:tcBorders>
              <w:bottom w:val="single" w:sz="8" w:color="58585A"/>
            </w:tcBorders>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Borders>
              <w:bottom w:val="single" w:sz="8" w:color="58585A"/>
            </w:tcBorders>
          </w:tcPr>
          <w:p>
            <w:pPr>
              <w:spacing w:after="0"/>
              <w:rPr>
                <w:sz w:val="3"/>
                <w:szCs w:val="3"/>
                <w:color w:val="auto"/>
              </w:rPr>
            </w:pPr>
          </w:p>
        </w:tc>
        <w:tc>
          <w:tcPr>
            <w:tcW w:w="84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Borders>
              <w:bottom w:val="single" w:sz="8" w:color="58585A"/>
            </w:tcBorders>
          </w:tcPr>
          <w:p>
            <w:pPr>
              <w:spacing w:after="0"/>
              <w:rPr>
                <w:sz w:val="3"/>
                <w:szCs w:val="3"/>
                <w:color w:val="auto"/>
              </w:rPr>
            </w:pPr>
          </w:p>
        </w:tc>
        <w:tc>
          <w:tcPr>
            <w:tcW w:w="56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800" w:type="dxa"/>
            <w:vAlign w:val="bottom"/>
            <w:tcBorders>
              <w:bottom w:val="single" w:sz="8" w:color="58585A"/>
            </w:tcBorders>
          </w:tcPr>
          <w:p>
            <w:pPr>
              <w:spacing w:after="0"/>
              <w:rPr>
                <w:sz w:val="3"/>
                <w:szCs w:val="3"/>
                <w:color w:val="auto"/>
              </w:rPr>
            </w:pPr>
          </w:p>
        </w:tc>
        <w:tc>
          <w:tcPr>
            <w:tcW w:w="520" w:type="dxa"/>
            <w:vAlign w:val="bottom"/>
            <w:tcBorders>
              <w:bottom w:val="single" w:sz="8" w:color="58585A"/>
            </w:tcBorders>
          </w:tcPr>
          <w:p>
            <w:pPr>
              <w:spacing w:after="0"/>
              <w:rPr>
                <w:sz w:val="3"/>
                <w:szCs w:val="3"/>
                <w:color w:val="auto"/>
              </w:rPr>
            </w:pPr>
          </w:p>
        </w:tc>
      </w:tr>
      <w:tr>
        <w:trPr>
          <w:trHeight w:val="209"/>
        </w:trPr>
        <w:tc>
          <w:tcPr>
            <w:tcW w:w="1520" w:type="dxa"/>
            <w:vAlign w:val="bottom"/>
          </w:tcPr>
          <w:p>
            <w:pPr>
              <w:ind w:left="60"/>
              <w:spacing w:after="0"/>
              <w:rPr>
                <w:sz w:val="20"/>
                <w:szCs w:val="20"/>
                <w:color w:val="auto"/>
              </w:rPr>
            </w:pPr>
            <w:r>
              <w:rPr>
                <w:rFonts w:ascii="Arial" w:cs="Arial" w:eastAsia="Arial" w:hAnsi="Arial"/>
                <w:sz w:val="13"/>
                <w:szCs w:val="13"/>
                <w:color w:val="auto"/>
              </w:rPr>
              <w:t>AbbVie</w:t>
            </w:r>
          </w:p>
        </w:tc>
        <w:tc>
          <w:tcPr>
            <w:tcW w:w="740" w:type="dxa"/>
            <w:vAlign w:val="bottom"/>
          </w:tcPr>
          <w:p>
            <w:pPr>
              <w:jc w:val="right"/>
              <w:spacing w:after="0"/>
              <w:rPr>
                <w:sz w:val="20"/>
                <w:szCs w:val="20"/>
                <w:color w:val="auto"/>
              </w:rPr>
            </w:pPr>
            <w:r>
              <w:rPr>
                <w:rFonts w:ascii="Arial" w:cs="Arial" w:eastAsia="Arial" w:hAnsi="Arial"/>
                <w:sz w:val="13"/>
                <w:szCs w:val="13"/>
                <w:color w:val="auto"/>
              </w:rPr>
              <w:t>$163,316</w:t>
            </w:r>
          </w:p>
        </w:tc>
        <w:tc>
          <w:tcPr>
            <w:tcW w:w="32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Arial" w:cs="Arial" w:eastAsia="Arial" w:hAnsi="Arial"/>
                <w:sz w:val="13"/>
                <w:szCs w:val="13"/>
                <w:color w:val="auto"/>
              </w:rPr>
              <w:t>Amgen</w:t>
            </w:r>
          </w:p>
        </w:tc>
        <w:tc>
          <w:tcPr>
            <w:tcW w:w="840" w:type="dxa"/>
            <w:vAlign w:val="bottom"/>
          </w:tcPr>
          <w:p>
            <w:pPr>
              <w:jc w:val="right"/>
              <w:spacing w:after="0"/>
              <w:rPr>
                <w:sz w:val="20"/>
                <w:szCs w:val="20"/>
                <w:color w:val="auto"/>
              </w:rPr>
            </w:pPr>
            <w:r>
              <w:rPr>
                <w:rFonts w:ascii="Arial" w:cs="Arial" w:eastAsia="Arial" w:hAnsi="Arial"/>
                <w:sz w:val="13"/>
                <w:szCs w:val="13"/>
                <w:color w:val="auto"/>
              </w:rPr>
              <w:t>$119,280</w:t>
            </w:r>
          </w:p>
        </w:tc>
        <w:tc>
          <w:tcPr>
            <w:tcW w:w="300" w:type="dxa"/>
            <w:vAlign w:val="bottom"/>
          </w:tcPr>
          <w:p>
            <w:pPr>
              <w:spacing w:after="0"/>
              <w:rPr>
                <w:sz w:val="18"/>
                <w:szCs w:val="18"/>
                <w:color w:val="auto"/>
              </w:rPr>
            </w:pPr>
          </w:p>
        </w:tc>
        <w:tc>
          <w:tcPr>
            <w:tcW w:w="1760" w:type="dxa"/>
            <w:vAlign w:val="bottom"/>
          </w:tcPr>
          <w:p>
            <w:pPr>
              <w:ind w:left="60"/>
              <w:spacing w:after="0"/>
              <w:rPr>
                <w:sz w:val="20"/>
                <w:szCs w:val="20"/>
                <w:color w:val="auto"/>
              </w:rPr>
            </w:pPr>
            <w:r>
              <w:rPr>
                <w:rFonts w:ascii="Arial" w:cs="Arial" w:eastAsia="Arial" w:hAnsi="Arial"/>
                <w:sz w:val="13"/>
                <w:szCs w:val="13"/>
                <w:color w:val="auto"/>
              </w:rPr>
              <w:t>Bristol Myers Squibb</w:t>
            </w:r>
          </w:p>
        </w:tc>
        <w:tc>
          <w:tcPr>
            <w:tcW w:w="560" w:type="dxa"/>
            <w:vAlign w:val="bottom"/>
          </w:tcPr>
          <w:p>
            <w:pPr>
              <w:jc w:val="right"/>
              <w:spacing w:after="0"/>
              <w:rPr>
                <w:sz w:val="20"/>
                <w:szCs w:val="20"/>
                <w:color w:val="auto"/>
              </w:rPr>
            </w:pPr>
            <w:r>
              <w:rPr>
                <w:rFonts w:ascii="Arial" w:cs="Arial" w:eastAsia="Arial" w:hAnsi="Arial"/>
                <w:sz w:val="13"/>
                <w:szCs w:val="13"/>
                <w:color w:val="auto"/>
              </w:rPr>
              <w:t>$41,932</w:t>
            </w:r>
          </w:p>
        </w:tc>
        <w:tc>
          <w:tcPr>
            <w:tcW w:w="30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3"/>
                <w:szCs w:val="13"/>
                <w:color w:val="auto"/>
              </w:rPr>
              <w:t>Lilly</w:t>
            </w:r>
          </w:p>
        </w:tc>
        <w:tc>
          <w:tcPr>
            <w:tcW w:w="520" w:type="dxa"/>
            <w:vAlign w:val="bottom"/>
          </w:tcPr>
          <w:p>
            <w:pPr>
              <w:jc w:val="right"/>
              <w:spacing w:after="0"/>
              <w:rPr>
                <w:sz w:val="20"/>
                <w:szCs w:val="20"/>
                <w:color w:val="auto"/>
              </w:rPr>
            </w:pPr>
            <w:r>
              <w:rPr>
                <w:rFonts w:ascii="Arial" w:cs="Arial" w:eastAsia="Arial" w:hAnsi="Arial"/>
                <w:sz w:val="13"/>
                <w:szCs w:val="13"/>
                <w:color w:val="auto"/>
              </w:rPr>
              <w:t>33,625</w:t>
            </w:r>
          </w:p>
        </w:tc>
      </w:tr>
      <w:tr>
        <w:trPr>
          <w:trHeight w:val="41"/>
        </w:trPr>
        <w:tc>
          <w:tcPr>
            <w:tcW w:w="1520" w:type="dxa"/>
            <w:vAlign w:val="bottom"/>
            <w:tcBorders>
              <w:bottom w:val="single" w:sz="8" w:color="58585A"/>
            </w:tcBorders>
          </w:tcPr>
          <w:p>
            <w:pPr>
              <w:spacing w:after="0"/>
              <w:rPr>
                <w:sz w:val="3"/>
                <w:szCs w:val="3"/>
                <w:color w:val="auto"/>
              </w:rPr>
            </w:pPr>
          </w:p>
        </w:tc>
        <w:tc>
          <w:tcPr>
            <w:tcW w:w="740" w:type="dxa"/>
            <w:vAlign w:val="bottom"/>
            <w:tcBorders>
              <w:bottom w:val="single" w:sz="8" w:color="58585A"/>
            </w:tcBorders>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Borders>
              <w:bottom w:val="single" w:sz="8" w:color="58585A"/>
            </w:tcBorders>
          </w:tcPr>
          <w:p>
            <w:pPr>
              <w:spacing w:after="0"/>
              <w:rPr>
                <w:sz w:val="3"/>
                <w:szCs w:val="3"/>
                <w:color w:val="auto"/>
              </w:rPr>
            </w:pPr>
          </w:p>
        </w:tc>
        <w:tc>
          <w:tcPr>
            <w:tcW w:w="84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Borders>
              <w:bottom w:val="single" w:sz="8" w:color="58585A"/>
            </w:tcBorders>
          </w:tcPr>
          <w:p>
            <w:pPr>
              <w:spacing w:after="0"/>
              <w:rPr>
                <w:sz w:val="3"/>
                <w:szCs w:val="3"/>
                <w:color w:val="auto"/>
              </w:rPr>
            </w:pPr>
          </w:p>
        </w:tc>
        <w:tc>
          <w:tcPr>
            <w:tcW w:w="56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800" w:type="dxa"/>
            <w:vAlign w:val="bottom"/>
            <w:tcBorders>
              <w:bottom w:val="single" w:sz="8" w:color="58585A"/>
            </w:tcBorders>
          </w:tcPr>
          <w:p>
            <w:pPr>
              <w:spacing w:after="0"/>
              <w:rPr>
                <w:sz w:val="3"/>
                <w:szCs w:val="3"/>
                <w:color w:val="auto"/>
              </w:rPr>
            </w:pPr>
          </w:p>
        </w:tc>
        <w:tc>
          <w:tcPr>
            <w:tcW w:w="520" w:type="dxa"/>
            <w:vAlign w:val="bottom"/>
            <w:tcBorders>
              <w:bottom w:val="single" w:sz="8" w:color="58585A"/>
            </w:tcBorders>
          </w:tcPr>
          <w:p>
            <w:pPr>
              <w:spacing w:after="0"/>
              <w:rPr>
                <w:sz w:val="3"/>
                <w:szCs w:val="3"/>
                <w:color w:val="auto"/>
              </w:rPr>
            </w:pPr>
          </w:p>
        </w:tc>
      </w:tr>
      <w:tr>
        <w:trPr>
          <w:trHeight w:val="209"/>
        </w:trPr>
        <w:tc>
          <w:tcPr>
            <w:tcW w:w="1520" w:type="dxa"/>
            <w:vAlign w:val="bottom"/>
          </w:tcPr>
          <w:p>
            <w:pPr>
              <w:ind w:left="60"/>
              <w:spacing w:after="0"/>
              <w:rPr>
                <w:sz w:val="20"/>
                <w:szCs w:val="20"/>
                <w:color w:val="auto"/>
              </w:rPr>
            </w:pPr>
            <w:r>
              <w:rPr>
                <w:rFonts w:ascii="Arial" w:cs="Arial" w:eastAsia="Arial" w:hAnsi="Arial"/>
                <w:sz w:val="13"/>
                <w:szCs w:val="13"/>
                <w:color w:val="auto"/>
              </w:rPr>
              <w:t>Lilly</w:t>
            </w:r>
          </w:p>
        </w:tc>
        <w:tc>
          <w:tcPr>
            <w:tcW w:w="740" w:type="dxa"/>
            <w:vAlign w:val="bottom"/>
          </w:tcPr>
          <w:p>
            <w:pPr>
              <w:jc w:val="right"/>
              <w:spacing w:after="0"/>
              <w:rPr>
                <w:sz w:val="20"/>
                <w:szCs w:val="20"/>
                <w:color w:val="auto"/>
              </w:rPr>
            </w:pPr>
            <w:r>
              <w:rPr>
                <w:rFonts w:ascii="Arial" w:cs="Arial" w:eastAsia="Arial" w:hAnsi="Arial"/>
                <w:sz w:val="13"/>
                <w:szCs w:val="13"/>
                <w:color w:val="auto"/>
              </w:rPr>
              <w:t>$138,642</w:t>
            </w:r>
          </w:p>
        </w:tc>
        <w:tc>
          <w:tcPr>
            <w:tcW w:w="32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Arial" w:cs="Arial" w:eastAsia="Arial" w:hAnsi="Arial"/>
                <w:sz w:val="13"/>
                <w:szCs w:val="13"/>
                <w:color w:val="auto"/>
              </w:rPr>
              <w:t>AbbVie</w:t>
            </w:r>
          </w:p>
        </w:tc>
        <w:tc>
          <w:tcPr>
            <w:tcW w:w="840" w:type="dxa"/>
            <w:vAlign w:val="bottom"/>
          </w:tcPr>
          <w:p>
            <w:pPr>
              <w:jc w:val="right"/>
              <w:spacing w:after="0"/>
              <w:rPr>
                <w:sz w:val="20"/>
                <w:szCs w:val="20"/>
                <w:color w:val="auto"/>
              </w:rPr>
            </w:pPr>
            <w:r>
              <w:rPr>
                <w:rFonts w:ascii="Arial" w:cs="Arial" w:eastAsia="Arial" w:hAnsi="Arial"/>
                <w:sz w:val="13"/>
                <w:szCs w:val="13"/>
                <w:color w:val="auto"/>
              </w:rPr>
              <w:t>$115,641</w:t>
            </w:r>
          </w:p>
        </w:tc>
        <w:tc>
          <w:tcPr>
            <w:tcW w:w="300" w:type="dxa"/>
            <w:vAlign w:val="bottom"/>
          </w:tcPr>
          <w:p>
            <w:pPr>
              <w:spacing w:after="0"/>
              <w:rPr>
                <w:sz w:val="18"/>
                <w:szCs w:val="18"/>
                <w:color w:val="auto"/>
              </w:rPr>
            </w:pPr>
          </w:p>
        </w:tc>
        <w:tc>
          <w:tcPr>
            <w:tcW w:w="1760" w:type="dxa"/>
            <w:vAlign w:val="bottom"/>
          </w:tcPr>
          <w:p>
            <w:pPr>
              <w:ind w:left="60"/>
              <w:spacing w:after="0"/>
              <w:rPr>
                <w:sz w:val="20"/>
                <w:szCs w:val="20"/>
                <w:color w:val="auto"/>
              </w:rPr>
            </w:pPr>
            <w:r>
              <w:rPr>
                <w:rFonts w:ascii="Arial" w:cs="Arial" w:eastAsia="Arial" w:hAnsi="Arial"/>
                <w:sz w:val="13"/>
                <w:szCs w:val="13"/>
                <w:color w:val="auto"/>
              </w:rPr>
              <w:t>Merck</w:t>
            </w:r>
          </w:p>
        </w:tc>
        <w:tc>
          <w:tcPr>
            <w:tcW w:w="560" w:type="dxa"/>
            <w:vAlign w:val="bottom"/>
          </w:tcPr>
          <w:p>
            <w:pPr>
              <w:jc w:val="right"/>
              <w:spacing w:after="0"/>
              <w:rPr>
                <w:sz w:val="20"/>
                <w:szCs w:val="20"/>
                <w:color w:val="auto"/>
              </w:rPr>
            </w:pPr>
            <w:r>
              <w:rPr>
                <w:rFonts w:ascii="Arial" w:cs="Arial" w:eastAsia="Arial" w:hAnsi="Arial"/>
                <w:sz w:val="13"/>
                <w:szCs w:val="13"/>
                <w:color w:val="auto"/>
              </w:rPr>
              <w:t>$40,828</w:t>
            </w:r>
          </w:p>
        </w:tc>
        <w:tc>
          <w:tcPr>
            <w:tcW w:w="30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3"/>
                <w:szCs w:val="13"/>
                <w:color w:val="auto"/>
              </w:rPr>
              <w:t>AbbVie</w:t>
            </w:r>
          </w:p>
        </w:tc>
        <w:tc>
          <w:tcPr>
            <w:tcW w:w="520" w:type="dxa"/>
            <w:vAlign w:val="bottom"/>
          </w:tcPr>
          <w:p>
            <w:pPr>
              <w:jc w:val="right"/>
              <w:spacing w:after="0"/>
              <w:rPr>
                <w:sz w:val="20"/>
                <w:szCs w:val="20"/>
                <w:color w:val="auto"/>
              </w:rPr>
            </w:pPr>
            <w:r>
              <w:rPr>
                <w:rFonts w:ascii="Arial" w:cs="Arial" w:eastAsia="Arial" w:hAnsi="Arial"/>
                <w:sz w:val="13"/>
                <w:szCs w:val="13"/>
                <w:color w:val="auto"/>
              </w:rPr>
              <w:t>30,000</w:t>
            </w:r>
          </w:p>
        </w:tc>
      </w:tr>
      <w:tr>
        <w:trPr>
          <w:trHeight w:val="41"/>
        </w:trPr>
        <w:tc>
          <w:tcPr>
            <w:tcW w:w="1520" w:type="dxa"/>
            <w:vAlign w:val="bottom"/>
            <w:tcBorders>
              <w:bottom w:val="single" w:sz="8" w:color="58585A"/>
            </w:tcBorders>
          </w:tcPr>
          <w:p>
            <w:pPr>
              <w:spacing w:after="0"/>
              <w:rPr>
                <w:sz w:val="3"/>
                <w:szCs w:val="3"/>
                <w:color w:val="auto"/>
              </w:rPr>
            </w:pPr>
          </w:p>
        </w:tc>
        <w:tc>
          <w:tcPr>
            <w:tcW w:w="740" w:type="dxa"/>
            <w:vAlign w:val="bottom"/>
            <w:tcBorders>
              <w:bottom w:val="single" w:sz="8" w:color="58585A"/>
            </w:tcBorders>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Borders>
              <w:bottom w:val="single" w:sz="8" w:color="58585A"/>
            </w:tcBorders>
          </w:tcPr>
          <w:p>
            <w:pPr>
              <w:spacing w:after="0"/>
              <w:rPr>
                <w:sz w:val="3"/>
                <w:szCs w:val="3"/>
                <w:color w:val="auto"/>
              </w:rPr>
            </w:pPr>
          </w:p>
        </w:tc>
        <w:tc>
          <w:tcPr>
            <w:tcW w:w="84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Borders>
              <w:bottom w:val="single" w:sz="8" w:color="58585A"/>
            </w:tcBorders>
          </w:tcPr>
          <w:p>
            <w:pPr>
              <w:spacing w:after="0"/>
              <w:rPr>
                <w:sz w:val="3"/>
                <w:szCs w:val="3"/>
                <w:color w:val="auto"/>
              </w:rPr>
            </w:pPr>
          </w:p>
        </w:tc>
        <w:tc>
          <w:tcPr>
            <w:tcW w:w="56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800" w:type="dxa"/>
            <w:vAlign w:val="bottom"/>
            <w:tcBorders>
              <w:bottom w:val="single" w:sz="8" w:color="58585A"/>
            </w:tcBorders>
          </w:tcPr>
          <w:p>
            <w:pPr>
              <w:spacing w:after="0"/>
              <w:rPr>
                <w:sz w:val="3"/>
                <w:szCs w:val="3"/>
                <w:color w:val="auto"/>
              </w:rPr>
            </w:pPr>
          </w:p>
        </w:tc>
        <w:tc>
          <w:tcPr>
            <w:tcW w:w="520" w:type="dxa"/>
            <w:vAlign w:val="bottom"/>
            <w:tcBorders>
              <w:bottom w:val="single" w:sz="8" w:color="58585A"/>
            </w:tcBorders>
          </w:tcPr>
          <w:p>
            <w:pPr>
              <w:spacing w:after="0"/>
              <w:rPr>
                <w:sz w:val="3"/>
                <w:szCs w:val="3"/>
                <w:color w:val="auto"/>
              </w:rPr>
            </w:pPr>
          </w:p>
        </w:tc>
      </w:tr>
      <w:tr>
        <w:trPr>
          <w:trHeight w:val="209"/>
        </w:trPr>
        <w:tc>
          <w:tcPr>
            <w:tcW w:w="1520" w:type="dxa"/>
            <w:vAlign w:val="bottom"/>
          </w:tcPr>
          <w:p>
            <w:pPr>
              <w:ind w:left="60"/>
              <w:spacing w:after="0"/>
              <w:rPr>
                <w:sz w:val="20"/>
                <w:szCs w:val="20"/>
                <w:color w:val="auto"/>
              </w:rPr>
            </w:pPr>
            <w:r>
              <w:rPr>
                <w:rFonts w:ascii="Arial" w:cs="Arial" w:eastAsia="Arial" w:hAnsi="Arial"/>
                <w:sz w:val="13"/>
                <w:szCs w:val="13"/>
                <w:color w:val="auto"/>
              </w:rPr>
              <w:t>Bristol Myers Squibb</w:t>
            </w:r>
          </w:p>
        </w:tc>
        <w:tc>
          <w:tcPr>
            <w:tcW w:w="740" w:type="dxa"/>
            <w:vAlign w:val="bottom"/>
          </w:tcPr>
          <w:p>
            <w:pPr>
              <w:jc w:val="right"/>
              <w:spacing w:after="0"/>
              <w:rPr>
                <w:sz w:val="20"/>
                <w:szCs w:val="20"/>
                <w:color w:val="auto"/>
              </w:rPr>
            </w:pPr>
            <w:r>
              <w:rPr>
                <w:rFonts w:ascii="Arial" w:cs="Arial" w:eastAsia="Arial" w:hAnsi="Arial"/>
                <w:sz w:val="13"/>
                <w:szCs w:val="13"/>
                <w:color w:val="auto"/>
              </w:rPr>
              <w:t>$135,128</w:t>
            </w:r>
          </w:p>
        </w:tc>
        <w:tc>
          <w:tcPr>
            <w:tcW w:w="32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Arial" w:cs="Arial" w:eastAsia="Arial" w:hAnsi="Arial"/>
                <w:sz w:val="13"/>
                <w:szCs w:val="13"/>
                <w:color w:val="auto"/>
              </w:rPr>
              <w:t>Lilly</w:t>
            </w:r>
          </w:p>
        </w:tc>
        <w:tc>
          <w:tcPr>
            <w:tcW w:w="840" w:type="dxa"/>
            <w:vAlign w:val="bottom"/>
          </w:tcPr>
          <w:p>
            <w:pPr>
              <w:jc w:val="right"/>
              <w:spacing w:after="0"/>
              <w:rPr>
                <w:sz w:val="20"/>
                <w:szCs w:val="20"/>
                <w:color w:val="auto"/>
              </w:rPr>
            </w:pPr>
            <w:r>
              <w:rPr>
                <w:rFonts w:ascii="Arial" w:cs="Arial" w:eastAsia="Arial" w:hAnsi="Arial"/>
                <w:sz w:val="13"/>
                <w:szCs w:val="13"/>
                <w:color w:val="auto"/>
              </w:rPr>
              <w:t>$111,241</w:t>
            </w:r>
          </w:p>
        </w:tc>
        <w:tc>
          <w:tcPr>
            <w:tcW w:w="300" w:type="dxa"/>
            <w:vAlign w:val="bottom"/>
          </w:tcPr>
          <w:p>
            <w:pPr>
              <w:spacing w:after="0"/>
              <w:rPr>
                <w:sz w:val="18"/>
                <w:szCs w:val="18"/>
                <w:color w:val="auto"/>
              </w:rPr>
            </w:pPr>
          </w:p>
        </w:tc>
        <w:tc>
          <w:tcPr>
            <w:tcW w:w="1760" w:type="dxa"/>
            <w:vAlign w:val="bottom"/>
          </w:tcPr>
          <w:p>
            <w:pPr>
              <w:ind w:left="60"/>
              <w:spacing w:after="0"/>
              <w:rPr>
                <w:sz w:val="20"/>
                <w:szCs w:val="20"/>
                <w:color w:val="auto"/>
              </w:rPr>
            </w:pPr>
            <w:r>
              <w:rPr>
                <w:rFonts w:ascii="Arial" w:cs="Arial" w:eastAsia="Arial" w:hAnsi="Arial"/>
                <w:sz w:val="13"/>
                <w:szCs w:val="13"/>
                <w:color w:val="auto"/>
              </w:rPr>
              <w:t>Amgen</w:t>
            </w:r>
          </w:p>
        </w:tc>
        <w:tc>
          <w:tcPr>
            <w:tcW w:w="560" w:type="dxa"/>
            <w:vAlign w:val="bottom"/>
          </w:tcPr>
          <w:p>
            <w:pPr>
              <w:jc w:val="right"/>
              <w:spacing w:after="0"/>
              <w:rPr>
                <w:sz w:val="20"/>
                <w:szCs w:val="20"/>
                <w:color w:val="auto"/>
              </w:rPr>
            </w:pPr>
            <w:r>
              <w:rPr>
                <w:rFonts w:ascii="Arial" w:cs="Arial" w:eastAsia="Arial" w:hAnsi="Arial"/>
                <w:sz w:val="13"/>
                <w:szCs w:val="13"/>
                <w:color w:val="auto"/>
              </w:rPr>
              <w:t>$25,315</w:t>
            </w:r>
          </w:p>
        </w:tc>
        <w:tc>
          <w:tcPr>
            <w:tcW w:w="30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3"/>
                <w:szCs w:val="13"/>
                <w:color w:val="auto"/>
              </w:rPr>
              <w:t>Bristol Myers Squibb</w:t>
            </w:r>
          </w:p>
        </w:tc>
        <w:tc>
          <w:tcPr>
            <w:tcW w:w="520" w:type="dxa"/>
            <w:vAlign w:val="bottom"/>
          </w:tcPr>
          <w:p>
            <w:pPr>
              <w:jc w:val="right"/>
              <w:spacing w:after="0"/>
              <w:rPr>
                <w:sz w:val="20"/>
                <w:szCs w:val="20"/>
                <w:color w:val="auto"/>
              </w:rPr>
            </w:pPr>
            <w:r>
              <w:rPr>
                <w:rFonts w:ascii="Arial" w:cs="Arial" w:eastAsia="Arial" w:hAnsi="Arial"/>
                <w:sz w:val="13"/>
                <w:szCs w:val="13"/>
                <w:color w:val="auto"/>
              </w:rPr>
              <w:t>30,000</w:t>
            </w:r>
          </w:p>
        </w:tc>
      </w:tr>
      <w:tr>
        <w:trPr>
          <w:trHeight w:val="41"/>
        </w:trPr>
        <w:tc>
          <w:tcPr>
            <w:tcW w:w="1520" w:type="dxa"/>
            <w:vAlign w:val="bottom"/>
            <w:tcBorders>
              <w:bottom w:val="single" w:sz="8" w:color="58585A"/>
            </w:tcBorders>
          </w:tcPr>
          <w:p>
            <w:pPr>
              <w:spacing w:after="0"/>
              <w:rPr>
                <w:sz w:val="3"/>
                <w:szCs w:val="3"/>
                <w:color w:val="auto"/>
              </w:rPr>
            </w:pPr>
          </w:p>
        </w:tc>
        <w:tc>
          <w:tcPr>
            <w:tcW w:w="740" w:type="dxa"/>
            <w:vAlign w:val="bottom"/>
            <w:tcBorders>
              <w:bottom w:val="single" w:sz="8" w:color="58585A"/>
            </w:tcBorders>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Borders>
              <w:bottom w:val="single" w:sz="8" w:color="58585A"/>
            </w:tcBorders>
          </w:tcPr>
          <w:p>
            <w:pPr>
              <w:spacing w:after="0"/>
              <w:rPr>
                <w:sz w:val="3"/>
                <w:szCs w:val="3"/>
                <w:color w:val="auto"/>
              </w:rPr>
            </w:pPr>
          </w:p>
        </w:tc>
        <w:tc>
          <w:tcPr>
            <w:tcW w:w="84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Borders>
              <w:bottom w:val="single" w:sz="8" w:color="58585A"/>
            </w:tcBorders>
          </w:tcPr>
          <w:p>
            <w:pPr>
              <w:spacing w:after="0"/>
              <w:rPr>
                <w:sz w:val="3"/>
                <w:szCs w:val="3"/>
                <w:color w:val="auto"/>
              </w:rPr>
            </w:pPr>
          </w:p>
        </w:tc>
        <w:tc>
          <w:tcPr>
            <w:tcW w:w="56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800" w:type="dxa"/>
            <w:vAlign w:val="bottom"/>
            <w:tcBorders>
              <w:bottom w:val="single" w:sz="8" w:color="58585A"/>
            </w:tcBorders>
          </w:tcPr>
          <w:p>
            <w:pPr>
              <w:spacing w:after="0"/>
              <w:rPr>
                <w:sz w:val="3"/>
                <w:szCs w:val="3"/>
                <w:color w:val="auto"/>
              </w:rPr>
            </w:pPr>
          </w:p>
        </w:tc>
        <w:tc>
          <w:tcPr>
            <w:tcW w:w="520" w:type="dxa"/>
            <w:vAlign w:val="bottom"/>
            <w:tcBorders>
              <w:bottom w:val="single" w:sz="8" w:color="58585A"/>
            </w:tcBorders>
          </w:tcPr>
          <w:p>
            <w:pPr>
              <w:spacing w:after="0"/>
              <w:rPr>
                <w:sz w:val="3"/>
                <w:szCs w:val="3"/>
                <w:color w:val="auto"/>
              </w:rPr>
            </w:pPr>
          </w:p>
        </w:tc>
      </w:tr>
      <w:tr>
        <w:trPr>
          <w:trHeight w:val="209"/>
        </w:trPr>
        <w:tc>
          <w:tcPr>
            <w:tcW w:w="1520" w:type="dxa"/>
            <w:vAlign w:val="bottom"/>
          </w:tcPr>
          <w:p>
            <w:pPr>
              <w:ind w:left="60"/>
              <w:spacing w:after="0"/>
              <w:rPr>
                <w:sz w:val="20"/>
                <w:szCs w:val="20"/>
                <w:color w:val="auto"/>
              </w:rPr>
            </w:pPr>
            <w:r>
              <w:rPr>
                <w:rFonts w:ascii="Arial" w:cs="Arial" w:eastAsia="Arial" w:hAnsi="Arial"/>
                <w:sz w:val="13"/>
                <w:szCs w:val="13"/>
                <w:color w:val="auto"/>
              </w:rPr>
              <w:t>Amgen</w:t>
            </w:r>
          </w:p>
        </w:tc>
        <w:tc>
          <w:tcPr>
            <w:tcW w:w="740" w:type="dxa"/>
            <w:vAlign w:val="bottom"/>
          </w:tcPr>
          <w:p>
            <w:pPr>
              <w:jc w:val="right"/>
              <w:spacing w:after="0"/>
              <w:rPr>
                <w:sz w:val="20"/>
                <w:szCs w:val="20"/>
                <w:color w:val="auto"/>
              </w:rPr>
            </w:pPr>
            <w:r>
              <w:rPr>
                <w:rFonts w:ascii="Arial" w:cs="Arial" w:eastAsia="Arial" w:hAnsi="Arial"/>
                <w:sz w:val="13"/>
                <w:szCs w:val="13"/>
                <w:color w:val="auto"/>
              </w:rPr>
              <w:t>$135,120</w:t>
            </w:r>
          </w:p>
        </w:tc>
        <w:tc>
          <w:tcPr>
            <w:tcW w:w="32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Arial" w:cs="Arial" w:eastAsia="Arial" w:hAnsi="Arial"/>
                <w:sz w:val="13"/>
                <w:szCs w:val="13"/>
                <w:color w:val="auto"/>
              </w:rPr>
              <w:t>Bristol Myers Squibb</w:t>
            </w:r>
          </w:p>
        </w:tc>
        <w:tc>
          <w:tcPr>
            <w:tcW w:w="840" w:type="dxa"/>
            <w:vAlign w:val="bottom"/>
          </w:tcPr>
          <w:p>
            <w:pPr>
              <w:jc w:val="right"/>
              <w:spacing w:after="0"/>
              <w:rPr>
                <w:sz w:val="20"/>
                <w:szCs w:val="20"/>
                <w:color w:val="auto"/>
              </w:rPr>
            </w:pPr>
            <w:r>
              <w:rPr>
                <w:rFonts w:ascii="Arial" w:cs="Arial" w:eastAsia="Arial" w:hAnsi="Arial"/>
                <w:sz w:val="13"/>
                <w:szCs w:val="13"/>
                <w:color w:val="auto"/>
              </w:rPr>
              <w:t>$86,803</w:t>
            </w:r>
          </w:p>
        </w:tc>
        <w:tc>
          <w:tcPr>
            <w:tcW w:w="300" w:type="dxa"/>
            <w:vAlign w:val="bottom"/>
          </w:tcPr>
          <w:p>
            <w:pPr>
              <w:spacing w:after="0"/>
              <w:rPr>
                <w:sz w:val="18"/>
                <w:szCs w:val="18"/>
                <w:color w:val="auto"/>
              </w:rPr>
            </w:pPr>
          </w:p>
        </w:tc>
        <w:tc>
          <w:tcPr>
            <w:tcW w:w="1760" w:type="dxa"/>
            <w:vAlign w:val="bottom"/>
          </w:tcPr>
          <w:p>
            <w:pPr>
              <w:ind w:left="60"/>
              <w:spacing w:after="0"/>
              <w:rPr>
                <w:sz w:val="20"/>
                <w:szCs w:val="20"/>
                <w:color w:val="auto"/>
              </w:rPr>
            </w:pPr>
            <w:r>
              <w:rPr>
                <w:rFonts w:ascii="Arial" w:cs="Arial" w:eastAsia="Arial" w:hAnsi="Arial"/>
                <w:sz w:val="13"/>
                <w:szCs w:val="13"/>
                <w:color w:val="auto"/>
              </w:rPr>
              <w:t>Lilly</w:t>
            </w:r>
          </w:p>
        </w:tc>
        <w:tc>
          <w:tcPr>
            <w:tcW w:w="560" w:type="dxa"/>
            <w:vAlign w:val="bottom"/>
          </w:tcPr>
          <w:p>
            <w:pPr>
              <w:jc w:val="right"/>
              <w:spacing w:after="0"/>
              <w:rPr>
                <w:sz w:val="20"/>
                <w:szCs w:val="20"/>
                <w:color w:val="auto"/>
              </w:rPr>
            </w:pPr>
            <w:r>
              <w:rPr>
                <w:rFonts w:ascii="Arial" w:cs="Arial" w:eastAsia="Arial" w:hAnsi="Arial"/>
                <w:sz w:val="13"/>
                <w:szCs w:val="13"/>
                <w:color w:val="auto"/>
              </w:rPr>
              <w:t>$23,903</w:t>
            </w:r>
          </w:p>
        </w:tc>
        <w:tc>
          <w:tcPr>
            <w:tcW w:w="30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3"/>
                <w:szCs w:val="13"/>
                <w:color w:val="auto"/>
              </w:rPr>
              <w:t>Amgen</w:t>
            </w:r>
          </w:p>
        </w:tc>
        <w:tc>
          <w:tcPr>
            <w:tcW w:w="520" w:type="dxa"/>
            <w:vAlign w:val="bottom"/>
          </w:tcPr>
          <w:p>
            <w:pPr>
              <w:jc w:val="right"/>
              <w:spacing w:after="0"/>
              <w:rPr>
                <w:sz w:val="20"/>
                <w:szCs w:val="20"/>
                <w:color w:val="auto"/>
              </w:rPr>
            </w:pPr>
            <w:r>
              <w:rPr>
                <w:rFonts w:ascii="Arial" w:cs="Arial" w:eastAsia="Arial" w:hAnsi="Arial"/>
                <w:sz w:val="13"/>
                <w:szCs w:val="13"/>
                <w:color w:val="auto"/>
              </w:rPr>
              <w:t>23,400</w:t>
            </w:r>
          </w:p>
        </w:tc>
      </w:tr>
      <w:tr>
        <w:trPr>
          <w:trHeight w:val="41"/>
        </w:trPr>
        <w:tc>
          <w:tcPr>
            <w:tcW w:w="1520" w:type="dxa"/>
            <w:vAlign w:val="bottom"/>
            <w:tcBorders>
              <w:bottom w:val="single" w:sz="8" w:color="58585A"/>
            </w:tcBorders>
          </w:tcPr>
          <w:p>
            <w:pPr>
              <w:spacing w:after="0"/>
              <w:rPr>
                <w:sz w:val="3"/>
                <w:szCs w:val="3"/>
                <w:color w:val="auto"/>
              </w:rPr>
            </w:pPr>
          </w:p>
        </w:tc>
        <w:tc>
          <w:tcPr>
            <w:tcW w:w="740" w:type="dxa"/>
            <w:vAlign w:val="bottom"/>
            <w:tcBorders>
              <w:bottom w:val="single" w:sz="8" w:color="58585A"/>
            </w:tcBorders>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Borders>
              <w:bottom w:val="single" w:sz="8" w:color="58585A"/>
            </w:tcBorders>
          </w:tcPr>
          <w:p>
            <w:pPr>
              <w:spacing w:after="0"/>
              <w:rPr>
                <w:sz w:val="3"/>
                <w:szCs w:val="3"/>
                <w:color w:val="auto"/>
              </w:rPr>
            </w:pPr>
          </w:p>
        </w:tc>
        <w:tc>
          <w:tcPr>
            <w:tcW w:w="84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Borders>
              <w:bottom w:val="single" w:sz="8" w:color="58585A"/>
            </w:tcBorders>
          </w:tcPr>
          <w:p>
            <w:pPr>
              <w:spacing w:after="0"/>
              <w:rPr>
                <w:sz w:val="3"/>
                <w:szCs w:val="3"/>
                <w:color w:val="auto"/>
              </w:rPr>
            </w:pPr>
          </w:p>
        </w:tc>
        <w:tc>
          <w:tcPr>
            <w:tcW w:w="56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800" w:type="dxa"/>
            <w:vAlign w:val="bottom"/>
            <w:tcBorders>
              <w:bottom w:val="single" w:sz="8" w:color="58585A"/>
            </w:tcBorders>
          </w:tcPr>
          <w:p>
            <w:pPr>
              <w:spacing w:after="0"/>
              <w:rPr>
                <w:sz w:val="3"/>
                <w:szCs w:val="3"/>
                <w:color w:val="auto"/>
              </w:rPr>
            </w:pPr>
          </w:p>
        </w:tc>
        <w:tc>
          <w:tcPr>
            <w:tcW w:w="520" w:type="dxa"/>
            <w:vAlign w:val="bottom"/>
            <w:tcBorders>
              <w:bottom w:val="single" w:sz="8" w:color="58585A"/>
            </w:tcBorders>
          </w:tcPr>
          <w:p>
            <w:pPr>
              <w:spacing w:after="0"/>
              <w:rPr>
                <w:sz w:val="3"/>
                <w:szCs w:val="3"/>
                <w:color w:val="auto"/>
              </w:rPr>
            </w:pPr>
          </w:p>
        </w:tc>
      </w:tr>
      <w:tr>
        <w:trPr>
          <w:trHeight w:val="209"/>
        </w:trPr>
        <w:tc>
          <w:tcPr>
            <w:tcW w:w="1520" w:type="dxa"/>
            <w:vAlign w:val="bottom"/>
          </w:tcPr>
          <w:p>
            <w:pPr>
              <w:ind w:left="60"/>
              <w:spacing w:after="0"/>
              <w:rPr>
                <w:sz w:val="20"/>
                <w:szCs w:val="20"/>
                <w:color w:val="auto"/>
              </w:rPr>
            </w:pPr>
            <w:r>
              <w:rPr>
                <w:rFonts w:ascii="Arial" w:cs="Arial" w:eastAsia="Arial" w:hAnsi="Arial"/>
                <w:sz w:val="13"/>
                <w:szCs w:val="13"/>
                <w:color w:val="auto"/>
              </w:rPr>
              <w:t>Gilead</w:t>
            </w:r>
          </w:p>
        </w:tc>
        <w:tc>
          <w:tcPr>
            <w:tcW w:w="740" w:type="dxa"/>
            <w:vAlign w:val="bottom"/>
          </w:tcPr>
          <w:p>
            <w:pPr>
              <w:jc w:val="right"/>
              <w:spacing w:after="0"/>
              <w:rPr>
                <w:sz w:val="20"/>
                <w:szCs w:val="20"/>
                <w:color w:val="auto"/>
              </w:rPr>
            </w:pPr>
            <w:r>
              <w:rPr>
                <w:rFonts w:ascii="Arial" w:cs="Arial" w:eastAsia="Arial" w:hAnsi="Arial"/>
                <w:sz w:val="13"/>
                <w:szCs w:val="13"/>
                <w:color w:val="auto"/>
              </w:rPr>
              <w:t>$97,628</w:t>
            </w:r>
          </w:p>
        </w:tc>
        <w:tc>
          <w:tcPr>
            <w:tcW w:w="32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Arial" w:cs="Arial" w:eastAsia="Arial" w:hAnsi="Arial"/>
                <w:sz w:val="13"/>
                <w:szCs w:val="13"/>
                <w:color w:val="auto"/>
              </w:rPr>
              <w:t>Gilead</w:t>
            </w:r>
          </w:p>
        </w:tc>
        <w:tc>
          <w:tcPr>
            <w:tcW w:w="840" w:type="dxa"/>
            <w:vAlign w:val="bottom"/>
          </w:tcPr>
          <w:p>
            <w:pPr>
              <w:jc w:val="right"/>
              <w:spacing w:after="0"/>
              <w:rPr>
                <w:sz w:val="20"/>
                <w:szCs w:val="20"/>
                <w:color w:val="auto"/>
              </w:rPr>
            </w:pPr>
            <w:r>
              <w:rPr>
                <w:rFonts w:ascii="Arial" w:cs="Arial" w:eastAsia="Arial" w:hAnsi="Arial"/>
                <w:sz w:val="13"/>
                <w:szCs w:val="13"/>
                <w:color w:val="auto"/>
              </w:rPr>
              <w:t>$83,563</w:t>
            </w:r>
          </w:p>
        </w:tc>
        <w:tc>
          <w:tcPr>
            <w:tcW w:w="300" w:type="dxa"/>
            <w:vAlign w:val="bottom"/>
          </w:tcPr>
          <w:p>
            <w:pPr>
              <w:spacing w:after="0"/>
              <w:rPr>
                <w:sz w:val="18"/>
                <w:szCs w:val="18"/>
                <w:color w:val="auto"/>
              </w:rPr>
            </w:pPr>
          </w:p>
        </w:tc>
        <w:tc>
          <w:tcPr>
            <w:tcW w:w="1760" w:type="dxa"/>
            <w:vAlign w:val="bottom"/>
          </w:tcPr>
          <w:p>
            <w:pPr>
              <w:ind w:left="60"/>
              <w:spacing w:after="0"/>
              <w:rPr>
                <w:sz w:val="20"/>
                <w:szCs w:val="20"/>
                <w:color w:val="auto"/>
              </w:rPr>
            </w:pPr>
            <w:r>
              <w:rPr>
                <w:rFonts w:ascii="Arial" w:cs="Arial" w:eastAsia="Arial" w:hAnsi="Arial"/>
                <w:sz w:val="13"/>
                <w:szCs w:val="13"/>
                <w:color w:val="auto"/>
              </w:rPr>
              <w:t>Gilead</w:t>
            </w:r>
          </w:p>
        </w:tc>
        <w:tc>
          <w:tcPr>
            <w:tcW w:w="560" w:type="dxa"/>
            <w:vAlign w:val="bottom"/>
          </w:tcPr>
          <w:p>
            <w:pPr>
              <w:jc w:val="right"/>
              <w:spacing w:after="0"/>
              <w:rPr>
                <w:sz w:val="20"/>
                <w:szCs w:val="20"/>
                <w:color w:val="auto"/>
              </w:rPr>
            </w:pPr>
            <w:r>
              <w:rPr>
                <w:rFonts w:ascii="Arial" w:cs="Arial" w:eastAsia="Arial" w:hAnsi="Arial"/>
                <w:sz w:val="13"/>
                <w:szCs w:val="13"/>
                <w:color w:val="auto"/>
              </w:rPr>
              <w:t>$22,300</w:t>
            </w:r>
          </w:p>
        </w:tc>
        <w:tc>
          <w:tcPr>
            <w:tcW w:w="30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3"/>
                <w:szCs w:val="13"/>
                <w:color w:val="auto"/>
              </w:rPr>
              <w:t>Gilead</w:t>
            </w:r>
          </w:p>
        </w:tc>
        <w:tc>
          <w:tcPr>
            <w:tcW w:w="520" w:type="dxa"/>
            <w:vAlign w:val="bottom"/>
          </w:tcPr>
          <w:p>
            <w:pPr>
              <w:jc w:val="right"/>
              <w:spacing w:after="0"/>
              <w:rPr>
                <w:sz w:val="20"/>
                <w:szCs w:val="20"/>
                <w:color w:val="auto"/>
              </w:rPr>
            </w:pPr>
            <w:r>
              <w:rPr>
                <w:rFonts w:ascii="Arial" w:cs="Arial" w:eastAsia="Arial" w:hAnsi="Arial"/>
                <w:sz w:val="13"/>
                <w:szCs w:val="13"/>
                <w:color w:val="auto"/>
              </w:rPr>
              <w:t>11,800</w:t>
            </w:r>
          </w:p>
        </w:tc>
      </w:tr>
      <w:tr>
        <w:trPr>
          <w:trHeight w:val="41"/>
        </w:trPr>
        <w:tc>
          <w:tcPr>
            <w:tcW w:w="1520" w:type="dxa"/>
            <w:vAlign w:val="bottom"/>
            <w:tcBorders>
              <w:bottom w:val="single" w:sz="8" w:color="58585A"/>
            </w:tcBorders>
          </w:tcPr>
          <w:p>
            <w:pPr>
              <w:spacing w:after="0"/>
              <w:rPr>
                <w:sz w:val="3"/>
                <w:szCs w:val="3"/>
                <w:color w:val="auto"/>
              </w:rPr>
            </w:pPr>
          </w:p>
        </w:tc>
        <w:tc>
          <w:tcPr>
            <w:tcW w:w="740" w:type="dxa"/>
            <w:vAlign w:val="bottom"/>
            <w:tcBorders>
              <w:bottom w:val="single" w:sz="8" w:color="58585A"/>
            </w:tcBorders>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Borders>
              <w:bottom w:val="single" w:sz="8" w:color="58585A"/>
            </w:tcBorders>
          </w:tcPr>
          <w:p>
            <w:pPr>
              <w:spacing w:after="0"/>
              <w:rPr>
                <w:sz w:val="3"/>
                <w:szCs w:val="3"/>
                <w:color w:val="auto"/>
              </w:rPr>
            </w:pPr>
          </w:p>
        </w:tc>
        <w:tc>
          <w:tcPr>
            <w:tcW w:w="84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Borders>
              <w:bottom w:val="single" w:sz="8" w:color="58585A"/>
            </w:tcBorders>
          </w:tcPr>
          <w:p>
            <w:pPr>
              <w:spacing w:after="0"/>
              <w:rPr>
                <w:sz w:val="3"/>
                <w:szCs w:val="3"/>
                <w:color w:val="auto"/>
              </w:rPr>
            </w:pPr>
          </w:p>
        </w:tc>
        <w:tc>
          <w:tcPr>
            <w:tcW w:w="560" w:type="dxa"/>
            <w:vAlign w:val="bottom"/>
            <w:tcBorders>
              <w:bottom w:val="single" w:sz="8" w:color="58585A"/>
            </w:tcBorders>
          </w:tcPr>
          <w:p>
            <w:pPr>
              <w:spacing w:after="0"/>
              <w:rPr>
                <w:sz w:val="3"/>
                <w:szCs w:val="3"/>
                <w:color w:val="auto"/>
              </w:rPr>
            </w:pPr>
          </w:p>
        </w:tc>
        <w:tc>
          <w:tcPr>
            <w:tcW w:w="300" w:type="dxa"/>
            <w:vAlign w:val="bottom"/>
            <w:tcBorders>
              <w:bottom w:val="single" w:sz="8" w:color="205BA8"/>
            </w:tcBorders>
          </w:tcPr>
          <w:p>
            <w:pPr>
              <w:spacing w:after="0"/>
              <w:rPr>
                <w:sz w:val="3"/>
                <w:szCs w:val="3"/>
                <w:color w:val="auto"/>
              </w:rPr>
            </w:pPr>
          </w:p>
        </w:tc>
        <w:tc>
          <w:tcPr>
            <w:tcW w:w="1800" w:type="dxa"/>
            <w:vAlign w:val="bottom"/>
            <w:tcBorders>
              <w:bottom w:val="single" w:sz="8" w:color="58585A"/>
            </w:tcBorders>
          </w:tcPr>
          <w:p>
            <w:pPr>
              <w:spacing w:after="0"/>
              <w:rPr>
                <w:sz w:val="3"/>
                <w:szCs w:val="3"/>
                <w:color w:val="auto"/>
              </w:rPr>
            </w:pPr>
          </w:p>
        </w:tc>
        <w:tc>
          <w:tcPr>
            <w:tcW w:w="520" w:type="dxa"/>
            <w:vAlign w:val="bottom"/>
            <w:tcBorders>
              <w:bottom w:val="single" w:sz="8" w:color="58585A"/>
            </w:tcBorders>
          </w:tcPr>
          <w:p>
            <w:pPr>
              <w:spacing w:after="0"/>
              <w:rPr>
                <w:sz w:val="3"/>
                <w:szCs w:val="3"/>
                <w:color w:val="auto"/>
              </w:rPr>
            </w:pPr>
          </w:p>
        </w:tc>
      </w:tr>
      <w:tr>
        <w:trPr>
          <w:trHeight w:val="250"/>
        </w:trPr>
        <w:tc>
          <w:tcPr>
            <w:tcW w:w="1520" w:type="dxa"/>
            <w:vAlign w:val="bottom"/>
          </w:tcPr>
          <w:p>
            <w:pPr>
              <w:ind w:left="60"/>
              <w:spacing w:after="0"/>
              <w:rPr>
                <w:sz w:val="20"/>
                <w:szCs w:val="20"/>
                <w:color w:val="auto"/>
              </w:rPr>
            </w:pPr>
            <w:r>
              <w:rPr>
                <w:rFonts w:ascii="Arial" w:cs="Arial" w:eastAsia="Arial" w:hAnsi="Arial"/>
                <w:sz w:val="13"/>
                <w:szCs w:val="13"/>
                <w:color w:val="auto"/>
              </w:rPr>
              <w:t>Vertex</w:t>
            </w:r>
          </w:p>
        </w:tc>
        <w:tc>
          <w:tcPr>
            <w:tcW w:w="740" w:type="dxa"/>
            <w:vAlign w:val="bottom"/>
          </w:tcPr>
          <w:p>
            <w:pPr>
              <w:jc w:val="right"/>
              <w:spacing w:after="0"/>
              <w:rPr>
                <w:sz w:val="20"/>
                <w:szCs w:val="20"/>
                <w:color w:val="auto"/>
              </w:rPr>
            </w:pPr>
            <w:r>
              <w:rPr>
                <w:rFonts w:ascii="Arial" w:cs="Arial" w:eastAsia="Arial" w:hAnsi="Arial"/>
                <w:sz w:val="13"/>
                <w:szCs w:val="13"/>
                <w:color w:val="auto"/>
              </w:rPr>
              <w:t>$74,661</w:t>
            </w:r>
          </w:p>
        </w:tc>
        <w:tc>
          <w:tcPr>
            <w:tcW w:w="320" w:type="dxa"/>
            <w:vAlign w:val="bottom"/>
          </w:tcPr>
          <w:p>
            <w:pPr>
              <w:spacing w:after="0"/>
              <w:rPr>
                <w:sz w:val="21"/>
                <w:szCs w:val="21"/>
                <w:color w:val="auto"/>
              </w:rPr>
            </w:pPr>
          </w:p>
        </w:tc>
        <w:tc>
          <w:tcPr>
            <w:tcW w:w="1500" w:type="dxa"/>
            <w:vAlign w:val="bottom"/>
          </w:tcPr>
          <w:p>
            <w:pPr>
              <w:ind w:left="40"/>
              <w:spacing w:after="0"/>
              <w:rPr>
                <w:sz w:val="20"/>
                <w:szCs w:val="20"/>
                <w:color w:val="auto"/>
              </w:rPr>
            </w:pPr>
            <w:r>
              <w:rPr>
                <w:rFonts w:ascii="Arial" w:cs="Arial" w:eastAsia="Arial" w:hAnsi="Arial"/>
                <w:sz w:val="13"/>
                <w:szCs w:val="13"/>
                <w:color w:val="auto"/>
              </w:rPr>
              <w:t>Biogen</w:t>
            </w:r>
          </w:p>
        </w:tc>
        <w:tc>
          <w:tcPr>
            <w:tcW w:w="840" w:type="dxa"/>
            <w:vAlign w:val="bottom"/>
          </w:tcPr>
          <w:p>
            <w:pPr>
              <w:jc w:val="right"/>
              <w:spacing w:after="0"/>
              <w:rPr>
                <w:sz w:val="20"/>
                <w:szCs w:val="20"/>
                <w:color w:val="auto"/>
              </w:rPr>
            </w:pPr>
            <w:r>
              <w:rPr>
                <w:rFonts w:ascii="Arial" w:cs="Arial" w:eastAsia="Arial" w:hAnsi="Arial"/>
                <w:sz w:val="13"/>
                <w:szCs w:val="13"/>
                <w:color w:val="auto"/>
              </w:rPr>
              <w:t>$50,236</w:t>
            </w:r>
          </w:p>
        </w:tc>
        <w:tc>
          <w:tcPr>
            <w:tcW w:w="300" w:type="dxa"/>
            <w:vAlign w:val="bottom"/>
          </w:tcPr>
          <w:p>
            <w:pPr>
              <w:spacing w:after="0"/>
              <w:rPr>
                <w:sz w:val="21"/>
                <w:szCs w:val="21"/>
                <w:color w:val="auto"/>
              </w:rPr>
            </w:pPr>
          </w:p>
        </w:tc>
        <w:tc>
          <w:tcPr>
            <w:tcW w:w="1760" w:type="dxa"/>
            <w:vAlign w:val="bottom"/>
          </w:tcPr>
          <w:p>
            <w:pPr>
              <w:ind w:left="60"/>
              <w:spacing w:after="0"/>
              <w:rPr>
                <w:sz w:val="20"/>
                <w:szCs w:val="20"/>
                <w:color w:val="auto"/>
              </w:rPr>
            </w:pPr>
            <w:r>
              <w:rPr>
                <w:rFonts w:ascii="Arial" w:cs="Arial" w:eastAsia="Arial" w:hAnsi="Arial"/>
                <w:sz w:val="13"/>
                <w:szCs w:val="13"/>
                <w:color w:val="auto"/>
              </w:rPr>
              <w:t>Biogen</w:t>
            </w:r>
          </w:p>
        </w:tc>
        <w:tc>
          <w:tcPr>
            <w:tcW w:w="560" w:type="dxa"/>
            <w:vAlign w:val="bottom"/>
          </w:tcPr>
          <w:p>
            <w:pPr>
              <w:jc w:val="right"/>
              <w:spacing w:after="0"/>
              <w:rPr>
                <w:sz w:val="20"/>
                <w:szCs w:val="20"/>
                <w:color w:val="auto"/>
              </w:rPr>
            </w:pPr>
            <w:r>
              <w:rPr>
                <w:rFonts w:ascii="Arial" w:cs="Arial" w:eastAsia="Arial" w:hAnsi="Arial"/>
                <w:sz w:val="13"/>
                <w:szCs w:val="13"/>
                <w:color w:val="auto"/>
              </w:rPr>
              <w:t>$13,974</w:t>
            </w:r>
          </w:p>
        </w:tc>
        <w:tc>
          <w:tcPr>
            <w:tcW w:w="300" w:type="dxa"/>
            <w:vAlign w:val="bottom"/>
            <w:tcBorders>
              <w:bottom w:val="single" w:sz="8" w:color="205BA8"/>
            </w:tcBorders>
            <w:shd w:val="clear" w:color="auto" w:fill="205BA8"/>
          </w:tcPr>
          <w:p>
            <w:pPr>
              <w:spacing w:after="0"/>
              <w:rPr>
                <w:sz w:val="21"/>
                <w:szCs w:val="21"/>
                <w:color w:val="auto"/>
              </w:rPr>
            </w:pPr>
          </w:p>
        </w:tc>
        <w:tc>
          <w:tcPr>
            <w:tcW w:w="1800" w:type="dxa"/>
            <w:vAlign w:val="bottom"/>
            <w:tcBorders>
              <w:bottom w:val="single" w:sz="8" w:color="205BA8"/>
            </w:tcBorders>
            <w:shd w:val="clear" w:color="auto" w:fill="205BA8"/>
          </w:tcPr>
          <w:p>
            <w:pPr>
              <w:ind w:left="60"/>
              <w:spacing w:after="0"/>
              <w:rPr>
                <w:sz w:val="20"/>
                <w:szCs w:val="20"/>
                <w:color w:val="auto"/>
              </w:rPr>
            </w:pPr>
            <w:r>
              <w:rPr>
                <w:rFonts w:ascii="Arial" w:cs="Arial" w:eastAsia="Arial" w:hAnsi="Arial"/>
                <w:sz w:val="13"/>
                <w:szCs w:val="13"/>
                <w:color w:val="FFFFFF"/>
              </w:rPr>
              <w:t>Regeneron</w:t>
            </w:r>
          </w:p>
        </w:tc>
        <w:tc>
          <w:tcPr>
            <w:tcW w:w="520" w:type="dxa"/>
            <w:vAlign w:val="bottom"/>
            <w:tcBorders>
              <w:bottom w:val="single" w:sz="8" w:color="205BA8"/>
            </w:tcBorders>
            <w:shd w:val="clear" w:color="auto" w:fill="205BA8"/>
          </w:tcPr>
          <w:p>
            <w:pPr>
              <w:jc w:val="right"/>
              <w:spacing w:after="0"/>
              <w:rPr>
                <w:sz w:val="20"/>
                <w:szCs w:val="20"/>
                <w:color w:val="auto"/>
              </w:rPr>
            </w:pPr>
            <w:r>
              <w:rPr>
                <w:rFonts w:ascii="Arial" w:cs="Arial" w:eastAsia="Arial" w:hAnsi="Arial"/>
                <w:sz w:val="13"/>
                <w:szCs w:val="13"/>
                <w:color w:val="FFFFFF"/>
              </w:rPr>
              <w:t>8,030</w:t>
            </w:r>
          </w:p>
        </w:tc>
      </w:tr>
      <w:tr>
        <w:trPr>
          <w:trHeight w:val="250"/>
        </w:trPr>
        <w:tc>
          <w:tcPr>
            <w:tcW w:w="1520" w:type="dxa"/>
            <w:vAlign w:val="bottom"/>
            <w:tcBorders>
              <w:top w:val="single" w:sz="8" w:color="58585A"/>
              <w:bottom w:val="single" w:sz="8" w:color="205BA8"/>
            </w:tcBorders>
            <w:shd w:val="clear" w:color="auto" w:fill="205BA8"/>
          </w:tcPr>
          <w:p>
            <w:pPr>
              <w:ind w:left="60"/>
              <w:spacing w:after="0"/>
              <w:rPr>
                <w:sz w:val="20"/>
                <w:szCs w:val="20"/>
                <w:color w:val="auto"/>
              </w:rPr>
            </w:pPr>
            <w:r>
              <w:rPr>
                <w:rFonts w:ascii="Arial" w:cs="Arial" w:eastAsia="Arial" w:hAnsi="Arial"/>
                <w:sz w:val="13"/>
                <w:szCs w:val="13"/>
                <w:color w:val="FFFFFF"/>
              </w:rPr>
              <w:t>Regeneron</w:t>
            </w:r>
          </w:p>
        </w:tc>
        <w:tc>
          <w:tcPr>
            <w:tcW w:w="740" w:type="dxa"/>
            <w:vAlign w:val="bottom"/>
            <w:tcBorders>
              <w:top w:val="single" w:sz="8" w:color="58585A"/>
              <w:bottom w:val="single" w:sz="8" w:color="205BA8"/>
            </w:tcBorders>
            <w:shd w:val="clear" w:color="auto" w:fill="205BA8"/>
          </w:tcPr>
          <w:p>
            <w:pPr>
              <w:jc w:val="right"/>
              <w:spacing w:after="0"/>
              <w:rPr>
                <w:sz w:val="20"/>
                <w:szCs w:val="20"/>
                <w:color w:val="auto"/>
              </w:rPr>
            </w:pPr>
            <w:r>
              <w:rPr>
                <w:rFonts w:ascii="Arial" w:cs="Arial" w:eastAsia="Arial" w:hAnsi="Arial"/>
                <w:sz w:val="13"/>
                <w:szCs w:val="13"/>
                <w:color w:val="FFFFFF"/>
              </w:rPr>
              <w:t>$62,233</w:t>
            </w:r>
          </w:p>
        </w:tc>
        <w:tc>
          <w:tcPr>
            <w:tcW w:w="320" w:type="dxa"/>
            <w:vAlign w:val="bottom"/>
          </w:tcPr>
          <w:p>
            <w:pPr>
              <w:spacing w:after="0"/>
              <w:rPr>
                <w:sz w:val="21"/>
                <w:szCs w:val="21"/>
                <w:color w:val="auto"/>
              </w:rPr>
            </w:pPr>
          </w:p>
        </w:tc>
        <w:tc>
          <w:tcPr>
            <w:tcW w:w="1500" w:type="dxa"/>
            <w:vAlign w:val="bottom"/>
            <w:tcBorders>
              <w:top w:val="single" w:sz="8" w:color="58585A"/>
            </w:tcBorders>
          </w:tcPr>
          <w:p>
            <w:pPr>
              <w:ind w:left="40"/>
              <w:spacing w:after="0"/>
              <w:rPr>
                <w:sz w:val="20"/>
                <w:szCs w:val="20"/>
                <w:color w:val="auto"/>
              </w:rPr>
            </w:pPr>
            <w:r>
              <w:rPr>
                <w:rFonts w:ascii="Arial" w:cs="Arial" w:eastAsia="Arial" w:hAnsi="Arial"/>
                <w:sz w:val="13"/>
                <w:szCs w:val="13"/>
                <w:color w:val="auto"/>
              </w:rPr>
              <w:t>Vertex</w:t>
            </w:r>
          </w:p>
        </w:tc>
        <w:tc>
          <w:tcPr>
            <w:tcW w:w="840" w:type="dxa"/>
            <w:vAlign w:val="bottom"/>
            <w:tcBorders>
              <w:top w:val="single" w:sz="8" w:color="58585A"/>
            </w:tcBorders>
          </w:tcPr>
          <w:p>
            <w:pPr>
              <w:jc w:val="right"/>
              <w:spacing w:after="0"/>
              <w:rPr>
                <w:sz w:val="20"/>
                <w:szCs w:val="20"/>
                <w:color w:val="auto"/>
              </w:rPr>
            </w:pPr>
            <w:r>
              <w:rPr>
                <w:rFonts w:ascii="Arial" w:cs="Arial" w:eastAsia="Arial" w:hAnsi="Arial"/>
                <w:sz w:val="13"/>
                <w:szCs w:val="13"/>
                <w:color w:val="auto"/>
              </w:rPr>
              <w:t>$47,345</w:t>
            </w:r>
          </w:p>
        </w:tc>
        <w:tc>
          <w:tcPr>
            <w:tcW w:w="300" w:type="dxa"/>
            <w:vAlign w:val="bottom"/>
            <w:tcBorders>
              <w:top w:val="single" w:sz="8" w:color="205BA8"/>
              <w:bottom w:val="single" w:sz="8" w:color="205BA8"/>
            </w:tcBorders>
            <w:shd w:val="clear" w:color="auto" w:fill="205BA8"/>
          </w:tcPr>
          <w:p>
            <w:pPr>
              <w:spacing w:after="0"/>
              <w:rPr>
                <w:sz w:val="21"/>
                <w:szCs w:val="21"/>
                <w:color w:val="auto"/>
              </w:rPr>
            </w:pPr>
          </w:p>
        </w:tc>
        <w:tc>
          <w:tcPr>
            <w:tcW w:w="1760" w:type="dxa"/>
            <w:vAlign w:val="bottom"/>
            <w:tcBorders>
              <w:top w:val="single" w:sz="8" w:color="58585A"/>
              <w:bottom w:val="single" w:sz="8" w:color="205BA8"/>
            </w:tcBorders>
            <w:shd w:val="clear" w:color="auto" w:fill="205BA8"/>
          </w:tcPr>
          <w:p>
            <w:pPr>
              <w:ind w:left="60"/>
              <w:spacing w:after="0"/>
              <w:rPr>
                <w:sz w:val="20"/>
                <w:szCs w:val="20"/>
                <w:color w:val="auto"/>
              </w:rPr>
            </w:pPr>
            <w:r>
              <w:rPr>
                <w:rFonts w:ascii="Arial" w:cs="Arial" w:eastAsia="Arial" w:hAnsi="Arial"/>
                <w:sz w:val="13"/>
                <w:szCs w:val="13"/>
                <w:color w:val="FFFFFF"/>
              </w:rPr>
              <w:t>Regeneron</w:t>
            </w:r>
          </w:p>
        </w:tc>
        <w:tc>
          <w:tcPr>
            <w:tcW w:w="560" w:type="dxa"/>
            <w:vAlign w:val="bottom"/>
            <w:tcBorders>
              <w:top w:val="single" w:sz="8" w:color="58585A"/>
              <w:bottom w:val="single" w:sz="8" w:color="205BA8"/>
            </w:tcBorders>
            <w:shd w:val="clear" w:color="auto" w:fill="205BA8"/>
          </w:tcPr>
          <w:p>
            <w:pPr>
              <w:jc w:val="right"/>
              <w:spacing w:after="0"/>
              <w:rPr>
                <w:sz w:val="20"/>
                <w:szCs w:val="20"/>
                <w:color w:val="auto"/>
              </w:rPr>
            </w:pPr>
            <w:r>
              <w:rPr>
                <w:rFonts w:ascii="Arial" w:cs="Arial" w:eastAsia="Arial" w:hAnsi="Arial"/>
                <w:sz w:val="13"/>
                <w:szCs w:val="13"/>
                <w:color w:val="FFFFFF"/>
              </w:rPr>
              <w:t>$7,556</w:t>
            </w:r>
          </w:p>
        </w:tc>
        <w:tc>
          <w:tcPr>
            <w:tcW w:w="300" w:type="dxa"/>
            <w:vAlign w:val="bottom"/>
          </w:tcPr>
          <w:p>
            <w:pPr>
              <w:spacing w:after="0"/>
              <w:rPr>
                <w:sz w:val="21"/>
                <w:szCs w:val="21"/>
                <w:color w:val="auto"/>
              </w:rPr>
            </w:pPr>
          </w:p>
        </w:tc>
        <w:tc>
          <w:tcPr>
            <w:tcW w:w="1800" w:type="dxa"/>
            <w:vAlign w:val="bottom"/>
            <w:tcBorders>
              <w:top w:val="single" w:sz="8" w:color="58585A"/>
            </w:tcBorders>
          </w:tcPr>
          <w:p>
            <w:pPr>
              <w:ind w:left="60"/>
              <w:spacing w:after="0"/>
              <w:rPr>
                <w:sz w:val="20"/>
                <w:szCs w:val="20"/>
                <w:color w:val="auto"/>
              </w:rPr>
            </w:pPr>
            <w:r>
              <w:rPr>
                <w:rFonts w:ascii="Arial" w:cs="Arial" w:eastAsia="Arial" w:hAnsi="Arial"/>
                <w:sz w:val="13"/>
                <w:szCs w:val="13"/>
                <w:color w:val="auto"/>
              </w:rPr>
              <w:t>Biogen</w:t>
            </w:r>
          </w:p>
        </w:tc>
        <w:tc>
          <w:tcPr>
            <w:tcW w:w="520" w:type="dxa"/>
            <w:vAlign w:val="bottom"/>
            <w:tcBorders>
              <w:top w:val="single" w:sz="8" w:color="58585A"/>
            </w:tcBorders>
          </w:tcPr>
          <w:p>
            <w:pPr>
              <w:jc w:val="right"/>
              <w:spacing w:after="0"/>
              <w:rPr>
                <w:sz w:val="20"/>
                <w:szCs w:val="20"/>
                <w:color w:val="auto"/>
              </w:rPr>
            </w:pPr>
            <w:r>
              <w:rPr>
                <w:rFonts w:ascii="Arial" w:cs="Arial" w:eastAsia="Arial" w:hAnsi="Arial"/>
                <w:sz w:val="13"/>
                <w:szCs w:val="13"/>
                <w:color w:val="auto"/>
              </w:rPr>
              <w:t>7,400</w:t>
            </w:r>
          </w:p>
        </w:tc>
      </w:tr>
      <w:tr>
        <w:trPr>
          <w:trHeight w:val="250"/>
        </w:trPr>
        <w:tc>
          <w:tcPr>
            <w:tcW w:w="1520" w:type="dxa"/>
            <w:vAlign w:val="bottom"/>
            <w:tcBorders>
              <w:top w:val="single" w:sz="8" w:color="58585A"/>
            </w:tcBorders>
          </w:tcPr>
          <w:p>
            <w:pPr>
              <w:ind w:left="60"/>
              <w:spacing w:after="0"/>
              <w:rPr>
                <w:sz w:val="20"/>
                <w:szCs w:val="20"/>
                <w:color w:val="auto"/>
              </w:rPr>
            </w:pPr>
            <w:r>
              <w:rPr>
                <w:rFonts w:ascii="Arial" w:cs="Arial" w:eastAsia="Arial" w:hAnsi="Arial"/>
                <w:sz w:val="13"/>
                <w:szCs w:val="13"/>
                <w:color w:val="auto"/>
              </w:rPr>
              <w:t>Biogen</w:t>
            </w:r>
          </w:p>
        </w:tc>
        <w:tc>
          <w:tcPr>
            <w:tcW w:w="740" w:type="dxa"/>
            <w:vAlign w:val="bottom"/>
            <w:tcBorders>
              <w:top w:val="single" w:sz="8" w:color="58585A"/>
            </w:tcBorders>
          </w:tcPr>
          <w:p>
            <w:pPr>
              <w:jc w:val="right"/>
              <w:spacing w:after="0"/>
              <w:rPr>
                <w:sz w:val="20"/>
                <w:szCs w:val="20"/>
                <w:color w:val="auto"/>
              </w:rPr>
            </w:pPr>
            <w:r>
              <w:rPr>
                <w:rFonts w:ascii="Arial" w:cs="Arial" w:eastAsia="Arial" w:hAnsi="Arial"/>
                <w:sz w:val="13"/>
                <w:szCs w:val="13"/>
                <w:color w:val="auto"/>
              </w:rPr>
              <w:t>$50,113</w:t>
            </w:r>
          </w:p>
        </w:tc>
        <w:tc>
          <w:tcPr>
            <w:tcW w:w="320" w:type="dxa"/>
            <w:vAlign w:val="bottom"/>
            <w:tcBorders>
              <w:top w:val="single" w:sz="8" w:color="205BA8"/>
              <w:bottom w:val="single" w:sz="8" w:color="205BA8"/>
            </w:tcBorders>
            <w:shd w:val="clear" w:color="auto" w:fill="205BA8"/>
          </w:tcPr>
          <w:p>
            <w:pPr>
              <w:spacing w:after="0"/>
              <w:rPr>
                <w:sz w:val="21"/>
                <w:szCs w:val="21"/>
                <w:color w:val="auto"/>
              </w:rPr>
            </w:pPr>
          </w:p>
        </w:tc>
        <w:tc>
          <w:tcPr>
            <w:tcW w:w="1500" w:type="dxa"/>
            <w:vAlign w:val="bottom"/>
            <w:tcBorders>
              <w:top w:val="single" w:sz="8" w:color="58585A"/>
              <w:bottom w:val="single" w:sz="8" w:color="205BA8"/>
            </w:tcBorders>
            <w:shd w:val="clear" w:color="auto" w:fill="205BA8"/>
          </w:tcPr>
          <w:p>
            <w:pPr>
              <w:ind w:left="40"/>
              <w:spacing w:after="0"/>
              <w:rPr>
                <w:sz w:val="20"/>
                <w:szCs w:val="20"/>
                <w:color w:val="auto"/>
              </w:rPr>
            </w:pPr>
            <w:r>
              <w:rPr>
                <w:rFonts w:ascii="Arial" w:cs="Arial" w:eastAsia="Arial" w:hAnsi="Arial"/>
                <w:sz w:val="13"/>
                <w:szCs w:val="13"/>
                <w:color w:val="FFFFFF"/>
              </w:rPr>
              <w:t>Regeneron</w:t>
            </w:r>
          </w:p>
        </w:tc>
        <w:tc>
          <w:tcPr>
            <w:tcW w:w="840" w:type="dxa"/>
            <w:vAlign w:val="bottom"/>
            <w:tcBorders>
              <w:top w:val="single" w:sz="8" w:color="58585A"/>
              <w:bottom w:val="single" w:sz="8" w:color="205BA8"/>
            </w:tcBorders>
            <w:shd w:val="clear" w:color="auto" w:fill="205BA8"/>
          </w:tcPr>
          <w:p>
            <w:pPr>
              <w:jc w:val="right"/>
              <w:spacing w:after="0"/>
              <w:rPr>
                <w:sz w:val="20"/>
                <w:szCs w:val="20"/>
                <w:color w:val="auto"/>
              </w:rPr>
            </w:pPr>
            <w:r>
              <w:rPr>
                <w:rFonts w:ascii="Arial" w:cs="Arial" w:eastAsia="Arial" w:hAnsi="Arial"/>
                <w:sz w:val="13"/>
                <w:szCs w:val="13"/>
                <w:color w:val="FFFFFF"/>
              </w:rPr>
              <w:t>$37,465</w:t>
            </w:r>
          </w:p>
        </w:tc>
        <w:tc>
          <w:tcPr>
            <w:tcW w:w="300" w:type="dxa"/>
            <w:vAlign w:val="bottom"/>
          </w:tcPr>
          <w:p>
            <w:pPr>
              <w:spacing w:after="0"/>
              <w:rPr>
                <w:sz w:val="21"/>
                <w:szCs w:val="21"/>
                <w:color w:val="auto"/>
              </w:rPr>
            </w:pPr>
          </w:p>
        </w:tc>
        <w:tc>
          <w:tcPr>
            <w:tcW w:w="1760" w:type="dxa"/>
            <w:vAlign w:val="bottom"/>
            <w:tcBorders>
              <w:top w:val="single" w:sz="8" w:color="58585A"/>
            </w:tcBorders>
          </w:tcPr>
          <w:p>
            <w:pPr>
              <w:ind w:left="60"/>
              <w:spacing w:after="0"/>
              <w:rPr>
                <w:sz w:val="20"/>
                <w:szCs w:val="20"/>
                <w:color w:val="auto"/>
              </w:rPr>
            </w:pPr>
            <w:r>
              <w:rPr>
                <w:rFonts w:ascii="Arial" w:cs="Arial" w:eastAsia="Arial" w:hAnsi="Arial"/>
                <w:sz w:val="13"/>
                <w:szCs w:val="13"/>
                <w:color w:val="auto"/>
              </w:rPr>
              <w:t>Vertex</w:t>
            </w:r>
          </w:p>
        </w:tc>
        <w:tc>
          <w:tcPr>
            <w:tcW w:w="560" w:type="dxa"/>
            <w:vAlign w:val="bottom"/>
            <w:tcBorders>
              <w:top w:val="single" w:sz="8" w:color="58585A"/>
            </w:tcBorders>
          </w:tcPr>
          <w:p>
            <w:pPr>
              <w:jc w:val="right"/>
              <w:spacing w:after="0"/>
              <w:rPr>
                <w:sz w:val="20"/>
                <w:szCs w:val="20"/>
                <w:color w:val="auto"/>
              </w:rPr>
            </w:pPr>
            <w:r>
              <w:rPr>
                <w:rFonts w:ascii="Arial" w:cs="Arial" w:eastAsia="Arial" w:hAnsi="Arial"/>
                <w:sz w:val="13"/>
                <w:szCs w:val="13"/>
                <w:color w:val="auto"/>
              </w:rPr>
              <w:t>$5,719</w:t>
            </w:r>
          </w:p>
        </w:tc>
        <w:tc>
          <w:tcPr>
            <w:tcW w:w="300" w:type="dxa"/>
            <w:vAlign w:val="bottom"/>
          </w:tcPr>
          <w:p>
            <w:pPr>
              <w:spacing w:after="0"/>
              <w:rPr>
                <w:sz w:val="21"/>
                <w:szCs w:val="21"/>
                <w:color w:val="auto"/>
              </w:rPr>
            </w:pPr>
          </w:p>
        </w:tc>
        <w:tc>
          <w:tcPr>
            <w:tcW w:w="1800" w:type="dxa"/>
            <w:vAlign w:val="bottom"/>
            <w:tcBorders>
              <w:top w:val="single" w:sz="8" w:color="58585A"/>
            </w:tcBorders>
          </w:tcPr>
          <w:p>
            <w:pPr>
              <w:ind w:left="60"/>
              <w:spacing w:after="0"/>
              <w:rPr>
                <w:sz w:val="20"/>
                <w:szCs w:val="20"/>
                <w:color w:val="auto"/>
              </w:rPr>
            </w:pPr>
            <w:r>
              <w:rPr>
                <w:rFonts w:ascii="Arial" w:cs="Arial" w:eastAsia="Arial" w:hAnsi="Arial"/>
                <w:sz w:val="13"/>
                <w:szCs w:val="13"/>
                <w:color w:val="auto"/>
              </w:rPr>
              <w:t>Alexion</w:t>
            </w:r>
          </w:p>
        </w:tc>
        <w:tc>
          <w:tcPr>
            <w:tcW w:w="520" w:type="dxa"/>
            <w:vAlign w:val="bottom"/>
            <w:tcBorders>
              <w:top w:val="single" w:sz="8" w:color="58585A"/>
            </w:tcBorders>
          </w:tcPr>
          <w:p>
            <w:pPr>
              <w:jc w:val="right"/>
              <w:spacing w:after="0"/>
              <w:rPr>
                <w:sz w:val="20"/>
                <w:szCs w:val="20"/>
                <w:color w:val="auto"/>
              </w:rPr>
            </w:pPr>
            <w:r>
              <w:rPr>
                <w:rFonts w:ascii="Arial" w:cs="Arial" w:eastAsia="Arial" w:hAnsi="Arial"/>
                <w:sz w:val="13"/>
                <w:szCs w:val="13"/>
                <w:color w:val="auto"/>
              </w:rPr>
              <w:t>3,082</w:t>
            </w:r>
          </w:p>
        </w:tc>
      </w:tr>
      <w:tr>
        <w:trPr>
          <w:trHeight w:val="209"/>
        </w:trPr>
        <w:tc>
          <w:tcPr>
            <w:tcW w:w="1520" w:type="dxa"/>
            <w:vAlign w:val="bottom"/>
            <w:tcBorders>
              <w:top w:val="single" w:sz="8" w:color="58585A"/>
            </w:tcBorders>
          </w:tcPr>
          <w:p>
            <w:pPr>
              <w:ind w:left="60"/>
              <w:spacing w:after="0"/>
              <w:rPr>
                <w:sz w:val="20"/>
                <w:szCs w:val="20"/>
                <w:color w:val="auto"/>
              </w:rPr>
            </w:pPr>
            <w:r>
              <w:rPr>
                <w:rFonts w:ascii="Arial" w:cs="Arial" w:eastAsia="Arial" w:hAnsi="Arial"/>
                <w:sz w:val="13"/>
                <w:szCs w:val="13"/>
                <w:color w:val="auto"/>
              </w:rPr>
              <w:t>Seagen</w:t>
            </w:r>
          </w:p>
        </w:tc>
        <w:tc>
          <w:tcPr>
            <w:tcW w:w="740" w:type="dxa"/>
            <w:vAlign w:val="bottom"/>
            <w:tcBorders>
              <w:top w:val="single" w:sz="8" w:color="58585A"/>
            </w:tcBorders>
          </w:tcPr>
          <w:p>
            <w:pPr>
              <w:jc w:val="right"/>
              <w:spacing w:after="0"/>
              <w:rPr>
                <w:sz w:val="20"/>
                <w:szCs w:val="20"/>
                <w:color w:val="auto"/>
              </w:rPr>
            </w:pPr>
            <w:r>
              <w:rPr>
                <w:rFonts w:ascii="Arial" w:cs="Arial" w:eastAsia="Arial" w:hAnsi="Arial"/>
                <w:sz w:val="13"/>
                <w:szCs w:val="13"/>
                <w:color w:val="auto"/>
              </w:rPr>
              <w:t>$27,213</w:t>
            </w:r>
          </w:p>
        </w:tc>
        <w:tc>
          <w:tcPr>
            <w:tcW w:w="320" w:type="dxa"/>
            <w:vAlign w:val="bottom"/>
          </w:tcPr>
          <w:p>
            <w:pPr>
              <w:spacing w:after="0"/>
              <w:rPr>
                <w:sz w:val="18"/>
                <w:szCs w:val="18"/>
                <w:color w:val="auto"/>
              </w:rPr>
            </w:pPr>
          </w:p>
        </w:tc>
        <w:tc>
          <w:tcPr>
            <w:tcW w:w="1500" w:type="dxa"/>
            <w:vAlign w:val="bottom"/>
            <w:tcBorders>
              <w:top w:val="single" w:sz="8" w:color="58585A"/>
            </w:tcBorders>
          </w:tcPr>
          <w:p>
            <w:pPr>
              <w:ind w:left="40"/>
              <w:spacing w:after="0"/>
              <w:rPr>
                <w:sz w:val="20"/>
                <w:szCs w:val="20"/>
                <w:color w:val="auto"/>
              </w:rPr>
            </w:pPr>
            <w:r>
              <w:rPr>
                <w:rFonts w:ascii="Arial" w:cs="Arial" w:eastAsia="Arial" w:hAnsi="Arial"/>
                <w:sz w:val="13"/>
                <w:szCs w:val="13"/>
                <w:color w:val="auto"/>
              </w:rPr>
              <w:t>Alexion</w:t>
            </w:r>
          </w:p>
        </w:tc>
        <w:tc>
          <w:tcPr>
            <w:tcW w:w="840" w:type="dxa"/>
            <w:vAlign w:val="bottom"/>
            <w:tcBorders>
              <w:top w:val="single" w:sz="8" w:color="58585A"/>
            </w:tcBorders>
          </w:tcPr>
          <w:p>
            <w:pPr>
              <w:jc w:val="right"/>
              <w:spacing w:after="0"/>
              <w:rPr>
                <w:sz w:val="20"/>
                <w:szCs w:val="20"/>
                <w:color w:val="auto"/>
              </w:rPr>
            </w:pPr>
            <w:r>
              <w:rPr>
                <w:rFonts w:ascii="Arial" w:cs="Arial" w:eastAsia="Arial" w:hAnsi="Arial"/>
                <w:sz w:val="13"/>
                <w:szCs w:val="13"/>
                <w:color w:val="auto"/>
              </w:rPr>
              <w:t>$26,380</w:t>
            </w:r>
          </w:p>
        </w:tc>
        <w:tc>
          <w:tcPr>
            <w:tcW w:w="300" w:type="dxa"/>
            <w:vAlign w:val="bottom"/>
          </w:tcPr>
          <w:p>
            <w:pPr>
              <w:spacing w:after="0"/>
              <w:rPr>
                <w:sz w:val="18"/>
                <w:szCs w:val="18"/>
                <w:color w:val="auto"/>
              </w:rPr>
            </w:pPr>
          </w:p>
        </w:tc>
        <w:tc>
          <w:tcPr>
            <w:tcW w:w="1760" w:type="dxa"/>
            <w:vAlign w:val="bottom"/>
            <w:tcBorders>
              <w:top w:val="single" w:sz="8" w:color="58585A"/>
            </w:tcBorders>
          </w:tcPr>
          <w:p>
            <w:pPr>
              <w:ind w:left="60"/>
              <w:spacing w:after="0"/>
              <w:rPr>
                <w:sz w:val="20"/>
                <w:szCs w:val="20"/>
                <w:color w:val="auto"/>
              </w:rPr>
            </w:pPr>
            <w:r>
              <w:rPr>
                <w:rFonts w:ascii="Arial" w:cs="Arial" w:eastAsia="Arial" w:hAnsi="Arial"/>
                <w:sz w:val="13"/>
                <w:szCs w:val="13"/>
                <w:color w:val="auto"/>
              </w:rPr>
              <w:t>Alexion</w:t>
            </w:r>
          </w:p>
        </w:tc>
        <w:tc>
          <w:tcPr>
            <w:tcW w:w="560" w:type="dxa"/>
            <w:vAlign w:val="bottom"/>
            <w:tcBorders>
              <w:top w:val="single" w:sz="8" w:color="58585A"/>
            </w:tcBorders>
          </w:tcPr>
          <w:p>
            <w:pPr>
              <w:jc w:val="right"/>
              <w:spacing w:after="0"/>
              <w:rPr>
                <w:sz w:val="20"/>
                <w:szCs w:val="20"/>
                <w:color w:val="auto"/>
              </w:rPr>
            </w:pPr>
            <w:r>
              <w:rPr>
                <w:rFonts w:ascii="Arial" w:cs="Arial" w:eastAsia="Arial" w:hAnsi="Arial"/>
                <w:sz w:val="13"/>
                <w:szCs w:val="13"/>
                <w:color w:val="auto"/>
              </w:rPr>
              <w:t>$5,400</w:t>
            </w:r>
          </w:p>
        </w:tc>
        <w:tc>
          <w:tcPr>
            <w:tcW w:w="300" w:type="dxa"/>
            <w:vAlign w:val="bottom"/>
          </w:tcPr>
          <w:p>
            <w:pPr>
              <w:spacing w:after="0"/>
              <w:rPr>
                <w:sz w:val="18"/>
                <w:szCs w:val="18"/>
                <w:color w:val="auto"/>
              </w:rPr>
            </w:pPr>
          </w:p>
        </w:tc>
        <w:tc>
          <w:tcPr>
            <w:tcW w:w="1800" w:type="dxa"/>
            <w:vAlign w:val="bottom"/>
            <w:tcBorders>
              <w:top w:val="single" w:sz="8" w:color="58585A"/>
            </w:tcBorders>
          </w:tcPr>
          <w:p>
            <w:pPr>
              <w:ind w:left="60"/>
              <w:spacing w:after="0"/>
              <w:rPr>
                <w:sz w:val="20"/>
                <w:szCs w:val="20"/>
                <w:color w:val="auto"/>
              </w:rPr>
            </w:pPr>
            <w:r>
              <w:rPr>
                <w:rFonts w:ascii="Arial" w:cs="Arial" w:eastAsia="Arial" w:hAnsi="Arial"/>
                <w:sz w:val="13"/>
                <w:szCs w:val="13"/>
                <w:color w:val="auto"/>
              </w:rPr>
              <w:t>BioMarin</w:t>
            </w:r>
          </w:p>
        </w:tc>
        <w:tc>
          <w:tcPr>
            <w:tcW w:w="520" w:type="dxa"/>
            <w:vAlign w:val="bottom"/>
            <w:tcBorders>
              <w:top w:val="single" w:sz="8" w:color="58585A"/>
            </w:tcBorders>
          </w:tcPr>
          <w:p>
            <w:pPr>
              <w:jc w:val="right"/>
              <w:spacing w:after="0"/>
              <w:rPr>
                <w:sz w:val="20"/>
                <w:szCs w:val="20"/>
                <w:color w:val="auto"/>
              </w:rPr>
            </w:pPr>
            <w:r>
              <w:rPr>
                <w:rFonts w:ascii="Arial" w:cs="Arial" w:eastAsia="Arial" w:hAnsi="Arial"/>
                <w:sz w:val="13"/>
                <w:szCs w:val="13"/>
                <w:color w:val="auto"/>
              </w:rPr>
              <w:t>3,001</w:t>
            </w:r>
          </w:p>
        </w:tc>
      </w:tr>
      <w:tr>
        <w:trPr>
          <w:trHeight w:val="41"/>
        </w:trPr>
        <w:tc>
          <w:tcPr>
            <w:tcW w:w="1520" w:type="dxa"/>
            <w:vAlign w:val="bottom"/>
            <w:tcBorders>
              <w:bottom w:val="single" w:sz="8" w:color="58585A"/>
            </w:tcBorders>
          </w:tcPr>
          <w:p>
            <w:pPr>
              <w:spacing w:after="0"/>
              <w:rPr>
                <w:sz w:val="3"/>
                <w:szCs w:val="3"/>
                <w:color w:val="auto"/>
              </w:rPr>
            </w:pPr>
          </w:p>
        </w:tc>
        <w:tc>
          <w:tcPr>
            <w:tcW w:w="740" w:type="dxa"/>
            <w:vAlign w:val="bottom"/>
            <w:tcBorders>
              <w:bottom w:val="single" w:sz="8" w:color="58585A"/>
            </w:tcBorders>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Borders>
              <w:bottom w:val="single" w:sz="8" w:color="58585A"/>
            </w:tcBorders>
          </w:tcPr>
          <w:p>
            <w:pPr>
              <w:spacing w:after="0"/>
              <w:rPr>
                <w:sz w:val="3"/>
                <w:szCs w:val="3"/>
                <w:color w:val="auto"/>
              </w:rPr>
            </w:pPr>
          </w:p>
        </w:tc>
        <w:tc>
          <w:tcPr>
            <w:tcW w:w="84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Borders>
              <w:bottom w:val="single" w:sz="8" w:color="58585A"/>
            </w:tcBorders>
          </w:tcPr>
          <w:p>
            <w:pPr>
              <w:spacing w:after="0"/>
              <w:rPr>
                <w:sz w:val="3"/>
                <w:szCs w:val="3"/>
                <w:color w:val="auto"/>
              </w:rPr>
            </w:pPr>
          </w:p>
        </w:tc>
        <w:tc>
          <w:tcPr>
            <w:tcW w:w="56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800" w:type="dxa"/>
            <w:vAlign w:val="bottom"/>
            <w:tcBorders>
              <w:bottom w:val="single" w:sz="8" w:color="58585A"/>
            </w:tcBorders>
          </w:tcPr>
          <w:p>
            <w:pPr>
              <w:spacing w:after="0"/>
              <w:rPr>
                <w:sz w:val="3"/>
                <w:szCs w:val="3"/>
                <w:color w:val="auto"/>
              </w:rPr>
            </w:pPr>
          </w:p>
        </w:tc>
        <w:tc>
          <w:tcPr>
            <w:tcW w:w="520" w:type="dxa"/>
            <w:vAlign w:val="bottom"/>
            <w:tcBorders>
              <w:bottom w:val="single" w:sz="8" w:color="58585A"/>
            </w:tcBorders>
          </w:tcPr>
          <w:p>
            <w:pPr>
              <w:spacing w:after="0"/>
              <w:rPr>
                <w:sz w:val="3"/>
                <w:szCs w:val="3"/>
                <w:color w:val="auto"/>
              </w:rPr>
            </w:pPr>
          </w:p>
        </w:tc>
      </w:tr>
      <w:tr>
        <w:trPr>
          <w:trHeight w:val="209"/>
        </w:trPr>
        <w:tc>
          <w:tcPr>
            <w:tcW w:w="1520" w:type="dxa"/>
            <w:vAlign w:val="bottom"/>
          </w:tcPr>
          <w:p>
            <w:pPr>
              <w:ind w:left="60"/>
              <w:spacing w:after="0"/>
              <w:rPr>
                <w:sz w:val="20"/>
                <w:szCs w:val="20"/>
                <w:color w:val="auto"/>
              </w:rPr>
            </w:pPr>
            <w:r>
              <w:rPr>
                <w:rFonts w:ascii="Arial" w:cs="Arial" w:eastAsia="Arial" w:hAnsi="Arial"/>
                <w:sz w:val="13"/>
                <w:szCs w:val="13"/>
                <w:color w:val="auto"/>
              </w:rPr>
              <w:t>Alexion</w:t>
            </w:r>
          </w:p>
        </w:tc>
        <w:tc>
          <w:tcPr>
            <w:tcW w:w="740" w:type="dxa"/>
            <w:vAlign w:val="bottom"/>
          </w:tcPr>
          <w:p>
            <w:pPr>
              <w:jc w:val="right"/>
              <w:spacing w:after="0"/>
              <w:rPr>
                <w:sz w:val="20"/>
                <w:szCs w:val="20"/>
                <w:color w:val="auto"/>
              </w:rPr>
            </w:pPr>
            <w:r>
              <w:rPr>
                <w:rFonts w:ascii="Arial" w:cs="Arial" w:eastAsia="Arial" w:hAnsi="Arial"/>
                <w:sz w:val="13"/>
                <w:szCs w:val="13"/>
                <w:color w:val="auto"/>
              </w:rPr>
              <w:t>$26,477</w:t>
            </w:r>
          </w:p>
        </w:tc>
        <w:tc>
          <w:tcPr>
            <w:tcW w:w="32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Arial" w:cs="Arial" w:eastAsia="Arial" w:hAnsi="Arial"/>
                <w:sz w:val="13"/>
                <w:szCs w:val="13"/>
                <w:color w:val="auto"/>
              </w:rPr>
              <w:t>Incyte</w:t>
            </w:r>
          </w:p>
        </w:tc>
        <w:tc>
          <w:tcPr>
            <w:tcW w:w="840" w:type="dxa"/>
            <w:vAlign w:val="bottom"/>
          </w:tcPr>
          <w:p>
            <w:pPr>
              <w:jc w:val="right"/>
              <w:spacing w:after="0"/>
              <w:rPr>
                <w:sz w:val="20"/>
                <w:szCs w:val="20"/>
                <w:color w:val="auto"/>
              </w:rPr>
            </w:pPr>
            <w:r>
              <w:rPr>
                <w:rFonts w:ascii="Arial" w:cs="Arial" w:eastAsia="Arial" w:hAnsi="Arial"/>
                <w:sz w:val="13"/>
                <w:szCs w:val="13"/>
                <w:color w:val="auto"/>
              </w:rPr>
              <w:t>$17,571</w:t>
            </w:r>
          </w:p>
        </w:tc>
        <w:tc>
          <w:tcPr>
            <w:tcW w:w="300" w:type="dxa"/>
            <w:vAlign w:val="bottom"/>
          </w:tcPr>
          <w:p>
            <w:pPr>
              <w:spacing w:after="0"/>
              <w:rPr>
                <w:sz w:val="18"/>
                <w:szCs w:val="18"/>
                <w:color w:val="auto"/>
              </w:rPr>
            </w:pPr>
          </w:p>
        </w:tc>
        <w:tc>
          <w:tcPr>
            <w:tcW w:w="1760" w:type="dxa"/>
            <w:vAlign w:val="bottom"/>
          </w:tcPr>
          <w:p>
            <w:pPr>
              <w:ind w:left="60"/>
              <w:spacing w:after="0"/>
              <w:rPr>
                <w:sz w:val="20"/>
                <w:szCs w:val="20"/>
                <w:color w:val="auto"/>
              </w:rPr>
            </w:pPr>
            <w:r>
              <w:rPr>
                <w:rFonts w:ascii="Arial" w:cs="Arial" w:eastAsia="Arial" w:hAnsi="Arial"/>
                <w:sz w:val="13"/>
                <w:szCs w:val="13"/>
                <w:color w:val="auto"/>
              </w:rPr>
              <w:t>lncyte</w:t>
            </w:r>
          </w:p>
        </w:tc>
        <w:tc>
          <w:tcPr>
            <w:tcW w:w="560" w:type="dxa"/>
            <w:vAlign w:val="bottom"/>
          </w:tcPr>
          <w:p>
            <w:pPr>
              <w:jc w:val="right"/>
              <w:spacing w:after="0"/>
              <w:rPr>
                <w:sz w:val="20"/>
                <w:szCs w:val="20"/>
                <w:color w:val="auto"/>
              </w:rPr>
            </w:pPr>
            <w:r>
              <w:rPr>
                <w:rFonts w:ascii="Arial" w:cs="Arial" w:eastAsia="Arial" w:hAnsi="Arial"/>
                <w:sz w:val="13"/>
                <w:szCs w:val="13"/>
                <w:color w:val="auto"/>
              </w:rPr>
              <w:t>$2,449</w:t>
            </w:r>
          </w:p>
        </w:tc>
        <w:tc>
          <w:tcPr>
            <w:tcW w:w="30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3"/>
                <w:szCs w:val="13"/>
                <w:color w:val="auto"/>
              </w:rPr>
              <w:t>Vertex</w:t>
            </w:r>
          </w:p>
        </w:tc>
        <w:tc>
          <w:tcPr>
            <w:tcW w:w="520" w:type="dxa"/>
            <w:vAlign w:val="bottom"/>
          </w:tcPr>
          <w:p>
            <w:pPr>
              <w:jc w:val="right"/>
              <w:spacing w:after="0"/>
              <w:rPr>
                <w:sz w:val="20"/>
                <w:szCs w:val="20"/>
                <w:color w:val="auto"/>
              </w:rPr>
            </w:pPr>
            <w:r>
              <w:rPr>
                <w:rFonts w:ascii="Arial" w:cs="Arial" w:eastAsia="Arial" w:hAnsi="Arial"/>
                <w:sz w:val="13"/>
                <w:szCs w:val="13"/>
                <w:color w:val="auto"/>
              </w:rPr>
              <w:t>3,000</w:t>
            </w:r>
          </w:p>
        </w:tc>
      </w:tr>
      <w:tr>
        <w:trPr>
          <w:trHeight w:val="41"/>
        </w:trPr>
        <w:tc>
          <w:tcPr>
            <w:tcW w:w="1520" w:type="dxa"/>
            <w:vAlign w:val="bottom"/>
            <w:tcBorders>
              <w:bottom w:val="single" w:sz="8" w:color="58585A"/>
            </w:tcBorders>
          </w:tcPr>
          <w:p>
            <w:pPr>
              <w:spacing w:after="0"/>
              <w:rPr>
                <w:sz w:val="3"/>
                <w:szCs w:val="3"/>
                <w:color w:val="auto"/>
              </w:rPr>
            </w:pPr>
          </w:p>
        </w:tc>
        <w:tc>
          <w:tcPr>
            <w:tcW w:w="740" w:type="dxa"/>
            <w:vAlign w:val="bottom"/>
            <w:tcBorders>
              <w:bottom w:val="single" w:sz="8" w:color="58585A"/>
            </w:tcBorders>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Borders>
              <w:bottom w:val="single" w:sz="8" w:color="58585A"/>
            </w:tcBorders>
          </w:tcPr>
          <w:p>
            <w:pPr>
              <w:spacing w:after="0"/>
              <w:rPr>
                <w:sz w:val="3"/>
                <w:szCs w:val="3"/>
                <w:color w:val="auto"/>
              </w:rPr>
            </w:pPr>
          </w:p>
        </w:tc>
        <w:tc>
          <w:tcPr>
            <w:tcW w:w="84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Borders>
              <w:bottom w:val="single" w:sz="8" w:color="58585A"/>
            </w:tcBorders>
          </w:tcPr>
          <w:p>
            <w:pPr>
              <w:spacing w:after="0"/>
              <w:rPr>
                <w:sz w:val="3"/>
                <w:szCs w:val="3"/>
                <w:color w:val="auto"/>
              </w:rPr>
            </w:pPr>
          </w:p>
        </w:tc>
        <w:tc>
          <w:tcPr>
            <w:tcW w:w="56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800" w:type="dxa"/>
            <w:vAlign w:val="bottom"/>
            <w:tcBorders>
              <w:bottom w:val="single" w:sz="8" w:color="58585A"/>
            </w:tcBorders>
          </w:tcPr>
          <w:p>
            <w:pPr>
              <w:spacing w:after="0"/>
              <w:rPr>
                <w:sz w:val="3"/>
                <w:szCs w:val="3"/>
                <w:color w:val="auto"/>
              </w:rPr>
            </w:pPr>
          </w:p>
        </w:tc>
        <w:tc>
          <w:tcPr>
            <w:tcW w:w="520" w:type="dxa"/>
            <w:vAlign w:val="bottom"/>
            <w:tcBorders>
              <w:bottom w:val="single" w:sz="8" w:color="58585A"/>
            </w:tcBorders>
          </w:tcPr>
          <w:p>
            <w:pPr>
              <w:spacing w:after="0"/>
              <w:rPr>
                <w:sz w:val="3"/>
                <w:szCs w:val="3"/>
                <w:color w:val="auto"/>
              </w:rPr>
            </w:pPr>
          </w:p>
        </w:tc>
      </w:tr>
      <w:tr>
        <w:trPr>
          <w:trHeight w:val="209"/>
        </w:trPr>
        <w:tc>
          <w:tcPr>
            <w:tcW w:w="1520" w:type="dxa"/>
            <w:vAlign w:val="bottom"/>
          </w:tcPr>
          <w:p>
            <w:pPr>
              <w:ind w:left="60"/>
              <w:spacing w:after="0"/>
              <w:rPr>
                <w:sz w:val="20"/>
                <w:szCs w:val="20"/>
                <w:color w:val="auto"/>
              </w:rPr>
            </w:pPr>
            <w:r>
              <w:rPr>
                <w:rFonts w:ascii="Arial" w:cs="Arial" w:eastAsia="Arial" w:hAnsi="Arial"/>
                <w:sz w:val="13"/>
                <w:szCs w:val="13"/>
                <w:color w:val="auto"/>
              </w:rPr>
              <w:t>Incyte</w:t>
            </w:r>
          </w:p>
        </w:tc>
        <w:tc>
          <w:tcPr>
            <w:tcW w:w="740" w:type="dxa"/>
            <w:vAlign w:val="bottom"/>
          </w:tcPr>
          <w:p>
            <w:pPr>
              <w:jc w:val="right"/>
              <w:spacing w:after="0"/>
              <w:rPr>
                <w:sz w:val="20"/>
                <w:szCs w:val="20"/>
                <w:color w:val="auto"/>
              </w:rPr>
            </w:pPr>
            <w:r>
              <w:rPr>
                <w:rFonts w:ascii="Arial" w:cs="Arial" w:eastAsia="Arial" w:hAnsi="Arial"/>
                <w:sz w:val="13"/>
                <w:szCs w:val="13"/>
                <w:color w:val="auto"/>
              </w:rPr>
              <w:t>$22,153</w:t>
            </w:r>
          </w:p>
        </w:tc>
        <w:tc>
          <w:tcPr>
            <w:tcW w:w="32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Arial" w:cs="Arial" w:eastAsia="Arial" w:hAnsi="Arial"/>
                <w:sz w:val="13"/>
                <w:szCs w:val="13"/>
                <w:color w:val="auto"/>
              </w:rPr>
              <w:t>BioMarin</w:t>
            </w:r>
          </w:p>
        </w:tc>
        <w:tc>
          <w:tcPr>
            <w:tcW w:w="840" w:type="dxa"/>
            <w:vAlign w:val="bottom"/>
          </w:tcPr>
          <w:p>
            <w:pPr>
              <w:jc w:val="right"/>
              <w:spacing w:after="0"/>
              <w:rPr>
                <w:sz w:val="20"/>
                <w:szCs w:val="20"/>
                <w:color w:val="auto"/>
              </w:rPr>
            </w:pPr>
            <w:r>
              <w:rPr>
                <w:rFonts w:ascii="Arial" w:cs="Arial" w:eastAsia="Arial" w:hAnsi="Arial"/>
                <w:sz w:val="13"/>
                <w:szCs w:val="13"/>
                <w:color w:val="auto"/>
              </w:rPr>
              <w:t>$14,777</w:t>
            </w:r>
          </w:p>
        </w:tc>
        <w:tc>
          <w:tcPr>
            <w:tcW w:w="300" w:type="dxa"/>
            <w:vAlign w:val="bottom"/>
          </w:tcPr>
          <w:p>
            <w:pPr>
              <w:spacing w:after="0"/>
              <w:rPr>
                <w:sz w:val="18"/>
                <w:szCs w:val="18"/>
                <w:color w:val="auto"/>
              </w:rPr>
            </w:pPr>
          </w:p>
        </w:tc>
        <w:tc>
          <w:tcPr>
            <w:tcW w:w="1760" w:type="dxa"/>
            <w:vAlign w:val="bottom"/>
          </w:tcPr>
          <w:p>
            <w:pPr>
              <w:ind w:left="60"/>
              <w:spacing w:after="0"/>
              <w:rPr>
                <w:sz w:val="20"/>
                <w:szCs w:val="20"/>
                <w:color w:val="auto"/>
              </w:rPr>
            </w:pPr>
            <w:r>
              <w:rPr>
                <w:rFonts w:ascii="Arial" w:cs="Arial" w:eastAsia="Arial" w:hAnsi="Arial"/>
                <w:sz w:val="13"/>
                <w:szCs w:val="13"/>
                <w:color w:val="auto"/>
              </w:rPr>
              <w:t>BioMarin</w:t>
            </w:r>
          </w:p>
        </w:tc>
        <w:tc>
          <w:tcPr>
            <w:tcW w:w="560" w:type="dxa"/>
            <w:vAlign w:val="bottom"/>
          </w:tcPr>
          <w:p>
            <w:pPr>
              <w:jc w:val="right"/>
              <w:spacing w:after="0"/>
              <w:rPr>
                <w:sz w:val="20"/>
                <w:szCs w:val="20"/>
                <w:color w:val="auto"/>
              </w:rPr>
            </w:pPr>
            <w:r>
              <w:rPr>
                <w:rFonts w:ascii="Arial" w:cs="Arial" w:eastAsia="Arial" w:hAnsi="Arial"/>
                <w:sz w:val="13"/>
                <w:szCs w:val="13"/>
                <w:color w:val="auto"/>
              </w:rPr>
              <w:t>$1,894</w:t>
            </w:r>
          </w:p>
        </w:tc>
        <w:tc>
          <w:tcPr>
            <w:tcW w:w="30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3"/>
                <w:szCs w:val="13"/>
                <w:color w:val="auto"/>
              </w:rPr>
              <w:t>Seagen</w:t>
            </w:r>
          </w:p>
        </w:tc>
        <w:tc>
          <w:tcPr>
            <w:tcW w:w="520" w:type="dxa"/>
            <w:vAlign w:val="bottom"/>
          </w:tcPr>
          <w:p>
            <w:pPr>
              <w:jc w:val="right"/>
              <w:spacing w:after="0"/>
              <w:rPr>
                <w:sz w:val="20"/>
                <w:szCs w:val="20"/>
                <w:color w:val="auto"/>
              </w:rPr>
            </w:pPr>
            <w:r>
              <w:rPr>
                <w:rFonts w:ascii="Arial" w:cs="Arial" w:eastAsia="Arial" w:hAnsi="Arial"/>
                <w:sz w:val="13"/>
                <w:szCs w:val="13"/>
                <w:color w:val="auto"/>
              </w:rPr>
              <w:t>1,605</w:t>
            </w:r>
          </w:p>
        </w:tc>
      </w:tr>
      <w:tr>
        <w:trPr>
          <w:trHeight w:val="41"/>
        </w:trPr>
        <w:tc>
          <w:tcPr>
            <w:tcW w:w="1520" w:type="dxa"/>
            <w:vAlign w:val="bottom"/>
            <w:tcBorders>
              <w:bottom w:val="single" w:sz="8" w:color="58585A"/>
            </w:tcBorders>
          </w:tcPr>
          <w:p>
            <w:pPr>
              <w:spacing w:after="0"/>
              <w:rPr>
                <w:sz w:val="3"/>
                <w:szCs w:val="3"/>
                <w:color w:val="auto"/>
              </w:rPr>
            </w:pPr>
          </w:p>
        </w:tc>
        <w:tc>
          <w:tcPr>
            <w:tcW w:w="740" w:type="dxa"/>
            <w:vAlign w:val="bottom"/>
            <w:tcBorders>
              <w:bottom w:val="single" w:sz="8" w:color="58585A"/>
            </w:tcBorders>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Borders>
              <w:bottom w:val="single" w:sz="8" w:color="58585A"/>
            </w:tcBorders>
          </w:tcPr>
          <w:p>
            <w:pPr>
              <w:spacing w:after="0"/>
              <w:rPr>
                <w:sz w:val="3"/>
                <w:szCs w:val="3"/>
                <w:color w:val="auto"/>
              </w:rPr>
            </w:pPr>
          </w:p>
        </w:tc>
        <w:tc>
          <w:tcPr>
            <w:tcW w:w="84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Borders>
              <w:bottom w:val="single" w:sz="8" w:color="58585A"/>
            </w:tcBorders>
          </w:tcPr>
          <w:p>
            <w:pPr>
              <w:spacing w:after="0"/>
              <w:rPr>
                <w:sz w:val="3"/>
                <w:szCs w:val="3"/>
                <w:color w:val="auto"/>
              </w:rPr>
            </w:pPr>
          </w:p>
        </w:tc>
        <w:tc>
          <w:tcPr>
            <w:tcW w:w="56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800" w:type="dxa"/>
            <w:vAlign w:val="bottom"/>
            <w:tcBorders>
              <w:bottom w:val="single" w:sz="8" w:color="58585A"/>
            </w:tcBorders>
          </w:tcPr>
          <w:p>
            <w:pPr>
              <w:spacing w:after="0"/>
              <w:rPr>
                <w:sz w:val="3"/>
                <w:szCs w:val="3"/>
                <w:color w:val="auto"/>
              </w:rPr>
            </w:pPr>
          </w:p>
        </w:tc>
        <w:tc>
          <w:tcPr>
            <w:tcW w:w="520" w:type="dxa"/>
            <w:vAlign w:val="bottom"/>
            <w:tcBorders>
              <w:bottom w:val="single" w:sz="8" w:color="58585A"/>
            </w:tcBorders>
          </w:tcPr>
          <w:p>
            <w:pPr>
              <w:spacing w:after="0"/>
              <w:rPr>
                <w:sz w:val="3"/>
                <w:szCs w:val="3"/>
                <w:color w:val="auto"/>
              </w:rPr>
            </w:pPr>
          </w:p>
        </w:tc>
      </w:tr>
      <w:tr>
        <w:trPr>
          <w:trHeight w:val="209"/>
        </w:trPr>
        <w:tc>
          <w:tcPr>
            <w:tcW w:w="1520" w:type="dxa"/>
            <w:vAlign w:val="bottom"/>
          </w:tcPr>
          <w:p>
            <w:pPr>
              <w:ind w:left="60"/>
              <w:spacing w:after="0"/>
              <w:rPr>
                <w:sz w:val="20"/>
                <w:szCs w:val="20"/>
                <w:color w:val="auto"/>
              </w:rPr>
            </w:pPr>
            <w:r>
              <w:rPr>
                <w:rFonts w:ascii="Arial" w:cs="Arial" w:eastAsia="Arial" w:hAnsi="Arial"/>
                <w:sz w:val="13"/>
                <w:szCs w:val="13"/>
                <w:color w:val="auto"/>
              </w:rPr>
              <w:t>BioMarin</w:t>
            </w:r>
          </w:p>
        </w:tc>
        <w:tc>
          <w:tcPr>
            <w:tcW w:w="740" w:type="dxa"/>
            <w:vAlign w:val="bottom"/>
          </w:tcPr>
          <w:p>
            <w:pPr>
              <w:jc w:val="right"/>
              <w:spacing w:after="0"/>
              <w:rPr>
                <w:sz w:val="20"/>
                <w:szCs w:val="20"/>
                <w:color w:val="auto"/>
              </w:rPr>
            </w:pPr>
            <w:r>
              <w:rPr>
                <w:rFonts w:ascii="Arial" w:cs="Arial" w:eastAsia="Arial" w:hAnsi="Arial"/>
                <w:sz w:val="13"/>
                <w:szCs w:val="13"/>
                <w:color w:val="auto"/>
              </w:rPr>
              <w:t>$19,268</w:t>
            </w:r>
          </w:p>
        </w:tc>
        <w:tc>
          <w:tcPr>
            <w:tcW w:w="32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Arial" w:cs="Arial" w:eastAsia="Arial" w:hAnsi="Arial"/>
                <w:sz w:val="13"/>
                <w:szCs w:val="13"/>
                <w:color w:val="auto"/>
              </w:rPr>
              <w:t>Seagen</w:t>
            </w:r>
          </w:p>
        </w:tc>
        <w:tc>
          <w:tcPr>
            <w:tcW w:w="840" w:type="dxa"/>
            <w:vAlign w:val="bottom"/>
          </w:tcPr>
          <w:p>
            <w:pPr>
              <w:jc w:val="right"/>
              <w:spacing w:after="0"/>
              <w:rPr>
                <w:sz w:val="20"/>
                <w:szCs w:val="20"/>
                <w:color w:val="auto"/>
              </w:rPr>
            </w:pPr>
            <w:r>
              <w:rPr>
                <w:rFonts w:ascii="Arial" w:cs="Arial" w:eastAsia="Arial" w:hAnsi="Arial"/>
                <w:sz w:val="13"/>
                <w:szCs w:val="13"/>
                <w:color w:val="auto"/>
              </w:rPr>
              <w:t>$13,299</w:t>
            </w:r>
          </w:p>
        </w:tc>
        <w:tc>
          <w:tcPr>
            <w:tcW w:w="300" w:type="dxa"/>
            <w:vAlign w:val="bottom"/>
          </w:tcPr>
          <w:p>
            <w:pPr>
              <w:spacing w:after="0"/>
              <w:rPr>
                <w:sz w:val="18"/>
                <w:szCs w:val="18"/>
                <w:color w:val="auto"/>
              </w:rPr>
            </w:pPr>
          </w:p>
        </w:tc>
        <w:tc>
          <w:tcPr>
            <w:tcW w:w="1760" w:type="dxa"/>
            <w:vAlign w:val="bottom"/>
          </w:tcPr>
          <w:p>
            <w:pPr>
              <w:ind w:left="60"/>
              <w:spacing w:after="0"/>
              <w:rPr>
                <w:sz w:val="20"/>
                <w:szCs w:val="20"/>
                <w:color w:val="auto"/>
              </w:rPr>
            </w:pPr>
            <w:r>
              <w:rPr>
                <w:rFonts w:ascii="Arial" w:cs="Arial" w:eastAsia="Arial" w:hAnsi="Arial"/>
                <w:sz w:val="13"/>
                <w:szCs w:val="13"/>
                <w:color w:val="auto"/>
              </w:rPr>
              <w:t>Seagen</w:t>
            </w:r>
          </w:p>
        </w:tc>
        <w:tc>
          <w:tcPr>
            <w:tcW w:w="560" w:type="dxa"/>
            <w:vAlign w:val="bottom"/>
          </w:tcPr>
          <w:p>
            <w:pPr>
              <w:jc w:val="right"/>
              <w:spacing w:after="0"/>
              <w:rPr>
                <w:sz w:val="20"/>
                <w:szCs w:val="20"/>
                <w:color w:val="auto"/>
              </w:rPr>
            </w:pPr>
            <w:r>
              <w:rPr>
                <w:rFonts w:ascii="Arial" w:cs="Arial" w:eastAsia="Arial" w:hAnsi="Arial"/>
                <w:sz w:val="13"/>
                <w:szCs w:val="13"/>
                <w:color w:val="auto"/>
              </w:rPr>
              <w:t>$1,077</w:t>
            </w:r>
          </w:p>
        </w:tc>
        <w:tc>
          <w:tcPr>
            <w:tcW w:w="30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3"/>
                <w:szCs w:val="13"/>
                <w:color w:val="auto"/>
              </w:rPr>
              <w:t>Incyte</w:t>
            </w:r>
          </w:p>
        </w:tc>
        <w:tc>
          <w:tcPr>
            <w:tcW w:w="520" w:type="dxa"/>
            <w:vAlign w:val="bottom"/>
          </w:tcPr>
          <w:p>
            <w:pPr>
              <w:jc w:val="right"/>
              <w:spacing w:after="0"/>
              <w:rPr>
                <w:sz w:val="20"/>
                <w:szCs w:val="20"/>
                <w:color w:val="auto"/>
              </w:rPr>
            </w:pPr>
            <w:r>
              <w:rPr>
                <w:rFonts w:ascii="Arial" w:cs="Arial" w:eastAsia="Arial" w:hAnsi="Arial"/>
                <w:sz w:val="13"/>
                <w:szCs w:val="13"/>
                <w:color w:val="auto"/>
              </w:rPr>
              <w:t>1,456</w:t>
            </w:r>
          </w:p>
        </w:tc>
      </w:tr>
      <w:tr>
        <w:trPr>
          <w:trHeight w:val="41"/>
        </w:trPr>
        <w:tc>
          <w:tcPr>
            <w:tcW w:w="1520" w:type="dxa"/>
            <w:vAlign w:val="bottom"/>
            <w:tcBorders>
              <w:bottom w:val="single" w:sz="8" w:color="58585A"/>
            </w:tcBorders>
          </w:tcPr>
          <w:p>
            <w:pPr>
              <w:spacing w:after="0"/>
              <w:rPr>
                <w:sz w:val="3"/>
                <w:szCs w:val="3"/>
                <w:color w:val="auto"/>
              </w:rPr>
            </w:pPr>
          </w:p>
        </w:tc>
        <w:tc>
          <w:tcPr>
            <w:tcW w:w="740" w:type="dxa"/>
            <w:vAlign w:val="bottom"/>
            <w:tcBorders>
              <w:bottom w:val="single" w:sz="8" w:color="58585A"/>
            </w:tcBorders>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Borders>
              <w:bottom w:val="single" w:sz="8" w:color="58585A"/>
            </w:tcBorders>
          </w:tcPr>
          <w:p>
            <w:pPr>
              <w:spacing w:after="0"/>
              <w:rPr>
                <w:sz w:val="3"/>
                <w:szCs w:val="3"/>
                <w:color w:val="auto"/>
              </w:rPr>
            </w:pPr>
          </w:p>
        </w:tc>
        <w:tc>
          <w:tcPr>
            <w:tcW w:w="84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Borders>
              <w:bottom w:val="single" w:sz="8" w:color="58585A"/>
            </w:tcBorders>
          </w:tcPr>
          <w:p>
            <w:pPr>
              <w:spacing w:after="0"/>
              <w:rPr>
                <w:sz w:val="3"/>
                <w:szCs w:val="3"/>
                <w:color w:val="auto"/>
              </w:rPr>
            </w:pPr>
          </w:p>
        </w:tc>
        <w:tc>
          <w:tcPr>
            <w:tcW w:w="56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800" w:type="dxa"/>
            <w:vAlign w:val="bottom"/>
            <w:tcBorders>
              <w:bottom w:val="single" w:sz="8" w:color="58585A"/>
            </w:tcBorders>
          </w:tcPr>
          <w:p>
            <w:pPr>
              <w:spacing w:after="0"/>
              <w:rPr>
                <w:sz w:val="3"/>
                <w:szCs w:val="3"/>
                <w:color w:val="auto"/>
              </w:rPr>
            </w:pPr>
          </w:p>
        </w:tc>
        <w:tc>
          <w:tcPr>
            <w:tcW w:w="520" w:type="dxa"/>
            <w:vAlign w:val="bottom"/>
            <w:tcBorders>
              <w:bottom w:val="single" w:sz="8" w:color="58585A"/>
            </w:tcBorders>
          </w:tcPr>
          <w:p>
            <w:pPr>
              <w:spacing w:after="0"/>
              <w:rPr>
                <w:sz w:val="3"/>
                <w:szCs w:val="3"/>
                <w:color w:val="auto"/>
              </w:rPr>
            </w:pPr>
          </w:p>
        </w:tc>
      </w:tr>
      <w:tr>
        <w:trPr>
          <w:trHeight w:val="209"/>
        </w:trPr>
        <w:tc>
          <w:tcPr>
            <w:tcW w:w="1520" w:type="dxa"/>
            <w:vAlign w:val="bottom"/>
          </w:tcPr>
          <w:p>
            <w:pPr>
              <w:ind w:left="60"/>
              <w:spacing w:after="0"/>
              <w:rPr>
                <w:sz w:val="20"/>
                <w:szCs w:val="20"/>
                <w:color w:val="auto"/>
              </w:rPr>
            </w:pPr>
            <w:r>
              <w:rPr>
                <w:rFonts w:ascii="Arial" w:cs="Arial" w:eastAsia="Arial" w:hAnsi="Arial"/>
                <w:sz w:val="13"/>
                <w:szCs w:val="13"/>
                <w:color w:val="auto"/>
              </w:rPr>
              <w:t>Alnylam</w:t>
            </w:r>
          </w:p>
        </w:tc>
        <w:tc>
          <w:tcPr>
            <w:tcW w:w="740" w:type="dxa"/>
            <w:vAlign w:val="bottom"/>
          </w:tcPr>
          <w:p>
            <w:pPr>
              <w:jc w:val="right"/>
              <w:spacing w:after="0"/>
              <w:rPr>
                <w:sz w:val="20"/>
                <w:szCs w:val="20"/>
                <w:color w:val="auto"/>
              </w:rPr>
            </w:pPr>
            <w:r>
              <w:rPr>
                <w:rFonts w:ascii="Arial" w:cs="Arial" w:eastAsia="Arial" w:hAnsi="Arial"/>
                <w:sz w:val="13"/>
                <w:szCs w:val="13"/>
                <w:color w:val="auto"/>
              </w:rPr>
              <w:t>$15,532</w:t>
            </w:r>
          </w:p>
        </w:tc>
        <w:tc>
          <w:tcPr>
            <w:tcW w:w="32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Arial" w:cs="Arial" w:eastAsia="Arial" w:hAnsi="Arial"/>
                <w:sz w:val="13"/>
                <w:szCs w:val="13"/>
                <w:color w:val="auto"/>
              </w:rPr>
              <w:t>Alnylam</w:t>
            </w:r>
          </w:p>
        </w:tc>
        <w:tc>
          <w:tcPr>
            <w:tcW w:w="840" w:type="dxa"/>
            <w:vAlign w:val="bottom"/>
          </w:tcPr>
          <w:p>
            <w:pPr>
              <w:jc w:val="right"/>
              <w:spacing w:after="0"/>
              <w:rPr>
                <w:sz w:val="20"/>
                <w:szCs w:val="20"/>
                <w:color w:val="auto"/>
              </w:rPr>
            </w:pPr>
            <w:r>
              <w:rPr>
                <w:rFonts w:ascii="Arial" w:cs="Arial" w:eastAsia="Arial" w:hAnsi="Arial"/>
                <w:sz w:val="13"/>
                <w:szCs w:val="13"/>
                <w:color w:val="auto"/>
              </w:rPr>
              <w:t>$9,193</w:t>
            </w:r>
          </w:p>
        </w:tc>
        <w:tc>
          <w:tcPr>
            <w:tcW w:w="300" w:type="dxa"/>
            <w:vAlign w:val="bottom"/>
          </w:tcPr>
          <w:p>
            <w:pPr>
              <w:spacing w:after="0"/>
              <w:rPr>
                <w:sz w:val="18"/>
                <w:szCs w:val="18"/>
                <w:color w:val="auto"/>
              </w:rPr>
            </w:pPr>
          </w:p>
        </w:tc>
        <w:tc>
          <w:tcPr>
            <w:tcW w:w="1760" w:type="dxa"/>
            <w:vAlign w:val="bottom"/>
          </w:tcPr>
          <w:p>
            <w:pPr>
              <w:ind w:left="60"/>
              <w:spacing w:after="0"/>
              <w:rPr>
                <w:sz w:val="20"/>
                <w:szCs w:val="20"/>
                <w:color w:val="auto"/>
              </w:rPr>
            </w:pPr>
            <w:r>
              <w:rPr>
                <w:rFonts w:ascii="Arial" w:cs="Arial" w:eastAsia="Arial" w:hAnsi="Arial"/>
                <w:sz w:val="13"/>
                <w:szCs w:val="13"/>
                <w:color w:val="auto"/>
              </w:rPr>
              <w:t>Alnylam</w:t>
            </w:r>
          </w:p>
        </w:tc>
        <w:tc>
          <w:tcPr>
            <w:tcW w:w="560" w:type="dxa"/>
            <w:vAlign w:val="bottom"/>
          </w:tcPr>
          <w:p>
            <w:pPr>
              <w:jc w:val="right"/>
              <w:spacing w:after="0"/>
              <w:rPr>
                <w:sz w:val="20"/>
                <w:szCs w:val="20"/>
                <w:color w:val="auto"/>
              </w:rPr>
            </w:pPr>
            <w:r>
              <w:rPr>
                <w:rFonts w:ascii="Arial" w:cs="Arial" w:eastAsia="Arial" w:hAnsi="Arial"/>
                <w:sz w:val="13"/>
                <w:szCs w:val="13"/>
                <w:color w:val="auto"/>
              </w:rPr>
              <w:t>$490</w:t>
            </w:r>
          </w:p>
        </w:tc>
        <w:tc>
          <w:tcPr>
            <w:tcW w:w="300" w:type="dxa"/>
            <w:vAlign w:val="bottom"/>
          </w:tcPr>
          <w:p>
            <w:pPr>
              <w:spacing w:after="0"/>
              <w:rPr>
                <w:sz w:val="18"/>
                <w:szCs w:val="18"/>
                <w:color w:val="auto"/>
              </w:rPr>
            </w:pPr>
          </w:p>
        </w:tc>
        <w:tc>
          <w:tcPr>
            <w:tcW w:w="1800" w:type="dxa"/>
            <w:vAlign w:val="bottom"/>
          </w:tcPr>
          <w:p>
            <w:pPr>
              <w:ind w:left="60"/>
              <w:spacing w:after="0"/>
              <w:rPr>
                <w:sz w:val="20"/>
                <w:szCs w:val="20"/>
                <w:color w:val="auto"/>
              </w:rPr>
            </w:pPr>
            <w:r>
              <w:rPr>
                <w:rFonts w:ascii="Arial" w:cs="Arial" w:eastAsia="Arial" w:hAnsi="Arial"/>
                <w:sz w:val="13"/>
                <w:szCs w:val="13"/>
                <w:color w:val="auto"/>
              </w:rPr>
              <w:t>Alnylam</w:t>
            </w:r>
          </w:p>
        </w:tc>
        <w:tc>
          <w:tcPr>
            <w:tcW w:w="520" w:type="dxa"/>
            <w:vAlign w:val="bottom"/>
          </w:tcPr>
          <w:p>
            <w:pPr>
              <w:jc w:val="right"/>
              <w:spacing w:after="0"/>
              <w:rPr>
                <w:sz w:val="20"/>
                <w:szCs w:val="20"/>
                <w:color w:val="auto"/>
              </w:rPr>
            </w:pPr>
            <w:r>
              <w:rPr>
                <w:rFonts w:ascii="Arial" w:cs="Arial" w:eastAsia="Arial" w:hAnsi="Arial"/>
                <w:sz w:val="13"/>
                <w:szCs w:val="13"/>
                <w:color w:val="auto"/>
              </w:rPr>
              <w:t>1,323</w:t>
            </w:r>
          </w:p>
        </w:tc>
      </w:tr>
      <w:tr>
        <w:trPr>
          <w:trHeight w:val="41"/>
        </w:trPr>
        <w:tc>
          <w:tcPr>
            <w:tcW w:w="1520" w:type="dxa"/>
            <w:vAlign w:val="bottom"/>
            <w:tcBorders>
              <w:bottom w:val="single" w:sz="8" w:color="58585A"/>
            </w:tcBorders>
          </w:tcPr>
          <w:p>
            <w:pPr>
              <w:spacing w:after="0"/>
              <w:rPr>
                <w:sz w:val="3"/>
                <w:szCs w:val="3"/>
                <w:color w:val="auto"/>
              </w:rPr>
            </w:pPr>
          </w:p>
        </w:tc>
        <w:tc>
          <w:tcPr>
            <w:tcW w:w="740" w:type="dxa"/>
            <w:vAlign w:val="bottom"/>
            <w:tcBorders>
              <w:bottom w:val="single" w:sz="8" w:color="58585A"/>
            </w:tcBorders>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Borders>
              <w:bottom w:val="single" w:sz="8" w:color="58585A"/>
            </w:tcBorders>
          </w:tcPr>
          <w:p>
            <w:pPr>
              <w:spacing w:after="0"/>
              <w:rPr>
                <w:sz w:val="3"/>
                <w:szCs w:val="3"/>
                <w:color w:val="auto"/>
              </w:rPr>
            </w:pPr>
          </w:p>
        </w:tc>
        <w:tc>
          <w:tcPr>
            <w:tcW w:w="84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Borders>
              <w:bottom w:val="single" w:sz="8" w:color="58585A"/>
            </w:tcBorders>
          </w:tcPr>
          <w:p>
            <w:pPr>
              <w:spacing w:after="0"/>
              <w:rPr>
                <w:sz w:val="3"/>
                <w:szCs w:val="3"/>
                <w:color w:val="auto"/>
              </w:rPr>
            </w:pPr>
          </w:p>
        </w:tc>
        <w:tc>
          <w:tcPr>
            <w:tcW w:w="56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800" w:type="dxa"/>
            <w:vAlign w:val="bottom"/>
            <w:tcBorders>
              <w:bottom w:val="single" w:sz="8" w:color="58585A"/>
            </w:tcBorders>
          </w:tcPr>
          <w:p>
            <w:pPr>
              <w:spacing w:after="0"/>
              <w:rPr>
                <w:sz w:val="3"/>
                <w:szCs w:val="3"/>
                <w:color w:val="auto"/>
              </w:rPr>
            </w:pPr>
          </w:p>
        </w:tc>
        <w:tc>
          <w:tcPr>
            <w:tcW w:w="520" w:type="dxa"/>
            <w:vAlign w:val="bottom"/>
            <w:tcBorders>
              <w:bottom w:val="single" w:sz="8" w:color="58585A"/>
            </w:tcBorders>
          </w:tcPr>
          <w:p>
            <w:pPr>
              <w:spacing w:after="0"/>
              <w:rPr>
                <w:sz w:val="3"/>
                <w:szCs w:val="3"/>
                <w:color w:val="auto"/>
              </w:rPr>
            </w:pPr>
          </w:p>
        </w:tc>
      </w:tr>
      <w:tr>
        <w:trPr>
          <w:trHeight w:val="209"/>
        </w:trPr>
        <w:tc>
          <w:tcPr>
            <w:tcW w:w="1520" w:type="dxa"/>
            <w:vAlign w:val="bottom"/>
          </w:tcPr>
          <w:p>
            <w:pPr>
              <w:ind w:left="60"/>
              <w:spacing w:after="0"/>
              <w:rPr>
                <w:sz w:val="20"/>
                <w:szCs w:val="20"/>
                <w:color w:val="auto"/>
              </w:rPr>
            </w:pPr>
            <w:r>
              <w:rPr>
                <w:rFonts w:ascii="Arial" w:cs="Arial" w:eastAsia="Arial" w:hAnsi="Arial"/>
                <w:sz w:val="13"/>
                <w:szCs w:val="13"/>
                <w:b w:val="1"/>
                <w:bCs w:val="1"/>
                <w:color w:val="auto"/>
              </w:rPr>
              <w:t>75th Percentile</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$136,885</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$113,441</w:t>
            </w: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$33,071</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30,000</w:t>
            </w:r>
          </w:p>
        </w:tc>
      </w:tr>
      <w:tr>
        <w:trPr>
          <w:trHeight w:val="41"/>
        </w:trPr>
        <w:tc>
          <w:tcPr>
            <w:tcW w:w="1520" w:type="dxa"/>
            <w:vAlign w:val="bottom"/>
            <w:tcBorders>
              <w:bottom w:val="single" w:sz="8" w:color="58585A"/>
            </w:tcBorders>
          </w:tcPr>
          <w:p>
            <w:pPr>
              <w:spacing w:after="0"/>
              <w:rPr>
                <w:sz w:val="3"/>
                <w:szCs w:val="3"/>
                <w:color w:val="auto"/>
              </w:rPr>
            </w:pPr>
          </w:p>
        </w:tc>
        <w:tc>
          <w:tcPr>
            <w:tcW w:w="740" w:type="dxa"/>
            <w:vAlign w:val="bottom"/>
            <w:tcBorders>
              <w:bottom w:val="single" w:sz="8" w:color="58585A"/>
            </w:tcBorders>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Borders>
              <w:bottom w:val="single" w:sz="8" w:color="58585A"/>
            </w:tcBorders>
          </w:tcPr>
          <w:p>
            <w:pPr>
              <w:spacing w:after="0"/>
              <w:rPr>
                <w:sz w:val="3"/>
                <w:szCs w:val="3"/>
                <w:color w:val="auto"/>
              </w:rPr>
            </w:pPr>
          </w:p>
        </w:tc>
        <w:tc>
          <w:tcPr>
            <w:tcW w:w="84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Borders>
              <w:bottom w:val="single" w:sz="8" w:color="58585A"/>
            </w:tcBorders>
          </w:tcPr>
          <w:p>
            <w:pPr>
              <w:spacing w:after="0"/>
              <w:rPr>
                <w:sz w:val="3"/>
                <w:szCs w:val="3"/>
                <w:color w:val="auto"/>
              </w:rPr>
            </w:pPr>
          </w:p>
        </w:tc>
        <w:tc>
          <w:tcPr>
            <w:tcW w:w="56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800" w:type="dxa"/>
            <w:vAlign w:val="bottom"/>
            <w:tcBorders>
              <w:bottom w:val="single" w:sz="8" w:color="58585A"/>
            </w:tcBorders>
          </w:tcPr>
          <w:p>
            <w:pPr>
              <w:spacing w:after="0"/>
              <w:rPr>
                <w:sz w:val="3"/>
                <w:szCs w:val="3"/>
                <w:color w:val="auto"/>
              </w:rPr>
            </w:pPr>
          </w:p>
        </w:tc>
        <w:tc>
          <w:tcPr>
            <w:tcW w:w="520" w:type="dxa"/>
            <w:vAlign w:val="bottom"/>
            <w:tcBorders>
              <w:bottom w:val="single" w:sz="8" w:color="58585A"/>
            </w:tcBorders>
          </w:tcPr>
          <w:p>
            <w:pPr>
              <w:spacing w:after="0"/>
              <w:rPr>
                <w:sz w:val="3"/>
                <w:szCs w:val="3"/>
                <w:color w:val="auto"/>
              </w:rPr>
            </w:pPr>
          </w:p>
        </w:tc>
      </w:tr>
      <w:tr>
        <w:trPr>
          <w:trHeight w:val="209"/>
        </w:trPr>
        <w:tc>
          <w:tcPr>
            <w:tcW w:w="1520" w:type="dxa"/>
            <w:vAlign w:val="bottom"/>
          </w:tcPr>
          <w:p>
            <w:pPr>
              <w:ind w:left="60"/>
              <w:spacing w:after="0"/>
              <w:rPr>
                <w:sz w:val="20"/>
                <w:szCs w:val="20"/>
                <w:color w:val="auto"/>
              </w:rPr>
            </w:pPr>
            <w:r>
              <w:rPr>
                <w:rFonts w:ascii="Arial" w:cs="Arial" w:eastAsia="Arial" w:hAnsi="Arial"/>
                <w:sz w:val="13"/>
                <w:szCs w:val="13"/>
                <w:b w:val="1"/>
                <w:bCs w:val="1"/>
                <w:color w:val="auto"/>
              </w:rPr>
              <w:t>Median</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$74,661</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$50,236</w:t>
            </w: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$13,974</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7,400</w:t>
            </w:r>
          </w:p>
        </w:tc>
      </w:tr>
      <w:tr>
        <w:trPr>
          <w:trHeight w:val="41"/>
        </w:trPr>
        <w:tc>
          <w:tcPr>
            <w:tcW w:w="1520" w:type="dxa"/>
            <w:vAlign w:val="bottom"/>
            <w:tcBorders>
              <w:bottom w:val="single" w:sz="8" w:color="58585A"/>
            </w:tcBorders>
          </w:tcPr>
          <w:p>
            <w:pPr>
              <w:spacing w:after="0"/>
              <w:rPr>
                <w:sz w:val="3"/>
                <w:szCs w:val="3"/>
                <w:color w:val="auto"/>
              </w:rPr>
            </w:pPr>
          </w:p>
        </w:tc>
        <w:tc>
          <w:tcPr>
            <w:tcW w:w="740" w:type="dxa"/>
            <w:vAlign w:val="bottom"/>
            <w:tcBorders>
              <w:bottom w:val="single" w:sz="8" w:color="58585A"/>
            </w:tcBorders>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tcBorders>
              <w:bottom w:val="single" w:sz="8" w:color="58585A"/>
            </w:tcBorders>
          </w:tcPr>
          <w:p>
            <w:pPr>
              <w:spacing w:after="0"/>
              <w:rPr>
                <w:sz w:val="3"/>
                <w:szCs w:val="3"/>
                <w:color w:val="auto"/>
              </w:rPr>
            </w:pPr>
          </w:p>
        </w:tc>
        <w:tc>
          <w:tcPr>
            <w:tcW w:w="84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Borders>
              <w:bottom w:val="single" w:sz="8" w:color="58585A"/>
            </w:tcBorders>
          </w:tcPr>
          <w:p>
            <w:pPr>
              <w:spacing w:after="0"/>
              <w:rPr>
                <w:sz w:val="3"/>
                <w:szCs w:val="3"/>
                <w:color w:val="auto"/>
              </w:rPr>
            </w:pPr>
          </w:p>
        </w:tc>
        <w:tc>
          <w:tcPr>
            <w:tcW w:w="560" w:type="dxa"/>
            <w:vAlign w:val="bottom"/>
            <w:tcBorders>
              <w:bottom w:val="single" w:sz="8" w:color="58585A"/>
            </w:tcBorders>
          </w:tcPr>
          <w:p>
            <w:pPr>
              <w:spacing w:after="0"/>
              <w:rPr>
                <w:sz w:val="3"/>
                <w:szCs w:val="3"/>
                <w:color w:val="auto"/>
              </w:rPr>
            </w:pPr>
          </w:p>
        </w:tc>
        <w:tc>
          <w:tcPr>
            <w:tcW w:w="300" w:type="dxa"/>
            <w:vAlign w:val="bottom"/>
          </w:tcPr>
          <w:p>
            <w:pPr>
              <w:spacing w:after="0"/>
              <w:rPr>
                <w:sz w:val="3"/>
                <w:szCs w:val="3"/>
                <w:color w:val="auto"/>
              </w:rPr>
            </w:pPr>
          </w:p>
        </w:tc>
        <w:tc>
          <w:tcPr>
            <w:tcW w:w="1800" w:type="dxa"/>
            <w:vAlign w:val="bottom"/>
            <w:tcBorders>
              <w:bottom w:val="single" w:sz="8" w:color="58585A"/>
            </w:tcBorders>
          </w:tcPr>
          <w:p>
            <w:pPr>
              <w:spacing w:after="0"/>
              <w:rPr>
                <w:sz w:val="3"/>
                <w:szCs w:val="3"/>
                <w:color w:val="auto"/>
              </w:rPr>
            </w:pPr>
          </w:p>
        </w:tc>
        <w:tc>
          <w:tcPr>
            <w:tcW w:w="520" w:type="dxa"/>
            <w:vAlign w:val="bottom"/>
            <w:tcBorders>
              <w:bottom w:val="single" w:sz="8" w:color="58585A"/>
            </w:tcBorders>
          </w:tcPr>
          <w:p>
            <w:pPr>
              <w:spacing w:after="0"/>
              <w:rPr>
                <w:sz w:val="3"/>
                <w:szCs w:val="3"/>
                <w:color w:val="auto"/>
              </w:rPr>
            </w:pPr>
          </w:p>
        </w:tc>
      </w:tr>
      <w:tr>
        <w:trPr>
          <w:trHeight w:val="209"/>
        </w:trPr>
        <w:tc>
          <w:tcPr>
            <w:tcW w:w="1520" w:type="dxa"/>
            <w:vAlign w:val="bottom"/>
          </w:tcPr>
          <w:p>
            <w:pPr>
              <w:ind w:left="60"/>
              <w:spacing w:after="0"/>
              <w:rPr>
                <w:sz w:val="20"/>
                <w:szCs w:val="20"/>
                <w:color w:val="auto"/>
              </w:rPr>
            </w:pPr>
            <w:r>
              <w:rPr>
                <w:rFonts w:ascii="Arial" w:cs="Arial" w:eastAsia="Arial" w:hAnsi="Arial"/>
                <w:sz w:val="13"/>
                <w:szCs w:val="13"/>
                <w:b w:val="1"/>
                <w:bCs w:val="1"/>
                <w:color w:val="auto"/>
              </w:rPr>
              <w:t>25th Percentile</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$24,315</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$16,174</w:t>
            </w: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$2,171</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2,303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26035</wp:posOffset>
            </wp:positionV>
            <wp:extent cx="64465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71"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1400" w:type="dxa"/>
            <w:vAlign w:val="bottom"/>
          </w:tcPr>
          <w:p>
            <w:pPr>
              <w:ind w:left="60"/>
              <w:spacing w:after="0"/>
              <w:rPr>
                <w:sz w:val="20"/>
                <w:szCs w:val="20"/>
                <w:color w:val="auto"/>
              </w:rPr>
            </w:pPr>
            <w:r>
              <w:rPr>
                <w:rFonts w:ascii="Arial" w:cs="Arial" w:eastAsia="Arial" w:hAnsi="Arial"/>
                <w:sz w:val="13"/>
                <w:szCs w:val="13"/>
                <w:b w:val="1"/>
                <w:bCs w:val="1"/>
                <w:color w:val="auto"/>
              </w:rPr>
              <w:t>Regeneron</w:t>
            </w:r>
          </w:p>
        </w:tc>
        <w:tc>
          <w:tcPr>
            <w:tcW w:w="17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8"/>
        </w:trPr>
        <w:tc>
          <w:tcPr>
            <w:tcW w:w="1400" w:type="dxa"/>
            <w:vAlign w:val="bottom"/>
          </w:tcPr>
          <w:p>
            <w:pPr>
              <w:ind w:left="60"/>
              <w:spacing w:after="0"/>
              <w:rPr>
                <w:sz w:val="20"/>
                <w:szCs w:val="20"/>
                <w:color w:val="auto"/>
              </w:rPr>
            </w:pPr>
            <w:r>
              <w:rPr>
                <w:rFonts w:ascii="Arial" w:cs="Arial" w:eastAsia="Arial" w:hAnsi="Arial"/>
                <w:sz w:val="13"/>
                <w:szCs w:val="13"/>
                <w:b w:val="1"/>
                <w:bCs w:val="1"/>
                <w:color w:val="auto"/>
              </w:rPr>
              <w:t>Percentile Rank</w:t>
            </w:r>
          </w:p>
        </w:tc>
        <w:tc>
          <w:tcPr>
            <w:tcW w:w="1780" w:type="dxa"/>
            <w:vAlign w:val="bottom"/>
          </w:tcPr>
          <w:p>
            <w:pPr>
              <w:ind w:left="340"/>
              <w:spacing w:after="0"/>
              <w:rPr>
                <w:sz w:val="20"/>
                <w:szCs w:val="20"/>
                <w:color w:val="auto"/>
              </w:rPr>
            </w:pPr>
            <w:r>
              <w:rPr>
                <w:rFonts w:ascii="Arial" w:cs="Arial" w:eastAsia="Arial" w:hAnsi="Arial"/>
                <w:sz w:val="13"/>
                <w:szCs w:val="13"/>
                <w:b w:val="1"/>
                <w:bCs w:val="1"/>
                <w:color w:val="auto"/>
              </w:rPr>
              <w:t>46P</w:t>
            </w:r>
          </w:p>
        </w:tc>
        <w:tc>
          <w:tcPr>
            <w:tcW w:w="2640" w:type="dxa"/>
            <w:vAlign w:val="bottom"/>
          </w:tcPr>
          <w:p>
            <w:pPr>
              <w:ind w:left="1220"/>
              <w:spacing w:after="0"/>
              <w:rPr>
                <w:sz w:val="20"/>
                <w:szCs w:val="20"/>
                <w:color w:val="auto"/>
              </w:rPr>
            </w:pPr>
            <w:r>
              <w:rPr>
                <w:rFonts w:ascii="Arial" w:cs="Arial" w:eastAsia="Arial" w:hAnsi="Arial"/>
                <w:sz w:val="13"/>
                <w:szCs w:val="13"/>
                <w:b w:val="1"/>
                <w:bCs w:val="1"/>
                <w:color w:val="auto"/>
              </w:rPr>
              <w:t>39P</w:t>
            </w:r>
          </w:p>
        </w:tc>
        <w:tc>
          <w:tcPr>
            <w:tcW w:w="2620" w:type="dxa"/>
            <w:vAlign w:val="bottom"/>
          </w:tcPr>
          <w:p>
            <w:pPr>
              <w:ind w:left="1200"/>
              <w:spacing w:after="0"/>
              <w:rPr>
                <w:sz w:val="20"/>
                <w:szCs w:val="20"/>
                <w:color w:val="auto"/>
              </w:rPr>
            </w:pPr>
            <w:r>
              <w:rPr>
                <w:rFonts w:ascii="Arial" w:cs="Arial" w:eastAsia="Arial" w:hAnsi="Arial"/>
                <w:sz w:val="13"/>
                <w:szCs w:val="13"/>
                <w:b w:val="1"/>
                <w:bCs w:val="1"/>
                <w:color w:val="auto"/>
              </w:rPr>
              <w:t>44P</w:t>
            </w:r>
          </w:p>
        </w:tc>
        <w:tc>
          <w:tcPr>
            <w:tcW w:w="1720" w:type="dxa"/>
            <w:vAlign w:val="bottom"/>
          </w:tcPr>
          <w:p>
            <w:pPr>
              <w:ind w:left="1200"/>
              <w:spacing w:after="0"/>
              <w:rPr>
                <w:sz w:val="20"/>
                <w:szCs w:val="20"/>
                <w:color w:val="auto"/>
              </w:rPr>
            </w:pPr>
            <w:r>
              <w:rPr>
                <w:rFonts w:ascii="Arial" w:cs="Arial" w:eastAsia="Arial" w:hAnsi="Arial"/>
                <w:sz w:val="13"/>
                <w:szCs w:val="13"/>
                <w:b w:val="1"/>
                <w:bCs w:val="1"/>
                <w:color w:val="auto"/>
              </w:rPr>
              <w:t>51P</w:t>
            </w:r>
          </w:p>
        </w:tc>
      </w:tr>
      <w:tr>
        <w:trPr>
          <w:trHeight w:val="178"/>
        </w:trPr>
        <w:tc>
          <w:tcPr>
            <w:tcW w:w="1400" w:type="dxa"/>
            <w:vAlign w:val="bottom"/>
          </w:tcPr>
          <w:p>
            <w:pPr>
              <w:ind w:left="60"/>
              <w:spacing w:after="0"/>
              <w:rPr>
                <w:sz w:val="20"/>
                <w:szCs w:val="20"/>
                <w:color w:val="auto"/>
              </w:rPr>
            </w:pPr>
            <w:r>
              <w:rPr>
                <w:rFonts w:ascii="Arial" w:cs="Arial" w:eastAsia="Arial" w:hAnsi="Arial"/>
                <w:sz w:val="13"/>
                <w:szCs w:val="13"/>
                <w:b w:val="1"/>
                <w:bCs w:val="1"/>
                <w:color w:val="auto"/>
              </w:rPr>
              <w:t>in Peer Group</w:t>
            </w:r>
          </w:p>
        </w:tc>
        <w:tc>
          <w:tcPr>
            <w:tcW w:w="17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41"/>
        </w:trPr>
        <w:tc>
          <w:tcPr>
            <w:tcW w:w="1400" w:type="dxa"/>
            <w:vAlign w:val="bottom"/>
            <w:tcBorders>
              <w:bottom w:val="single" w:sz="8" w:color="1F5AA8"/>
            </w:tcBorders>
          </w:tcPr>
          <w:p>
            <w:pPr>
              <w:spacing w:after="0"/>
              <w:rPr>
                <w:sz w:val="3"/>
                <w:szCs w:val="3"/>
                <w:color w:val="auto"/>
              </w:rPr>
            </w:pPr>
          </w:p>
        </w:tc>
        <w:tc>
          <w:tcPr>
            <w:tcW w:w="1780" w:type="dxa"/>
            <w:vAlign w:val="bottom"/>
            <w:tcBorders>
              <w:bottom w:val="single" w:sz="8" w:color="1F5AA8"/>
            </w:tcBorders>
          </w:tcPr>
          <w:p>
            <w:pPr>
              <w:spacing w:after="0"/>
              <w:rPr>
                <w:sz w:val="3"/>
                <w:szCs w:val="3"/>
                <w:color w:val="auto"/>
              </w:rPr>
            </w:pPr>
          </w:p>
        </w:tc>
        <w:tc>
          <w:tcPr>
            <w:tcW w:w="2640" w:type="dxa"/>
            <w:vAlign w:val="bottom"/>
            <w:tcBorders>
              <w:bottom w:val="single" w:sz="8" w:color="1F5AA8"/>
            </w:tcBorders>
          </w:tcPr>
          <w:p>
            <w:pPr>
              <w:spacing w:after="0"/>
              <w:rPr>
                <w:sz w:val="3"/>
                <w:szCs w:val="3"/>
                <w:color w:val="auto"/>
              </w:rPr>
            </w:pPr>
          </w:p>
        </w:tc>
        <w:tc>
          <w:tcPr>
            <w:tcW w:w="2620" w:type="dxa"/>
            <w:vAlign w:val="bottom"/>
            <w:tcBorders>
              <w:bottom w:val="single" w:sz="8" w:color="1F5AA8"/>
            </w:tcBorders>
          </w:tcPr>
          <w:p>
            <w:pPr>
              <w:spacing w:after="0"/>
              <w:rPr>
                <w:sz w:val="3"/>
                <w:szCs w:val="3"/>
                <w:color w:val="auto"/>
              </w:rPr>
            </w:pPr>
          </w:p>
        </w:tc>
        <w:tc>
          <w:tcPr>
            <w:tcW w:w="1720" w:type="dxa"/>
            <w:vAlign w:val="bottom"/>
            <w:tcBorders>
              <w:bottom w:val="single" w:sz="8" w:color="1F5AA8"/>
            </w:tcBorders>
          </w:tcPr>
          <w:p>
            <w:pPr>
              <w:spacing w:after="0"/>
              <w:rPr>
                <w:sz w:val="3"/>
                <w:szCs w:val="3"/>
                <w:color w:val="auto"/>
              </w:rPr>
            </w:pPr>
          </w:p>
        </w:tc>
      </w:tr>
    </w:tbl>
    <w:p>
      <w:pPr>
        <w:spacing w:after="0" w:line="167" w:lineRule="exact"/>
        <w:rPr>
          <w:sz w:val="20"/>
          <w:szCs w:val="20"/>
          <w:color w:val="auto"/>
        </w:rPr>
      </w:pPr>
    </w:p>
    <w:p>
      <w:pPr>
        <w:ind w:left="540" w:right="660"/>
        <w:spacing w:after="0" w:line="249" w:lineRule="auto"/>
        <w:rPr>
          <w:sz w:val="20"/>
          <w:szCs w:val="20"/>
          <w:color w:val="auto"/>
        </w:rPr>
      </w:pPr>
      <w:r>
        <w:rPr>
          <w:rFonts w:ascii="Arial" w:cs="Arial" w:eastAsia="Arial" w:hAnsi="Arial"/>
          <w:sz w:val="14"/>
          <w:szCs w:val="14"/>
          <w:color w:val="auto"/>
        </w:rPr>
        <w:t>Source: Standard &amp; Poor’s Capital IQ. Revenue reflects 2020 analyst consensus estimate as of May 31, 2020. Merck excludes estimated Organon revenue of $6.5 billion.</w:t>
      </w:r>
    </w:p>
    <w:p>
      <w:pPr>
        <w:spacing w:after="0"/>
        <w:tabs>
          <w:tab w:leader="none" w:pos="5440" w:val="left"/>
        </w:tabs>
        <w:rPr>
          <w:sz w:val="20"/>
          <w:szCs w:val="20"/>
          <w:color w:val="auto"/>
        </w:rPr>
      </w:pPr>
      <w:r>
        <w:rPr>
          <w:rFonts w:ascii="Arial" w:cs="Arial" w:eastAsia="Arial" w:hAnsi="Arial"/>
          <w:sz w:val="28"/>
          <w:szCs w:val="28"/>
          <w:b w:val="1"/>
          <w:bCs w:val="1"/>
          <w:color w:val="00A5EC"/>
          <w:vertAlign w:val="subscript"/>
        </w:rPr>
        <w:t>80</w:t>
      </w:r>
      <w:r>
        <w:rPr>
          <w:rFonts w:ascii="Arial" w:cs="Arial" w:eastAsia="Arial" w:hAnsi="Arial"/>
          <w:sz w:val="15"/>
          <w:szCs w:val="15"/>
          <w:b w:val="1"/>
          <w:bCs w:val="1"/>
          <w:color w:val="2952A4"/>
        </w:rPr>
        <w:t xml:space="preserve">  </w:t>
      </w:r>
      <w:r>
        <w:rPr>
          <w:rFonts w:ascii="Arial" w:cs="Arial" w:eastAsia="Arial" w:hAnsi="Arial"/>
          <w:sz w:val="28"/>
          <w:szCs w:val="28"/>
          <w:color w:val="00A5EC"/>
          <w:vertAlign w:val="subscript"/>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91" w:name="page92"/>
    <w:bookmarkEnd w:id="91"/>
    <w:p>
      <w:pPr>
        <w:ind w:left="402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p>
      <w:pPr>
        <w:jc w:val="both"/>
        <w:ind w:left="540" w:right="620"/>
        <w:spacing w:after="0" w:line="249" w:lineRule="auto"/>
        <w:rPr>
          <w:sz w:val="20"/>
          <w:szCs w:val="20"/>
          <w:color w:val="auto"/>
        </w:rPr>
      </w:pPr>
      <w:r>
        <w:rPr>
          <w:rFonts w:ascii="Arial" w:cs="Arial" w:eastAsia="Arial" w:hAnsi="Arial"/>
          <w:sz w:val="14"/>
          <w:szCs w:val="14"/>
          <w:color w:val="auto"/>
        </w:rPr>
        <w:t>Further, in our review of the Peer Group data, we also consider the practices of the eight-company sub-group of peers viewed as having businesses and drug discovery and development cultures that are most similar to Regeneron’s, with similarly-sized employee bases (marked with an asterisk in the table above and referred to as “Biotech R&amp;D Peers”).</w:t>
      </w:r>
    </w:p>
    <w:p>
      <w:pPr>
        <w:spacing w:after="0" w:line="147" w:lineRule="exact"/>
        <w:rPr>
          <w:sz w:val="20"/>
          <w:szCs w:val="20"/>
          <w:color w:val="auto"/>
        </w:rPr>
      </w:pPr>
    </w:p>
    <w:p>
      <w:pPr>
        <w:ind w:left="540" w:right="580"/>
        <w:spacing w:after="0" w:line="244" w:lineRule="auto"/>
        <w:rPr>
          <w:sz w:val="20"/>
          <w:szCs w:val="20"/>
          <w:color w:val="auto"/>
        </w:rPr>
      </w:pPr>
      <w:r>
        <w:rPr>
          <w:rFonts w:ascii="Arial" w:cs="Arial" w:eastAsia="Arial" w:hAnsi="Arial"/>
          <w:sz w:val="14"/>
          <w:szCs w:val="14"/>
          <w:color w:val="auto"/>
        </w:rPr>
        <w:t>In making the compensation decisions in December 2020, we used data from publicly filed proxy statements of the companies in the Peer Group (as compiled by the Compensation Committee’s compensation consultant) to review each component of compensation of our NEOs against their peers in the Peer Group as well as their total annual compensation in relation to the Peer Group, while taking into account various factors such as the executive’s performance, past compensation history, experience, and their role in the Company’s success. We use Peer Group data as a point of reference for measurement, but Peer Group data do not represent the only factor considered and there is no targeted pay level percentile. The Compensation Committee retains discretion in determining the nature and extent of the use of Peer Group data.</w:t>
      </w:r>
    </w:p>
    <w:p>
      <w:pPr>
        <w:spacing w:after="0" w:line="283"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4" w:lineRule="exact"/>
        <w:rPr>
          <w:sz w:val="20"/>
          <w:szCs w:val="20"/>
          <w:color w:val="auto"/>
        </w:rPr>
      </w:pPr>
    </w:p>
    <w:p>
      <w:pPr>
        <w:ind w:left="540" w:right="600"/>
        <w:spacing w:after="0" w:line="247" w:lineRule="auto"/>
        <w:rPr>
          <w:sz w:val="20"/>
          <w:szCs w:val="20"/>
          <w:color w:val="auto"/>
        </w:rPr>
      </w:pPr>
      <w:r>
        <w:rPr>
          <w:rFonts w:ascii="Arial" w:cs="Arial" w:eastAsia="Arial" w:hAnsi="Arial"/>
          <w:sz w:val="14"/>
          <w:szCs w:val="14"/>
          <w:color w:val="auto"/>
        </w:rPr>
        <w:t>We believe that the Company’s programs balance risk and potential reward in a manner that is appropriate to the Company’s circumstances and in the best interests of the Company’s shareholders over the long term. We also believe that the Company’s compensation and benefits programs do not create risks that are reasonably likely to have a material adverse effect on the Company. We regularly review the Company’s compensation and benefits programs, including its executive compensation program and its incentive-based compensation programs (such as sales incentive plans).</w:t>
      </w:r>
    </w:p>
    <w:p>
      <w:pPr>
        <w:spacing w:after="0" w:line="147" w:lineRule="exact"/>
        <w:rPr>
          <w:sz w:val="20"/>
          <w:szCs w:val="20"/>
          <w:color w:val="auto"/>
        </w:rPr>
      </w:pPr>
    </w:p>
    <w:p>
      <w:pPr>
        <w:ind w:left="540" w:right="540"/>
        <w:spacing w:after="0" w:line="244" w:lineRule="auto"/>
        <w:rPr>
          <w:sz w:val="20"/>
          <w:szCs w:val="20"/>
          <w:color w:val="auto"/>
        </w:rPr>
      </w:pPr>
      <w:r>
        <w:rPr>
          <w:rFonts w:ascii="Arial" w:cs="Arial" w:eastAsia="Arial" w:hAnsi="Arial"/>
          <w:sz w:val="14"/>
          <w:szCs w:val="14"/>
          <w:color w:val="auto"/>
        </w:rPr>
        <w:t>The Company’s compensation and governance-related policies are further enhanced by our stock ownership guidelines applicable to our senior officers and our policy regarding recoupment or reduction (clawback) of incentive compensation of our officers and other specified employees for compliance violations. Our policy regarding recoupment or reduction (clawback) of incentive compensation for compliance violations applies to bonus and other incentive compensation, regardless of whether paid or payable in cash, equity, or otherwise and regardless of whether such compensation has been earned or vested. In addition, the policy covers both financial and non-financial violations resulting in a significant harm to the Company’s business, prospects, results of operations, or financial condition. Under the policy, the board and any designed committee of the board have full discretion to make recoupment and reduction decisions as they may deem appropriate subject to applicable law, the Company’s compensation plans in effect from time to time, and all relevant contractual obligations.</w:t>
      </w:r>
    </w:p>
    <w:p>
      <w:pPr>
        <w:spacing w:after="0" w:line="150" w:lineRule="exact"/>
        <w:rPr>
          <w:sz w:val="20"/>
          <w:szCs w:val="20"/>
          <w:color w:val="auto"/>
        </w:rPr>
      </w:pPr>
    </w:p>
    <w:p>
      <w:pPr>
        <w:ind w:left="540" w:right="640"/>
        <w:spacing w:after="0" w:line="247" w:lineRule="auto"/>
        <w:rPr>
          <w:sz w:val="20"/>
          <w:szCs w:val="20"/>
          <w:color w:val="auto"/>
        </w:rPr>
      </w:pPr>
      <w:r>
        <w:rPr>
          <w:rFonts w:ascii="Arial" w:cs="Arial" w:eastAsia="Arial" w:hAnsi="Arial"/>
          <w:sz w:val="14"/>
          <w:szCs w:val="14"/>
          <w:color w:val="auto"/>
        </w:rPr>
        <w:t>We also have policies against hedging and pledging of our securities by our directors and employees, including the NEOs; and against including excise tax gross-up provisions with respect to payments contingent upon a change in control of Regeneron in contracts, compensatory plans, or other arrangements with the Company’s executive officers, including the NEOs (other than the existing employment agreement with our CEO or any amendments thereto, which we expressly exempted).</w:t>
      </w:r>
    </w:p>
    <w:p>
      <w:pPr>
        <w:spacing w:after="0" w:line="147" w:lineRule="exact"/>
        <w:rPr>
          <w:sz w:val="20"/>
          <w:szCs w:val="20"/>
          <w:color w:val="auto"/>
        </w:rPr>
      </w:pPr>
    </w:p>
    <w:p>
      <w:pPr>
        <w:ind w:left="540" w:right="900"/>
        <w:spacing w:after="0" w:line="258" w:lineRule="auto"/>
        <w:rPr>
          <w:sz w:val="20"/>
          <w:szCs w:val="20"/>
          <w:color w:val="auto"/>
        </w:rPr>
      </w:pPr>
      <w:r>
        <w:rPr>
          <w:rFonts w:ascii="Arial" w:cs="Arial" w:eastAsia="Arial" w:hAnsi="Arial"/>
          <w:sz w:val="14"/>
          <w:szCs w:val="14"/>
          <w:color w:val="auto"/>
        </w:rPr>
        <w:t>These policies demonstrate Regeneron’s continued commitment to robust corporate governance and are meant to reduce compensation-related risks and ensure greater alignment of the interests of our employees, including the NEOs, and those of the Company and our shareholders.</w:t>
      </w:r>
    </w:p>
    <w:p>
      <w:pPr>
        <w:spacing w:after="0" w:line="271"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TAX IMPLICATIONS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27940</wp:posOffset>
            </wp:positionV>
            <wp:extent cx="64465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We take tax considerations into account in making our compensation-related assessments and decisions.</w:t>
      </w:r>
    </w:p>
    <w:p>
      <w:pPr>
        <w:spacing w:after="0" w:line="163" w:lineRule="exact"/>
        <w:rPr>
          <w:sz w:val="20"/>
          <w:szCs w:val="20"/>
          <w:color w:val="auto"/>
        </w:rPr>
      </w:pPr>
    </w:p>
    <w:p>
      <w:pPr>
        <w:ind w:left="540" w:right="660"/>
        <w:spacing w:after="0" w:line="244" w:lineRule="auto"/>
        <w:rPr>
          <w:sz w:val="20"/>
          <w:szCs w:val="20"/>
          <w:color w:val="auto"/>
        </w:rPr>
      </w:pPr>
      <w:r>
        <w:rPr>
          <w:rFonts w:ascii="Arial" w:cs="Arial" w:eastAsia="Arial" w:hAnsi="Arial"/>
          <w:sz w:val="14"/>
          <w:szCs w:val="14"/>
          <w:color w:val="auto"/>
        </w:rPr>
        <w:t>Prior to the enactment of the Tax Cuts and Jobs Act in December 2017, Section 162(m) of the Internal Revenue Code generally limited the deductibility for federal income tax purposes of compensation in any year paid to the CEO and the other NEOs (other than the Chief Financial Officer) (the “covered employees”) to the extent such compensation exceeded $1 million, subject to certain exceptions. “Performance-based” compensation, as defined under Section 162(m) of the Internal Revenue Code, was exempt from such deduction limitation if specified requirements set forth in the Internal Revenue Code and applicable Treasury regulations were met. The Regeneron Pharmaceuticals, Inc. Cash Incentive Bonus Plan, adopted prior to the enactment of the Tax Cuts and Jobs Act, allows (but does not require) awards thereunder to be subject to the attainment of performance goals in order to qualify for this performance-based compensation exception.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81</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92" w:name="page93"/>
    <w:bookmarkEnd w:id="92"/>
    <w:p>
      <w:pPr>
        <w:ind w:left="540"/>
        <w:spacing w:after="0"/>
        <w:rPr>
          <w:sz w:val="20"/>
          <w:szCs w:val="20"/>
          <w:color w:val="auto"/>
        </w:rPr>
      </w:pPr>
      <w:r>
        <w:rPr>
          <w:rFonts w:ascii="Arial" w:cs="Arial" w:eastAsia="Arial" w:hAnsi="Arial"/>
          <w:sz w:val="16"/>
          <w:szCs w:val="16"/>
          <w:b w:val="1"/>
          <w:bCs w:val="1"/>
          <w:color w:val="205BA8"/>
        </w:rPr>
        <w:t xml:space="preserve">COMPENSATION-RELATED MATTERS / </w:t>
      </w:r>
      <w:r>
        <w:rPr>
          <w:rFonts w:ascii="Arial" w:cs="Arial" w:eastAsia="Arial" w:hAnsi="Arial"/>
          <w:sz w:val="16"/>
          <w:szCs w:val="16"/>
          <w:b w:val="1"/>
          <w:bCs w:val="1"/>
          <w:color w:val="C44E5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p>
      <w:pPr>
        <w:ind w:left="540" w:right="580"/>
        <w:spacing w:after="0" w:line="243" w:lineRule="auto"/>
        <w:rPr>
          <w:sz w:val="20"/>
          <w:szCs w:val="20"/>
          <w:color w:val="auto"/>
        </w:rPr>
      </w:pPr>
      <w:r>
        <w:rPr>
          <w:rFonts w:ascii="Arial" w:cs="Arial" w:eastAsia="Arial" w:hAnsi="Arial"/>
          <w:sz w:val="14"/>
          <w:szCs w:val="14"/>
          <w:color w:val="auto"/>
        </w:rPr>
        <w:t>Under the Tax Cuts and Jobs Act, which generally became effective for us commencing with our 2018 fiscal year, the exception under Section 162(m) for performance-based compensation is no longer generally available, subject to transition relief for certain grandfathered arrangements in effect as of November 2, 2017. Further, the definition of covered employees has been expanded to include our CFO. In addition, once one of our NEOs is considered a covered employee subject to the deduction limitation of Section 162(m), the NEO will remain a covered employee so long as he or she receives compensation from us. Despite the elimination of the performance-based compensation exception, we have continued to use the Cash Incentive Bonus Plan for annual cash incentives of the NEOs because we believe it furthers our compensation philosophy and objectives regardless of tax treatment. The Compensation Committee will continue to review the full impact of Section 162(m) (as revised by the Tax Cuts and Jobs Act) on the Company, our compensation programs, and executive compensation trends generally as it makes compensation-related assessments and decisions in the future.</w:t>
      </w:r>
    </w:p>
    <w:p>
      <w:pPr>
        <w:spacing w:after="0" w:line="154" w:lineRule="exact"/>
        <w:rPr>
          <w:sz w:val="20"/>
          <w:szCs w:val="20"/>
          <w:color w:val="auto"/>
        </w:rPr>
      </w:pPr>
    </w:p>
    <w:p>
      <w:pPr>
        <w:ind w:left="540" w:right="600"/>
        <w:spacing w:after="0" w:line="249" w:lineRule="auto"/>
        <w:rPr>
          <w:sz w:val="20"/>
          <w:szCs w:val="20"/>
          <w:color w:val="auto"/>
        </w:rPr>
      </w:pPr>
      <w:r>
        <w:rPr>
          <w:rFonts w:ascii="Arial" w:cs="Arial" w:eastAsia="Arial" w:hAnsi="Arial"/>
          <w:sz w:val="14"/>
          <w:szCs w:val="14"/>
          <w:color w:val="auto"/>
        </w:rPr>
        <w:t>Due to the requirements set forth in Section 274(e)(2) of the Internal Revenue Code, Company-provided personal and guest air travel (which is provided by the Company only to the extent permitted under board-approved guidelines and a security policy adopted by the board based on an independent, third-party security study) results in a partial disallowance of the related corporate tax deductions. In 2020, this disallowance amounted to approximately $2.0 million.</w:t>
      </w:r>
    </w:p>
    <w:p>
      <w:pPr>
        <w:spacing w:after="0" w:line="147" w:lineRule="exact"/>
        <w:rPr>
          <w:sz w:val="20"/>
          <w:szCs w:val="20"/>
          <w:color w:val="auto"/>
        </w:rPr>
      </w:pPr>
    </w:p>
    <w:p>
      <w:pPr>
        <w:ind w:left="540" w:right="640"/>
        <w:spacing w:after="0" w:line="246" w:lineRule="auto"/>
        <w:rPr>
          <w:sz w:val="20"/>
          <w:szCs w:val="20"/>
          <w:color w:val="auto"/>
        </w:rPr>
      </w:pPr>
      <w:r>
        <w:rPr>
          <w:rFonts w:ascii="Arial" w:cs="Arial" w:eastAsia="Arial" w:hAnsi="Arial"/>
          <w:sz w:val="14"/>
          <w:szCs w:val="14"/>
          <w:color w:val="auto"/>
        </w:rPr>
        <w:t>We take into account the deductibility of compensation in determining NEOs’ compensation. However, we reserve the right to use our judgment to authorize compensation payments that are not deductible, such as when we believe that such payments are necessary to maintain the flexibility needed to attract talent, promote executive retention, reward performance, or attain other Company objectives, or as required to comply with the Company’s contractual commitments.</w:t>
      </w:r>
    </w:p>
    <w:p>
      <w:pPr>
        <w:spacing w:after="0" w:line="1" w:lineRule="exact"/>
        <w:rPr>
          <w:sz w:val="20"/>
          <w:szCs w:val="20"/>
          <w:color w:val="auto"/>
        </w:rPr>
      </w:pPr>
    </w:p>
    <w:p>
      <w:pPr>
        <w:spacing w:after="0"/>
        <w:tabs>
          <w:tab w:leader="none" w:pos="5440" w:val="left"/>
        </w:tabs>
        <w:rPr>
          <w:sz w:val="20"/>
          <w:szCs w:val="20"/>
          <w:color w:val="auto"/>
        </w:rPr>
      </w:pPr>
      <w:r>
        <w:rPr>
          <w:rFonts w:ascii="Arial" w:cs="Arial" w:eastAsia="Arial" w:hAnsi="Arial"/>
          <w:sz w:val="28"/>
          <w:szCs w:val="28"/>
          <w:b w:val="1"/>
          <w:bCs w:val="1"/>
          <w:color w:val="00A5EC"/>
          <w:vertAlign w:val="subscript"/>
        </w:rPr>
        <w:t>82</w:t>
      </w:r>
      <w:r>
        <w:rPr>
          <w:rFonts w:ascii="Arial" w:cs="Arial" w:eastAsia="Arial" w:hAnsi="Arial"/>
          <w:sz w:val="15"/>
          <w:szCs w:val="15"/>
          <w:b w:val="1"/>
          <w:bCs w:val="1"/>
          <w:color w:val="2952A4"/>
        </w:rPr>
        <w:t xml:space="preserve">  </w:t>
      </w:r>
      <w:r>
        <w:rPr>
          <w:rFonts w:ascii="Arial" w:cs="Arial" w:eastAsia="Arial" w:hAnsi="Arial"/>
          <w:sz w:val="28"/>
          <w:szCs w:val="28"/>
          <w:color w:val="00A5EC"/>
          <w:vertAlign w:val="subscript"/>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93" w:name="page94"/>
    <w:bookmarkEnd w:id="93"/>
    <w:p>
      <w:pPr>
        <w:jc w:val="right"/>
        <w:ind w:right="54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40" w:right="2160"/>
        <w:spacing w:after="0" w:line="278" w:lineRule="auto"/>
        <w:rPr>
          <w:sz w:val="20"/>
          <w:szCs w:val="20"/>
          <w:color w:val="auto"/>
        </w:rPr>
      </w:pPr>
      <w:r>
        <w:rPr>
          <w:rFonts w:ascii="Arial" w:cs="Arial" w:eastAsia="Arial" w:hAnsi="Arial"/>
          <w:sz w:val="59"/>
          <w:szCs w:val="59"/>
          <w:b w:val="1"/>
          <w:bCs w:val="1"/>
          <w:color w:val="205BA8"/>
        </w:rPr>
        <w:t>COMPENSATION COMMITTEE REPORT</w:t>
      </w:r>
    </w:p>
    <w:p>
      <w:pPr>
        <w:spacing w:after="0" w:line="10" w:lineRule="exact"/>
        <w:rPr>
          <w:sz w:val="20"/>
          <w:szCs w:val="20"/>
          <w:color w:val="auto"/>
        </w:rPr>
      </w:pPr>
    </w:p>
    <w:p>
      <w:pPr>
        <w:ind w:left="540" w:right="540"/>
        <w:spacing w:after="0" w:line="235" w:lineRule="auto"/>
        <w:rPr>
          <w:sz w:val="20"/>
          <w:szCs w:val="20"/>
          <w:color w:val="auto"/>
        </w:rPr>
      </w:pPr>
      <w:r>
        <w:rPr>
          <w:rFonts w:ascii="Arial" w:cs="Arial" w:eastAsia="Arial" w:hAnsi="Arial"/>
          <w:sz w:val="15"/>
          <w:szCs w:val="15"/>
          <w:color w:val="auto"/>
        </w:rPr>
        <w:t>We, the members of the Compensation Committee, have reviewed and discussed with management the Compensation Discussion and Analysis set forth above. Based on that review and discussion, we have recommended to the board of directors that the Compensation Discussion and Analysis be included in this proxy statement.</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05BA8"/>
        </w:rPr>
        <w:t>The Compensation Committee</w:t>
      </w:r>
    </w:p>
    <w:p>
      <w:pPr>
        <w:ind w:left="540"/>
        <w:spacing w:after="0" w:line="235" w:lineRule="auto"/>
        <w:rPr>
          <w:sz w:val="20"/>
          <w:szCs w:val="20"/>
          <w:color w:val="auto"/>
        </w:rPr>
      </w:pPr>
      <w:r>
        <w:rPr>
          <w:rFonts w:ascii="Arial" w:cs="Arial" w:eastAsia="Arial" w:hAnsi="Arial"/>
          <w:sz w:val="15"/>
          <w:szCs w:val="15"/>
          <w:b w:val="1"/>
          <w:bCs w:val="1"/>
          <w:color w:val="auto"/>
        </w:rPr>
        <w:t>Christine A. Poon, Chairperson</w:t>
      </w:r>
    </w:p>
    <w:p>
      <w:pPr>
        <w:ind w:left="540"/>
        <w:spacing w:after="0" w:line="226" w:lineRule="auto"/>
        <w:rPr>
          <w:sz w:val="20"/>
          <w:szCs w:val="20"/>
          <w:color w:val="auto"/>
        </w:rPr>
      </w:pPr>
      <w:r>
        <w:rPr>
          <w:rFonts w:ascii="Arial" w:cs="Arial" w:eastAsia="Arial" w:hAnsi="Arial"/>
          <w:sz w:val="15"/>
          <w:szCs w:val="15"/>
          <w:b w:val="1"/>
          <w:bCs w:val="1"/>
          <w:color w:val="auto"/>
        </w:rPr>
        <w:t>George L. Sing</w:t>
      </w:r>
    </w:p>
    <w:p>
      <w:pPr>
        <w:ind w:left="540"/>
        <w:spacing w:after="0"/>
        <w:rPr>
          <w:sz w:val="20"/>
          <w:szCs w:val="20"/>
          <w:color w:val="auto"/>
        </w:rPr>
      </w:pPr>
      <w:r>
        <w:rPr>
          <w:rFonts w:ascii="Arial" w:cs="Arial" w:eastAsia="Arial" w:hAnsi="Arial"/>
          <w:sz w:val="15"/>
          <w:szCs w:val="15"/>
          <w:b w:val="1"/>
          <w:bCs w:val="1"/>
          <w:color w:val="auto"/>
        </w:rPr>
        <w:t>Huda Y. Zoghbi, M.D.</w:t>
      </w:r>
    </w:p>
    <w:p>
      <w:pPr>
        <w:spacing w:after="0" w:line="81" w:lineRule="exact"/>
        <w:rPr>
          <w:sz w:val="20"/>
          <w:szCs w:val="20"/>
          <w:color w:val="auto"/>
        </w:rPr>
      </w:pPr>
    </w:p>
    <w:p>
      <w:pPr>
        <w:ind w:left="540" w:right="2160"/>
        <w:spacing w:after="0" w:line="258" w:lineRule="auto"/>
        <w:rPr>
          <w:sz w:val="20"/>
          <w:szCs w:val="20"/>
          <w:color w:val="auto"/>
        </w:rPr>
      </w:pPr>
      <w:r>
        <w:rPr>
          <w:rFonts w:ascii="Arial" w:cs="Arial" w:eastAsia="Arial" w:hAnsi="Arial"/>
          <w:sz w:val="59"/>
          <w:szCs w:val="59"/>
          <w:b w:val="1"/>
          <w:bCs w:val="1"/>
          <w:color w:val="205BA8"/>
        </w:rPr>
        <w:t>COMPENSATION COMMITTEE INTERLOCKS AND INSIDER PARTICIPATION</w:t>
      </w:r>
    </w:p>
    <w:p>
      <w:pPr>
        <w:spacing w:after="0" w:line="69" w:lineRule="exact"/>
        <w:rPr>
          <w:sz w:val="20"/>
          <w:szCs w:val="20"/>
          <w:color w:val="auto"/>
        </w:rPr>
      </w:pPr>
    </w:p>
    <w:p>
      <w:pPr>
        <w:ind w:left="540" w:right="660"/>
        <w:spacing w:after="0" w:line="235" w:lineRule="auto"/>
        <w:rPr>
          <w:sz w:val="20"/>
          <w:szCs w:val="20"/>
          <w:color w:val="auto"/>
        </w:rPr>
      </w:pPr>
      <w:r>
        <w:rPr>
          <w:rFonts w:ascii="Arial" w:cs="Arial" w:eastAsia="Arial" w:hAnsi="Arial"/>
          <w:sz w:val="15"/>
          <w:szCs w:val="15"/>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40" w:type="dxa"/>
            <w:vAlign w:val="bottom"/>
          </w:tcPr>
          <w:p>
            <w:pPr>
              <w:spacing w:after="0"/>
              <w:rPr>
                <w:sz w:val="20"/>
                <w:szCs w:val="20"/>
                <w:color w:val="auto"/>
              </w:rPr>
            </w:pPr>
            <w:r>
              <w:rPr>
                <w:rFonts w:ascii="Arial" w:cs="Arial" w:eastAsia="Arial" w:hAnsi="Arial"/>
                <w:sz w:val="13"/>
                <w:szCs w:val="13"/>
                <w:b w:val="1"/>
                <w:bCs w:val="1"/>
                <w:color w:val="205BA8"/>
              </w:rPr>
              <w:t>2021 PROXY STATEMENT AND NOTICE OF ANNUAL SHAREHOLDER MEETING</w:t>
            </w:r>
          </w:p>
        </w:tc>
        <w:tc>
          <w:tcPr>
            <w:tcW w:w="3400" w:type="dxa"/>
            <w:vAlign w:val="bottom"/>
          </w:tcPr>
          <w:p>
            <w:pPr>
              <w:jc w:val="right"/>
              <w:spacing w:after="0"/>
              <w:rPr>
                <w:sz w:val="20"/>
                <w:szCs w:val="20"/>
                <w:color w:val="auto"/>
              </w:rPr>
            </w:pPr>
            <w:r>
              <w:rPr>
                <w:rFonts w:ascii="Arial" w:cs="Arial" w:eastAsia="Arial" w:hAnsi="Arial"/>
                <w:sz w:val="14"/>
                <w:szCs w:val="14"/>
                <w:color w:val="00AEEF"/>
              </w:rPr>
              <w:t>/  83</w:t>
            </w:r>
          </w:p>
        </w:tc>
      </w:tr>
      <w:tr>
        <w:trPr>
          <w:trHeight w:val="262"/>
        </w:trPr>
        <w:tc>
          <w:tcPr>
            <w:tcW w:w="7840" w:type="dxa"/>
            <w:vAlign w:val="bottom"/>
            <w:tcBorders>
              <w:bottom w:val="single" w:sz="8" w:color="C0C0C0"/>
            </w:tcBorders>
          </w:tcPr>
          <w:p>
            <w:pPr>
              <w:spacing w:after="0"/>
              <w:rPr>
                <w:sz w:val="22"/>
                <w:szCs w:val="22"/>
                <w:color w:val="auto"/>
              </w:rPr>
            </w:pPr>
          </w:p>
        </w:tc>
        <w:tc>
          <w:tcPr>
            <w:tcW w:w="34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1830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580" w:right="2360"/>
        <w:spacing w:after="0" w:line="284" w:lineRule="auto"/>
        <w:rPr>
          <w:sz w:val="20"/>
          <w:szCs w:val="20"/>
          <w:color w:val="auto"/>
        </w:rPr>
      </w:pPr>
      <w:r>
        <w:rPr>
          <w:rFonts w:ascii="Arial" w:cs="Arial" w:eastAsia="Arial" w:hAnsi="Arial"/>
          <w:sz w:val="58"/>
          <w:szCs w:val="58"/>
          <w:b w:val="1"/>
          <w:bCs w:val="1"/>
          <w:color w:val="205BA8"/>
        </w:rPr>
        <w:t>2020 EXECUTIVE COMPENSATION TABLES</w:t>
      </w:r>
    </w:p>
    <w:p>
      <w:pPr>
        <w:spacing w:after="0" w:line="4" w:lineRule="exact"/>
        <w:rPr>
          <w:sz w:val="20"/>
          <w:szCs w:val="20"/>
          <w:color w:val="auto"/>
        </w:rPr>
      </w:pPr>
    </w:p>
    <w:p>
      <w:pPr>
        <w:jc w:val="both"/>
        <w:ind w:left="1580" w:right="1840"/>
        <w:spacing w:after="0" w:line="235" w:lineRule="auto"/>
        <w:rPr>
          <w:sz w:val="20"/>
          <w:szCs w:val="20"/>
          <w:color w:val="auto"/>
        </w:rPr>
      </w:pPr>
      <w:r>
        <w:rPr>
          <w:rFonts w:ascii="Arial" w:cs="Arial" w:eastAsia="Arial" w:hAnsi="Arial"/>
          <w:sz w:val="15"/>
          <w:szCs w:val="15"/>
          <w:color w:val="auto"/>
        </w:rPr>
        <w:t>The following table and accompanying footnotes provide information regarding compensation earned by, or paid to, our NEOs during the last three fiscal years (other than with respect to Dr. Murphy, who qualified as an NEO for 2020 and 2019 but not for 2018).</w:t>
      </w:r>
    </w:p>
    <w:p>
      <w:pPr>
        <w:spacing w:after="0" w:line="122"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C44E5E"/>
        </w:rPr>
        <w:t>2020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114300</wp:posOffset>
            </wp:positionV>
            <wp:extent cx="51435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16" w:lineRule="exact"/>
        <w:rPr>
          <w:sz w:val="20"/>
          <w:szCs w:val="20"/>
          <w:color w:val="auto"/>
        </w:rPr>
      </w:pPr>
    </w:p>
    <w:tbl>
      <w:tblPr>
        <w:tblLayout w:type="fixed"/>
        <w:tblInd w:w="1580" w:type="dxa"/>
        <w:tblCellMar>
          <w:top w:w="0" w:type="dxa"/>
          <w:left w:w="0" w:type="dxa"/>
          <w:bottom w:w="0" w:type="dxa"/>
          <w:right w:w="0" w:type="dxa"/>
        </w:tblCellMar>
      </w:tblPr>
      <w:tr>
        <w:trPr>
          <w:trHeight w:val="147"/>
        </w:trPr>
        <w:tc>
          <w:tcPr>
            <w:tcW w:w="2060" w:type="dxa"/>
            <w:vAlign w:val="bottom"/>
            <w:tcBorders>
              <w:bottom w:val="single" w:sz="8" w:color="1F5AA8"/>
            </w:tcBorders>
          </w:tcPr>
          <w:p>
            <w:pPr>
              <w:ind w:left="1100"/>
              <w:spacing w:after="0"/>
              <w:rPr>
                <w:sz w:val="20"/>
                <w:szCs w:val="20"/>
                <w:color w:val="auto"/>
              </w:rPr>
            </w:pPr>
            <w:r>
              <w:rPr>
                <w:rFonts w:ascii="Arial" w:cs="Arial" w:eastAsia="Arial" w:hAnsi="Arial"/>
                <w:sz w:val="12"/>
                <w:szCs w:val="12"/>
                <w:b w:val="1"/>
                <w:bCs w:val="1"/>
                <w:color w:val="205BA8"/>
              </w:rPr>
              <w:t>A</w:t>
            </w:r>
          </w:p>
        </w:tc>
        <w:tc>
          <w:tcPr>
            <w:tcW w:w="820" w:type="dxa"/>
            <w:vAlign w:val="bottom"/>
            <w:tcBorders>
              <w:bottom w:val="single" w:sz="8" w:color="1F5AA8"/>
            </w:tcBorders>
          </w:tcPr>
          <w:p>
            <w:pPr>
              <w:jc w:val="center"/>
              <w:ind w:left="282"/>
              <w:spacing w:after="0"/>
              <w:rPr>
                <w:sz w:val="20"/>
                <w:szCs w:val="20"/>
                <w:color w:val="auto"/>
              </w:rPr>
            </w:pPr>
            <w:r>
              <w:rPr>
                <w:rFonts w:ascii="Arial" w:cs="Arial" w:eastAsia="Arial" w:hAnsi="Arial"/>
                <w:sz w:val="12"/>
                <w:szCs w:val="12"/>
                <w:b w:val="1"/>
                <w:bCs w:val="1"/>
                <w:color w:val="205BA8"/>
                <w:w w:val="91"/>
              </w:rPr>
              <w:t>B</w:t>
            </w:r>
          </w:p>
        </w:tc>
        <w:tc>
          <w:tcPr>
            <w:tcW w:w="80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205BA8"/>
                <w:w w:val="91"/>
              </w:rPr>
              <w:t>C</w:t>
            </w:r>
          </w:p>
        </w:tc>
        <w:tc>
          <w:tcPr>
            <w:tcW w:w="82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205BA8"/>
                <w:w w:val="99"/>
              </w:rPr>
              <w:t>E</w:t>
            </w:r>
          </w:p>
        </w:tc>
        <w:tc>
          <w:tcPr>
            <w:tcW w:w="82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205BA8"/>
                <w:w w:val="81"/>
              </w:rPr>
              <w:t>F</w:t>
            </w:r>
          </w:p>
        </w:tc>
        <w:tc>
          <w:tcPr>
            <w:tcW w:w="98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205BA8"/>
                <w:w w:val="85"/>
              </w:rPr>
              <w:t>G</w:t>
            </w:r>
          </w:p>
        </w:tc>
        <w:tc>
          <w:tcPr>
            <w:tcW w:w="1060" w:type="dxa"/>
            <w:vAlign w:val="bottom"/>
            <w:tcBorders>
              <w:bottom w:val="single" w:sz="8" w:color="1F5AA8"/>
            </w:tcBorders>
          </w:tcPr>
          <w:p>
            <w:pPr>
              <w:jc w:val="center"/>
              <w:ind w:right="24"/>
              <w:spacing w:after="0"/>
              <w:rPr>
                <w:sz w:val="20"/>
                <w:szCs w:val="20"/>
                <w:color w:val="auto"/>
              </w:rPr>
            </w:pPr>
            <w:r>
              <w:rPr>
                <w:rFonts w:ascii="Arial" w:cs="Arial" w:eastAsia="Arial" w:hAnsi="Arial"/>
                <w:sz w:val="9"/>
                <w:szCs w:val="9"/>
                <w:b w:val="1"/>
                <w:bCs w:val="1"/>
                <w:color w:val="205BA8"/>
                <w:w w:val="77"/>
              </w:rPr>
              <w:t>I</w:t>
            </w:r>
          </w:p>
        </w:tc>
        <w:tc>
          <w:tcPr>
            <w:tcW w:w="74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205BA8"/>
                <w:w w:val="89"/>
              </w:rPr>
              <w:t>J</w:t>
            </w:r>
          </w:p>
        </w:tc>
      </w:tr>
      <w:tr>
        <w:trPr>
          <w:trHeight w:val="117"/>
        </w:trPr>
        <w:tc>
          <w:tcPr>
            <w:tcW w:w="2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jc w:val="center"/>
              <w:spacing w:after="0" w:line="117" w:lineRule="exact"/>
              <w:rPr>
                <w:sz w:val="20"/>
                <w:szCs w:val="20"/>
                <w:color w:val="auto"/>
              </w:rPr>
            </w:pPr>
            <w:r>
              <w:rPr>
                <w:rFonts w:ascii="Arial" w:cs="Arial" w:eastAsia="Arial" w:hAnsi="Arial"/>
                <w:sz w:val="12"/>
                <w:szCs w:val="12"/>
                <w:b w:val="1"/>
                <w:bCs w:val="1"/>
                <w:color w:val="205BA8"/>
                <w:w w:val="99"/>
              </w:rPr>
              <w:t>Non-Equity</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35"/>
        </w:trPr>
        <w:tc>
          <w:tcPr>
            <w:tcW w:w="2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9"/>
              </w:rPr>
              <w:t>Incentive Plan</w:t>
            </w:r>
          </w:p>
        </w:tc>
        <w:tc>
          <w:tcPr>
            <w:tcW w:w="1060" w:type="dxa"/>
            <w:vAlign w:val="bottom"/>
          </w:tcPr>
          <w:p>
            <w:pPr>
              <w:jc w:val="center"/>
              <w:ind w:right="24"/>
              <w:spacing w:after="0" w:line="135" w:lineRule="exact"/>
              <w:rPr>
                <w:sz w:val="20"/>
                <w:szCs w:val="20"/>
                <w:color w:val="auto"/>
              </w:rPr>
            </w:pPr>
            <w:r>
              <w:rPr>
                <w:rFonts w:ascii="Arial" w:cs="Arial" w:eastAsia="Arial" w:hAnsi="Arial"/>
                <w:sz w:val="12"/>
                <w:szCs w:val="12"/>
                <w:b w:val="1"/>
                <w:bCs w:val="1"/>
                <w:color w:val="205BA8"/>
                <w:w w:val="98"/>
              </w:rPr>
              <w:t>All Other</w:t>
            </w:r>
          </w:p>
        </w:tc>
        <w:tc>
          <w:tcPr>
            <w:tcW w:w="740" w:type="dxa"/>
            <w:vAlign w:val="bottom"/>
          </w:tcPr>
          <w:p>
            <w:pPr>
              <w:spacing w:after="0"/>
              <w:rPr>
                <w:sz w:val="11"/>
                <w:szCs w:val="11"/>
                <w:color w:val="auto"/>
              </w:rPr>
            </w:pPr>
          </w:p>
        </w:tc>
      </w:tr>
      <w:tr>
        <w:trPr>
          <w:trHeight w:val="141"/>
        </w:trPr>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205BA8"/>
                <w:w w:val="97"/>
              </w:rPr>
              <w:t>Stock</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205BA8"/>
                <w:w w:val="98"/>
              </w:rPr>
              <w:t>Option</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205BA8"/>
                <w:w w:val="95"/>
              </w:rPr>
              <w:t>Compensation</w:t>
            </w:r>
          </w:p>
        </w:tc>
        <w:tc>
          <w:tcPr>
            <w:tcW w:w="1060" w:type="dxa"/>
            <w:vAlign w:val="bottom"/>
          </w:tcPr>
          <w:p>
            <w:pPr>
              <w:jc w:val="center"/>
              <w:ind w:right="24"/>
              <w:spacing w:after="0"/>
              <w:rPr>
                <w:sz w:val="20"/>
                <w:szCs w:val="20"/>
                <w:color w:val="auto"/>
              </w:rPr>
            </w:pPr>
            <w:r>
              <w:rPr>
                <w:rFonts w:ascii="Arial" w:cs="Arial" w:eastAsia="Arial" w:hAnsi="Arial"/>
                <w:sz w:val="12"/>
                <w:szCs w:val="12"/>
                <w:b w:val="1"/>
                <w:bCs w:val="1"/>
                <w:color w:val="205BA8"/>
                <w:w w:val="98"/>
              </w:rPr>
              <w:t>Compensation</w:t>
            </w:r>
          </w:p>
        </w:tc>
        <w:tc>
          <w:tcPr>
            <w:tcW w:w="740" w:type="dxa"/>
            <w:vAlign w:val="bottom"/>
          </w:tcPr>
          <w:p>
            <w:pPr>
              <w:spacing w:after="0"/>
              <w:rPr>
                <w:sz w:val="12"/>
                <w:szCs w:val="12"/>
                <w:color w:val="auto"/>
              </w:rPr>
            </w:pPr>
          </w:p>
        </w:tc>
      </w:tr>
      <w:tr>
        <w:trPr>
          <w:trHeight w:val="188"/>
        </w:trPr>
        <w:tc>
          <w:tcPr>
            <w:tcW w:w="2060" w:type="dxa"/>
            <w:vAlign w:val="bottom"/>
            <w:tcBorders>
              <w:bottom w:val="single" w:sz="8" w:color="1F5AA8"/>
            </w:tcBorders>
          </w:tcPr>
          <w:p>
            <w:pPr>
              <w:ind w:left="40"/>
              <w:spacing w:after="0"/>
              <w:rPr>
                <w:sz w:val="20"/>
                <w:szCs w:val="20"/>
                <w:color w:val="auto"/>
              </w:rPr>
            </w:pPr>
            <w:r>
              <w:rPr>
                <w:rFonts w:ascii="Arial" w:cs="Arial" w:eastAsia="Arial" w:hAnsi="Arial"/>
                <w:sz w:val="12"/>
                <w:szCs w:val="12"/>
                <w:b w:val="1"/>
                <w:bCs w:val="1"/>
                <w:color w:val="205BA8"/>
              </w:rPr>
              <w:t>Name and principal position</w:t>
            </w:r>
          </w:p>
        </w:tc>
        <w:tc>
          <w:tcPr>
            <w:tcW w:w="820" w:type="dxa"/>
            <w:vAlign w:val="bottom"/>
            <w:tcBorders>
              <w:bottom w:val="single" w:sz="8" w:color="1F5AA8"/>
            </w:tcBorders>
          </w:tcPr>
          <w:p>
            <w:pPr>
              <w:jc w:val="center"/>
              <w:ind w:left="302"/>
              <w:spacing w:after="0"/>
              <w:rPr>
                <w:sz w:val="20"/>
                <w:szCs w:val="20"/>
                <w:color w:val="auto"/>
              </w:rPr>
            </w:pPr>
            <w:r>
              <w:rPr>
                <w:rFonts w:ascii="Arial" w:cs="Arial" w:eastAsia="Arial" w:hAnsi="Arial"/>
                <w:sz w:val="12"/>
                <w:szCs w:val="12"/>
                <w:b w:val="1"/>
                <w:bCs w:val="1"/>
                <w:color w:val="205BA8"/>
                <w:w w:val="99"/>
              </w:rPr>
              <w:t>Year</w:t>
            </w:r>
          </w:p>
        </w:tc>
        <w:tc>
          <w:tcPr>
            <w:tcW w:w="800" w:type="dxa"/>
            <w:vAlign w:val="bottom"/>
            <w:tcBorders>
              <w:bottom w:val="single" w:sz="8" w:color="1F5AA8"/>
            </w:tcBorders>
          </w:tcPr>
          <w:p>
            <w:pPr>
              <w:jc w:val="center"/>
              <w:spacing w:after="0" w:line="182" w:lineRule="exact"/>
              <w:rPr>
                <w:sz w:val="20"/>
                <w:szCs w:val="20"/>
                <w:color w:val="auto"/>
              </w:rPr>
            </w:pPr>
            <w:r>
              <w:rPr>
                <w:rFonts w:ascii="Arial" w:cs="Arial" w:eastAsia="Arial" w:hAnsi="Arial"/>
                <w:sz w:val="12"/>
                <w:szCs w:val="12"/>
                <w:b w:val="1"/>
                <w:bCs w:val="1"/>
                <w:color w:val="205BA8"/>
                <w:w w:val="94"/>
              </w:rPr>
              <w:t>Salary ($)</w:t>
            </w:r>
            <w:r>
              <w:rPr>
                <w:rFonts w:ascii="Arial" w:cs="Arial" w:eastAsia="Arial" w:hAnsi="Arial"/>
                <w:sz w:val="19"/>
                <w:szCs w:val="19"/>
                <w:b w:val="1"/>
                <w:bCs w:val="1"/>
                <w:color w:val="205BA8"/>
                <w:w w:val="94"/>
                <w:vertAlign w:val="superscript"/>
              </w:rPr>
              <w:t>1</w:t>
            </w:r>
          </w:p>
        </w:tc>
        <w:tc>
          <w:tcPr>
            <w:tcW w:w="820" w:type="dxa"/>
            <w:vAlign w:val="bottom"/>
            <w:tcBorders>
              <w:bottom w:val="single" w:sz="8" w:color="1F5AA8"/>
            </w:tcBorders>
          </w:tcPr>
          <w:p>
            <w:pPr>
              <w:jc w:val="center"/>
              <w:spacing w:after="0" w:line="182" w:lineRule="exact"/>
              <w:rPr>
                <w:sz w:val="20"/>
                <w:szCs w:val="20"/>
                <w:color w:val="auto"/>
              </w:rPr>
            </w:pPr>
            <w:r>
              <w:rPr>
                <w:rFonts w:ascii="Arial" w:cs="Arial" w:eastAsia="Arial" w:hAnsi="Arial"/>
                <w:sz w:val="12"/>
                <w:szCs w:val="12"/>
                <w:b w:val="1"/>
                <w:bCs w:val="1"/>
                <w:color w:val="205BA8"/>
                <w:w w:val="96"/>
              </w:rPr>
              <w:t>awards ($)</w:t>
            </w:r>
            <w:r>
              <w:rPr>
                <w:rFonts w:ascii="Arial" w:cs="Arial" w:eastAsia="Arial" w:hAnsi="Arial"/>
                <w:sz w:val="19"/>
                <w:szCs w:val="19"/>
                <w:b w:val="1"/>
                <w:bCs w:val="1"/>
                <w:color w:val="205BA8"/>
                <w:w w:val="96"/>
                <w:vertAlign w:val="superscript"/>
              </w:rPr>
              <w:t>2</w:t>
            </w:r>
          </w:p>
        </w:tc>
        <w:tc>
          <w:tcPr>
            <w:tcW w:w="820" w:type="dxa"/>
            <w:vAlign w:val="bottom"/>
            <w:tcBorders>
              <w:bottom w:val="single" w:sz="8" w:color="1F5AA8"/>
            </w:tcBorders>
          </w:tcPr>
          <w:p>
            <w:pPr>
              <w:jc w:val="center"/>
              <w:spacing w:after="0" w:line="182" w:lineRule="exact"/>
              <w:rPr>
                <w:sz w:val="20"/>
                <w:szCs w:val="20"/>
                <w:color w:val="auto"/>
              </w:rPr>
            </w:pPr>
            <w:r>
              <w:rPr>
                <w:rFonts w:ascii="Arial" w:cs="Arial" w:eastAsia="Arial" w:hAnsi="Arial"/>
                <w:sz w:val="12"/>
                <w:szCs w:val="12"/>
                <w:b w:val="1"/>
                <w:bCs w:val="1"/>
                <w:color w:val="205BA8"/>
                <w:w w:val="93"/>
              </w:rPr>
              <w:t>awards ($)</w:t>
            </w:r>
            <w:r>
              <w:rPr>
                <w:rFonts w:ascii="Arial" w:cs="Arial" w:eastAsia="Arial" w:hAnsi="Arial"/>
                <w:sz w:val="19"/>
                <w:szCs w:val="19"/>
                <w:b w:val="1"/>
                <w:bCs w:val="1"/>
                <w:color w:val="205BA8"/>
                <w:w w:val="93"/>
                <w:vertAlign w:val="superscript"/>
              </w:rPr>
              <w:t>2</w:t>
            </w:r>
          </w:p>
        </w:tc>
        <w:tc>
          <w:tcPr>
            <w:tcW w:w="980" w:type="dxa"/>
            <w:vAlign w:val="bottom"/>
            <w:tcBorders>
              <w:bottom w:val="single" w:sz="8" w:color="1F5AA8"/>
            </w:tcBorders>
          </w:tcPr>
          <w:p>
            <w:pPr>
              <w:jc w:val="center"/>
              <w:spacing w:after="0" w:line="182" w:lineRule="exact"/>
              <w:rPr>
                <w:sz w:val="20"/>
                <w:szCs w:val="20"/>
                <w:color w:val="auto"/>
              </w:rPr>
            </w:pPr>
            <w:r>
              <w:rPr>
                <w:rFonts w:ascii="Arial" w:cs="Arial" w:eastAsia="Arial" w:hAnsi="Arial"/>
                <w:sz w:val="12"/>
                <w:szCs w:val="12"/>
                <w:b w:val="1"/>
                <w:bCs w:val="1"/>
                <w:color w:val="205BA8"/>
                <w:w w:val="91"/>
              </w:rPr>
              <w:t>($)</w:t>
            </w:r>
            <w:r>
              <w:rPr>
                <w:rFonts w:ascii="Arial" w:cs="Arial" w:eastAsia="Arial" w:hAnsi="Arial"/>
                <w:sz w:val="19"/>
                <w:szCs w:val="19"/>
                <w:b w:val="1"/>
                <w:bCs w:val="1"/>
                <w:color w:val="205BA8"/>
                <w:w w:val="91"/>
                <w:vertAlign w:val="superscript"/>
              </w:rPr>
              <w:t>3</w:t>
            </w:r>
          </w:p>
        </w:tc>
        <w:tc>
          <w:tcPr>
            <w:tcW w:w="1060" w:type="dxa"/>
            <w:vAlign w:val="bottom"/>
            <w:tcBorders>
              <w:bottom w:val="single" w:sz="8" w:color="1F5AA8"/>
            </w:tcBorders>
          </w:tcPr>
          <w:p>
            <w:pPr>
              <w:jc w:val="center"/>
              <w:ind w:right="24"/>
              <w:spacing w:after="0" w:line="182" w:lineRule="exact"/>
              <w:rPr>
                <w:sz w:val="20"/>
                <w:szCs w:val="20"/>
                <w:color w:val="auto"/>
              </w:rPr>
            </w:pPr>
            <w:r>
              <w:rPr>
                <w:rFonts w:ascii="Arial" w:cs="Arial" w:eastAsia="Arial" w:hAnsi="Arial"/>
                <w:sz w:val="12"/>
                <w:szCs w:val="12"/>
                <w:b w:val="1"/>
                <w:bCs w:val="1"/>
                <w:color w:val="205BA8"/>
                <w:w w:val="82"/>
              </w:rPr>
              <w:t>($)</w:t>
            </w:r>
            <w:r>
              <w:rPr>
                <w:rFonts w:ascii="Arial" w:cs="Arial" w:eastAsia="Arial" w:hAnsi="Arial"/>
                <w:sz w:val="19"/>
                <w:szCs w:val="19"/>
                <w:b w:val="1"/>
                <w:bCs w:val="1"/>
                <w:color w:val="205BA8"/>
                <w:w w:val="82"/>
                <w:vertAlign w:val="superscript"/>
              </w:rPr>
              <w:t>4</w:t>
            </w:r>
          </w:p>
        </w:tc>
        <w:tc>
          <w:tcPr>
            <w:tcW w:w="74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205BA8"/>
                <w:w w:val="98"/>
              </w:rPr>
              <w:t>Total ($)</w:t>
            </w:r>
          </w:p>
        </w:tc>
      </w:tr>
    </w:tbl>
    <w:p>
      <w:pPr>
        <w:spacing w:after="0" w:line="1" w:lineRule="exact"/>
        <w:rPr>
          <w:sz w:val="20"/>
          <w:szCs w:val="20"/>
          <w:color w:val="auto"/>
        </w:rPr>
      </w:pPr>
    </w:p>
    <w:tbl>
      <w:tblPr>
        <w:tblLayout w:type="fixed"/>
        <w:tblInd w:w="1580" w:type="dxa"/>
        <w:tblCellMar>
          <w:top w:w="0" w:type="dxa"/>
          <w:left w:w="0" w:type="dxa"/>
          <w:bottom w:w="0" w:type="dxa"/>
          <w:right w:w="0" w:type="dxa"/>
        </w:tblCellMar>
      </w:tblPr>
      <w:tr>
        <w:trPr>
          <w:trHeight w:val="152"/>
        </w:trPr>
        <w:tc>
          <w:tcPr>
            <w:tcW w:w="2300" w:type="dxa"/>
            <w:vAlign w:val="bottom"/>
            <w:vMerge w:val="restart"/>
          </w:tcPr>
          <w:p>
            <w:pPr>
              <w:ind w:left="40"/>
              <w:spacing w:after="0"/>
              <w:rPr>
                <w:sz w:val="20"/>
                <w:szCs w:val="20"/>
                <w:color w:val="auto"/>
              </w:rPr>
            </w:pPr>
            <w:r>
              <w:rPr>
                <w:rFonts w:ascii="Arial" w:cs="Arial" w:eastAsia="Arial" w:hAnsi="Arial"/>
                <w:sz w:val="12"/>
                <w:szCs w:val="12"/>
                <w:b w:val="1"/>
                <w:bCs w:val="1"/>
                <w:color w:val="C44E5E"/>
              </w:rPr>
              <w:t>Leonard S. Schleifer, M.D., Ph.D.</w:t>
            </w:r>
          </w:p>
        </w:tc>
        <w:tc>
          <w:tcPr>
            <w:tcW w:w="54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color w:val="auto"/>
              </w:rPr>
              <w:t>2020</w:t>
            </w:r>
          </w:p>
        </w:tc>
        <w:tc>
          <w:tcPr>
            <w:tcW w:w="80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1,480,119</w:t>
            </w:r>
          </w:p>
        </w:tc>
        <w:tc>
          <w:tcPr>
            <w:tcW w:w="88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130,000,032</w:t>
            </w:r>
          </w:p>
        </w:tc>
        <w:tc>
          <w:tcPr>
            <w:tcW w:w="940" w:type="dxa"/>
            <w:vAlign w:val="bottom"/>
            <w:tcBorders>
              <w:bottom w:val="single" w:sz="8" w:color="58585A"/>
            </w:tcBorders>
          </w:tcPr>
          <w:p>
            <w:pPr>
              <w:jc w:val="right"/>
              <w:ind w:right="13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58585A"/>
            </w:tcBorders>
          </w:tcPr>
          <w:p>
            <w:pPr>
              <w:jc w:val="right"/>
              <w:ind w:right="175"/>
              <w:spacing w:after="0"/>
              <w:rPr>
                <w:sz w:val="20"/>
                <w:szCs w:val="20"/>
                <w:color w:val="auto"/>
              </w:rPr>
            </w:pPr>
            <w:r>
              <w:rPr>
                <w:rFonts w:ascii="Arial" w:cs="Arial" w:eastAsia="Arial" w:hAnsi="Arial"/>
                <w:sz w:val="13"/>
                <w:szCs w:val="13"/>
                <w:color w:val="auto"/>
              </w:rPr>
              <w:t>3,567,714</w:t>
            </w:r>
          </w:p>
        </w:tc>
        <w:tc>
          <w:tcPr>
            <w:tcW w:w="860" w:type="dxa"/>
            <w:vAlign w:val="bottom"/>
            <w:tcBorders>
              <w:bottom w:val="single" w:sz="8" w:color="58585A"/>
            </w:tcBorders>
          </w:tcPr>
          <w:p>
            <w:pPr>
              <w:jc w:val="right"/>
              <w:ind w:right="18"/>
              <w:spacing w:after="0" w:line="153" w:lineRule="exact"/>
              <w:rPr>
                <w:sz w:val="20"/>
                <w:szCs w:val="20"/>
                <w:color w:val="auto"/>
              </w:rPr>
            </w:pPr>
            <w:r>
              <w:rPr>
                <w:rFonts w:ascii="Arial" w:cs="Arial" w:eastAsia="Arial" w:hAnsi="Arial"/>
                <w:sz w:val="11"/>
                <w:szCs w:val="11"/>
                <w:color w:val="auto"/>
              </w:rPr>
              <w:t>302,256</w:t>
            </w:r>
            <w:r>
              <w:rPr>
                <w:rFonts w:ascii="Arial" w:cs="Arial" w:eastAsia="Arial" w:hAnsi="Arial"/>
                <w:sz w:val="17"/>
                <w:szCs w:val="17"/>
                <w:color w:val="auto"/>
                <w:vertAlign w:val="superscript"/>
              </w:rPr>
              <w:t>5</w:t>
            </w:r>
          </w:p>
        </w:tc>
        <w:tc>
          <w:tcPr>
            <w:tcW w:w="7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135,350,121</w:t>
            </w:r>
          </w:p>
        </w:tc>
        <w:tc>
          <w:tcPr>
            <w:tcW w:w="0" w:type="dxa"/>
            <w:vAlign w:val="bottom"/>
          </w:tcPr>
          <w:p>
            <w:pPr>
              <w:spacing w:after="0"/>
              <w:rPr>
                <w:sz w:val="1"/>
                <w:szCs w:val="1"/>
                <w:color w:val="auto"/>
              </w:rPr>
            </w:pPr>
          </w:p>
        </w:tc>
      </w:tr>
      <w:tr>
        <w:trPr>
          <w:trHeight w:val="76"/>
        </w:trPr>
        <w:tc>
          <w:tcPr>
            <w:tcW w:w="2300" w:type="dxa"/>
            <w:vAlign w:val="bottom"/>
            <w:vMerge w:val="continue"/>
          </w:tcPr>
          <w:p>
            <w:pPr>
              <w:spacing w:after="0"/>
              <w:rPr>
                <w:sz w:val="6"/>
                <w:szCs w:val="6"/>
                <w:color w:val="auto"/>
              </w:rPr>
            </w:pPr>
          </w:p>
        </w:tc>
        <w:tc>
          <w:tcPr>
            <w:tcW w:w="540" w:type="dxa"/>
            <w:vAlign w:val="bottom"/>
            <w:gridSpan w:val="2"/>
            <w:vMerge w:val="restart"/>
          </w:tcPr>
          <w:p>
            <w:pPr>
              <w:jc w:val="right"/>
              <w:spacing w:after="0" w:line="142" w:lineRule="exact"/>
              <w:rPr>
                <w:sz w:val="20"/>
                <w:szCs w:val="20"/>
                <w:color w:val="auto"/>
              </w:rPr>
            </w:pPr>
            <w:r>
              <w:rPr>
                <w:rFonts w:ascii="Arial" w:cs="Arial" w:eastAsia="Arial" w:hAnsi="Arial"/>
                <w:sz w:val="13"/>
                <w:szCs w:val="13"/>
                <w:color w:val="auto"/>
              </w:rPr>
              <w:t>2019</w:t>
            </w:r>
          </w:p>
        </w:tc>
        <w:tc>
          <w:tcPr>
            <w:tcW w:w="800" w:type="dxa"/>
            <w:vAlign w:val="bottom"/>
            <w:vMerge w:val="restart"/>
          </w:tcPr>
          <w:p>
            <w:pPr>
              <w:jc w:val="right"/>
              <w:spacing w:after="0" w:line="142" w:lineRule="exact"/>
              <w:rPr>
                <w:sz w:val="20"/>
                <w:szCs w:val="20"/>
                <w:color w:val="auto"/>
              </w:rPr>
            </w:pPr>
            <w:r>
              <w:rPr>
                <w:rFonts w:ascii="Arial" w:cs="Arial" w:eastAsia="Arial" w:hAnsi="Arial"/>
                <w:sz w:val="13"/>
                <w:szCs w:val="13"/>
                <w:color w:val="auto"/>
              </w:rPr>
              <w:t>1,377,100</w:t>
            </w:r>
          </w:p>
        </w:tc>
        <w:tc>
          <w:tcPr>
            <w:tcW w:w="880" w:type="dxa"/>
            <w:vAlign w:val="bottom"/>
            <w:vMerge w:val="restart"/>
          </w:tcPr>
          <w:p>
            <w:pPr>
              <w:jc w:val="right"/>
              <w:ind w:right="15"/>
              <w:spacing w:after="0" w:line="142" w:lineRule="exact"/>
              <w:rPr>
                <w:sz w:val="20"/>
                <w:szCs w:val="20"/>
                <w:color w:val="auto"/>
              </w:rPr>
            </w:pPr>
            <w:r>
              <w:rPr>
                <w:rFonts w:ascii="Arial" w:cs="Arial" w:eastAsia="Arial" w:hAnsi="Arial"/>
                <w:sz w:val="13"/>
                <w:szCs w:val="13"/>
                <w:color w:val="auto"/>
              </w:rPr>
              <w:t>4,983,226</w:t>
            </w:r>
          </w:p>
        </w:tc>
        <w:tc>
          <w:tcPr>
            <w:tcW w:w="940" w:type="dxa"/>
            <w:vAlign w:val="bottom"/>
            <w:vMerge w:val="restart"/>
          </w:tcPr>
          <w:p>
            <w:pPr>
              <w:jc w:val="right"/>
              <w:ind w:right="135"/>
              <w:spacing w:after="0" w:line="142" w:lineRule="exact"/>
              <w:rPr>
                <w:sz w:val="20"/>
                <w:szCs w:val="20"/>
                <w:color w:val="auto"/>
              </w:rPr>
            </w:pPr>
            <w:r>
              <w:rPr>
                <w:rFonts w:ascii="Arial" w:cs="Arial" w:eastAsia="Arial" w:hAnsi="Arial"/>
                <w:sz w:val="13"/>
                <w:szCs w:val="13"/>
                <w:color w:val="auto"/>
              </w:rPr>
              <w:t>11,699,586</w:t>
            </w:r>
          </w:p>
        </w:tc>
        <w:tc>
          <w:tcPr>
            <w:tcW w:w="1020" w:type="dxa"/>
            <w:vAlign w:val="bottom"/>
            <w:vMerge w:val="restart"/>
          </w:tcPr>
          <w:p>
            <w:pPr>
              <w:jc w:val="right"/>
              <w:ind w:right="175"/>
              <w:spacing w:after="0" w:line="142" w:lineRule="exact"/>
              <w:rPr>
                <w:sz w:val="20"/>
                <w:szCs w:val="20"/>
                <w:color w:val="auto"/>
              </w:rPr>
            </w:pPr>
            <w:r>
              <w:rPr>
                <w:rFonts w:ascii="Arial" w:cs="Arial" w:eastAsia="Arial" w:hAnsi="Arial"/>
                <w:sz w:val="13"/>
                <w:szCs w:val="13"/>
                <w:color w:val="auto"/>
              </w:rPr>
              <w:t>3,057,162</w:t>
            </w:r>
          </w:p>
        </w:tc>
        <w:tc>
          <w:tcPr>
            <w:tcW w:w="860" w:type="dxa"/>
            <w:vAlign w:val="bottom"/>
            <w:vMerge w:val="restart"/>
          </w:tcPr>
          <w:p>
            <w:pPr>
              <w:jc w:val="right"/>
              <w:ind w:right="78"/>
              <w:spacing w:after="0" w:line="142" w:lineRule="exact"/>
              <w:rPr>
                <w:sz w:val="20"/>
                <w:szCs w:val="20"/>
                <w:color w:val="auto"/>
              </w:rPr>
            </w:pPr>
            <w:r>
              <w:rPr>
                <w:rFonts w:ascii="Arial" w:cs="Arial" w:eastAsia="Arial" w:hAnsi="Arial"/>
                <w:sz w:val="13"/>
                <w:szCs w:val="13"/>
                <w:color w:val="auto"/>
              </w:rPr>
              <w:t>338,043</w:t>
            </w:r>
          </w:p>
        </w:tc>
        <w:tc>
          <w:tcPr>
            <w:tcW w:w="760" w:type="dxa"/>
            <w:vAlign w:val="bottom"/>
            <w:vMerge w:val="restart"/>
          </w:tcPr>
          <w:p>
            <w:pPr>
              <w:jc w:val="right"/>
              <w:spacing w:after="0" w:line="142" w:lineRule="exact"/>
              <w:rPr>
                <w:sz w:val="20"/>
                <w:szCs w:val="20"/>
                <w:color w:val="auto"/>
              </w:rPr>
            </w:pPr>
            <w:r>
              <w:rPr>
                <w:rFonts w:ascii="Arial" w:cs="Arial" w:eastAsia="Arial" w:hAnsi="Arial"/>
                <w:sz w:val="13"/>
                <w:szCs w:val="13"/>
                <w:color w:val="auto"/>
              </w:rPr>
              <w:t>21,455,117</w:t>
            </w:r>
          </w:p>
        </w:tc>
        <w:tc>
          <w:tcPr>
            <w:tcW w:w="0" w:type="dxa"/>
            <w:vAlign w:val="bottom"/>
          </w:tcPr>
          <w:p>
            <w:pPr>
              <w:spacing w:after="0"/>
              <w:rPr>
                <w:sz w:val="1"/>
                <w:szCs w:val="1"/>
                <w:color w:val="auto"/>
              </w:rPr>
            </w:pPr>
          </w:p>
        </w:tc>
      </w:tr>
      <w:tr>
        <w:trPr>
          <w:trHeight w:val="71"/>
        </w:trPr>
        <w:tc>
          <w:tcPr>
            <w:tcW w:w="2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President and Chief Executive Officer</w:t>
            </w:r>
          </w:p>
        </w:tc>
        <w:tc>
          <w:tcPr>
            <w:tcW w:w="540" w:type="dxa"/>
            <w:vAlign w:val="bottom"/>
            <w:tcBorders>
              <w:bottom w:val="single" w:sz="8" w:color="58585A"/>
            </w:tcBorders>
            <w:gridSpan w:val="2"/>
            <w:vMerge w:val="continue"/>
          </w:tcPr>
          <w:p>
            <w:pPr>
              <w:spacing w:after="0"/>
              <w:rPr>
                <w:sz w:val="5"/>
                <w:szCs w:val="5"/>
                <w:color w:val="auto"/>
              </w:rPr>
            </w:pPr>
          </w:p>
        </w:tc>
        <w:tc>
          <w:tcPr>
            <w:tcW w:w="800" w:type="dxa"/>
            <w:vAlign w:val="bottom"/>
            <w:tcBorders>
              <w:bottom w:val="single" w:sz="8" w:color="58585A"/>
            </w:tcBorders>
            <w:vMerge w:val="continue"/>
          </w:tcPr>
          <w:p>
            <w:pPr>
              <w:spacing w:after="0"/>
              <w:rPr>
                <w:sz w:val="5"/>
                <w:szCs w:val="5"/>
                <w:color w:val="auto"/>
              </w:rPr>
            </w:pPr>
          </w:p>
        </w:tc>
        <w:tc>
          <w:tcPr>
            <w:tcW w:w="880" w:type="dxa"/>
            <w:vAlign w:val="bottom"/>
            <w:tcBorders>
              <w:bottom w:val="single" w:sz="8" w:color="58585A"/>
            </w:tcBorders>
            <w:vMerge w:val="continue"/>
          </w:tcPr>
          <w:p>
            <w:pPr>
              <w:spacing w:after="0"/>
              <w:rPr>
                <w:sz w:val="5"/>
                <w:szCs w:val="5"/>
                <w:color w:val="auto"/>
              </w:rPr>
            </w:pPr>
          </w:p>
        </w:tc>
        <w:tc>
          <w:tcPr>
            <w:tcW w:w="940" w:type="dxa"/>
            <w:vAlign w:val="bottom"/>
            <w:tcBorders>
              <w:bottom w:val="single" w:sz="8" w:color="58585A"/>
            </w:tcBorders>
            <w:vMerge w:val="continue"/>
          </w:tcPr>
          <w:p>
            <w:pPr>
              <w:spacing w:after="0"/>
              <w:rPr>
                <w:sz w:val="5"/>
                <w:szCs w:val="5"/>
                <w:color w:val="auto"/>
              </w:rPr>
            </w:pPr>
          </w:p>
        </w:tc>
        <w:tc>
          <w:tcPr>
            <w:tcW w:w="1020" w:type="dxa"/>
            <w:vAlign w:val="bottom"/>
            <w:tcBorders>
              <w:bottom w:val="single" w:sz="8" w:color="58585A"/>
            </w:tcBorders>
            <w:vMerge w:val="continue"/>
          </w:tcPr>
          <w:p>
            <w:pPr>
              <w:spacing w:after="0"/>
              <w:rPr>
                <w:sz w:val="5"/>
                <w:szCs w:val="5"/>
                <w:color w:val="auto"/>
              </w:rPr>
            </w:pPr>
          </w:p>
        </w:tc>
        <w:tc>
          <w:tcPr>
            <w:tcW w:w="860" w:type="dxa"/>
            <w:vAlign w:val="bottom"/>
            <w:tcBorders>
              <w:bottom w:val="single" w:sz="8" w:color="58585A"/>
            </w:tcBorders>
            <w:vMerge w:val="continue"/>
          </w:tcPr>
          <w:p>
            <w:pPr>
              <w:spacing w:after="0"/>
              <w:rPr>
                <w:sz w:val="5"/>
                <w:szCs w:val="5"/>
                <w:color w:val="auto"/>
              </w:rPr>
            </w:pPr>
          </w:p>
        </w:tc>
        <w:tc>
          <w:tcPr>
            <w:tcW w:w="760" w:type="dxa"/>
            <w:vAlign w:val="bottom"/>
            <w:tcBorders>
              <w:bottom w:val="single" w:sz="8" w:color="58585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300" w:type="dxa"/>
            <w:vAlign w:val="bottom"/>
            <w:vMerge w:val="continue"/>
          </w:tcPr>
          <w:p>
            <w:pPr>
              <w:spacing w:after="0"/>
              <w:rPr>
                <w:sz w:val="5"/>
                <w:szCs w:val="5"/>
                <w:color w:val="auto"/>
              </w:rPr>
            </w:pPr>
          </w:p>
        </w:tc>
        <w:tc>
          <w:tcPr>
            <w:tcW w:w="540" w:type="dxa"/>
            <w:vAlign w:val="bottom"/>
            <w:gridSpan w:val="2"/>
            <w:vMerge w:val="restart"/>
          </w:tcPr>
          <w:p>
            <w:pPr>
              <w:jc w:val="right"/>
              <w:spacing w:after="0" w:line="142" w:lineRule="exact"/>
              <w:rPr>
                <w:sz w:val="20"/>
                <w:szCs w:val="20"/>
                <w:color w:val="auto"/>
              </w:rPr>
            </w:pPr>
            <w:r>
              <w:rPr>
                <w:rFonts w:ascii="Arial" w:cs="Arial" w:eastAsia="Arial" w:hAnsi="Arial"/>
                <w:sz w:val="13"/>
                <w:szCs w:val="13"/>
                <w:color w:val="auto"/>
              </w:rPr>
              <w:t>2018</w:t>
            </w:r>
          </w:p>
        </w:tc>
        <w:tc>
          <w:tcPr>
            <w:tcW w:w="800" w:type="dxa"/>
            <w:vAlign w:val="bottom"/>
            <w:vMerge w:val="restart"/>
          </w:tcPr>
          <w:p>
            <w:pPr>
              <w:jc w:val="right"/>
              <w:spacing w:after="0" w:line="142" w:lineRule="exact"/>
              <w:rPr>
                <w:sz w:val="20"/>
                <w:szCs w:val="20"/>
                <w:color w:val="auto"/>
              </w:rPr>
            </w:pPr>
            <w:r>
              <w:rPr>
                <w:rFonts w:ascii="Arial" w:cs="Arial" w:eastAsia="Arial" w:hAnsi="Arial"/>
                <w:sz w:val="13"/>
                <w:szCs w:val="13"/>
                <w:color w:val="auto"/>
              </w:rPr>
              <w:t>1,330,500</w:t>
            </w:r>
          </w:p>
        </w:tc>
        <w:tc>
          <w:tcPr>
            <w:tcW w:w="880" w:type="dxa"/>
            <w:vAlign w:val="bottom"/>
            <w:vMerge w:val="restart"/>
          </w:tcPr>
          <w:p>
            <w:pPr>
              <w:jc w:val="right"/>
              <w:ind w:right="15"/>
              <w:spacing w:after="0" w:line="142" w:lineRule="exact"/>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135"/>
              <w:spacing w:after="0" w:line="142" w:lineRule="exact"/>
              <w:rPr>
                <w:sz w:val="20"/>
                <w:szCs w:val="20"/>
                <w:color w:val="auto"/>
              </w:rPr>
            </w:pPr>
            <w:r>
              <w:rPr>
                <w:rFonts w:ascii="Arial" w:cs="Arial" w:eastAsia="Arial" w:hAnsi="Arial"/>
                <w:sz w:val="13"/>
                <w:szCs w:val="13"/>
                <w:color w:val="auto"/>
              </w:rPr>
              <w:t>21,339,913</w:t>
            </w:r>
          </w:p>
        </w:tc>
        <w:tc>
          <w:tcPr>
            <w:tcW w:w="1020" w:type="dxa"/>
            <w:vAlign w:val="bottom"/>
            <w:vMerge w:val="restart"/>
          </w:tcPr>
          <w:p>
            <w:pPr>
              <w:jc w:val="right"/>
              <w:ind w:right="175"/>
              <w:spacing w:after="0" w:line="142" w:lineRule="exact"/>
              <w:rPr>
                <w:sz w:val="20"/>
                <w:szCs w:val="20"/>
                <w:color w:val="auto"/>
              </w:rPr>
            </w:pPr>
            <w:r>
              <w:rPr>
                <w:rFonts w:ascii="Arial" w:cs="Arial" w:eastAsia="Arial" w:hAnsi="Arial"/>
                <w:sz w:val="13"/>
                <w:szCs w:val="13"/>
                <w:color w:val="auto"/>
              </w:rPr>
              <w:t>2,953,710</w:t>
            </w:r>
          </w:p>
        </w:tc>
        <w:tc>
          <w:tcPr>
            <w:tcW w:w="860" w:type="dxa"/>
            <w:vAlign w:val="bottom"/>
            <w:vMerge w:val="restart"/>
          </w:tcPr>
          <w:p>
            <w:pPr>
              <w:jc w:val="right"/>
              <w:ind w:right="78"/>
              <w:spacing w:after="0" w:line="142" w:lineRule="exact"/>
              <w:rPr>
                <w:sz w:val="20"/>
                <w:szCs w:val="20"/>
                <w:color w:val="auto"/>
              </w:rPr>
            </w:pPr>
            <w:r>
              <w:rPr>
                <w:rFonts w:ascii="Arial" w:cs="Arial" w:eastAsia="Arial" w:hAnsi="Arial"/>
                <w:sz w:val="13"/>
                <w:szCs w:val="13"/>
                <w:color w:val="auto"/>
              </w:rPr>
              <w:t>896,432</w:t>
            </w:r>
          </w:p>
        </w:tc>
        <w:tc>
          <w:tcPr>
            <w:tcW w:w="760" w:type="dxa"/>
            <w:vAlign w:val="bottom"/>
            <w:vMerge w:val="restart"/>
          </w:tcPr>
          <w:p>
            <w:pPr>
              <w:jc w:val="right"/>
              <w:spacing w:after="0" w:line="142" w:lineRule="exact"/>
              <w:rPr>
                <w:sz w:val="20"/>
                <w:szCs w:val="20"/>
                <w:color w:val="auto"/>
              </w:rPr>
            </w:pPr>
            <w:r>
              <w:rPr>
                <w:rFonts w:ascii="Arial" w:cs="Arial" w:eastAsia="Arial" w:hAnsi="Arial"/>
                <w:sz w:val="13"/>
                <w:szCs w:val="13"/>
                <w:color w:val="auto"/>
              </w:rPr>
              <w:t>26,520,555</w:t>
            </w:r>
          </w:p>
        </w:tc>
        <w:tc>
          <w:tcPr>
            <w:tcW w:w="0" w:type="dxa"/>
            <w:vAlign w:val="bottom"/>
          </w:tcPr>
          <w:p>
            <w:pPr>
              <w:spacing w:after="0"/>
              <w:rPr>
                <w:sz w:val="1"/>
                <w:szCs w:val="1"/>
                <w:color w:val="auto"/>
              </w:rPr>
            </w:pPr>
          </w:p>
        </w:tc>
      </w:tr>
      <w:tr>
        <w:trPr>
          <w:trHeight w:val="74"/>
        </w:trPr>
        <w:tc>
          <w:tcPr>
            <w:tcW w:w="2300" w:type="dxa"/>
            <w:vAlign w:val="bottom"/>
            <w:tcBorders>
              <w:bottom w:val="single" w:sz="8" w:color="58585A"/>
            </w:tcBorders>
          </w:tcPr>
          <w:p>
            <w:pPr>
              <w:spacing w:after="0"/>
              <w:rPr>
                <w:sz w:val="6"/>
                <w:szCs w:val="6"/>
                <w:color w:val="auto"/>
              </w:rPr>
            </w:pPr>
          </w:p>
        </w:tc>
        <w:tc>
          <w:tcPr>
            <w:tcW w:w="540" w:type="dxa"/>
            <w:vAlign w:val="bottom"/>
            <w:tcBorders>
              <w:bottom w:val="single" w:sz="8" w:color="58585A"/>
            </w:tcBorders>
            <w:gridSpan w:val="2"/>
            <w:vMerge w:val="continue"/>
          </w:tcPr>
          <w:p>
            <w:pPr>
              <w:spacing w:after="0"/>
              <w:rPr>
                <w:sz w:val="6"/>
                <w:szCs w:val="6"/>
                <w:color w:val="auto"/>
              </w:rPr>
            </w:pPr>
          </w:p>
        </w:tc>
        <w:tc>
          <w:tcPr>
            <w:tcW w:w="800" w:type="dxa"/>
            <w:vAlign w:val="bottom"/>
            <w:tcBorders>
              <w:bottom w:val="single" w:sz="8" w:color="58585A"/>
            </w:tcBorders>
            <w:vMerge w:val="continue"/>
          </w:tcPr>
          <w:p>
            <w:pPr>
              <w:spacing w:after="0"/>
              <w:rPr>
                <w:sz w:val="6"/>
                <w:szCs w:val="6"/>
                <w:color w:val="auto"/>
              </w:rPr>
            </w:pPr>
          </w:p>
        </w:tc>
        <w:tc>
          <w:tcPr>
            <w:tcW w:w="880" w:type="dxa"/>
            <w:vAlign w:val="bottom"/>
            <w:tcBorders>
              <w:bottom w:val="single" w:sz="8" w:color="58585A"/>
            </w:tcBorders>
            <w:vMerge w:val="continue"/>
          </w:tcPr>
          <w:p>
            <w:pPr>
              <w:spacing w:after="0"/>
              <w:rPr>
                <w:sz w:val="6"/>
                <w:szCs w:val="6"/>
                <w:color w:val="auto"/>
              </w:rPr>
            </w:pPr>
          </w:p>
        </w:tc>
        <w:tc>
          <w:tcPr>
            <w:tcW w:w="940" w:type="dxa"/>
            <w:vAlign w:val="bottom"/>
            <w:tcBorders>
              <w:bottom w:val="single" w:sz="8" w:color="58585A"/>
            </w:tcBorders>
            <w:vMerge w:val="continue"/>
          </w:tcPr>
          <w:p>
            <w:pPr>
              <w:spacing w:after="0"/>
              <w:rPr>
                <w:sz w:val="6"/>
                <w:szCs w:val="6"/>
                <w:color w:val="auto"/>
              </w:rPr>
            </w:pPr>
          </w:p>
        </w:tc>
        <w:tc>
          <w:tcPr>
            <w:tcW w:w="1020" w:type="dxa"/>
            <w:vAlign w:val="bottom"/>
            <w:tcBorders>
              <w:bottom w:val="single" w:sz="8" w:color="58585A"/>
            </w:tcBorders>
            <w:vMerge w:val="continue"/>
          </w:tcPr>
          <w:p>
            <w:pPr>
              <w:spacing w:after="0"/>
              <w:rPr>
                <w:sz w:val="6"/>
                <w:szCs w:val="6"/>
                <w:color w:val="auto"/>
              </w:rPr>
            </w:pPr>
          </w:p>
        </w:tc>
        <w:tc>
          <w:tcPr>
            <w:tcW w:w="860" w:type="dxa"/>
            <w:vAlign w:val="bottom"/>
            <w:tcBorders>
              <w:bottom w:val="single" w:sz="8" w:color="58585A"/>
            </w:tcBorders>
            <w:vMerge w:val="continue"/>
          </w:tcPr>
          <w:p>
            <w:pPr>
              <w:spacing w:after="0"/>
              <w:rPr>
                <w:sz w:val="6"/>
                <w:szCs w:val="6"/>
                <w:color w:val="auto"/>
              </w:rPr>
            </w:pPr>
          </w:p>
        </w:tc>
        <w:tc>
          <w:tcPr>
            <w:tcW w:w="760" w:type="dxa"/>
            <w:vAlign w:val="bottom"/>
            <w:tcBorders>
              <w:bottom w:val="single" w:sz="8" w:color="58585A"/>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E3E6F4"/>
            </w:tcBorders>
            <w:vMerge w:val="restart"/>
            <w:shd w:val="clear" w:color="auto" w:fill="E3E6F4"/>
          </w:tcPr>
          <w:p>
            <w:pPr>
              <w:ind w:left="40"/>
              <w:spacing w:after="0"/>
              <w:rPr>
                <w:sz w:val="20"/>
                <w:szCs w:val="20"/>
                <w:color w:val="auto"/>
              </w:rPr>
            </w:pPr>
            <w:r>
              <w:rPr>
                <w:rFonts w:ascii="Arial" w:cs="Arial" w:eastAsia="Arial" w:hAnsi="Arial"/>
                <w:sz w:val="12"/>
                <w:szCs w:val="12"/>
                <w:b w:val="1"/>
                <w:bCs w:val="1"/>
                <w:color w:val="C44E5E"/>
              </w:rPr>
              <w:t>George D. Yancopoulos, M.D., Ph.D.</w:t>
            </w:r>
          </w:p>
        </w:tc>
        <w:tc>
          <w:tcPr>
            <w:tcW w:w="160" w:type="dxa"/>
            <w:vAlign w:val="bottom"/>
            <w:tcBorders>
              <w:bottom w:val="single" w:sz="8" w:color="58585A"/>
            </w:tcBorders>
            <w:shd w:val="clear" w:color="auto" w:fill="E3E6F4"/>
          </w:tcPr>
          <w:p>
            <w:pPr>
              <w:spacing w:after="0"/>
              <w:rPr>
                <w:sz w:val="12"/>
                <w:szCs w:val="12"/>
                <w:color w:val="auto"/>
              </w:rPr>
            </w:pPr>
          </w:p>
        </w:tc>
        <w:tc>
          <w:tcPr>
            <w:tcW w:w="380" w:type="dxa"/>
            <w:vAlign w:val="bottom"/>
            <w:tcBorders>
              <w:bottom w:val="single" w:sz="8" w:color="58585A"/>
            </w:tcBorders>
            <w:shd w:val="clear" w:color="auto" w:fill="E3E6F4"/>
          </w:tcPr>
          <w:p>
            <w:pPr>
              <w:jc w:val="right"/>
              <w:spacing w:after="0" w:line="142" w:lineRule="exact"/>
              <w:rPr>
                <w:sz w:val="20"/>
                <w:szCs w:val="20"/>
                <w:color w:val="auto"/>
              </w:rPr>
            </w:pPr>
            <w:r>
              <w:rPr>
                <w:rFonts w:ascii="Arial" w:cs="Arial" w:eastAsia="Arial" w:hAnsi="Arial"/>
                <w:sz w:val="13"/>
                <w:szCs w:val="13"/>
                <w:color w:val="auto"/>
              </w:rPr>
              <w:t>2020</w:t>
            </w:r>
          </w:p>
        </w:tc>
        <w:tc>
          <w:tcPr>
            <w:tcW w:w="800" w:type="dxa"/>
            <w:vAlign w:val="bottom"/>
            <w:tcBorders>
              <w:bottom w:val="single" w:sz="8" w:color="58585A"/>
            </w:tcBorders>
            <w:shd w:val="clear" w:color="auto" w:fill="E3E6F4"/>
          </w:tcPr>
          <w:p>
            <w:pPr>
              <w:jc w:val="right"/>
              <w:spacing w:after="0" w:line="142" w:lineRule="exact"/>
              <w:rPr>
                <w:sz w:val="20"/>
                <w:szCs w:val="20"/>
                <w:color w:val="auto"/>
              </w:rPr>
            </w:pPr>
            <w:r>
              <w:rPr>
                <w:rFonts w:ascii="Arial" w:cs="Arial" w:eastAsia="Arial" w:hAnsi="Arial"/>
                <w:sz w:val="13"/>
                <w:szCs w:val="13"/>
                <w:color w:val="auto"/>
              </w:rPr>
              <w:t>1,258,096</w:t>
            </w:r>
          </w:p>
        </w:tc>
        <w:tc>
          <w:tcPr>
            <w:tcW w:w="880" w:type="dxa"/>
            <w:vAlign w:val="bottom"/>
            <w:tcBorders>
              <w:bottom w:val="single" w:sz="8" w:color="58585A"/>
            </w:tcBorders>
            <w:shd w:val="clear" w:color="auto" w:fill="E3E6F4"/>
          </w:tcPr>
          <w:p>
            <w:pPr>
              <w:jc w:val="right"/>
              <w:ind w:right="15"/>
              <w:spacing w:after="0" w:line="142" w:lineRule="exact"/>
              <w:rPr>
                <w:sz w:val="20"/>
                <w:szCs w:val="20"/>
                <w:color w:val="auto"/>
              </w:rPr>
            </w:pPr>
            <w:r>
              <w:rPr>
                <w:rFonts w:ascii="Arial" w:cs="Arial" w:eastAsia="Arial" w:hAnsi="Arial"/>
                <w:sz w:val="13"/>
                <w:szCs w:val="13"/>
                <w:color w:val="auto"/>
              </w:rPr>
              <w:t>130,000,032</w:t>
            </w:r>
          </w:p>
        </w:tc>
        <w:tc>
          <w:tcPr>
            <w:tcW w:w="940" w:type="dxa"/>
            <w:vAlign w:val="bottom"/>
            <w:tcBorders>
              <w:bottom w:val="single" w:sz="8" w:color="58585A"/>
            </w:tcBorders>
            <w:shd w:val="clear" w:color="auto" w:fill="E3E6F4"/>
          </w:tcPr>
          <w:p>
            <w:pPr>
              <w:jc w:val="right"/>
              <w:ind w:right="135"/>
              <w:spacing w:after="0" w:line="142"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58585A"/>
            </w:tcBorders>
            <w:shd w:val="clear" w:color="auto" w:fill="E3E6F4"/>
          </w:tcPr>
          <w:p>
            <w:pPr>
              <w:jc w:val="right"/>
              <w:ind w:right="175"/>
              <w:spacing w:after="0" w:line="142" w:lineRule="exact"/>
              <w:rPr>
                <w:sz w:val="20"/>
                <w:szCs w:val="20"/>
                <w:color w:val="auto"/>
              </w:rPr>
            </w:pPr>
            <w:r>
              <w:rPr>
                <w:rFonts w:ascii="Arial" w:cs="Arial" w:eastAsia="Arial" w:hAnsi="Arial"/>
                <w:sz w:val="13"/>
                <w:szCs w:val="13"/>
                <w:color w:val="auto"/>
              </w:rPr>
              <w:t>3,004,391</w:t>
            </w:r>
          </w:p>
        </w:tc>
        <w:tc>
          <w:tcPr>
            <w:tcW w:w="860" w:type="dxa"/>
            <w:vAlign w:val="bottom"/>
            <w:tcBorders>
              <w:bottom w:val="single" w:sz="8" w:color="58585A"/>
            </w:tcBorders>
            <w:shd w:val="clear" w:color="auto" w:fill="E3E6F4"/>
          </w:tcPr>
          <w:p>
            <w:pPr>
              <w:jc w:val="right"/>
              <w:ind w:right="18"/>
              <w:spacing w:after="0" w:line="142" w:lineRule="exact"/>
              <w:rPr>
                <w:sz w:val="20"/>
                <w:szCs w:val="20"/>
                <w:color w:val="auto"/>
              </w:rPr>
            </w:pPr>
            <w:r>
              <w:rPr>
                <w:rFonts w:ascii="Arial" w:cs="Arial" w:eastAsia="Arial" w:hAnsi="Arial"/>
                <w:sz w:val="11"/>
                <w:szCs w:val="11"/>
                <w:color w:val="auto"/>
              </w:rPr>
              <w:t>120,800</w:t>
            </w:r>
            <w:r>
              <w:rPr>
                <w:rFonts w:ascii="Arial" w:cs="Arial" w:eastAsia="Arial" w:hAnsi="Arial"/>
                <w:sz w:val="16"/>
                <w:szCs w:val="16"/>
                <w:color w:val="auto"/>
                <w:vertAlign w:val="superscript"/>
              </w:rPr>
              <w:t>6</w:t>
            </w:r>
          </w:p>
        </w:tc>
        <w:tc>
          <w:tcPr>
            <w:tcW w:w="760" w:type="dxa"/>
            <w:vAlign w:val="bottom"/>
            <w:tcBorders>
              <w:bottom w:val="single" w:sz="8" w:color="58585A"/>
            </w:tcBorders>
            <w:shd w:val="clear" w:color="auto" w:fill="E3E6F4"/>
          </w:tcPr>
          <w:p>
            <w:pPr>
              <w:jc w:val="right"/>
              <w:spacing w:after="0" w:line="142" w:lineRule="exact"/>
              <w:rPr>
                <w:sz w:val="20"/>
                <w:szCs w:val="20"/>
                <w:color w:val="auto"/>
              </w:rPr>
            </w:pPr>
            <w:r>
              <w:rPr>
                <w:rFonts w:ascii="Arial" w:cs="Arial" w:eastAsia="Arial" w:hAnsi="Arial"/>
                <w:sz w:val="13"/>
                <w:szCs w:val="13"/>
                <w:color w:val="auto"/>
              </w:rPr>
              <w:t>134,383,319</w:t>
            </w:r>
          </w:p>
        </w:tc>
        <w:tc>
          <w:tcPr>
            <w:tcW w:w="0" w:type="dxa"/>
            <w:vAlign w:val="bottom"/>
          </w:tcPr>
          <w:p>
            <w:pPr>
              <w:spacing w:after="0"/>
              <w:rPr>
                <w:sz w:val="1"/>
                <w:szCs w:val="1"/>
                <w:color w:val="auto"/>
              </w:rPr>
            </w:pPr>
          </w:p>
        </w:tc>
      </w:tr>
      <w:tr>
        <w:trPr>
          <w:trHeight w:val="76"/>
        </w:trPr>
        <w:tc>
          <w:tcPr>
            <w:tcW w:w="2300" w:type="dxa"/>
            <w:vAlign w:val="bottom"/>
            <w:vMerge w:val="continue"/>
            <w:shd w:val="clear" w:color="auto" w:fill="E3E6F4"/>
          </w:tcPr>
          <w:p>
            <w:pPr>
              <w:spacing w:after="0"/>
              <w:rPr>
                <w:sz w:val="6"/>
                <w:szCs w:val="6"/>
                <w:color w:val="auto"/>
              </w:rPr>
            </w:pPr>
          </w:p>
        </w:tc>
        <w:tc>
          <w:tcPr>
            <w:tcW w:w="160" w:type="dxa"/>
            <w:vAlign w:val="bottom"/>
            <w:shd w:val="clear" w:color="auto" w:fill="E3E6F4"/>
          </w:tcPr>
          <w:p>
            <w:pPr>
              <w:spacing w:after="0"/>
              <w:rPr>
                <w:sz w:val="6"/>
                <w:szCs w:val="6"/>
                <w:color w:val="auto"/>
              </w:rPr>
            </w:pPr>
          </w:p>
        </w:tc>
        <w:tc>
          <w:tcPr>
            <w:tcW w:w="380" w:type="dxa"/>
            <w:vAlign w:val="bottom"/>
            <w:vMerge w:val="restart"/>
            <w:shd w:val="clear" w:color="auto" w:fill="E3E6F4"/>
          </w:tcPr>
          <w:p>
            <w:pPr>
              <w:jc w:val="right"/>
              <w:spacing w:after="0" w:line="142" w:lineRule="exact"/>
              <w:rPr>
                <w:sz w:val="20"/>
                <w:szCs w:val="20"/>
                <w:color w:val="auto"/>
              </w:rPr>
            </w:pPr>
            <w:r>
              <w:rPr>
                <w:rFonts w:ascii="Arial" w:cs="Arial" w:eastAsia="Arial" w:hAnsi="Arial"/>
                <w:sz w:val="13"/>
                <w:szCs w:val="13"/>
                <w:color w:val="auto"/>
              </w:rPr>
              <w:t>2019</w:t>
            </w:r>
          </w:p>
        </w:tc>
        <w:tc>
          <w:tcPr>
            <w:tcW w:w="800" w:type="dxa"/>
            <w:vAlign w:val="bottom"/>
            <w:vMerge w:val="restart"/>
            <w:shd w:val="clear" w:color="auto" w:fill="E3E6F4"/>
          </w:tcPr>
          <w:p>
            <w:pPr>
              <w:jc w:val="right"/>
              <w:spacing w:after="0" w:line="142" w:lineRule="exact"/>
              <w:rPr>
                <w:sz w:val="20"/>
                <w:szCs w:val="20"/>
                <w:color w:val="auto"/>
              </w:rPr>
            </w:pPr>
            <w:r>
              <w:rPr>
                <w:rFonts w:ascii="Arial" w:cs="Arial" w:eastAsia="Arial" w:hAnsi="Arial"/>
                <w:sz w:val="13"/>
                <w:szCs w:val="13"/>
                <w:color w:val="auto"/>
              </w:rPr>
              <w:t>1,170,500</w:t>
            </w:r>
          </w:p>
        </w:tc>
        <w:tc>
          <w:tcPr>
            <w:tcW w:w="880" w:type="dxa"/>
            <w:vAlign w:val="bottom"/>
            <w:vMerge w:val="restart"/>
            <w:shd w:val="clear" w:color="auto" w:fill="E3E6F4"/>
          </w:tcPr>
          <w:p>
            <w:pPr>
              <w:jc w:val="right"/>
              <w:ind w:right="15"/>
              <w:spacing w:after="0" w:line="142" w:lineRule="exact"/>
              <w:rPr>
                <w:sz w:val="20"/>
                <w:szCs w:val="20"/>
                <w:color w:val="auto"/>
              </w:rPr>
            </w:pPr>
            <w:r>
              <w:rPr>
                <w:rFonts w:ascii="Arial" w:cs="Arial" w:eastAsia="Arial" w:hAnsi="Arial"/>
                <w:sz w:val="13"/>
                <w:szCs w:val="13"/>
                <w:color w:val="auto"/>
              </w:rPr>
              <w:t>4,983,226</w:t>
            </w:r>
          </w:p>
        </w:tc>
        <w:tc>
          <w:tcPr>
            <w:tcW w:w="940" w:type="dxa"/>
            <w:vAlign w:val="bottom"/>
            <w:vMerge w:val="restart"/>
            <w:shd w:val="clear" w:color="auto" w:fill="E3E6F4"/>
          </w:tcPr>
          <w:p>
            <w:pPr>
              <w:jc w:val="right"/>
              <w:ind w:right="135"/>
              <w:spacing w:after="0" w:line="142" w:lineRule="exact"/>
              <w:rPr>
                <w:sz w:val="20"/>
                <w:szCs w:val="20"/>
                <w:color w:val="auto"/>
              </w:rPr>
            </w:pPr>
            <w:r>
              <w:rPr>
                <w:rFonts w:ascii="Arial" w:cs="Arial" w:eastAsia="Arial" w:hAnsi="Arial"/>
                <w:sz w:val="13"/>
                <w:szCs w:val="13"/>
                <w:color w:val="auto"/>
              </w:rPr>
              <w:t>11,699,586</w:t>
            </w:r>
          </w:p>
        </w:tc>
        <w:tc>
          <w:tcPr>
            <w:tcW w:w="1020" w:type="dxa"/>
            <w:vAlign w:val="bottom"/>
            <w:vMerge w:val="restart"/>
            <w:shd w:val="clear" w:color="auto" w:fill="E3E6F4"/>
          </w:tcPr>
          <w:p>
            <w:pPr>
              <w:jc w:val="right"/>
              <w:ind w:right="175"/>
              <w:spacing w:after="0" w:line="142" w:lineRule="exact"/>
              <w:rPr>
                <w:sz w:val="20"/>
                <w:szCs w:val="20"/>
                <w:color w:val="auto"/>
              </w:rPr>
            </w:pPr>
            <w:r>
              <w:rPr>
                <w:rFonts w:ascii="Arial" w:cs="Arial" w:eastAsia="Arial" w:hAnsi="Arial"/>
                <w:sz w:val="13"/>
                <w:szCs w:val="13"/>
                <w:color w:val="auto"/>
              </w:rPr>
              <w:t>2,598,510</w:t>
            </w:r>
          </w:p>
        </w:tc>
        <w:tc>
          <w:tcPr>
            <w:tcW w:w="860" w:type="dxa"/>
            <w:vAlign w:val="bottom"/>
            <w:vMerge w:val="restart"/>
            <w:shd w:val="clear" w:color="auto" w:fill="E3E6F4"/>
          </w:tcPr>
          <w:p>
            <w:pPr>
              <w:jc w:val="right"/>
              <w:ind w:right="78"/>
              <w:spacing w:after="0" w:line="142" w:lineRule="exact"/>
              <w:rPr>
                <w:sz w:val="20"/>
                <w:szCs w:val="20"/>
                <w:color w:val="auto"/>
              </w:rPr>
            </w:pPr>
            <w:r>
              <w:rPr>
                <w:rFonts w:ascii="Arial" w:cs="Arial" w:eastAsia="Arial" w:hAnsi="Arial"/>
                <w:sz w:val="13"/>
                <w:szCs w:val="13"/>
                <w:color w:val="auto"/>
              </w:rPr>
              <w:t>212,313</w:t>
            </w:r>
          </w:p>
        </w:tc>
        <w:tc>
          <w:tcPr>
            <w:tcW w:w="760" w:type="dxa"/>
            <w:vAlign w:val="bottom"/>
            <w:vMerge w:val="restart"/>
            <w:shd w:val="clear" w:color="auto" w:fill="E3E6F4"/>
          </w:tcPr>
          <w:p>
            <w:pPr>
              <w:jc w:val="right"/>
              <w:spacing w:after="0" w:line="142" w:lineRule="exact"/>
              <w:rPr>
                <w:sz w:val="20"/>
                <w:szCs w:val="20"/>
                <w:color w:val="auto"/>
              </w:rPr>
            </w:pPr>
            <w:r>
              <w:rPr>
                <w:rFonts w:ascii="Arial" w:cs="Arial" w:eastAsia="Arial" w:hAnsi="Arial"/>
                <w:sz w:val="13"/>
                <w:szCs w:val="13"/>
                <w:color w:val="auto"/>
              </w:rPr>
              <w:t>20,664,135</w:t>
            </w:r>
          </w:p>
        </w:tc>
        <w:tc>
          <w:tcPr>
            <w:tcW w:w="0" w:type="dxa"/>
            <w:vAlign w:val="bottom"/>
          </w:tcPr>
          <w:p>
            <w:pPr>
              <w:spacing w:after="0"/>
              <w:rPr>
                <w:sz w:val="1"/>
                <w:szCs w:val="1"/>
                <w:color w:val="auto"/>
              </w:rPr>
            </w:pPr>
          </w:p>
        </w:tc>
      </w:tr>
      <w:tr>
        <w:trPr>
          <w:trHeight w:val="66"/>
        </w:trPr>
        <w:tc>
          <w:tcPr>
            <w:tcW w:w="2300" w:type="dxa"/>
            <w:vAlign w:val="bottom"/>
            <w:tcBorders>
              <w:bottom w:val="single" w:sz="8" w:color="E3E6F4"/>
            </w:tcBorders>
            <w:vMerge w:val="restart"/>
            <w:shd w:val="clear" w:color="auto" w:fill="E3E6F4"/>
          </w:tcPr>
          <w:p>
            <w:pPr>
              <w:ind w:left="40"/>
              <w:spacing w:after="0"/>
              <w:rPr>
                <w:sz w:val="20"/>
                <w:szCs w:val="20"/>
                <w:color w:val="auto"/>
              </w:rPr>
            </w:pPr>
            <w:r>
              <w:rPr>
                <w:rFonts w:ascii="Arial" w:cs="Arial" w:eastAsia="Arial" w:hAnsi="Arial"/>
                <w:sz w:val="12"/>
                <w:szCs w:val="12"/>
                <w:b w:val="1"/>
                <w:bCs w:val="1"/>
                <w:color w:val="auto"/>
              </w:rPr>
              <w:t>President and Chief Scientific Officer</w:t>
            </w:r>
          </w:p>
        </w:tc>
        <w:tc>
          <w:tcPr>
            <w:tcW w:w="160" w:type="dxa"/>
            <w:vAlign w:val="bottom"/>
            <w:tcBorders>
              <w:bottom w:val="single" w:sz="8" w:color="58585A"/>
            </w:tcBorders>
            <w:shd w:val="clear" w:color="auto" w:fill="E3E6F4"/>
          </w:tcPr>
          <w:p>
            <w:pPr>
              <w:spacing w:after="0"/>
              <w:rPr>
                <w:sz w:val="5"/>
                <w:szCs w:val="5"/>
                <w:color w:val="auto"/>
              </w:rPr>
            </w:pPr>
          </w:p>
        </w:tc>
        <w:tc>
          <w:tcPr>
            <w:tcW w:w="380" w:type="dxa"/>
            <w:vAlign w:val="bottom"/>
            <w:tcBorders>
              <w:bottom w:val="single" w:sz="8" w:color="58585A"/>
            </w:tcBorders>
            <w:vMerge w:val="continue"/>
            <w:shd w:val="clear" w:color="auto" w:fill="E3E6F4"/>
          </w:tcPr>
          <w:p>
            <w:pPr>
              <w:spacing w:after="0"/>
              <w:rPr>
                <w:sz w:val="5"/>
                <w:szCs w:val="5"/>
                <w:color w:val="auto"/>
              </w:rPr>
            </w:pPr>
          </w:p>
        </w:tc>
        <w:tc>
          <w:tcPr>
            <w:tcW w:w="800" w:type="dxa"/>
            <w:vAlign w:val="bottom"/>
            <w:tcBorders>
              <w:bottom w:val="single" w:sz="8" w:color="58585A"/>
            </w:tcBorders>
            <w:vMerge w:val="continue"/>
            <w:shd w:val="clear" w:color="auto" w:fill="E3E6F4"/>
          </w:tcPr>
          <w:p>
            <w:pPr>
              <w:spacing w:after="0"/>
              <w:rPr>
                <w:sz w:val="5"/>
                <w:szCs w:val="5"/>
                <w:color w:val="auto"/>
              </w:rPr>
            </w:pPr>
          </w:p>
        </w:tc>
        <w:tc>
          <w:tcPr>
            <w:tcW w:w="880" w:type="dxa"/>
            <w:vAlign w:val="bottom"/>
            <w:tcBorders>
              <w:bottom w:val="single" w:sz="8" w:color="58585A"/>
            </w:tcBorders>
            <w:vMerge w:val="continue"/>
            <w:shd w:val="clear" w:color="auto" w:fill="E3E6F4"/>
          </w:tcPr>
          <w:p>
            <w:pPr>
              <w:spacing w:after="0"/>
              <w:rPr>
                <w:sz w:val="5"/>
                <w:szCs w:val="5"/>
                <w:color w:val="auto"/>
              </w:rPr>
            </w:pPr>
          </w:p>
        </w:tc>
        <w:tc>
          <w:tcPr>
            <w:tcW w:w="940" w:type="dxa"/>
            <w:vAlign w:val="bottom"/>
            <w:tcBorders>
              <w:bottom w:val="single" w:sz="8" w:color="58585A"/>
            </w:tcBorders>
            <w:vMerge w:val="continue"/>
            <w:shd w:val="clear" w:color="auto" w:fill="E3E6F4"/>
          </w:tcPr>
          <w:p>
            <w:pPr>
              <w:spacing w:after="0"/>
              <w:rPr>
                <w:sz w:val="5"/>
                <w:szCs w:val="5"/>
                <w:color w:val="auto"/>
              </w:rPr>
            </w:pPr>
          </w:p>
        </w:tc>
        <w:tc>
          <w:tcPr>
            <w:tcW w:w="1020" w:type="dxa"/>
            <w:vAlign w:val="bottom"/>
            <w:tcBorders>
              <w:bottom w:val="single" w:sz="8" w:color="58585A"/>
            </w:tcBorders>
            <w:vMerge w:val="continue"/>
            <w:shd w:val="clear" w:color="auto" w:fill="E3E6F4"/>
          </w:tcPr>
          <w:p>
            <w:pPr>
              <w:spacing w:after="0"/>
              <w:rPr>
                <w:sz w:val="5"/>
                <w:szCs w:val="5"/>
                <w:color w:val="auto"/>
              </w:rPr>
            </w:pPr>
          </w:p>
        </w:tc>
        <w:tc>
          <w:tcPr>
            <w:tcW w:w="860" w:type="dxa"/>
            <w:vAlign w:val="bottom"/>
            <w:tcBorders>
              <w:bottom w:val="single" w:sz="8" w:color="58585A"/>
            </w:tcBorders>
            <w:vMerge w:val="continue"/>
            <w:shd w:val="clear" w:color="auto" w:fill="E3E6F4"/>
          </w:tcPr>
          <w:p>
            <w:pPr>
              <w:spacing w:after="0"/>
              <w:rPr>
                <w:sz w:val="5"/>
                <w:szCs w:val="5"/>
                <w:color w:val="auto"/>
              </w:rPr>
            </w:pPr>
          </w:p>
        </w:tc>
        <w:tc>
          <w:tcPr>
            <w:tcW w:w="760" w:type="dxa"/>
            <w:vAlign w:val="bottom"/>
            <w:tcBorders>
              <w:bottom w:val="single" w:sz="8" w:color="58585A"/>
            </w:tcBorders>
            <w:vMerge w:val="continue"/>
            <w:shd w:val="clear" w:color="auto" w:fill="E3E6F4"/>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300" w:type="dxa"/>
            <w:vAlign w:val="bottom"/>
            <w:vMerge w:val="continue"/>
            <w:shd w:val="clear" w:color="auto" w:fill="E3E6F4"/>
          </w:tcPr>
          <w:p>
            <w:pPr>
              <w:spacing w:after="0"/>
              <w:rPr>
                <w:sz w:val="5"/>
                <w:szCs w:val="5"/>
                <w:color w:val="auto"/>
              </w:rPr>
            </w:pPr>
          </w:p>
        </w:tc>
        <w:tc>
          <w:tcPr>
            <w:tcW w:w="160" w:type="dxa"/>
            <w:vAlign w:val="bottom"/>
            <w:shd w:val="clear" w:color="auto" w:fill="E3E6F4"/>
          </w:tcPr>
          <w:p>
            <w:pPr>
              <w:spacing w:after="0"/>
              <w:rPr>
                <w:sz w:val="5"/>
                <w:szCs w:val="5"/>
                <w:color w:val="auto"/>
              </w:rPr>
            </w:pPr>
          </w:p>
        </w:tc>
        <w:tc>
          <w:tcPr>
            <w:tcW w:w="380" w:type="dxa"/>
            <w:vAlign w:val="bottom"/>
            <w:vMerge w:val="restart"/>
            <w:shd w:val="clear" w:color="auto" w:fill="E3E6F4"/>
          </w:tcPr>
          <w:p>
            <w:pPr>
              <w:jc w:val="right"/>
              <w:spacing w:after="0" w:line="142" w:lineRule="exact"/>
              <w:rPr>
                <w:sz w:val="20"/>
                <w:szCs w:val="20"/>
                <w:color w:val="auto"/>
              </w:rPr>
            </w:pPr>
            <w:r>
              <w:rPr>
                <w:rFonts w:ascii="Arial" w:cs="Arial" w:eastAsia="Arial" w:hAnsi="Arial"/>
                <w:sz w:val="13"/>
                <w:szCs w:val="13"/>
                <w:color w:val="auto"/>
              </w:rPr>
              <w:t>2018</w:t>
            </w:r>
          </w:p>
        </w:tc>
        <w:tc>
          <w:tcPr>
            <w:tcW w:w="800" w:type="dxa"/>
            <w:vAlign w:val="bottom"/>
            <w:vMerge w:val="restart"/>
            <w:shd w:val="clear" w:color="auto" w:fill="E3E6F4"/>
          </w:tcPr>
          <w:p>
            <w:pPr>
              <w:jc w:val="right"/>
              <w:spacing w:after="0" w:line="142" w:lineRule="exact"/>
              <w:rPr>
                <w:sz w:val="20"/>
                <w:szCs w:val="20"/>
                <w:color w:val="auto"/>
              </w:rPr>
            </w:pPr>
            <w:r>
              <w:rPr>
                <w:rFonts w:ascii="Arial" w:cs="Arial" w:eastAsia="Arial" w:hAnsi="Arial"/>
                <w:sz w:val="13"/>
                <w:szCs w:val="13"/>
                <w:color w:val="auto"/>
              </w:rPr>
              <w:t>1,130,900</w:t>
            </w:r>
          </w:p>
        </w:tc>
        <w:tc>
          <w:tcPr>
            <w:tcW w:w="880" w:type="dxa"/>
            <w:vAlign w:val="bottom"/>
            <w:vMerge w:val="restart"/>
            <w:shd w:val="clear" w:color="auto" w:fill="E3E6F4"/>
          </w:tcPr>
          <w:p>
            <w:pPr>
              <w:jc w:val="right"/>
              <w:ind w:right="15"/>
              <w:spacing w:after="0" w:line="142" w:lineRule="exact"/>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E3E6F4"/>
          </w:tcPr>
          <w:p>
            <w:pPr>
              <w:jc w:val="right"/>
              <w:ind w:right="135"/>
              <w:spacing w:after="0" w:line="142" w:lineRule="exact"/>
              <w:rPr>
                <w:sz w:val="20"/>
                <w:szCs w:val="20"/>
                <w:color w:val="auto"/>
              </w:rPr>
            </w:pPr>
            <w:r>
              <w:rPr>
                <w:rFonts w:ascii="Arial" w:cs="Arial" w:eastAsia="Arial" w:hAnsi="Arial"/>
                <w:sz w:val="13"/>
                <w:szCs w:val="13"/>
                <w:color w:val="auto"/>
              </w:rPr>
              <w:t>21,339,913</w:t>
            </w:r>
          </w:p>
        </w:tc>
        <w:tc>
          <w:tcPr>
            <w:tcW w:w="1020" w:type="dxa"/>
            <w:vAlign w:val="bottom"/>
            <w:vMerge w:val="restart"/>
            <w:shd w:val="clear" w:color="auto" w:fill="E3E6F4"/>
          </w:tcPr>
          <w:p>
            <w:pPr>
              <w:jc w:val="right"/>
              <w:ind w:right="175"/>
              <w:spacing w:after="0" w:line="142" w:lineRule="exact"/>
              <w:rPr>
                <w:sz w:val="20"/>
                <w:szCs w:val="20"/>
                <w:color w:val="auto"/>
              </w:rPr>
            </w:pPr>
            <w:r>
              <w:rPr>
                <w:rFonts w:ascii="Arial" w:cs="Arial" w:eastAsia="Arial" w:hAnsi="Arial"/>
                <w:sz w:val="13"/>
                <w:szCs w:val="13"/>
                <w:color w:val="auto"/>
              </w:rPr>
              <w:t>2,510,598</w:t>
            </w:r>
          </w:p>
        </w:tc>
        <w:tc>
          <w:tcPr>
            <w:tcW w:w="860" w:type="dxa"/>
            <w:vAlign w:val="bottom"/>
            <w:vMerge w:val="restart"/>
            <w:shd w:val="clear" w:color="auto" w:fill="E3E6F4"/>
          </w:tcPr>
          <w:p>
            <w:pPr>
              <w:jc w:val="right"/>
              <w:ind w:right="78"/>
              <w:spacing w:after="0" w:line="142" w:lineRule="exact"/>
              <w:rPr>
                <w:sz w:val="20"/>
                <w:szCs w:val="20"/>
                <w:color w:val="auto"/>
              </w:rPr>
            </w:pPr>
            <w:r>
              <w:rPr>
                <w:rFonts w:ascii="Arial" w:cs="Arial" w:eastAsia="Arial" w:hAnsi="Arial"/>
                <w:sz w:val="13"/>
                <w:szCs w:val="13"/>
                <w:color w:val="auto"/>
              </w:rPr>
              <w:t>399,718</w:t>
            </w:r>
          </w:p>
        </w:tc>
        <w:tc>
          <w:tcPr>
            <w:tcW w:w="760" w:type="dxa"/>
            <w:vAlign w:val="bottom"/>
            <w:vMerge w:val="restart"/>
            <w:shd w:val="clear" w:color="auto" w:fill="E3E6F4"/>
          </w:tcPr>
          <w:p>
            <w:pPr>
              <w:jc w:val="right"/>
              <w:spacing w:after="0" w:line="142" w:lineRule="exact"/>
              <w:rPr>
                <w:sz w:val="20"/>
                <w:szCs w:val="20"/>
                <w:color w:val="auto"/>
              </w:rPr>
            </w:pPr>
            <w:r>
              <w:rPr>
                <w:rFonts w:ascii="Arial" w:cs="Arial" w:eastAsia="Arial" w:hAnsi="Arial"/>
                <w:sz w:val="13"/>
                <w:szCs w:val="13"/>
                <w:color w:val="auto"/>
              </w:rPr>
              <w:t>25,381,129</w:t>
            </w:r>
          </w:p>
        </w:tc>
        <w:tc>
          <w:tcPr>
            <w:tcW w:w="0" w:type="dxa"/>
            <w:vAlign w:val="bottom"/>
          </w:tcPr>
          <w:p>
            <w:pPr>
              <w:spacing w:after="0"/>
              <w:rPr>
                <w:sz w:val="1"/>
                <w:szCs w:val="1"/>
                <w:color w:val="auto"/>
              </w:rPr>
            </w:pPr>
          </w:p>
        </w:tc>
      </w:tr>
      <w:tr>
        <w:trPr>
          <w:trHeight w:val="74"/>
        </w:trPr>
        <w:tc>
          <w:tcPr>
            <w:tcW w:w="2300" w:type="dxa"/>
            <w:vAlign w:val="bottom"/>
            <w:tcBorders>
              <w:bottom w:val="single" w:sz="8" w:color="58585A"/>
            </w:tcBorders>
            <w:shd w:val="clear" w:color="auto" w:fill="E3E6F4"/>
          </w:tcPr>
          <w:p>
            <w:pPr>
              <w:spacing w:after="0"/>
              <w:rPr>
                <w:sz w:val="6"/>
                <w:szCs w:val="6"/>
                <w:color w:val="auto"/>
              </w:rPr>
            </w:pPr>
          </w:p>
        </w:tc>
        <w:tc>
          <w:tcPr>
            <w:tcW w:w="160" w:type="dxa"/>
            <w:vAlign w:val="bottom"/>
            <w:tcBorders>
              <w:bottom w:val="single" w:sz="8" w:color="58585A"/>
            </w:tcBorders>
            <w:shd w:val="clear" w:color="auto" w:fill="E3E6F4"/>
          </w:tcPr>
          <w:p>
            <w:pPr>
              <w:spacing w:after="0"/>
              <w:rPr>
                <w:sz w:val="6"/>
                <w:szCs w:val="6"/>
                <w:color w:val="auto"/>
              </w:rPr>
            </w:pPr>
          </w:p>
        </w:tc>
        <w:tc>
          <w:tcPr>
            <w:tcW w:w="380" w:type="dxa"/>
            <w:vAlign w:val="bottom"/>
            <w:tcBorders>
              <w:bottom w:val="single" w:sz="8" w:color="58585A"/>
            </w:tcBorders>
            <w:vMerge w:val="continue"/>
            <w:shd w:val="clear" w:color="auto" w:fill="E3E6F4"/>
          </w:tcPr>
          <w:p>
            <w:pPr>
              <w:spacing w:after="0"/>
              <w:rPr>
                <w:sz w:val="6"/>
                <w:szCs w:val="6"/>
                <w:color w:val="auto"/>
              </w:rPr>
            </w:pPr>
          </w:p>
        </w:tc>
        <w:tc>
          <w:tcPr>
            <w:tcW w:w="800" w:type="dxa"/>
            <w:vAlign w:val="bottom"/>
            <w:tcBorders>
              <w:bottom w:val="single" w:sz="8" w:color="58585A"/>
            </w:tcBorders>
            <w:vMerge w:val="continue"/>
            <w:shd w:val="clear" w:color="auto" w:fill="E3E6F4"/>
          </w:tcPr>
          <w:p>
            <w:pPr>
              <w:spacing w:after="0"/>
              <w:rPr>
                <w:sz w:val="6"/>
                <w:szCs w:val="6"/>
                <w:color w:val="auto"/>
              </w:rPr>
            </w:pPr>
          </w:p>
        </w:tc>
        <w:tc>
          <w:tcPr>
            <w:tcW w:w="880" w:type="dxa"/>
            <w:vAlign w:val="bottom"/>
            <w:tcBorders>
              <w:bottom w:val="single" w:sz="8" w:color="58585A"/>
            </w:tcBorders>
            <w:vMerge w:val="continue"/>
            <w:shd w:val="clear" w:color="auto" w:fill="E3E6F4"/>
          </w:tcPr>
          <w:p>
            <w:pPr>
              <w:spacing w:after="0"/>
              <w:rPr>
                <w:sz w:val="6"/>
                <w:szCs w:val="6"/>
                <w:color w:val="auto"/>
              </w:rPr>
            </w:pPr>
          </w:p>
        </w:tc>
        <w:tc>
          <w:tcPr>
            <w:tcW w:w="940" w:type="dxa"/>
            <w:vAlign w:val="bottom"/>
            <w:tcBorders>
              <w:bottom w:val="single" w:sz="8" w:color="58585A"/>
            </w:tcBorders>
            <w:vMerge w:val="continue"/>
            <w:shd w:val="clear" w:color="auto" w:fill="E3E6F4"/>
          </w:tcPr>
          <w:p>
            <w:pPr>
              <w:spacing w:after="0"/>
              <w:rPr>
                <w:sz w:val="6"/>
                <w:szCs w:val="6"/>
                <w:color w:val="auto"/>
              </w:rPr>
            </w:pPr>
          </w:p>
        </w:tc>
        <w:tc>
          <w:tcPr>
            <w:tcW w:w="1020" w:type="dxa"/>
            <w:vAlign w:val="bottom"/>
            <w:tcBorders>
              <w:bottom w:val="single" w:sz="8" w:color="58585A"/>
            </w:tcBorders>
            <w:vMerge w:val="continue"/>
            <w:shd w:val="clear" w:color="auto" w:fill="E3E6F4"/>
          </w:tcPr>
          <w:p>
            <w:pPr>
              <w:spacing w:after="0"/>
              <w:rPr>
                <w:sz w:val="6"/>
                <w:szCs w:val="6"/>
                <w:color w:val="auto"/>
              </w:rPr>
            </w:pPr>
          </w:p>
        </w:tc>
        <w:tc>
          <w:tcPr>
            <w:tcW w:w="860" w:type="dxa"/>
            <w:vAlign w:val="bottom"/>
            <w:tcBorders>
              <w:bottom w:val="single" w:sz="8" w:color="58585A"/>
            </w:tcBorders>
            <w:vMerge w:val="continue"/>
            <w:shd w:val="clear" w:color="auto" w:fill="E3E6F4"/>
          </w:tcPr>
          <w:p>
            <w:pPr>
              <w:spacing w:after="0"/>
              <w:rPr>
                <w:sz w:val="6"/>
                <w:szCs w:val="6"/>
                <w:color w:val="auto"/>
              </w:rPr>
            </w:pPr>
          </w:p>
        </w:tc>
        <w:tc>
          <w:tcPr>
            <w:tcW w:w="760" w:type="dxa"/>
            <w:vAlign w:val="bottom"/>
            <w:tcBorders>
              <w:bottom w:val="single" w:sz="8" w:color="58585A"/>
            </w:tcBorders>
            <w:vMerge w:val="continue"/>
            <w:shd w:val="clear" w:color="auto" w:fill="E3E6F4"/>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300" w:type="dxa"/>
            <w:vAlign w:val="bottom"/>
          </w:tcPr>
          <w:p>
            <w:pPr>
              <w:ind w:left="40"/>
              <w:spacing w:after="0"/>
              <w:rPr>
                <w:sz w:val="20"/>
                <w:szCs w:val="20"/>
                <w:color w:val="auto"/>
              </w:rPr>
            </w:pPr>
            <w:r>
              <w:rPr>
                <w:rFonts w:ascii="Arial" w:cs="Arial" w:eastAsia="Arial" w:hAnsi="Arial"/>
                <w:sz w:val="12"/>
                <w:szCs w:val="12"/>
                <w:b w:val="1"/>
                <w:bCs w:val="1"/>
                <w:color w:val="C44E5E"/>
              </w:rPr>
              <w:t>Robert E. Landry</w:t>
            </w:r>
          </w:p>
        </w:tc>
        <w:tc>
          <w:tcPr>
            <w:tcW w:w="540" w:type="dxa"/>
            <w:vAlign w:val="bottom"/>
            <w:tcBorders>
              <w:bottom w:val="single" w:sz="8" w:color="58585A"/>
            </w:tcBorders>
            <w:gridSpan w:val="2"/>
          </w:tcPr>
          <w:p>
            <w:pPr>
              <w:jc w:val="right"/>
              <w:spacing w:after="0" w:line="129" w:lineRule="exact"/>
              <w:rPr>
                <w:sz w:val="20"/>
                <w:szCs w:val="20"/>
                <w:color w:val="auto"/>
              </w:rPr>
            </w:pPr>
            <w:r>
              <w:rPr>
                <w:rFonts w:ascii="Arial" w:cs="Arial" w:eastAsia="Arial" w:hAnsi="Arial"/>
                <w:sz w:val="13"/>
                <w:szCs w:val="13"/>
                <w:color w:val="auto"/>
              </w:rPr>
              <w:t>2020</w:t>
            </w:r>
          </w:p>
        </w:tc>
        <w:tc>
          <w:tcPr>
            <w:tcW w:w="800" w:type="dxa"/>
            <w:vAlign w:val="bottom"/>
            <w:tcBorders>
              <w:bottom w:val="single" w:sz="8" w:color="58585A"/>
            </w:tcBorders>
          </w:tcPr>
          <w:p>
            <w:pPr>
              <w:jc w:val="right"/>
              <w:spacing w:after="0" w:line="129" w:lineRule="exact"/>
              <w:rPr>
                <w:sz w:val="20"/>
                <w:szCs w:val="20"/>
                <w:color w:val="auto"/>
              </w:rPr>
            </w:pPr>
            <w:r>
              <w:rPr>
                <w:rFonts w:ascii="Arial" w:cs="Arial" w:eastAsia="Arial" w:hAnsi="Arial"/>
                <w:sz w:val="13"/>
                <w:szCs w:val="13"/>
                <w:color w:val="auto"/>
              </w:rPr>
              <w:t>825,577</w:t>
            </w:r>
          </w:p>
        </w:tc>
        <w:tc>
          <w:tcPr>
            <w:tcW w:w="880" w:type="dxa"/>
            <w:vAlign w:val="bottom"/>
            <w:tcBorders>
              <w:bottom w:val="single" w:sz="8" w:color="58585A"/>
            </w:tcBorders>
          </w:tcPr>
          <w:p>
            <w:pPr>
              <w:jc w:val="right"/>
              <w:ind w:right="15"/>
              <w:spacing w:after="0" w:line="129" w:lineRule="exact"/>
              <w:rPr>
                <w:sz w:val="20"/>
                <w:szCs w:val="20"/>
                <w:color w:val="auto"/>
              </w:rPr>
            </w:pPr>
            <w:r>
              <w:rPr>
                <w:rFonts w:ascii="Arial" w:cs="Arial" w:eastAsia="Arial" w:hAnsi="Arial"/>
                <w:sz w:val="13"/>
                <w:szCs w:val="13"/>
                <w:color w:val="auto"/>
              </w:rPr>
              <w:t>949,560</w:t>
            </w:r>
          </w:p>
        </w:tc>
        <w:tc>
          <w:tcPr>
            <w:tcW w:w="940" w:type="dxa"/>
            <w:vAlign w:val="bottom"/>
            <w:tcBorders>
              <w:bottom w:val="single" w:sz="8" w:color="58585A"/>
            </w:tcBorders>
          </w:tcPr>
          <w:p>
            <w:pPr>
              <w:jc w:val="right"/>
              <w:ind w:right="135"/>
              <w:spacing w:after="0" w:line="129" w:lineRule="exact"/>
              <w:rPr>
                <w:sz w:val="20"/>
                <w:szCs w:val="20"/>
                <w:color w:val="auto"/>
              </w:rPr>
            </w:pPr>
            <w:r>
              <w:rPr>
                <w:rFonts w:ascii="Arial" w:cs="Arial" w:eastAsia="Arial" w:hAnsi="Arial"/>
                <w:sz w:val="13"/>
                <w:szCs w:val="13"/>
                <w:color w:val="auto"/>
              </w:rPr>
              <w:t>3,459,499</w:t>
            </w:r>
          </w:p>
        </w:tc>
        <w:tc>
          <w:tcPr>
            <w:tcW w:w="1020" w:type="dxa"/>
            <w:vAlign w:val="bottom"/>
            <w:tcBorders>
              <w:bottom w:val="single" w:sz="8" w:color="58585A"/>
            </w:tcBorders>
          </w:tcPr>
          <w:p>
            <w:pPr>
              <w:jc w:val="right"/>
              <w:ind w:right="175"/>
              <w:spacing w:after="0" w:line="129" w:lineRule="exact"/>
              <w:rPr>
                <w:sz w:val="20"/>
                <w:szCs w:val="20"/>
                <w:color w:val="auto"/>
              </w:rPr>
            </w:pPr>
            <w:r>
              <w:rPr>
                <w:rFonts w:ascii="Arial" w:cs="Arial" w:eastAsia="Arial" w:hAnsi="Arial"/>
                <w:sz w:val="13"/>
                <w:szCs w:val="13"/>
                <w:color w:val="auto"/>
              </w:rPr>
              <w:t>938,872</w:t>
            </w:r>
          </w:p>
        </w:tc>
        <w:tc>
          <w:tcPr>
            <w:tcW w:w="860" w:type="dxa"/>
            <w:vAlign w:val="bottom"/>
            <w:tcBorders>
              <w:bottom w:val="single" w:sz="8" w:color="58585A"/>
            </w:tcBorders>
          </w:tcPr>
          <w:p>
            <w:pPr>
              <w:jc w:val="right"/>
              <w:ind w:right="18"/>
              <w:spacing w:after="0" w:line="129" w:lineRule="exact"/>
              <w:rPr>
                <w:sz w:val="20"/>
                <w:szCs w:val="20"/>
                <w:color w:val="auto"/>
              </w:rPr>
            </w:pPr>
            <w:r>
              <w:rPr>
                <w:rFonts w:ascii="Arial" w:cs="Arial" w:eastAsia="Arial" w:hAnsi="Arial"/>
                <w:sz w:val="10"/>
                <w:szCs w:val="10"/>
                <w:color w:val="auto"/>
              </w:rPr>
              <w:t>24,195</w:t>
            </w:r>
            <w:r>
              <w:rPr>
                <w:rFonts w:ascii="Arial" w:cs="Arial" w:eastAsia="Arial" w:hAnsi="Arial"/>
                <w:sz w:val="14"/>
                <w:szCs w:val="14"/>
                <w:color w:val="auto"/>
                <w:vertAlign w:val="superscript"/>
              </w:rPr>
              <w:t>7</w:t>
            </w:r>
          </w:p>
        </w:tc>
        <w:tc>
          <w:tcPr>
            <w:tcW w:w="760" w:type="dxa"/>
            <w:vAlign w:val="bottom"/>
            <w:tcBorders>
              <w:bottom w:val="single" w:sz="8" w:color="58585A"/>
            </w:tcBorders>
          </w:tcPr>
          <w:p>
            <w:pPr>
              <w:jc w:val="right"/>
              <w:spacing w:after="0" w:line="129" w:lineRule="exact"/>
              <w:rPr>
                <w:sz w:val="20"/>
                <w:szCs w:val="20"/>
                <w:color w:val="auto"/>
              </w:rPr>
            </w:pPr>
            <w:r>
              <w:rPr>
                <w:rFonts w:ascii="Arial" w:cs="Arial" w:eastAsia="Arial" w:hAnsi="Arial"/>
                <w:sz w:val="13"/>
                <w:szCs w:val="13"/>
                <w:color w:val="auto"/>
              </w:rPr>
              <w:t>6,197,703</w:t>
            </w:r>
          </w:p>
        </w:tc>
        <w:tc>
          <w:tcPr>
            <w:tcW w:w="0" w:type="dxa"/>
            <w:vAlign w:val="bottom"/>
          </w:tcPr>
          <w:p>
            <w:pPr>
              <w:spacing w:after="0"/>
              <w:rPr>
                <w:sz w:val="1"/>
                <w:szCs w:val="1"/>
                <w:color w:val="auto"/>
              </w:rPr>
            </w:pPr>
          </w:p>
        </w:tc>
      </w:tr>
      <w:tr>
        <w:trPr>
          <w:trHeight w:val="142"/>
        </w:trPr>
        <w:tc>
          <w:tcPr>
            <w:tcW w:w="2300" w:type="dxa"/>
            <w:vAlign w:val="bottom"/>
          </w:tcPr>
          <w:p>
            <w:pPr>
              <w:ind w:left="40"/>
              <w:spacing w:after="0"/>
              <w:rPr>
                <w:sz w:val="20"/>
                <w:szCs w:val="20"/>
                <w:color w:val="auto"/>
              </w:rPr>
            </w:pPr>
            <w:r>
              <w:rPr>
                <w:rFonts w:ascii="Arial" w:cs="Arial" w:eastAsia="Arial" w:hAnsi="Arial"/>
                <w:sz w:val="12"/>
                <w:szCs w:val="12"/>
                <w:b w:val="1"/>
                <w:bCs w:val="1"/>
                <w:color w:val="auto"/>
              </w:rPr>
              <w:t>Executive Vice President,</w:t>
            </w:r>
          </w:p>
        </w:tc>
        <w:tc>
          <w:tcPr>
            <w:tcW w:w="540" w:type="dxa"/>
            <w:vAlign w:val="bottom"/>
            <w:tcBorders>
              <w:bottom w:val="single" w:sz="8" w:color="58585A"/>
            </w:tcBorders>
            <w:gridSpan w:val="2"/>
          </w:tcPr>
          <w:p>
            <w:pPr>
              <w:jc w:val="right"/>
              <w:spacing w:after="0" w:line="142" w:lineRule="exact"/>
              <w:rPr>
                <w:sz w:val="20"/>
                <w:szCs w:val="20"/>
                <w:color w:val="auto"/>
              </w:rPr>
            </w:pPr>
            <w:r>
              <w:rPr>
                <w:rFonts w:ascii="Arial" w:cs="Arial" w:eastAsia="Arial" w:hAnsi="Arial"/>
                <w:sz w:val="13"/>
                <w:szCs w:val="13"/>
                <w:color w:val="auto"/>
              </w:rPr>
              <w:t>2019</w:t>
            </w:r>
          </w:p>
        </w:tc>
        <w:tc>
          <w:tcPr>
            <w:tcW w:w="8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730,000</w:t>
            </w:r>
          </w:p>
        </w:tc>
        <w:tc>
          <w:tcPr>
            <w:tcW w:w="880" w:type="dxa"/>
            <w:vAlign w:val="bottom"/>
            <w:tcBorders>
              <w:bottom w:val="single" w:sz="8" w:color="58585A"/>
            </w:tcBorders>
          </w:tcPr>
          <w:p>
            <w:pPr>
              <w:jc w:val="right"/>
              <w:ind w:right="15"/>
              <w:spacing w:after="0" w:line="142" w:lineRule="exact"/>
              <w:rPr>
                <w:sz w:val="20"/>
                <w:szCs w:val="20"/>
                <w:color w:val="auto"/>
              </w:rPr>
            </w:pPr>
            <w:r>
              <w:rPr>
                <w:rFonts w:ascii="Arial" w:cs="Arial" w:eastAsia="Arial" w:hAnsi="Arial"/>
                <w:sz w:val="13"/>
                <w:szCs w:val="13"/>
                <w:color w:val="auto"/>
              </w:rPr>
              <w:t>2,840,008</w:t>
            </w:r>
          </w:p>
        </w:tc>
        <w:tc>
          <w:tcPr>
            <w:tcW w:w="940" w:type="dxa"/>
            <w:vAlign w:val="bottom"/>
            <w:tcBorders>
              <w:bottom w:val="single" w:sz="8" w:color="58585A"/>
            </w:tcBorders>
          </w:tcPr>
          <w:p>
            <w:pPr>
              <w:jc w:val="right"/>
              <w:ind w:right="135"/>
              <w:spacing w:after="0" w:line="142" w:lineRule="exact"/>
              <w:rPr>
                <w:sz w:val="20"/>
                <w:szCs w:val="20"/>
                <w:color w:val="auto"/>
              </w:rPr>
            </w:pPr>
            <w:r>
              <w:rPr>
                <w:rFonts w:ascii="Arial" w:cs="Arial" w:eastAsia="Arial" w:hAnsi="Arial"/>
                <w:sz w:val="13"/>
                <w:szCs w:val="13"/>
                <w:color w:val="auto"/>
              </w:rPr>
              <w:t>3,526,669</w:t>
            </w:r>
          </w:p>
        </w:tc>
        <w:tc>
          <w:tcPr>
            <w:tcW w:w="1020" w:type="dxa"/>
            <w:vAlign w:val="bottom"/>
            <w:tcBorders>
              <w:bottom w:val="single" w:sz="8" w:color="58585A"/>
            </w:tcBorders>
          </w:tcPr>
          <w:p>
            <w:pPr>
              <w:jc w:val="right"/>
              <w:ind w:right="175"/>
              <w:spacing w:after="0" w:line="142" w:lineRule="exact"/>
              <w:rPr>
                <w:sz w:val="20"/>
                <w:szCs w:val="20"/>
                <w:color w:val="auto"/>
              </w:rPr>
            </w:pPr>
            <w:r>
              <w:rPr>
                <w:rFonts w:ascii="Arial" w:cs="Arial" w:eastAsia="Arial" w:hAnsi="Arial"/>
                <w:sz w:val="13"/>
                <w:szCs w:val="13"/>
                <w:color w:val="auto"/>
              </w:rPr>
              <w:t>811,395</w:t>
            </w:r>
          </w:p>
        </w:tc>
        <w:tc>
          <w:tcPr>
            <w:tcW w:w="860" w:type="dxa"/>
            <w:vAlign w:val="bottom"/>
            <w:tcBorders>
              <w:bottom w:val="single" w:sz="8" w:color="58585A"/>
            </w:tcBorders>
          </w:tcPr>
          <w:p>
            <w:pPr>
              <w:jc w:val="right"/>
              <w:ind w:right="78"/>
              <w:spacing w:after="0" w:line="142" w:lineRule="exact"/>
              <w:rPr>
                <w:sz w:val="20"/>
                <w:szCs w:val="20"/>
                <w:color w:val="auto"/>
              </w:rPr>
            </w:pPr>
            <w:r>
              <w:rPr>
                <w:rFonts w:ascii="Arial" w:cs="Arial" w:eastAsia="Arial" w:hAnsi="Arial"/>
                <w:sz w:val="13"/>
                <w:szCs w:val="13"/>
                <w:color w:val="auto"/>
              </w:rPr>
              <w:t>23,470</w:t>
            </w:r>
          </w:p>
        </w:tc>
        <w:tc>
          <w:tcPr>
            <w:tcW w:w="76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7,931,542</w:t>
            </w:r>
          </w:p>
        </w:tc>
        <w:tc>
          <w:tcPr>
            <w:tcW w:w="0" w:type="dxa"/>
            <w:vAlign w:val="bottom"/>
          </w:tcPr>
          <w:p>
            <w:pPr>
              <w:spacing w:after="0"/>
              <w:rPr>
                <w:sz w:val="1"/>
                <w:szCs w:val="1"/>
                <w:color w:val="auto"/>
              </w:rPr>
            </w:pPr>
          </w:p>
        </w:tc>
      </w:tr>
      <w:tr>
        <w:trPr>
          <w:trHeight w:val="142"/>
        </w:trPr>
        <w:tc>
          <w:tcPr>
            <w:tcW w:w="2300" w:type="dxa"/>
            <w:vAlign w:val="bottom"/>
            <w:tcBorders>
              <w:bottom w:val="single" w:sz="8" w:color="58585A"/>
            </w:tcBorders>
          </w:tcPr>
          <w:p>
            <w:pPr>
              <w:ind w:left="40"/>
              <w:spacing w:after="0" w:line="136" w:lineRule="exact"/>
              <w:rPr>
                <w:sz w:val="20"/>
                <w:szCs w:val="20"/>
                <w:color w:val="auto"/>
              </w:rPr>
            </w:pPr>
            <w:r>
              <w:rPr>
                <w:rFonts w:ascii="Arial" w:cs="Arial" w:eastAsia="Arial" w:hAnsi="Arial"/>
                <w:sz w:val="12"/>
                <w:szCs w:val="12"/>
                <w:b w:val="1"/>
                <w:bCs w:val="1"/>
                <w:color w:val="auto"/>
              </w:rPr>
              <w:t>Finance and Chief Financial Officer</w:t>
            </w:r>
          </w:p>
        </w:tc>
        <w:tc>
          <w:tcPr>
            <w:tcW w:w="540" w:type="dxa"/>
            <w:vAlign w:val="bottom"/>
            <w:tcBorders>
              <w:bottom w:val="single" w:sz="8" w:color="58585A"/>
            </w:tcBorders>
            <w:gridSpan w:val="2"/>
          </w:tcPr>
          <w:p>
            <w:pPr>
              <w:jc w:val="right"/>
              <w:spacing w:after="0" w:line="142" w:lineRule="exact"/>
              <w:rPr>
                <w:sz w:val="20"/>
                <w:szCs w:val="20"/>
                <w:color w:val="auto"/>
              </w:rPr>
            </w:pPr>
            <w:r>
              <w:rPr>
                <w:rFonts w:ascii="Arial" w:cs="Arial" w:eastAsia="Arial" w:hAnsi="Arial"/>
                <w:sz w:val="13"/>
                <w:szCs w:val="13"/>
                <w:color w:val="auto"/>
              </w:rPr>
              <w:t>2018</w:t>
            </w:r>
          </w:p>
        </w:tc>
        <w:tc>
          <w:tcPr>
            <w:tcW w:w="8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680,000</w:t>
            </w:r>
          </w:p>
        </w:tc>
        <w:tc>
          <w:tcPr>
            <w:tcW w:w="880" w:type="dxa"/>
            <w:vAlign w:val="bottom"/>
            <w:tcBorders>
              <w:bottom w:val="single" w:sz="8" w:color="58585A"/>
            </w:tcBorders>
          </w:tcPr>
          <w:p>
            <w:pPr>
              <w:jc w:val="right"/>
              <w:ind w:right="15"/>
              <w:spacing w:after="0" w:line="142" w:lineRule="exact"/>
              <w:rPr>
                <w:sz w:val="20"/>
                <w:szCs w:val="20"/>
                <w:color w:val="auto"/>
              </w:rPr>
            </w:pPr>
            <w:r>
              <w:rPr>
                <w:rFonts w:ascii="Arial" w:cs="Arial" w:eastAsia="Arial" w:hAnsi="Arial"/>
                <w:sz w:val="13"/>
                <w:szCs w:val="13"/>
                <w:color w:val="auto"/>
              </w:rPr>
              <w:t>4,767,500</w:t>
            </w:r>
          </w:p>
        </w:tc>
        <w:tc>
          <w:tcPr>
            <w:tcW w:w="940" w:type="dxa"/>
            <w:vAlign w:val="bottom"/>
            <w:tcBorders>
              <w:bottom w:val="single" w:sz="8" w:color="58585A"/>
            </w:tcBorders>
          </w:tcPr>
          <w:p>
            <w:pPr>
              <w:jc w:val="right"/>
              <w:ind w:right="135"/>
              <w:spacing w:after="0" w:line="142" w:lineRule="exact"/>
              <w:rPr>
                <w:sz w:val="20"/>
                <w:szCs w:val="20"/>
                <w:color w:val="auto"/>
              </w:rPr>
            </w:pPr>
            <w:r>
              <w:rPr>
                <w:rFonts w:ascii="Arial" w:cs="Arial" w:eastAsia="Arial" w:hAnsi="Arial"/>
                <w:sz w:val="13"/>
                <w:szCs w:val="13"/>
                <w:color w:val="auto"/>
              </w:rPr>
              <w:t>3,308,184</w:t>
            </w:r>
          </w:p>
        </w:tc>
        <w:tc>
          <w:tcPr>
            <w:tcW w:w="1020" w:type="dxa"/>
            <w:vAlign w:val="bottom"/>
            <w:tcBorders>
              <w:bottom w:val="single" w:sz="8" w:color="58585A"/>
            </w:tcBorders>
          </w:tcPr>
          <w:p>
            <w:pPr>
              <w:jc w:val="right"/>
              <w:ind w:right="175"/>
              <w:spacing w:after="0" w:line="142" w:lineRule="exact"/>
              <w:rPr>
                <w:sz w:val="20"/>
                <w:szCs w:val="20"/>
                <w:color w:val="auto"/>
              </w:rPr>
            </w:pPr>
            <w:r>
              <w:rPr>
                <w:rFonts w:ascii="Arial" w:cs="Arial" w:eastAsia="Arial" w:hAnsi="Arial"/>
                <w:sz w:val="13"/>
                <w:szCs w:val="13"/>
                <w:color w:val="auto"/>
              </w:rPr>
              <w:t>581,400</w:t>
            </w:r>
          </w:p>
        </w:tc>
        <w:tc>
          <w:tcPr>
            <w:tcW w:w="860" w:type="dxa"/>
            <w:vAlign w:val="bottom"/>
            <w:tcBorders>
              <w:bottom w:val="single" w:sz="8" w:color="58585A"/>
            </w:tcBorders>
          </w:tcPr>
          <w:p>
            <w:pPr>
              <w:jc w:val="right"/>
              <w:ind w:right="78"/>
              <w:spacing w:after="0" w:line="142" w:lineRule="exact"/>
              <w:rPr>
                <w:sz w:val="20"/>
                <w:szCs w:val="20"/>
                <w:color w:val="auto"/>
              </w:rPr>
            </w:pPr>
            <w:r>
              <w:rPr>
                <w:rFonts w:ascii="Arial" w:cs="Arial" w:eastAsia="Arial" w:hAnsi="Arial"/>
                <w:sz w:val="13"/>
                <w:szCs w:val="13"/>
                <w:color w:val="auto"/>
              </w:rPr>
              <w:t>19,535</w:t>
            </w:r>
          </w:p>
        </w:tc>
        <w:tc>
          <w:tcPr>
            <w:tcW w:w="76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9,356,619</w:t>
            </w:r>
          </w:p>
        </w:tc>
        <w:tc>
          <w:tcPr>
            <w:tcW w:w="0" w:type="dxa"/>
            <w:vAlign w:val="bottom"/>
          </w:tcPr>
          <w:p>
            <w:pPr>
              <w:spacing w:after="0"/>
              <w:rPr>
                <w:sz w:val="1"/>
                <w:szCs w:val="1"/>
                <w:color w:val="auto"/>
              </w:rPr>
            </w:pPr>
          </w:p>
        </w:tc>
      </w:tr>
      <w:tr>
        <w:trPr>
          <w:trHeight w:val="183"/>
        </w:trPr>
        <w:tc>
          <w:tcPr>
            <w:tcW w:w="2300" w:type="dxa"/>
            <w:vAlign w:val="bottom"/>
            <w:tcBorders>
              <w:bottom w:val="single" w:sz="8" w:color="E3E6F4"/>
            </w:tcBorders>
            <w:shd w:val="clear" w:color="auto" w:fill="E3E6F4"/>
          </w:tcPr>
          <w:p>
            <w:pPr>
              <w:ind w:left="40"/>
              <w:spacing w:after="0"/>
              <w:rPr>
                <w:sz w:val="20"/>
                <w:szCs w:val="20"/>
                <w:color w:val="auto"/>
              </w:rPr>
            </w:pPr>
            <w:r>
              <w:rPr>
                <w:rFonts w:ascii="Arial" w:cs="Arial" w:eastAsia="Arial" w:hAnsi="Arial"/>
                <w:sz w:val="12"/>
                <w:szCs w:val="12"/>
                <w:b w:val="1"/>
                <w:bCs w:val="1"/>
                <w:color w:val="C44E5E"/>
              </w:rPr>
              <w:t>Daniel P. Van Plew</w:t>
            </w:r>
          </w:p>
        </w:tc>
        <w:tc>
          <w:tcPr>
            <w:tcW w:w="160" w:type="dxa"/>
            <w:vAlign w:val="bottom"/>
            <w:tcBorders>
              <w:bottom w:val="single" w:sz="8" w:color="58585A"/>
            </w:tcBorders>
            <w:shd w:val="clear" w:color="auto" w:fill="E3E6F4"/>
          </w:tcPr>
          <w:p>
            <w:pPr>
              <w:spacing w:after="0"/>
              <w:rPr>
                <w:sz w:val="15"/>
                <w:szCs w:val="15"/>
                <w:color w:val="auto"/>
              </w:rPr>
            </w:pPr>
          </w:p>
        </w:tc>
        <w:tc>
          <w:tcPr>
            <w:tcW w:w="380" w:type="dxa"/>
            <w:vAlign w:val="bottom"/>
            <w:tcBorders>
              <w:bottom w:val="single" w:sz="8" w:color="58585A"/>
            </w:tcBorders>
            <w:shd w:val="clear" w:color="auto" w:fill="E3E6F4"/>
          </w:tcPr>
          <w:p>
            <w:pPr>
              <w:jc w:val="right"/>
              <w:spacing w:after="0"/>
              <w:rPr>
                <w:sz w:val="20"/>
                <w:szCs w:val="20"/>
                <w:color w:val="auto"/>
              </w:rPr>
            </w:pPr>
            <w:r>
              <w:rPr>
                <w:rFonts w:ascii="Arial" w:cs="Arial" w:eastAsia="Arial" w:hAnsi="Arial"/>
                <w:sz w:val="13"/>
                <w:szCs w:val="13"/>
                <w:color w:val="auto"/>
              </w:rPr>
              <w:t>2020</w:t>
            </w:r>
          </w:p>
        </w:tc>
        <w:tc>
          <w:tcPr>
            <w:tcW w:w="800" w:type="dxa"/>
            <w:vAlign w:val="bottom"/>
            <w:tcBorders>
              <w:bottom w:val="single" w:sz="8" w:color="58585A"/>
            </w:tcBorders>
            <w:shd w:val="clear" w:color="auto" w:fill="E3E6F4"/>
          </w:tcPr>
          <w:p>
            <w:pPr>
              <w:jc w:val="right"/>
              <w:spacing w:after="0"/>
              <w:rPr>
                <w:sz w:val="20"/>
                <w:szCs w:val="20"/>
                <w:color w:val="auto"/>
              </w:rPr>
            </w:pPr>
            <w:r>
              <w:rPr>
                <w:rFonts w:ascii="Arial" w:cs="Arial" w:eastAsia="Arial" w:hAnsi="Arial"/>
                <w:sz w:val="13"/>
                <w:szCs w:val="13"/>
                <w:color w:val="auto"/>
              </w:rPr>
              <w:t>825,577</w:t>
            </w:r>
          </w:p>
        </w:tc>
        <w:tc>
          <w:tcPr>
            <w:tcW w:w="880" w:type="dxa"/>
            <w:vAlign w:val="bottom"/>
            <w:tcBorders>
              <w:bottom w:val="single" w:sz="8" w:color="58585A"/>
            </w:tcBorders>
            <w:shd w:val="clear" w:color="auto" w:fill="E3E6F4"/>
          </w:tcPr>
          <w:p>
            <w:pPr>
              <w:jc w:val="right"/>
              <w:ind w:right="15"/>
              <w:spacing w:after="0"/>
              <w:rPr>
                <w:sz w:val="20"/>
                <w:szCs w:val="20"/>
                <w:color w:val="auto"/>
              </w:rPr>
            </w:pPr>
            <w:r>
              <w:rPr>
                <w:rFonts w:ascii="Arial" w:cs="Arial" w:eastAsia="Arial" w:hAnsi="Arial"/>
                <w:sz w:val="13"/>
                <w:szCs w:val="13"/>
                <w:color w:val="auto"/>
              </w:rPr>
              <w:t>3,409,560</w:t>
            </w:r>
          </w:p>
        </w:tc>
        <w:tc>
          <w:tcPr>
            <w:tcW w:w="940" w:type="dxa"/>
            <w:vAlign w:val="bottom"/>
            <w:tcBorders>
              <w:bottom w:val="single" w:sz="8" w:color="58585A"/>
            </w:tcBorders>
            <w:shd w:val="clear" w:color="auto" w:fill="E3E6F4"/>
          </w:tcPr>
          <w:p>
            <w:pPr>
              <w:jc w:val="right"/>
              <w:ind w:right="135"/>
              <w:spacing w:after="0"/>
              <w:rPr>
                <w:sz w:val="20"/>
                <w:szCs w:val="20"/>
                <w:color w:val="auto"/>
              </w:rPr>
            </w:pPr>
            <w:r>
              <w:rPr>
                <w:rFonts w:ascii="Arial" w:cs="Arial" w:eastAsia="Arial" w:hAnsi="Arial"/>
                <w:sz w:val="13"/>
                <w:szCs w:val="13"/>
                <w:color w:val="auto"/>
              </w:rPr>
              <w:t>3,459,499</w:t>
            </w:r>
          </w:p>
        </w:tc>
        <w:tc>
          <w:tcPr>
            <w:tcW w:w="1020" w:type="dxa"/>
            <w:vAlign w:val="bottom"/>
            <w:tcBorders>
              <w:bottom w:val="single" w:sz="8" w:color="58585A"/>
            </w:tcBorders>
            <w:shd w:val="clear" w:color="auto" w:fill="E3E6F4"/>
          </w:tcPr>
          <w:p>
            <w:pPr>
              <w:jc w:val="right"/>
              <w:ind w:right="175"/>
              <w:spacing w:after="0"/>
              <w:rPr>
                <w:sz w:val="20"/>
                <w:szCs w:val="20"/>
                <w:color w:val="auto"/>
              </w:rPr>
            </w:pPr>
            <w:r>
              <w:rPr>
                <w:rFonts w:ascii="Arial" w:cs="Arial" w:eastAsia="Arial" w:hAnsi="Arial"/>
                <w:sz w:val="13"/>
                <w:szCs w:val="13"/>
                <w:color w:val="auto"/>
              </w:rPr>
              <w:t>938,872</w:t>
            </w:r>
          </w:p>
        </w:tc>
        <w:tc>
          <w:tcPr>
            <w:tcW w:w="860" w:type="dxa"/>
            <w:vAlign w:val="bottom"/>
            <w:tcBorders>
              <w:bottom w:val="single" w:sz="8" w:color="58585A"/>
            </w:tcBorders>
            <w:shd w:val="clear" w:color="auto" w:fill="E3E6F4"/>
          </w:tcPr>
          <w:p>
            <w:pPr>
              <w:jc w:val="right"/>
              <w:ind w:right="18"/>
              <w:spacing w:after="0" w:line="183" w:lineRule="exact"/>
              <w:rPr>
                <w:sz w:val="20"/>
                <w:szCs w:val="20"/>
                <w:color w:val="auto"/>
              </w:rPr>
            </w:pPr>
            <w:r>
              <w:rPr>
                <w:rFonts w:ascii="Arial" w:cs="Arial" w:eastAsia="Arial" w:hAnsi="Arial"/>
                <w:sz w:val="13"/>
                <w:szCs w:val="13"/>
                <w:color w:val="auto"/>
              </w:rPr>
              <w:t>20,945</w:t>
            </w:r>
            <w:r>
              <w:rPr>
                <w:rFonts w:ascii="Arial" w:cs="Arial" w:eastAsia="Arial" w:hAnsi="Arial"/>
                <w:sz w:val="21"/>
                <w:szCs w:val="21"/>
                <w:color w:val="auto"/>
                <w:vertAlign w:val="superscript"/>
              </w:rPr>
              <w:t>8</w:t>
            </w:r>
          </w:p>
        </w:tc>
        <w:tc>
          <w:tcPr>
            <w:tcW w:w="760" w:type="dxa"/>
            <w:vAlign w:val="bottom"/>
            <w:tcBorders>
              <w:bottom w:val="single" w:sz="8" w:color="58585A"/>
            </w:tcBorders>
            <w:shd w:val="clear" w:color="auto" w:fill="E3E6F4"/>
          </w:tcPr>
          <w:p>
            <w:pPr>
              <w:jc w:val="right"/>
              <w:spacing w:after="0"/>
              <w:rPr>
                <w:sz w:val="20"/>
                <w:szCs w:val="20"/>
                <w:color w:val="auto"/>
              </w:rPr>
            </w:pPr>
            <w:r>
              <w:rPr>
                <w:rFonts w:ascii="Arial" w:cs="Arial" w:eastAsia="Arial" w:hAnsi="Arial"/>
                <w:sz w:val="13"/>
                <w:szCs w:val="13"/>
                <w:color w:val="auto"/>
              </w:rPr>
              <w:t>8,654,453</w:t>
            </w:r>
          </w:p>
        </w:tc>
        <w:tc>
          <w:tcPr>
            <w:tcW w:w="0" w:type="dxa"/>
            <w:vAlign w:val="bottom"/>
          </w:tcPr>
          <w:p>
            <w:pPr>
              <w:spacing w:after="0"/>
              <w:rPr>
                <w:sz w:val="1"/>
                <w:szCs w:val="1"/>
                <w:color w:val="auto"/>
              </w:rPr>
            </w:pPr>
          </w:p>
        </w:tc>
      </w:tr>
      <w:tr>
        <w:trPr>
          <w:trHeight w:val="103"/>
        </w:trPr>
        <w:tc>
          <w:tcPr>
            <w:tcW w:w="2300" w:type="dxa"/>
            <w:vAlign w:val="bottom"/>
            <w:shd w:val="clear" w:color="auto" w:fill="E3E6F4"/>
          </w:tcPr>
          <w:p>
            <w:pPr>
              <w:ind w:left="40"/>
              <w:spacing w:after="0" w:line="103" w:lineRule="exact"/>
              <w:rPr>
                <w:sz w:val="20"/>
                <w:szCs w:val="20"/>
                <w:color w:val="auto"/>
              </w:rPr>
            </w:pPr>
            <w:r>
              <w:rPr>
                <w:rFonts w:ascii="Arial" w:cs="Arial" w:eastAsia="Arial" w:hAnsi="Arial"/>
                <w:sz w:val="11"/>
                <w:szCs w:val="11"/>
                <w:b w:val="1"/>
                <w:bCs w:val="1"/>
                <w:color w:val="auto"/>
              </w:rPr>
              <w:t>Executive Vice President and General</w:t>
            </w:r>
          </w:p>
        </w:tc>
        <w:tc>
          <w:tcPr>
            <w:tcW w:w="160" w:type="dxa"/>
            <w:vAlign w:val="bottom"/>
            <w:shd w:val="clear" w:color="auto" w:fill="E3E6F4"/>
          </w:tcPr>
          <w:p>
            <w:pPr>
              <w:spacing w:after="0"/>
              <w:rPr>
                <w:sz w:val="8"/>
                <w:szCs w:val="8"/>
                <w:color w:val="auto"/>
              </w:rPr>
            </w:pPr>
          </w:p>
        </w:tc>
        <w:tc>
          <w:tcPr>
            <w:tcW w:w="380" w:type="dxa"/>
            <w:vAlign w:val="bottom"/>
            <w:vMerge w:val="restart"/>
            <w:shd w:val="clear" w:color="auto" w:fill="E3E6F4"/>
          </w:tcPr>
          <w:p>
            <w:pPr>
              <w:jc w:val="right"/>
              <w:spacing w:after="0"/>
              <w:rPr>
                <w:sz w:val="20"/>
                <w:szCs w:val="20"/>
                <w:color w:val="auto"/>
              </w:rPr>
            </w:pPr>
            <w:r>
              <w:rPr>
                <w:rFonts w:ascii="Arial" w:cs="Arial" w:eastAsia="Arial" w:hAnsi="Arial"/>
                <w:sz w:val="13"/>
                <w:szCs w:val="13"/>
                <w:color w:val="auto"/>
              </w:rPr>
              <w:t>2019</w:t>
            </w:r>
          </w:p>
        </w:tc>
        <w:tc>
          <w:tcPr>
            <w:tcW w:w="800" w:type="dxa"/>
            <w:vAlign w:val="bottom"/>
            <w:vMerge w:val="restart"/>
            <w:shd w:val="clear" w:color="auto" w:fill="E3E6F4"/>
          </w:tcPr>
          <w:p>
            <w:pPr>
              <w:jc w:val="right"/>
              <w:spacing w:after="0"/>
              <w:rPr>
                <w:sz w:val="20"/>
                <w:szCs w:val="20"/>
                <w:color w:val="auto"/>
              </w:rPr>
            </w:pPr>
            <w:r>
              <w:rPr>
                <w:rFonts w:ascii="Arial" w:cs="Arial" w:eastAsia="Arial" w:hAnsi="Arial"/>
                <w:sz w:val="13"/>
                <w:szCs w:val="13"/>
                <w:color w:val="auto"/>
              </w:rPr>
              <w:t>683,100</w:t>
            </w:r>
          </w:p>
        </w:tc>
        <w:tc>
          <w:tcPr>
            <w:tcW w:w="880" w:type="dxa"/>
            <w:vAlign w:val="bottom"/>
            <w:vMerge w:val="restart"/>
            <w:shd w:val="clear" w:color="auto" w:fill="E3E6F4"/>
          </w:tcPr>
          <w:p>
            <w:pPr>
              <w:jc w:val="right"/>
              <w:ind w:right="15"/>
              <w:spacing w:after="0"/>
              <w:rPr>
                <w:sz w:val="20"/>
                <w:szCs w:val="20"/>
                <w:color w:val="auto"/>
              </w:rPr>
            </w:pPr>
            <w:r>
              <w:rPr>
                <w:rFonts w:ascii="Arial" w:cs="Arial" w:eastAsia="Arial" w:hAnsi="Arial"/>
                <w:sz w:val="13"/>
                <w:szCs w:val="13"/>
                <w:color w:val="auto"/>
              </w:rPr>
              <w:t>2,840,008</w:t>
            </w:r>
          </w:p>
        </w:tc>
        <w:tc>
          <w:tcPr>
            <w:tcW w:w="940" w:type="dxa"/>
            <w:vAlign w:val="bottom"/>
            <w:vMerge w:val="restart"/>
            <w:shd w:val="clear" w:color="auto" w:fill="E3E6F4"/>
          </w:tcPr>
          <w:p>
            <w:pPr>
              <w:jc w:val="right"/>
              <w:ind w:right="135"/>
              <w:spacing w:after="0"/>
              <w:rPr>
                <w:sz w:val="20"/>
                <w:szCs w:val="20"/>
                <w:color w:val="auto"/>
              </w:rPr>
            </w:pPr>
            <w:r>
              <w:rPr>
                <w:rFonts w:ascii="Arial" w:cs="Arial" w:eastAsia="Arial" w:hAnsi="Arial"/>
                <w:sz w:val="13"/>
                <w:szCs w:val="13"/>
                <w:color w:val="auto"/>
              </w:rPr>
              <w:t>3,526,669</w:t>
            </w:r>
          </w:p>
        </w:tc>
        <w:tc>
          <w:tcPr>
            <w:tcW w:w="1020" w:type="dxa"/>
            <w:vAlign w:val="bottom"/>
            <w:vMerge w:val="restart"/>
            <w:shd w:val="clear" w:color="auto" w:fill="E3E6F4"/>
          </w:tcPr>
          <w:p>
            <w:pPr>
              <w:jc w:val="right"/>
              <w:ind w:right="175"/>
              <w:spacing w:after="0"/>
              <w:rPr>
                <w:sz w:val="20"/>
                <w:szCs w:val="20"/>
                <w:color w:val="auto"/>
              </w:rPr>
            </w:pPr>
            <w:r>
              <w:rPr>
                <w:rFonts w:ascii="Arial" w:cs="Arial" w:eastAsia="Arial" w:hAnsi="Arial"/>
                <w:sz w:val="13"/>
                <w:szCs w:val="13"/>
                <w:color w:val="auto"/>
              </w:rPr>
              <w:t>759,266</w:t>
            </w:r>
          </w:p>
        </w:tc>
        <w:tc>
          <w:tcPr>
            <w:tcW w:w="860" w:type="dxa"/>
            <w:vAlign w:val="bottom"/>
            <w:vMerge w:val="restart"/>
            <w:shd w:val="clear" w:color="auto" w:fill="E3E6F4"/>
          </w:tcPr>
          <w:p>
            <w:pPr>
              <w:jc w:val="right"/>
              <w:ind w:right="78"/>
              <w:spacing w:after="0"/>
              <w:rPr>
                <w:sz w:val="20"/>
                <w:szCs w:val="20"/>
                <w:color w:val="auto"/>
              </w:rPr>
            </w:pPr>
            <w:r>
              <w:rPr>
                <w:rFonts w:ascii="Arial" w:cs="Arial" w:eastAsia="Arial" w:hAnsi="Arial"/>
                <w:sz w:val="13"/>
                <w:szCs w:val="13"/>
                <w:color w:val="auto"/>
              </w:rPr>
              <w:t>20,470</w:t>
            </w:r>
          </w:p>
        </w:tc>
        <w:tc>
          <w:tcPr>
            <w:tcW w:w="760" w:type="dxa"/>
            <w:vAlign w:val="bottom"/>
            <w:vMerge w:val="restart"/>
            <w:shd w:val="clear" w:color="auto" w:fill="E3E6F4"/>
          </w:tcPr>
          <w:p>
            <w:pPr>
              <w:jc w:val="right"/>
              <w:spacing w:after="0"/>
              <w:rPr>
                <w:sz w:val="20"/>
                <w:szCs w:val="20"/>
                <w:color w:val="auto"/>
              </w:rPr>
            </w:pPr>
            <w:r>
              <w:rPr>
                <w:rFonts w:ascii="Arial" w:cs="Arial" w:eastAsia="Arial" w:hAnsi="Arial"/>
                <w:sz w:val="13"/>
                <w:szCs w:val="13"/>
                <w:color w:val="auto"/>
              </w:rPr>
              <w:t>7,829,513</w:t>
            </w:r>
          </w:p>
        </w:tc>
        <w:tc>
          <w:tcPr>
            <w:tcW w:w="0" w:type="dxa"/>
            <w:vAlign w:val="bottom"/>
          </w:tcPr>
          <w:p>
            <w:pPr>
              <w:spacing w:after="0"/>
              <w:rPr>
                <w:sz w:val="1"/>
                <w:szCs w:val="1"/>
                <w:color w:val="auto"/>
              </w:rPr>
            </w:pPr>
          </w:p>
        </w:tc>
      </w:tr>
      <w:tr>
        <w:trPr>
          <w:trHeight w:val="79"/>
        </w:trPr>
        <w:tc>
          <w:tcPr>
            <w:tcW w:w="2300" w:type="dxa"/>
            <w:vAlign w:val="bottom"/>
            <w:tcBorders>
              <w:bottom w:val="single" w:sz="8" w:color="E3E6F4"/>
            </w:tcBorders>
            <w:vMerge w:val="restart"/>
            <w:shd w:val="clear" w:color="auto" w:fill="E3E6F4"/>
          </w:tcPr>
          <w:p>
            <w:pPr>
              <w:ind w:left="40"/>
              <w:spacing w:after="0" w:line="135" w:lineRule="exact"/>
              <w:rPr>
                <w:sz w:val="20"/>
                <w:szCs w:val="20"/>
                <w:color w:val="auto"/>
              </w:rPr>
            </w:pPr>
            <w:r>
              <w:rPr>
                <w:rFonts w:ascii="Arial" w:cs="Arial" w:eastAsia="Arial" w:hAnsi="Arial"/>
                <w:sz w:val="12"/>
                <w:szCs w:val="12"/>
                <w:b w:val="1"/>
                <w:bCs w:val="1"/>
                <w:color w:val="auto"/>
              </w:rPr>
              <w:t>Manager, Industrial Operations and</w:t>
            </w:r>
          </w:p>
        </w:tc>
        <w:tc>
          <w:tcPr>
            <w:tcW w:w="160" w:type="dxa"/>
            <w:vAlign w:val="bottom"/>
            <w:tcBorders>
              <w:bottom w:val="single" w:sz="8" w:color="58585A"/>
            </w:tcBorders>
            <w:shd w:val="clear" w:color="auto" w:fill="E3E6F4"/>
          </w:tcPr>
          <w:p>
            <w:pPr>
              <w:spacing w:after="0"/>
              <w:rPr>
                <w:sz w:val="6"/>
                <w:szCs w:val="6"/>
                <w:color w:val="auto"/>
              </w:rPr>
            </w:pPr>
          </w:p>
        </w:tc>
        <w:tc>
          <w:tcPr>
            <w:tcW w:w="380" w:type="dxa"/>
            <w:vAlign w:val="bottom"/>
            <w:tcBorders>
              <w:bottom w:val="single" w:sz="8" w:color="58585A"/>
            </w:tcBorders>
            <w:vMerge w:val="continue"/>
            <w:shd w:val="clear" w:color="auto" w:fill="E3E6F4"/>
          </w:tcPr>
          <w:p>
            <w:pPr>
              <w:spacing w:after="0"/>
              <w:rPr>
                <w:sz w:val="6"/>
                <w:szCs w:val="6"/>
                <w:color w:val="auto"/>
              </w:rPr>
            </w:pPr>
          </w:p>
        </w:tc>
        <w:tc>
          <w:tcPr>
            <w:tcW w:w="800" w:type="dxa"/>
            <w:vAlign w:val="bottom"/>
            <w:tcBorders>
              <w:bottom w:val="single" w:sz="8" w:color="58585A"/>
            </w:tcBorders>
            <w:vMerge w:val="continue"/>
            <w:shd w:val="clear" w:color="auto" w:fill="E3E6F4"/>
          </w:tcPr>
          <w:p>
            <w:pPr>
              <w:spacing w:after="0"/>
              <w:rPr>
                <w:sz w:val="6"/>
                <w:szCs w:val="6"/>
                <w:color w:val="auto"/>
              </w:rPr>
            </w:pPr>
          </w:p>
        </w:tc>
        <w:tc>
          <w:tcPr>
            <w:tcW w:w="880" w:type="dxa"/>
            <w:vAlign w:val="bottom"/>
            <w:tcBorders>
              <w:bottom w:val="single" w:sz="8" w:color="58585A"/>
            </w:tcBorders>
            <w:vMerge w:val="continue"/>
            <w:shd w:val="clear" w:color="auto" w:fill="E3E6F4"/>
          </w:tcPr>
          <w:p>
            <w:pPr>
              <w:spacing w:after="0"/>
              <w:rPr>
                <w:sz w:val="6"/>
                <w:szCs w:val="6"/>
                <w:color w:val="auto"/>
              </w:rPr>
            </w:pPr>
          </w:p>
        </w:tc>
        <w:tc>
          <w:tcPr>
            <w:tcW w:w="940" w:type="dxa"/>
            <w:vAlign w:val="bottom"/>
            <w:tcBorders>
              <w:bottom w:val="single" w:sz="8" w:color="58585A"/>
            </w:tcBorders>
            <w:vMerge w:val="continue"/>
            <w:shd w:val="clear" w:color="auto" w:fill="E3E6F4"/>
          </w:tcPr>
          <w:p>
            <w:pPr>
              <w:spacing w:after="0"/>
              <w:rPr>
                <w:sz w:val="6"/>
                <w:szCs w:val="6"/>
                <w:color w:val="auto"/>
              </w:rPr>
            </w:pPr>
          </w:p>
        </w:tc>
        <w:tc>
          <w:tcPr>
            <w:tcW w:w="1020" w:type="dxa"/>
            <w:vAlign w:val="bottom"/>
            <w:tcBorders>
              <w:bottom w:val="single" w:sz="8" w:color="58585A"/>
            </w:tcBorders>
            <w:vMerge w:val="continue"/>
            <w:shd w:val="clear" w:color="auto" w:fill="E3E6F4"/>
          </w:tcPr>
          <w:p>
            <w:pPr>
              <w:spacing w:after="0"/>
              <w:rPr>
                <w:sz w:val="6"/>
                <w:szCs w:val="6"/>
                <w:color w:val="auto"/>
              </w:rPr>
            </w:pPr>
          </w:p>
        </w:tc>
        <w:tc>
          <w:tcPr>
            <w:tcW w:w="860" w:type="dxa"/>
            <w:vAlign w:val="bottom"/>
            <w:tcBorders>
              <w:bottom w:val="single" w:sz="8" w:color="58585A"/>
            </w:tcBorders>
            <w:vMerge w:val="continue"/>
            <w:shd w:val="clear" w:color="auto" w:fill="E3E6F4"/>
          </w:tcPr>
          <w:p>
            <w:pPr>
              <w:spacing w:after="0"/>
              <w:rPr>
                <w:sz w:val="6"/>
                <w:szCs w:val="6"/>
                <w:color w:val="auto"/>
              </w:rPr>
            </w:pPr>
          </w:p>
        </w:tc>
        <w:tc>
          <w:tcPr>
            <w:tcW w:w="760" w:type="dxa"/>
            <w:vAlign w:val="bottom"/>
            <w:tcBorders>
              <w:bottom w:val="single" w:sz="8" w:color="58585A"/>
            </w:tcBorders>
            <w:vMerge w:val="continue"/>
            <w:shd w:val="clear" w:color="auto" w:fill="E3E6F4"/>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300" w:type="dxa"/>
            <w:vAlign w:val="bottom"/>
            <w:vMerge w:val="continue"/>
            <w:shd w:val="clear" w:color="auto" w:fill="E3E6F4"/>
          </w:tcPr>
          <w:p>
            <w:pPr>
              <w:spacing w:after="0"/>
              <w:rPr>
                <w:sz w:val="3"/>
                <w:szCs w:val="3"/>
                <w:color w:val="auto"/>
              </w:rPr>
            </w:pPr>
          </w:p>
        </w:tc>
        <w:tc>
          <w:tcPr>
            <w:tcW w:w="160" w:type="dxa"/>
            <w:vAlign w:val="bottom"/>
            <w:shd w:val="clear" w:color="auto" w:fill="E3E6F4"/>
          </w:tcPr>
          <w:p>
            <w:pPr>
              <w:spacing w:after="0"/>
              <w:rPr>
                <w:sz w:val="3"/>
                <w:szCs w:val="3"/>
                <w:color w:val="auto"/>
              </w:rPr>
            </w:pPr>
          </w:p>
        </w:tc>
        <w:tc>
          <w:tcPr>
            <w:tcW w:w="380" w:type="dxa"/>
            <w:vAlign w:val="bottom"/>
            <w:shd w:val="clear" w:color="auto" w:fill="E3E6F4"/>
          </w:tcPr>
          <w:p>
            <w:pPr>
              <w:spacing w:after="0"/>
              <w:rPr>
                <w:sz w:val="3"/>
                <w:szCs w:val="3"/>
                <w:color w:val="auto"/>
              </w:rPr>
            </w:pPr>
          </w:p>
        </w:tc>
        <w:tc>
          <w:tcPr>
            <w:tcW w:w="800" w:type="dxa"/>
            <w:vAlign w:val="bottom"/>
            <w:shd w:val="clear" w:color="auto" w:fill="E3E6F4"/>
          </w:tcPr>
          <w:p>
            <w:pPr>
              <w:spacing w:after="0"/>
              <w:rPr>
                <w:sz w:val="3"/>
                <w:szCs w:val="3"/>
                <w:color w:val="auto"/>
              </w:rPr>
            </w:pPr>
          </w:p>
        </w:tc>
        <w:tc>
          <w:tcPr>
            <w:tcW w:w="880" w:type="dxa"/>
            <w:vAlign w:val="bottom"/>
            <w:shd w:val="clear" w:color="auto" w:fill="E3E6F4"/>
          </w:tcPr>
          <w:p>
            <w:pPr>
              <w:spacing w:after="0"/>
              <w:rPr>
                <w:sz w:val="3"/>
                <w:szCs w:val="3"/>
                <w:color w:val="auto"/>
              </w:rPr>
            </w:pPr>
          </w:p>
        </w:tc>
        <w:tc>
          <w:tcPr>
            <w:tcW w:w="940" w:type="dxa"/>
            <w:vAlign w:val="bottom"/>
            <w:shd w:val="clear" w:color="auto" w:fill="E3E6F4"/>
          </w:tcPr>
          <w:p>
            <w:pPr>
              <w:spacing w:after="0"/>
              <w:rPr>
                <w:sz w:val="3"/>
                <w:szCs w:val="3"/>
                <w:color w:val="auto"/>
              </w:rPr>
            </w:pPr>
          </w:p>
        </w:tc>
        <w:tc>
          <w:tcPr>
            <w:tcW w:w="1020" w:type="dxa"/>
            <w:vAlign w:val="bottom"/>
            <w:shd w:val="clear" w:color="auto" w:fill="E3E6F4"/>
          </w:tcPr>
          <w:p>
            <w:pPr>
              <w:spacing w:after="0"/>
              <w:rPr>
                <w:sz w:val="3"/>
                <w:szCs w:val="3"/>
                <w:color w:val="auto"/>
              </w:rPr>
            </w:pPr>
          </w:p>
        </w:tc>
        <w:tc>
          <w:tcPr>
            <w:tcW w:w="860" w:type="dxa"/>
            <w:vAlign w:val="bottom"/>
            <w:shd w:val="clear" w:color="auto" w:fill="E3E6F4"/>
          </w:tcPr>
          <w:p>
            <w:pPr>
              <w:spacing w:after="0"/>
              <w:rPr>
                <w:sz w:val="3"/>
                <w:szCs w:val="3"/>
                <w:color w:val="auto"/>
              </w:rPr>
            </w:pPr>
          </w:p>
        </w:tc>
        <w:tc>
          <w:tcPr>
            <w:tcW w:w="760" w:type="dxa"/>
            <w:vAlign w:val="bottom"/>
            <w:shd w:val="clear" w:color="auto" w:fill="E3E6F4"/>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7"/>
        </w:trPr>
        <w:tc>
          <w:tcPr>
            <w:tcW w:w="2300" w:type="dxa"/>
            <w:vAlign w:val="bottom"/>
            <w:tcBorders>
              <w:bottom w:val="single" w:sz="8" w:color="58585A"/>
            </w:tcBorders>
            <w:shd w:val="clear" w:color="auto" w:fill="E3E6F4"/>
          </w:tcPr>
          <w:p>
            <w:pPr>
              <w:ind w:left="40"/>
              <w:spacing w:after="0"/>
              <w:rPr>
                <w:sz w:val="20"/>
                <w:szCs w:val="20"/>
                <w:color w:val="auto"/>
              </w:rPr>
            </w:pPr>
            <w:r>
              <w:rPr>
                <w:rFonts w:ascii="Arial" w:cs="Arial" w:eastAsia="Arial" w:hAnsi="Arial"/>
                <w:sz w:val="12"/>
                <w:szCs w:val="12"/>
                <w:b w:val="1"/>
                <w:bCs w:val="1"/>
                <w:color w:val="auto"/>
              </w:rPr>
              <w:t>Product Supply</w:t>
            </w:r>
          </w:p>
        </w:tc>
        <w:tc>
          <w:tcPr>
            <w:tcW w:w="160" w:type="dxa"/>
            <w:vAlign w:val="bottom"/>
            <w:tcBorders>
              <w:bottom w:val="single" w:sz="8" w:color="58585A"/>
            </w:tcBorders>
            <w:shd w:val="clear" w:color="auto" w:fill="E3E6F4"/>
          </w:tcPr>
          <w:p>
            <w:pPr>
              <w:spacing w:after="0"/>
              <w:rPr>
                <w:sz w:val="12"/>
                <w:szCs w:val="12"/>
                <w:color w:val="auto"/>
              </w:rPr>
            </w:pPr>
          </w:p>
        </w:tc>
        <w:tc>
          <w:tcPr>
            <w:tcW w:w="380" w:type="dxa"/>
            <w:vAlign w:val="bottom"/>
            <w:tcBorders>
              <w:bottom w:val="single" w:sz="8" w:color="58585A"/>
            </w:tcBorders>
            <w:shd w:val="clear" w:color="auto" w:fill="E3E6F4"/>
          </w:tcPr>
          <w:p>
            <w:pPr>
              <w:jc w:val="right"/>
              <w:spacing w:after="0" w:line="147" w:lineRule="exact"/>
              <w:rPr>
                <w:sz w:val="20"/>
                <w:szCs w:val="20"/>
                <w:color w:val="auto"/>
              </w:rPr>
            </w:pPr>
            <w:r>
              <w:rPr>
                <w:rFonts w:ascii="Arial" w:cs="Arial" w:eastAsia="Arial" w:hAnsi="Arial"/>
                <w:sz w:val="13"/>
                <w:szCs w:val="13"/>
                <w:color w:val="auto"/>
              </w:rPr>
              <w:t>2018</w:t>
            </w:r>
          </w:p>
        </w:tc>
        <w:tc>
          <w:tcPr>
            <w:tcW w:w="800" w:type="dxa"/>
            <w:vAlign w:val="bottom"/>
            <w:tcBorders>
              <w:bottom w:val="single" w:sz="8" w:color="58585A"/>
            </w:tcBorders>
            <w:shd w:val="clear" w:color="auto" w:fill="E3E6F4"/>
          </w:tcPr>
          <w:p>
            <w:pPr>
              <w:jc w:val="right"/>
              <w:spacing w:after="0" w:line="147" w:lineRule="exact"/>
              <w:rPr>
                <w:sz w:val="20"/>
                <w:szCs w:val="20"/>
                <w:color w:val="auto"/>
              </w:rPr>
            </w:pPr>
            <w:r>
              <w:rPr>
                <w:rFonts w:ascii="Arial" w:cs="Arial" w:eastAsia="Arial" w:hAnsi="Arial"/>
                <w:sz w:val="13"/>
                <w:szCs w:val="13"/>
                <w:color w:val="auto"/>
              </w:rPr>
              <w:t>660,000</w:t>
            </w:r>
          </w:p>
        </w:tc>
        <w:tc>
          <w:tcPr>
            <w:tcW w:w="880" w:type="dxa"/>
            <w:vAlign w:val="bottom"/>
            <w:tcBorders>
              <w:bottom w:val="single" w:sz="8" w:color="58585A"/>
            </w:tcBorders>
            <w:shd w:val="clear" w:color="auto" w:fill="E3E6F4"/>
          </w:tcPr>
          <w:p>
            <w:pPr>
              <w:jc w:val="right"/>
              <w:ind w:right="15"/>
              <w:spacing w:after="0" w:line="147"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3E6F4"/>
          </w:tcPr>
          <w:p>
            <w:pPr>
              <w:jc w:val="right"/>
              <w:ind w:right="135"/>
              <w:spacing w:after="0" w:line="147" w:lineRule="exact"/>
              <w:rPr>
                <w:sz w:val="20"/>
                <w:szCs w:val="20"/>
                <w:color w:val="auto"/>
              </w:rPr>
            </w:pPr>
            <w:r>
              <w:rPr>
                <w:rFonts w:ascii="Arial" w:cs="Arial" w:eastAsia="Arial" w:hAnsi="Arial"/>
                <w:sz w:val="13"/>
                <w:szCs w:val="13"/>
                <w:color w:val="auto"/>
              </w:rPr>
              <w:t>7,650,147</w:t>
            </w:r>
          </w:p>
        </w:tc>
        <w:tc>
          <w:tcPr>
            <w:tcW w:w="1020" w:type="dxa"/>
            <w:vAlign w:val="bottom"/>
            <w:tcBorders>
              <w:bottom w:val="single" w:sz="8" w:color="58585A"/>
            </w:tcBorders>
            <w:shd w:val="clear" w:color="auto" w:fill="E3E6F4"/>
          </w:tcPr>
          <w:p>
            <w:pPr>
              <w:jc w:val="right"/>
              <w:ind w:right="175"/>
              <w:spacing w:after="0" w:line="147" w:lineRule="exact"/>
              <w:rPr>
                <w:sz w:val="20"/>
                <w:szCs w:val="20"/>
                <w:color w:val="auto"/>
              </w:rPr>
            </w:pPr>
            <w:r>
              <w:rPr>
                <w:rFonts w:ascii="Arial" w:cs="Arial" w:eastAsia="Arial" w:hAnsi="Arial"/>
                <w:sz w:val="13"/>
                <w:szCs w:val="13"/>
                <w:color w:val="auto"/>
              </w:rPr>
              <w:t>677,160</w:t>
            </w:r>
          </w:p>
        </w:tc>
        <w:tc>
          <w:tcPr>
            <w:tcW w:w="860" w:type="dxa"/>
            <w:vAlign w:val="bottom"/>
            <w:tcBorders>
              <w:bottom w:val="single" w:sz="8" w:color="58585A"/>
            </w:tcBorders>
            <w:shd w:val="clear" w:color="auto" w:fill="E3E6F4"/>
          </w:tcPr>
          <w:p>
            <w:pPr>
              <w:jc w:val="right"/>
              <w:ind w:right="78"/>
              <w:spacing w:after="0" w:line="147" w:lineRule="exact"/>
              <w:rPr>
                <w:sz w:val="20"/>
                <w:szCs w:val="20"/>
                <w:color w:val="auto"/>
              </w:rPr>
            </w:pPr>
            <w:r>
              <w:rPr>
                <w:rFonts w:ascii="Arial" w:cs="Arial" w:eastAsia="Arial" w:hAnsi="Arial"/>
                <w:sz w:val="13"/>
                <w:szCs w:val="13"/>
                <w:color w:val="auto"/>
              </w:rPr>
              <w:t>19,915</w:t>
            </w:r>
          </w:p>
        </w:tc>
        <w:tc>
          <w:tcPr>
            <w:tcW w:w="760" w:type="dxa"/>
            <w:vAlign w:val="bottom"/>
            <w:tcBorders>
              <w:bottom w:val="single" w:sz="8" w:color="58585A"/>
            </w:tcBorders>
            <w:shd w:val="clear" w:color="auto" w:fill="E3E6F4"/>
          </w:tcPr>
          <w:p>
            <w:pPr>
              <w:jc w:val="right"/>
              <w:spacing w:after="0" w:line="147" w:lineRule="exact"/>
              <w:rPr>
                <w:sz w:val="20"/>
                <w:szCs w:val="20"/>
                <w:color w:val="auto"/>
              </w:rPr>
            </w:pPr>
            <w:r>
              <w:rPr>
                <w:rFonts w:ascii="Arial" w:cs="Arial" w:eastAsia="Arial" w:hAnsi="Arial"/>
                <w:sz w:val="13"/>
                <w:szCs w:val="13"/>
                <w:color w:val="auto"/>
              </w:rPr>
              <w:t>9,007,222</w:t>
            </w:r>
          </w:p>
        </w:tc>
        <w:tc>
          <w:tcPr>
            <w:tcW w:w="0" w:type="dxa"/>
            <w:vAlign w:val="bottom"/>
          </w:tcPr>
          <w:p>
            <w:pPr>
              <w:spacing w:after="0"/>
              <w:rPr>
                <w:sz w:val="1"/>
                <w:szCs w:val="1"/>
                <w:color w:val="auto"/>
              </w:rPr>
            </w:pPr>
          </w:p>
        </w:tc>
      </w:tr>
      <w:tr>
        <w:trPr>
          <w:trHeight w:val="169"/>
        </w:trPr>
        <w:tc>
          <w:tcPr>
            <w:tcW w:w="2300" w:type="dxa"/>
            <w:vAlign w:val="bottom"/>
          </w:tcPr>
          <w:p>
            <w:pPr>
              <w:ind w:left="40"/>
              <w:spacing w:after="0"/>
              <w:rPr>
                <w:sz w:val="20"/>
                <w:szCs w:val="20"/>
                <w:color w:val="auto"/>
              </w:rPr>
            </w:pPr>
            <w:r>
              <w:rPr>
                <w:rFonts w:ascii="Arial" w:cs="Arial" w:eastAsia="Arial" w:hAnsi="Arial"/>
                <w:sz w:val="13"/>
                <w:szCs w:val="13"/>
                <w:b w:val="1"/>
                <w:bCs w:val="1"/>
                <w:color w:val="C44E5E"/>
              </w:rPr>
              <w:t>Andrew J. Murphy, Ph.D.</w:t>
            </w:r>
          </w:p>
        </w:tc>
        <w:tc>
          <w:tcPr>
            <w:tcW w:w="540" w:type="dxa"/>
            <w:vAlign w:val="bottom"/>
            <w:tcBorders>
              <w:bottom w:val="single" w:sz="8" w:color="58585A"/>
            </w:tcBorders>
            <w:gridSpan w:val="2"/>
          </w:tcPr>
          <w:p>
            <w:pPr>
              <w:jc w:val="right"/>
              <w:spacing w:after="0"/>
              <w:rPr>
                <w:sz w:val="20"/>
                <w:szCs w:val="20"/>
                <w:color w:val="auto"/>
              </w:rPr>
            </w:pPr>
            <w:r>
              <w:rPr>
                <w:rFonts w:ascii="Arial" w:cs="Arial" w:eastAsia="Arial" w:hAnsi="Arial"/>
                <w:sz w:val="13"/>
                <w:szCs w:val="13"/>
                <w:color w:val="auto"/>
              </w:rPr>
              <w:t>2020</w:t>
            </w:r>
          </w:p>
        </w:tc>
        <w:tc>
          <w:tcPr>
            <w:tcW w:w="80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726,923</w:t>
            </w:r>
          </w:p>
        </w:tc>
        <w:tc>
          <w:tcPr>
            <w:tcW w:w="88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5,025,288</w:t>
            </w:r>
          </w:p>
        </w:tc>
        <w:tc>
          <w:tcPr>
            <w:tcW w:w="940" w:type="dxa"/>
            <w:vAlign w:val="bottom"/>
            <w:tcBorders>
              <w:bottom w:val="single" w:sz="8" w:color="58585A"/>
            </w:tcBorders>
          </w:tcPr>
          <w:p>
            <w:pPr>
              <w:jc w:val="right"/>
              <w:ind w:right="135"/>
              <w:spacing w:after="0"/>
              <w:rPr>
                <w:sz w:val="20"/>
                <w:szCs w:val="20"/>
                <w:color w:val="auto"/>
              </w:rPr>
            </w:pPr>
            <w:r>
              <w:rPr>
                <w:rFonts w:ascii="Arial" w:cs="Arial" w:eastAsia="Arial" w:hAnsi="Arial"/>
                <w:sz w:val="13"/>
                <w:szCs w:val="13"/>
                <w:color w:val="auto"/>
              </w:rPr>
              <w:t>4,335,258</w:t>
            </w:r>
          </w:p>
        </w:tc>
        <w:tc>
          <w:tcPr>
            <w:tcW w:w="1020" w:type="dxa"/>
            <w:vAlign w:val="bottom"/>
            <w:tcBorders>
              <w:bottom w:val="single" w:sz="8" w:color="58585A"/>
            </w:tcBorders>
          </w:tcPr>
          <w:p>
            <w:pPr>
              <w:jc w:val="right"/>
              <w:ind w:right="175"/>
              <w:spacing w:after="0"/>
              <w:rPr>
                <w:sz w:val="20"/>
                <w:szCs w:val="20"/>
                <w:color w:val="auto"/>
              </w:rPr>
            </w:pPr>
            <w:r>
              <w:rPr>
                <w:rFonts w:ascii="Arial" w:cs="Arial" w:eastAsia="Arial" w:hAnsi="Arial"/>
                <w:sz w:val="13"/>
                <w:szCs w:val="13"/>
                <w:color w:val="auto"/>
              </w:rPr>
              <w:t>887,250</w:t>
            </w:r>
          </w:p>
        </w:tc>
        <w:tc>
          <w:tcPr>
            <w:tcW w:w="860" w:type="dxa"/>
            <w:vAlign w:val="bottom"/>
            <w:tcBorders>
              <w:bottom w:val="single" w:sz="8" w:color="58585A"/>
            </w:tcBorders>
          </w:tcPr>
          <w:p>
            <w:pPr>
              <w:jc w:val="right"/>
              <w:spacing w:after="0" w:line="169" w:lineRule="exact"/>
              <w:rPr>
                <w:sz w:val="20"/>
                <w:szCs w:val="20"/>
                <w:color w:val="auto"/>
              </w:rPr>
            </w:pPr>
            <w:r>
              <w:rPr>
                <w:rFonts w:ascii="Arial" w:cs="Arial" w:eastAsia="Arial" w:hAnsi="Arial"/>
                <w:sz w:val="12"/>
                <w:szCs w:val="12"/>
                <w:color w:val="auto"/>
              </w:rPr>
              <w:t>24,195</w:t>
            </w:r>
            <w:r>
              <w:rPr>
                <w:rFonts w:ascii="Arial" w:cs="Arial" w:eastAsia="Arial" w:hAnsi="Arial"/>
                <w:sz w:val="19"/>
                <w:szCs w:val="19"/>
                <w:color w:val="auto"/>
                <w:vertAlign w:val="superscript"/>
              </w:rPr>
              <w:t>10</w:t>
            </w:r>
          </w:p>
        </w:tc>
        <w:tc>
          <w:tcPr>
            <w:tcW w:w="7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10,998,914</w:t>
            </w:r>
          </w:p>
        </w:tc>
        <w:tc>
          <w:tcPr>
            <w:tcW w:w="0" w:type="dxa"/>
            <w:vAlign w:val="bottom"/>
          </w:tcPr>
          <w:p>
            <w:pPr>
              <w:spacing w:after="0"/>
              <w:rPr>
                <w:sz w:val="1"/>
                <w:szCs w:val="1"/>
                <w:color w:val="auto"/>
              </w:rPr>
            </w:pPr>
          </w:p>
        </w:tc>
      </w:tr>
      <w:tr>
        <w:trPr>
          <w:trHeight w:val="169"/>
        </w:trPr>
        <w:tc>
          <w:tcPr>
            <w:tcW w:w="2300" w:type="dxa"/>
            <w:vAlign w:val="bottom"/>
            <w:tcBorders>
              <w:bottom w:val="single" w:sz="8" w:color="1F5AA8"/>
            </w:tcBorders>
          </w:tcPr>
          <w:p>
            <w:pPr>
              <w:ind w:left="40"/>
              <w:spacing w:after="0" w:line="169" w:lineRule="exact"/>
              <w:rPr>
                <w:sz w:val="20"/>
                <w:szCs w:val="20"/>
                <w:color w:val="auto"/>
              </w:rPr>
            </w:pPr>
            <w:r>
              <w:rPr>
                <w:rFonts w:ascii="Arial" w:cs="Arial" w:eastAsia="Arial" w:hAnsi="Arial"/>
                <w:sz w:val="12"/>
                <w:szCs w:val="12"/>
                <w:b w:val="1"/>
                <w:bCs w:val="1"/>
                <w:color w:val="auto"/>
              </w:rPr>
              <w:t>Executive Vice President, Research</w:t>
            </w:r>
            <w:r>
              <w:rPr>
                <w:rFonts w:ascii="Arial" w:cs="Arial" w:eastAsia="Arial" w:hAnsi="Arial"/>
                <w:sz w:val="19"/>
                <w:szCs w:val="19"/>
                <w:b w:val="1"/>
                <w:bCs w:val="1"/>
                <w:color w:val="auto"/>
                <w:vertAlign w:val="superscript"/>
              </w:rPr>
              <w:t>9</w:t>
            </w:r>
          </w:p>
        </w:tc>
        <w:tc>
          <w:tcPr>
            <w:tcW w:w="540" w:type="dxa"/>
            <w:vAlign w:val="bottom"/>
            <w:tcBorders>
              <w:bottom w:val="single" w:sz="8" w:color="1F5AA8"/>
            </w:tcBorders>
            <w:gridSpan w:val="2"/>
          </w:tcPr>
          <w:p>
            <w:pPr>
              <w:jc w:val="right"/>
              <w:spacing w:after="0"/>
              <w:rPr>
                <w:sz w:val="20"/>
                <w:szCs w:val="20"/>
                <w:color w:val="auto"/>
              </w:rPr>
            </w:pPr>
            <w:r>
              <w:rPr>
                <w:rFonts w:ascii="Arial" w:cs="Arial" w:eastAsia="Arial" w:hAnsi="Arial"/>
                <w:sz w:val="13"/>
                <w:szCs w:val="13"/>
                <w:color w:val="auto"/>
              </w:rPr>
              <w:t>2019</w:t>
            </w:r>
          </w:p>
        </w:tc>
        <w:tc>
          <w:tcPr>
            <w:tcW w:w="800" w:type="dxa"/>
            <w:vAlign w:val="bottom"/>
            <w:tcBorders>
              <w:bottom w:val="single" w:sz="8" w:color="1F5AA8"/>
            </w:tcBorders>
          </w:tcPr>
          <w:p>
            <w:pPr>
              <w:jc w:val="right"/>
              <w:spacing w:after="0"/>
              <w:rPr>
                <w:sz w:val="20"/>
                <w:szCs w:val="20"/>
                <w:color w:val="auto"/>
              </w:rPr>
            </w:pPr>
            <w:r>
              <w:rPr>
                <w:rFonts w:ascii="Arial" w:cs="Arial" w:eastAsia="Arial" w:hAnsi="Arial"/>
                <w:sz w:val="13"/>
                <w:szCs w:val="13"/>
                <w:color w:val="auto"/>
              </w:rPr>
              <w:t>600,000</w:t>
            </w:r>
          </w:p>
        </w:tc>
        <w:tc>
          <w:tcPr>
            <w:tcW w:w="880" w:type="dxa"/>
            <w:vAlign w:val="bottom"/>
            <w:tcBorders>
              <w:bottom w:val="single" w:sz="8" w:color="1F5AA8"/>
            </w:tcBorders>
          </w:tcPr>
          <w:p>
            <w:pPr>
              <w:jc w:val="right"/>
              <w:ind w:right="15"/>
              <w:spacing w:after="0"/>
              <w:rPr>
                <w:sz w:val="20"/>
                <w:szCs w:val="20"/>
                <w:color w:val="auto"/>
              </w:rPr>
            </w:pPr>
            <w:r>
              <w:rPr>
                <w:rFonts w:ascii="Arial" w:cs="Arial" w:eastAsia="Arial" w:hAnsi="Arial"/>
                <w:sz w:val="13"/>
                <w:szCs w:val="13"/>
                <w:color w:val="auto"/>
              </w:rPr>
              <w:t>4,702,308</w:t>
            </w:r>
          </w:p>
        </w:tc>
        <w:tc>
          <w:tcPr>
            <w:tcW w:w="940" w:type="dxa"/>
            <w:vAlign w:val="bottom"/>
            <w:tcBorders>
              <w:bottom w:val="single" w:sz="8" w:color="1F5AA8"/>
            </w:tcBorders>
          </w:tcPr>
          <w:p>
            <w:pPr>
              <w:jc w:val="right"/>
              <w:ind w:right="135"/>
              <w:spacing w:after="0"/>
              <w:rPr>
                <w:sz w:val="20"/>
                <w:szCs w:val="20"/>
                <w:color w:val="auto"/>
              </w:rPr>
            </w:pPr>
            <w:r>
              <w:rPr>
                <w:rFonts w:ascii="Arial" w:cs="Arial" w:eastAsia="Arial" w:hAnsi="Arial"/>
                <w:sz w:val="13"/>
                <w:szCs w:val="13"/>
                <w:color w:val="auto"/>
              </w:rPr>
              <w:t>3,526,669</w:t>
            </w:r>
          </w:p>
        </w:tc>
        <w:tc>
          <w:tcPr>
            <w:tcW w:w="1020" w:type="dxa"/>
            <w:vAlign w:val="bottom"/>
            <w:tcBorders>
              <w:bottom w:val="single" w:sz="8" w:color="1F5AA8"/>
            </w:tcBorders>
          </w:tcPr>
          <w:p>
            <w:pPr>
              <w:jc w:val="right"/>
              <w:ind w:right="175"/>
              <w:spacing w:after="0"/>
              <w:rPr>
                <w:sz w:val="20"/>
                <w:szCs w:val="20"/>
                <w:color w:val="auto"/>
              </w:rPr>
            </w:pPr>
            <w:r>
              <w:rPr>
                <w:rFonts w:ascii="Arial" w:cs="Arial" w:eastAsia="Arial" w:hAnsi="Arial"/>
                <w:sz w:val="13"/>
                <w:szCs w:val="13"/>
                <w:color w:val="auto"/>
              </w:rPr>
              <w:t>666,900</w:t>
            </w:r>
          </w:p>
        </w:tc>
        <w:tc>
          <w:tcPr>
            <w:tcW w:w="860" w:type="dxa"/>
            <w:vAlign w:val="bottom"/>
            <w:tcBorders>
              <w:bottom w:val="single" w:sz="8" w:color="1F5AA8"/>
            </w:tcBorders>
          </w:tcPr>
          <w:p>
            <w:pPr>
              <w:jc w:val="right"/>
              <w:ind w:right="78"/>
              <w:spacing w:after="0"/>
              <w:rPr>
                <w:sz w:val="20"/>
                <w:szCs w:val="20"/>
                <w:color w:val="auto"/>
              </w:rPr>
            </w:pPr>
            <w:r>
              <w:rPr>
                <w:rFonts w:ascii="Arial" w:cs="Arial" w:eastAsia="Arial" w:hAnsi="Arial"/>
                <w:sz w:val="13"/>
                <w:szCs w:val="13"/>
                <w:color w:val="auto"/>
              </w:rPr>
              <w:t>23,470</w:t>
            </w:r>
          </w:p>
        </w:tc>
        <w:tc>
          <w:tcPr>
            <w:tcW w:w="760" w:type="dxa"/>
            <w:vAlign w:val="bottom"/>
            <w:tcBorders>
              <w:bottom w:val="single" w:sz="8" w:color="1F5AA8"/>
            </w:tcBorders>
          </w:tcPr>
          <w:p>
            <w:pPr>
              <w:jc w:val="right"/>
              <w:spacing w:after="0"/>
              <w:rPr>
                <w:sz w:val="20"/>
                <w:szCs w:val="20"/>
                <w:color w:val="auto"/>
              </w:rPr>
            </w:pPr>
            <w:r>
              <w:rPr>
                <w:rFonts w:ascii="Arial" w:cs="Arial" w:eastAsia="Arial" w:hAnsi="Arial"/>
                <w:sz w:val="13"/>
                <w:szCs w:val="13"/>
                <w:color w:val="auto"/>
              </w:rPr>
              <w:t>9,519,347</w:t>
            </w: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7" w:lineRule="exact"/>
        <w:rPr>
          <w:sz w:val="20"/>
          <w:szCs w:val="20"/>
          <w:color w:val="auto"/>
        </w:rPr>
      </w:pPr>
    </w:p>
    <w:p>
      <w:pPr>
        <w:ind w:left="1740" w:right="120" w:hanging="166"/>
        <w:spacing w:after="0" w:line="213" w:lineRule="auto"/>
        <w:tabs>
          <w:tab w:leader="none" w:pos="1740" w:val="left"/>
        </w:tabs>
        <w:numPr>
          <w:ilvl w:val="0"/>
          <w:numId w:val="117"/>
        </w:numPr>
        <w:rPr>
          <w:rFonts w:ascii="Arial" w:cs="Arial" w:eastAsia="Arial" w:hAnsi="Arial"/>
          <w:sz w:val="27"/>
          <w:szCs w:val="27"/>
          <w:b w:val="1"/>
          <w:bCs w:val="1"/>
          <w:color w:val="205BA8"/>
          <w:vertAlign w:val="superscript"/>
        </w:rPr>
      </w:pPr>
      <w:r>
        <w:rPr>
          <w:rFonts w:ascii="Arial" w:cs="Arial" w:eastAsia="Arial" w:hAnsi="Arial"/>
          <w:sz w:val="13"/>
          <w:szCs w:val="13"/>
          <w:color w:val="auto"/>
        </w:rPr>
        <w:t>The reported salary amounts for 2020 give effect to a 27</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pay period in 2020 as a result of the Company’s payroll schedule, which was accelerated to avoid a delayed funds disbursement. This resulted in each NEO receiving one additional paycheck in 2020 based on the base salaries then in effect, as shown in the subsection “Compensation Discussion and Analysis—Components of Executive Pay:</w:t>
      </w:r>
    </w:p>
    <w:p>
      <w:pPr>
        <w:ind w:left="1740"/>
        <w:spacing w:after="0"/>
        <w:rPr>
          <w:sz w:val="20"/>
          <w:szCs w:val="20"/>
          <w:color w:val="auto"/>
        </w:rPr>
      </w:pPr>
      <w:r>
        <w:rPr>
          <w:rFonts w:ascii="Arial" w:cs="Arial" w:eastAsia="Arial" w:hAnsi="Arial"/>
          <w:sz w:val="13"/>
          <w:szCs w:val="13"/>
          <w:color w:val="auto"/>
        </w:rPr>
        <w:t>What We Pay and Why We Pay It—Base Salaries.”</w:t>
      </w:r>
    </w:p>
    <w:p>
      <w:pPr>
        <w:ind w:left="1740" w:hanging="166"/>
        <w:spacing w:after="0" w:line="238" w:lineRule="auto"/>
        <w:tabs>
          <w:tab w:leader="none" w:pos="1740" w:val="left"/>
        </w:tabs>
        <w:numPr>
          <w:ilvl w:val="0"/>
          <w:numId w:val="118"/>
        </w:numPr>
        <w:rPr>
          <w:rFonts w:ascii="Arial" w:cs="Arial" w:eastAsia="Arial" w:hAnsi="Arial"/>
          <w:sz w:val="13"/>
          <w:szCs w:val="13"/>
          <w:b w:val="1"/>
          <w:bCs w:val="1"/>
          <w:color w:val="205BA8"/>
        </w:rPr>
      </w:pPr>
      <w:r>
        <w:rPr>
          <w:rFonts w:ascii="Arial" w:cs="Arial" w:eastAsia="Arial" w:hAnsi="Arial"/>
          <w:sz w:val="13"/>
          <w:szCs w:val="13"/>
          <w:color w:val="auto"/>
        </w:rPr>
        <w:t>The amounts in columns E and F reflect the respective aggregate grant date fair values (disregarding estimated forfeitures) of PSUs or RSAs (as applicable) and stock option awards granted in 2020, 2019, and 2018, respectively, pursuant to the Second Amended and Restated Regeneron Pharmaceuticals, Inc. 2014 Long-Term Incentive Plan or its predecessor. Valuation assumptions and methodologies used in the calculation of these amounts are included in Note 12 to the Company’s audited financial statements for the fiscal year ended December 31, 2020</w:t>
      </w:r>
    </w:p>
    <w:p>
      <w:pPr>
        <w:spacing w:after="0" w:line="2" w:lineRule="exact"/>
        <w:rPr>
          <w:sz w:val="20"/>
          <w:szCs w:val="20"/>
          <w:color w:val="auto"/>
        </w:rPr>
      </w:pPr>
    </w:p>
    <w:p>
      <w:pPr>
        <w:jc w:val="center"/>
        <w:ind w:left="300"/>
        <w:spacing w:after="0"/>
        <w:rPr>
          <w:sz w:val="20"/>
          <w:szCs w:val="20"/>
          <w:color w:val="auto"/>
        </w:rPr>
      </w:pPr>
      <w:r>
        <w:rPr>
          <w:rFonts w:ascii="Arial" w:cs="Arial" w:eastAsia="Arial" w:hAnsi="Arial"/>
          <w:sz w:val="13"/>
          <w:szCs w:val="13"/>
          <w:color w:val="auto"/>
        </w:rPr>
        <w:t>included in the 2020 Annual Report.</w:t>
      </w:r>
    </w:p>
    <w:p>
      <w:pPr>
        <w:ind w:left="1740" w:hanging="166"/>
        <w:spacing w:after="0" w:line="238" w:lineRule="auto"/>
        <w:tabs>
          <w:tab w:leader="none" w:pos="1740" w:val="left"/>
        </w:tabs>
        <w:numPr>
          <w:ilvl w:val="0"/>
          <w:numId w:val="119"/>
        </w:numPr>
        <w:rPr>
          <w:rFonts w:ascii="Arial" w:cs="Arial" w:eastAsia="Arial" w:hAnsi="Arial"/>
          <w:sz w:val="13"/>
          <w:szCs w:val="13"/>
          <w:b w:val="1"/>
          <w:bCs w:val="1"/>
          <w:color w:val="205BA8"/>
        </w:rPr>
      </w:pPr>
      <w:r>
        <w:rPr>
          <w:rFonts w:ascii="Arial" w:cs="Arial" w:eastAsia="Arial" w:hAnsi="Arial"/>
          <w:sz w:val="13"/>
          <w:szCs w:val="13"/>
          <w:color w:val="auto"/>
        </w:rPr>
        <w:t>Non-equity incentive plan compensation amounts (consisting of cash incentives paid to the NEOs in respect of the relevant year under the Regeneron Pharmaceuticals,</w:t>
      </w:r>
    </w:p>
    <w:p>
      <w:pPr>
        <w:spacing w:after="0" w:line="1" w:lineRule="exact"/>
        <w:rPr>
          <w:sz w:val="20"/>
          <w:szCs w:val="20"/>
          <w:color w:val="auto"/>
        </w:rPr>
      </w:pPr>
    </w:p>
    <w:p>
      <w:pPr>
        <w:ind w:left="1740" w:right="200"/>
        <w:spacing w:after="0" w:line="238" w:lineRule="auto"/>
        <w:rPr>
          <w:sz w:val="20"/>
          <w:szCs w:val="20"/>
          <w:color w:val="auto"/>
        </w:rPr>
      </w:pPr>
      <w:r>
        <w:rPr>
          <w:rFonts w:ascii="Arial" w:cs="Arial" w:eastAsia="Arial" w:hAnsi="Arial"/>
          <w:sz w:val="13"/>
          <w:szCs w:val="13"/>
          <w:color w:val="auto"/>
        </w:rPr>
        <w:t>Inc. Cash Incentive Bonus Plan) are shown in the year in which they were accrued and earned.</w:t>
      </w:r>
    </w:p>
    <w:p>
      <w:pPr>
        <w:spacing w:after="0" w:line="1" w:lineRule="exact"/>
        <w:rPr>
          <w:sz w:val="20"/>
          <w:szCs w:val="20"/>
          <w:color w:val="auto"/>
        </w:rPr>
      </w:pPr>
    </w:p>
    <w:p>
      <w:pPr>
        <w:ind w:left="1740" w:hanging="166"/>
        <w:spacing w:after="0" w:line="241" w:lineRule="auto"/>
        <w:tabs>
          <w:tab w:leader="none" w:pos="1740" w:val="left"/>
        </w:tabs>
        <w:numPr>
          <w:ilvl w:val="0"/>
          <w:numId w:val="120"/>
        </w:numPr>
        <w:rPr>
          <w:rFonts w:ascii="Arial" w:cs="Arial" w:eastAsia="Arial" w:hAnsi="Arial"/>
          <w:sz w:val="13"/>
          <w:szCs w:val="13"/>
          <w:b w:val="1"/>
          <w:bCs w:val="1"/>
          <w:color w:val="205BA8"/>
        </w:rPr>
      </w:pPr>
      <w:r>
        <w:rPr>
          <w:rFonts w:ascii="Arial" w:cs="Arial" w:eastAsia="Arial" w:hAnsi="Arial"/>
          <w:sz w:val="13"/>
          <w:szCs w:val="13"/>
          <w:color w:val="auto"/>
        </w:rPr>
        <w:t>See the subsection “Additional Compensation Information— Perquisites and Personal Benefits” below for further information. Certain 2020 perquisites and other personal benefits are quantified for each of the NEOs in the footnotes to this table below based on the actual additional cost incurred by us in providing the perquisite or other personal benefit.</w:t>
      </w:r>
    </w:p>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00AEEF"/>
        </w:rPr>
        <w:t>84</w:t>
        <w:tab/>
        <w:t>/</w:t>
      </w:r>
    </w:p>
    <w:p>
      <w:pPr>
        <w:spacing w:after="0" w:line="20" w:lineRule="exact"/>
        <w:rPr>
          <w:sz w:val="20"/>
          <w:szCs w:val="20"/>
          <w:color w:val="auto"/>
        </w:rPr>
      </w:pPr>
      <w:r>
        <w:rPr>
          <w:sz w:val="20"/>
          <w:szCs w:val="20"/>
          <w:color w:val="auto"/>
        </w:rPr>
        <w:br w:type="column"/>
      </w:r>
    </w:p>
    <w:p>
      <w:pPr>
        <w:ind w:left="180" w:right="1900" w:hanging="176"/>
        <w:spacing w:after="0" w:line="238" w:lineRule="auto"/>
        <w:tabs>
          <w:tab w:leader="none" w:pos="180" w:val="left"/>
        </w:tabs>
        <w:numPr>
          <w:ilvl w:val="0"/>
          <w:numId w:val="121"/>
        </w:numPr>
        <w:rPr>
          <w:rFonts w:ascii="Arial" w:cs="Arial" w:eastAsia="Arial" w:hAnsi="Arial"/>
          <w:sz w:val="13"/>
          <w:szCs w:val="13"/>
          <w:b w:val="1"/>
          <w:bCs w:val="1"/>
          <w:color w:val="205BA8"/>
        </w:rPr>
      </w:pPr>
      <w:r>
        <w:rPr>
          <w:rFonts w:ascii="Arial" w:cs="Arial" w:eastAsia="Arial" w:hAnsi="Arial"/>
          <w:sz w:val="13"/>
          <w:szCs w:val="13"/>
          <w:color w:val="auto"/>
        </w:rPr>
        <w:t>Consists of (i) $20,724 for life insurance premiums, (ii) $39,991 for long-term disability insurance premiums, (iii) $28,178 for medical malpractice insurance premiums,</w:t>
      </w:r>
    </w:p>
    <w:p>
      <w:pPr>
        <w:ind w:left="180" w:right="1680"/>
        <w:spacing w:after="0" w:line="238" w:lineRule="auto"/>
        <w:rPr>
          <w:rFonts w:ascii="Arial" w:cs="Arial" w:eastAsia="Arial" w:hAnsi="Arial"/>
          <w:sz w:val="13"/>
          <w:szCs w:val="13"/>
          <w:b w:val="1"/>
          <w:bCs w:val="1"/>
          <w:color w:val="205BA8"/>
        </w:rPr>
      </w:pPr>
      <w:r>
        <w:rPr>
          <w:rFonts w:ascii="Arial" w:cs="Arial" w:eastAsia="Arial" w:hAnsi="Arial"/>
          <w:sz w:val="13"/>
          <w:szCs w:val="13"/>
          <w:color w:val="auto"/>
        </w:rPr>
        <w:t>(iv) $13,000 for 401(k) Savings Plan matching contributions in respect of 2020, (v) $11,195 for tax and financial planning advisory services, and (vi) $126,199 and $62,969 for personal use of Company-provided aircraft and secure car transportation/personal and residential security services, respectively, in each case in accordance with our security policy (calculated as described in the subsection “Additional</w:t>
      </w:r>
    </w:p>
    <w:p>
      <w:pPr>
        <w:spacing w:after="0" w:line="2" w:lineRule="exact"/>
        <w:rPr>
          <w:sz w:val="20"/>
          <w:szCs w:val="20"/>
          <w:color w:val="auto"/>
        </w:rPr>
      </w:pPr>
    </w:p>
    <w:p>
      <w:pPr>
        <w:ind w:left="180" w:right="2040"/>
        <w:spacing w:after="0" w:line="238" w:lineRule="auto"/>
        <w:rPr>
          <w:sz w:val="20"/>
          <w:szCs w:val="20"/>
          <w:color w:val="auto"/>
        </w:rPr>
      </w:pPr>
      <w:r>
        <w:rPr>
          <w:rFonts w:ascii="Arial" w:cs="Arial" w:eastAsia="Arial" w:hAnsi="Arial"/>
          <w:sz w:val="13"/>
          <w:szCs w:val="13"/>
          <w:color w:val="auto"/>
        </w:rPr>
        <w:t>Compensation Information—Perquisites and Personal Benefits” below).</w:t>
      </w:r>
    </w:p>
    <w:p>
      <w:pPr>
        <w:spacing w:after="0" w:line="1" w:lineRule="exact"/>
        <w:rPr>
          <w:sz w:val="20"/>
          <w:szCs w:val="20"/>
          <w:color w:val="auto"/>
        </w:rPr>
      </w:pPr>
    </w:p>
    <w:p>
      <w:pPr>
        <w:ind w:left="180" w:right="1720" w:hanging="176"/>
        <w:spacing w:after="0" w:line="238" w:lineRule="auto"/>
        <w:tabs>
          <w:tab w:leader="none" w:pos="180" w:val="left"/>
        </w:tabs>
        <w:numPr>
          <w:ilvl w:val="0"/>
          <w:numId w:val="122"/>
        </w:numPr>
        <w:rPr>
          <w:rFonts w:ascii="Arial" w:cs="Arial" w:eastAsia="Arial" w:hAnsi="Arial"/>
          <w:sz w:val="13"/>
          <w:szCs w:val="13"/>
          <w:b w:val="1"/>
          <w:bCs w:val="1"/>
          <w:color w:val="205BA8"/>
        </w:rPr>
      </w:pPr>
      <w:r>
        <w:rPr>
          <w:rFonts w:ascii="Arial" w:cs="Arial" w:eastAsia="Arial" w:hAnsi="Arial"/>
          <w:sz w:val="13"/>
          <w:szCs w:val="13"/>
          <w:color w:val="auto"/>
        </w:rPr>
        <w:t>Consists of (i) $13,000 for 401(k) Savings Plan matching contributions in respect of 2020, (ii) $11,195 for tax and financial planning advisory services, and (iii) $41,099 and $55,506 for personal use of Company-provided aircraft and secure car transportation/personal and residential security services, respectively, in each case in accordance with our</w:t>
      </w:r>
    </w:p>
    <w:p>
      <w:pPr>
        <w:spacing w:after="0" w:line="2" w:lineRule="exact"/>
        <w:rPr>
          <w:sz w:val="20"/>
          <w:szCs w:val="20"/>
          <w:color w:val="auto"/>
        </w:rPr>
      </w:pPr>
    </w:p>
    <w:p>
      <w:pPr>
        <w:jc w:val="both"/>
        <w:ind w:left="180" w:right="1860"/>
        <w:spacing w:after="0" w:line="238" w:lineRule="auto"/>
        <w:rPr>
          <w:sz w:val="20"/>
          <w:szCs w:val="20"/>
          <w:color w:val="auto"/>
        </w:rPr>
      </w:pPr>
      <w:r>
        <w:rPr>
          <w:rFonts w:ascii="Arial" w:cs="Arial" w:eastAsia="Arial" w:hAnsi="Arial"/>
          <w:sz w:val="13"/>
          <w:szCs w:val="13"/>
          <w:color w:val="auto"/>
        </w:rPr>
        <w:t>security policy (calculated as described in the subsection “Additional Compensation Information—Perquisites and Personal Benefits” below).</w:t>
      </w:r>
    </w:p>
    <w:p>
      <w:pPr>
        <w:spacing w:after="0" w:line="1" w:lineRule="exact"/>
        <w:rPr>
          <w:sz w:val="20"/>
          <w:szCs w:val="20"/>
          <w:color w:val="auto"/>
        </w:rPr>
      </w:pPr>
    </w:p>
    <w:p>
      <w:pPr>
        <w:ind w:left="180" w:right="1740" w:hanging="176"/>
        <w:spacing w:after="0" w:line="238" w:lineRule="auto"/>
        <w:tabs>
          <w:tab w:leader="none" w:pos="180" w:val="left"/>
        </w:tabs>
        <w:numPr>
          <w:ilvl w:val="0"/>
          <w:numId w:val="123"/>
        </w:numPr>
        <w:rPr>
          <w:rFonts w:ascii="Arial" w:cs="Arial" w:eastAsia="Arial" w:hAnsi="Arial"/>
          <w:sz w:val="13"/>
          <w:szCs w:val="13"/>
          <w:b w:val="1"/>
          <w:bCs w:val="1"/>
          <w:color w:val="205BA8"/>
        </w:rPr>
      </w:pPr>
      <w:r>
        <w:rPr>
          <w:rFonts w:ascii="Arial" w:cs="Arial" w:eastAsia="Arial" w:hAnsi="Arial"/>
          <w:sz w:val="13"/>
          <w:szCs w:val="13"/>
          <w:color w:val="auto"/>
        </w:rPr>
        <w:t>Consists of (i) $13,000 for 401(k) Savings Plan matching contributions in respect of 2020 and (ii) $11,195 for tax and financial planning advisory services.</w:t>
      </w:r>
    </w:p>
    <w:p>
      <w:pPr>
        <w:spacing w:after="0" w:line="1" w:lineRule="exact"/>
        <w:rPr>
          <w:sz w:val="20"/>
          <w:szCs w:val="20"/>
          <w:color w:val="auto"/>
        </w:rPr>
      </w:pPr>
    </w:p>
    <w:p>
      <w:pPr>
        <w:ind w:left="180" w:right="1740" w:hanging="176"/>
        <w:spacing w:after="0" w:line="238" w:lineRule="auto"/>
        <w:tabs>
          <w:tab w:leader="none" w:pos="180" w:val="left"/>
        </w:tabs>
        <w:numPr>
          <w:ilvl w:val="0"/>
          <w:numId w:val="124"/>
        </w:numPr>
        <w:rPr>
          <w:rFonts w:ascii="Arial" w:cs="Arial" w:eastAsia="Arial" w:hAnsi="Arial"/>
          <w:sz w:val="13"/>
          <w:szCs w:val="13"/>
          <w:b w:val="1"/>
          <w:bCs w:val="1"/>
          <w:color w:val="205BA8"/>
        </w:rPr>
      </w:pPr>
      <w:r>
        <w:rPr>
          <w:rFonts w:ascii="Arial" w:cs="Arial" w:eastAsia="Arial" w:hAnsi="Arial"/>
          <w:sz w:val="13"/>
          <w:szCs w:val="13"/>
          <w:color w:val="auto"/>
        </w:rPr>
        <w:t>Consists of (i) $9,750 for 401(k) Savings Plan matching contributions in respect of 2020 and (ii) $11,195 for tax and financial planning advisory services.</w:t>
      </w:r>
    </w:p>
    <w:p>
      <w:pPr>
        <w:ind w:left="180" w:hanging="176"/>
        <w:spacing w:after="0"/>
        <w:tabs>
          <w:tab w:leader="none" w:pos="180" w:val="left"/>
        </w:tabs>
        <w:numPr>
          <w:ilvl w:val="0"/>
          <w:numId w:val="125"/>
        </w:numPr>
        <w:rPr>
          <w:rFonts w:ascii="Arial" w:cs="Arial" w:eastAsia="Arial" w:hAnsi="Arial"/>
          <w:sz w:val="13"/>
          <w:szCs w:val="13"/>
          <w:b w:val="1"/>
          <w:bCs w:val="1"/>
          <w:color w:val="205BA8"/>
        </w:rPr>
      </w:pPr>
      <w:r>
        <w:rPr>
          <w:rFonts w:ascii="Arial" w:cs="Arial" w:eastAsia="Arial" w:hAnsi="Arial"/>
          <w:sz w:val="13"/>
          <w:szCs w:val="13"/>
          <w:color w:val="auto"/>
        </w:rPr>
        <w:t>Dr. Murphy qualified as an NEO for 2020 and 2019 but not</w:t>
      </w:r>
    </w:p>
    <w:p>
      <w:pPr>
        <w:ind w:left="180"/>
        <w:spacing w:after="0"/>
        <w:rPr>
          <w:sz w:val="20"/>
          <w:szCs w:val="20"/>
          <w:color w:val="auto"/>
        </w:rPr>
      </w:pPr>
      <w:r>
        <w:rPr>
          <w:rFonts w:ascii="Arial" w:cs="Arial" w:eastAsia="Arial" w:hAnsi="Arial"/>
          <w:sz w:val="13"/>
          <w:szCs w:val="13"/>
          <w:color w:val="auto"/>
        </w:rPr>
        <w:t>for 2018.</w:t>
      </w:r>
    </w:p>
    <w:p>
      <w:pPr>
        <w:ind w:left="180" w:right="1740" w:hanging="174"/>
        <w:spacing w:after="0" w:line="248" w:lineRule="auto"/>
        <w:rPr>
          <w:sz w:val="20"/>
          <w:szCs w:val="20"/>
          <w:color w:val="auto"/>
        </w:rPr>
      </w:pPr>
      <w:r>
        <w:rPr>
          <w:rFonts w:ascii="Arial" w:cs="Arial" w:eastAsia="Arial" w:hAnsi="Arial"/>
          <w:sz w:val="13"/>
          <w:szCs w:val="13"/>
          <w:b w:val="1"/>
          <w:bCs w:val="1"/>
          <w:color w:val="205BA8"/>
        </w:rPr>
        <w:t xml:space="preserve">10 </w:t>
      </w:r>
      <w:r>
        <w:rPr>
          <w:rFonts w:ascii="Arial" w:cs="Arial" w:eastAsia="Arial" w:hAnsi="Arial"/>
          <w:sz w:val="13"/>
          <w:szCs w:val="13"/>
          <w:color w:val="000000"/>
        </w:rPr>
        <w:t>Consists of $13,000 for 401(k) Savings Plan matching</w:t>
      </w:r>
      <w:r>
        <w:rPr>
          <w:rFonts w:ascii="Arial" w:cs="Arial" w:eastAsia="Arial" w:hAnsi="Arial"/>
          <w:sz w:val="13"/>
          <w:szCs w:val="13"/>
          <w:b w:val="1"/>
          <w:bCs w:val="1"/>
          <w:color w:val="205BA8"/>
        </w:rPr>
        <w:t xml:space="preserve"> </w:t>
      </w:r>
      <w:r>
        <w:rPr>
          <w:rFonts w:ascii="Arial" w:cs="Arial" w:eastAsia="Arial" w:hAnsi="Arial"/>
          <w:sz w:val="13"/>
          <w:szCs w:val="13"/>
          <w:color w:val="000000"/>
        </w:rPr>
        <w:t>contributions in respect of 2020 and (ii) $11,195 for tax and financial planning advisory services.</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205BA8"/>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175895</wp:posOffset>
            </wp:positionV>
            <wp:extent cx="713232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5340" w:space="460"/>
            <w:col w:w="5440"/>
          </w:cols>
          <w:pgMar w:left="320" w:top="1440" w:right="339" w:bottom="1440" w:gutter="0" w:footer="0" w:header="0"/>
          <w:type w:val="continuous"/>
        </w:sectPr>
      </w:pPr>
    </w:p>
    <w:bookmarkStart w:id="95" w:name="page96"/>
    <w:bookmarkEnd w:id="95"/>
    <w:p>
      <w:pPr>
        <w:ind w:left="522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C44E5E"/>
        </w:rPr>
        <w:t>2020 Grants of Plan-Based Awards</w:t>
      </w:r>
    </w:p>
    <w:p>
      <w:pPr>
        <w:spacing w:after="0" w:line="177" w:lineRule="exact"/>
        <w:rPr>
          <w:sz w:val="20"/>
          <w:szCs w:val="20"/>
          <w:color w:val="auto"/>
        </w:rPr>
      </w:pPr>
    </w:p>
    <w:p>
      <w:pPr>
        <w:ind w:left="540" w:right="620"/>
        <w:spacing w:after="0" w:line="242" w:lineRule="auto"/>
        <w:rPr>
          <w:sz w:val="20"/>
          <w:szCs w:val="20"/>
          <w:color w:val="auto"/>
        </w:rPr>
      </w:pPr>
      <w:r>
        <w:rPr>
          <w:rFonts w:ascii="Arial" w:cs="Arial" w:eastAsia="Arial" w:hAnsi="Arial"/>
          <w:sz w:val="15"/>
          <w:szCs w:val="15"/>
          <w:color w:val="auto"/>
        </w:rPr>
        <w:t>The following table and explanatory footnotes provide information regarding the annual cash incentive and equity awards granted to our NEOs during 2020.</w:t>
      </w:r>
    </w:p>
    <w:p>
      <w:pPr>
        <w:spacing w:after="0" w:line="122" w:lineRule="exact"/>
        <w:rPr>
          <w:sz w:val="20"/>
          <w:szCs w:val="20"/>
          <w:color w:val="auto"/>
        </w:rPr>
      </w:pPr>
    </w:p>
    <w:tbl>
      <w:tblPr>
        <w:tblLayout w:type="fixed"/>
        <w:tblInd w:w="540" w:type="dxa"/>
        <w:tblCellMar>
          <w:top w:w="0" w:type="dxa"/>
          <w:left w:w="0" w:type="dxa"/>
          <w:bottom w:w="0" w:type="dxa"/>
          <w:right w:w="0" w:type="dxa"/>
        </w:tblCellMar>
      </w:tblPr>
      <w:tr>
        <w:trPr>
          <w:trHeight w:val="148"/>
        </w:trPr>
        <w:tc>
          <w:tcPr>
            <w:tcW w:w="1080" w:type="dxa"/>
            <w:vAlign w:val="bottom"/>
            <w:tcBorders>
              <w:top w:val="single" w:sz="8" w:color="1F5AA8"/>
              <w:bottom w:val="single" w:sz="8" w:color="1F5AA8"/>
            </w:tcBorders>
          </w:tcPr>
          <w:p>
            <w:pPr>
              <w:ind w:left="520"/>
              <w:spacing w:after="0"/>
              <w:rPr>
                <w:sz w:val="20"/>
                <w:szCs w:val="20"/>
                <w:color w:val="auto"/>
              </w:rPr>
            </w:pPr>
            <w:r>
              <w:rPr>
                <w:rFonts w:ascii="Arial" w:cs="Arial" w:eastAsia="Arial" w:hAnsi="Arial"/>
                <w:sz w:val="13"/>
                <w:szCs w:val="13"/>
                <w:b w:val="1"/>
                <w:bCs w:val="1"/>
                <w:color w:val="1F5AA8"/>
              </w:rPr>
              <w:t>A</w:t>
            </w:r>
          </w:p>
        </w:tc>
        <w:tc>
          <w:tcPr>
            <w:tcW w:w="100" w:type="dxa"/>
            <w:vAlign w:val="bottom"/>
            <w:tcBorders>
              <w:top w:val="single" w:sz="8" w:color="1F5AA8"/>
              <w:bottom w:val="single" w:sz="8" w:color="1F5AA8"/>
            </w:tcBorders>
          </w:tcPr>
          <w:p>
            <w:pPr>
              <w:spacing w:after="0"/>
              <w:rPr>
                <w:sz w:val="12"/>
                <w:szCs w:val="12"/>
                <w:color w:val="auto"/>
              </w:rPr>
            </w:pPr>
          </w:p>
        </w:tc>
        <w:tc>
          <w:tcPr>
            <w:tcW w:w="760" w:type="dxa"/>
            <w:vAlign w:val="bottom"/>
            <w:tcBorders>
              <w:top w:val="single" w:sz="8" w:color="1F5AA8"/>
              <w:bottom w:val="single" w:sz="8" w:color="1F5AA8"/>
            </w:tcBorders>
            <w:gridSpan w:val="2"/>
          </w:tcPr>
          <w:p>
            <w:pPr>
              <w:jc w:val="right"/>
              <w:ind w:right="326"/>
              <w:spacing w:after="0"/>
              <w:rPr>
                <w:sz w:val="20"/>
                <w:szCs w:val="20"/>
                <w:color w:val="auto"/>
              </w:rPr>
            </w:pPr>
            <w:r>
              <w:rPr>
                <w:rFonts w:ascii="Arial" w:cs="Arial" w:eastAsia="Arial" w:hAnsi="Arial"/>
                <w:sz w:val="12"/>
                <w:szCs w:val="12"/>
                <w:b w:val="1"/>
                <w:bCs w:val="1"/>
                <w:color w:val="1F5AA8"/>
              </w:rPr>
              <w:t>B</w:t>
            </w:r>
          </w:p>
        </w:tc>
        <w:tc>
          <w:tcPr>
            <w:tcW w:w="660" w:type="dxa"/>
            <w:vAlign w:val="bottom"/>
            <w:tcBorders>
              <w:top w:val="single" w:sz="8" w:color="1F5AA8"/>
              <w:bottom w:val="single" w:sz="8" w:color="1F5AA8"/>
            </w:tcBorders>
          </w:tcPr>
          <w:p>
            <w:pPr>
              <w:jc w:val="center"/>
              <w:spacing w:after="0"/>
              <w:rPr>
                <w:sz w:val="20"/>
                <w:szCs w:val="20"/>
                <w:color w:val="auto"/>
              </w:rPr>
            </w:pPr>
            <w:r>
              <w:rPr>
                <w:rFonts w:ascii="Arial" w:cs="Arial" w:eastAsia="Arial" w:hAnsi="Arial"/>
                <w:sz w:val="12"/>
                <w:szCs w:val="12"/>
                <w:b w:val="1"/>
                <w:bCs w:val="1"/>
                <w:color w:val="1F5AA8"/>
                <w:w w:val="91"/>
              </w:rPr>
              <w:t>C</w:t>
            </w:r>
          </w:p>
        </w:tc>
        <w:tc>
          <w:tcPr>
            <w:tcW w:w="700" w:type="dxa"/>
            <w:vAlign w:val="bottom"/>
            <w:tcBorders>
              <w:top w:val="single" w:sz="8" w:color="1F5AA8"/>
              <w:bottom w:val="single" w:sz="8" w:color="1F5AA8"/>
            </w:tcBorders>
          </w:tcPr>
          <w:p>
            <w:pPr>
              <w:jc w:val="center"/>
              <w:spacing w:after="0"/>
              <w:rPr>
                <w:sz w:val="20"/>
                <w:szCs w:val="20"/>
                <w:color w:val="auto"/>
              </w:rPr>
            </w:pPr>
            <w:r>
              <w:rPr>
                <w:rFonts w:ascii="Arial" w:cs="Arial" w:eastAsia="Arial" w:hAnsi="Arial"/>
                <w:sz w:val="12"/>
                <w:szCs w:val="12"/>
                <w:b w:val="1"/>
                <w:bCs w:val="1"/>
                <w:color w:val="1F5AA8"/>
                <w:w w:val="91"/>
              </w:rPr>
              <w:t>D</w:t>
            </w:r>
          </w:p>
        </w:tc>
        <w:tc>
          <w:tcPr>
            <w:tcW w:w="740" w:type="dxa"/>
            <w:vAlign w:val="bottom"/>
            <w:tcBorders>
              <w:top w:val="single" w:sz="8" w:color="1F5AA8"/>
              <w:bottom w:val="single" w:sz="8" w:color="1F5AA8"/>
            </w:tcBorders>
            <w:gridSpan w:val="2"/>
          </w:tcPr>
          <w:p>
            <w:pPr>
              <w:jc w:val="center"/>
              <w:ind w:right="60"/>
              <w:spacing w:after="0"/>
              <w:rPr>
                <w:sz w:val="20"/>
                <w:szCs w:val="20"/>
                <w:color w:val="auto"/>
              </w:rPr>
            </w:pPr>
            <w:r>
              <w:rPr>
                <w:rFonts w:ascii="Arial" w:cs="Arial" w:eastAsia="Arial" w:hAnsi="Arial"/>
                <w:sz w:val="12"/>
                <w:szCs w:val="12"/>
                <w:b w:val="1"/>
                <w:bCs w:val="1"/>
                <w:color w:val="1F5AA8"/>
                <w:w w:val="99"/>
              </w:rPr>
              <w:t>E</w:t>
            </w:r>
          </w:p>
        </w:tc>
        <w:tc>
          <w:tcPr>
            <w:tcW w:w="620" w:type="dxa"/>
            <w:vAlign w:val="bottom"/>
            <w:tcBorders>
              <w:top w:val="single" w:sz="8" w:color="1F5AA8"/>
              <w:bottom w:val="single" w:sz="8" w:color="1F5AA8"/>
            </w:tcBorders>
          </w:tcPr>
          <w:p>
            <w:pPr>
              <w:jc w:val="center"/>
              <w:spacing w:after="0"/>
              <w:rPr>
                <w:sz w:val="20"/>
                <w:szCs w:val="20"/>
                <w:color w:val="auto"/>
              </w:rPr>
            </w:pPr>
            <w:r>
              <w:rPr>
                <w:rFonts w:ascii="Arial" w:cs="Arial" w:eastAsia="Arial" w:hAnsi="Arial"/>
                <w:sz w:val="12"/>
                <w:szCs w:val="12"/>
                <w:b w:val="1"/>
                <w:bCs w:val="1"/>
                <w:color w:val="1F5AA8"/>
                <w:w w:val="81"/>
              </w:rPr>
              <w:t>F</w:t>
            </w:r>
          </w:p>
        </w:tc>
        <w:tc>
          <w:tcPr>
            <w:tcW w:w="600" w:type="dxa"/>
            <w:vAlign w:val="bottom"/>
            <w:tcBorders>
              <w:top w:val="single" w:sz="8" w:color="1F5AA8"/>
              <w:bottom w:val="single" w:sz="8" w:color="1F5AA8"/>
            </w:tcBorders>
          </w:tcPr>
          <w:p>
            <w:pPr>
              <w:jc w:val="center"/>
              <w:spacing w:after="0"/>
              <w:rPr>
                <w:sz w:val="20"/>
                <w:szCs w:val="20"/>
                <w:color w:val="auto"/>
              </w:rPr>
            </w:pPr>
            <w:r>
              <w:rPr>
                <w:rFonts w:ascii="Arial" w:cs="Arial" w:eastAsia="Arial" w:hAnsi="Arial"/>
                <w:sz w:val="12"/>
                <w:szCs w:val="12"/>
                <w:b w:val="1"/>
                <w:bCs w:val="1"/>
                <w:color w:val="1F5AA8"/>
                <w:w w:val="85"/>
              </w:rPr>
              <w:t>G</w:t>
            </w:r>
          </w:p>
        </w:tc>
        <w:tc>
          <w:tcPr>
            <w:tcW w:w="680" w:type="dxa"/>
            <w:vAlign w:val="bottom"/>
            <w:tcBorders>
              <w:top w:val="single" w:sz="8" w:color="1F5AA8"/>
              <w:bottom w:val="single" w:sz="8" w:color="1F5AA8"/>
            </w:tcBorders>
            <w:gridSpan w:val="2"/>
          </w:tcPr>
          <w:p>
            <w:pPr>
              <w:jc w:val="center"/>
              <w:ind w:right="60"/>
              <w:spacing w:after="0"/>
              <w:rPr>
                <w:sz w:val="20"/>
                <w:szCs w:val="20"/>
                <w:color w:val="auto"/>
              </w:rPr>
            </w:pPr>
            <w:r>
              <w:rPr>
                <w:rFonts w:ascii="Arial" w:cs="Arial" w:eastAsia="Arial" w:hAnsi="Arial"/>
                <w:sz w:val="12"/>
                <w:szCs w:val="12"/>
                <w:b w:val="1"/>
                <w:bCs w:val="1"/>
                <w:color w:val="1F5AA8"/>
              </w:rPr>
              <w:t>H</w:t>
            </w:r>
          </w:p>
        </w:tc>
        <w:tc>
          <w:tcPr>
            <w:tcW w:w="900" w:type="dxa"/>
            <w:vAlign w:val="bottom"/>
            <w:tcBorders>
              <w:top w:val="single" w:sz="8" w:color="1F5AA8"/>
              <w:bottom w:val="single" w:sz="8" w:color="1F5AA8"/>
            </w:tcBorders>
          </w:tcPr>
          <w:p>
            <w:pPr>
              <w:jc w:val="center"/>
              <w:ind w:right="37"/>
              <w:spacing w:after="0"/>
              <w:rPr>
                <w:sz w:val="20"/>
                <w:szCs w:val="20"/>
                <w:color w:val="auto"/>
              </w:rPr>
            </w:pPr>
            <w:r>
              <w:rPr>
                <w:rFonts w:ascii="Arial" w:cs="Arial" w:eastAsia="Arial" w:hAnsi="Arial"/>
                <w:sz w:val="12"/>
                <w:szCs w:val="12"/>
                <w:b w:val="1"/>
                <w:bCs w:val="1"/>
                <w:color w:val="1F5AA8"/>
              </w:rPr>
              <w:t>I</w:t>
            </w:r>
          </w:p>
        </w:tc>
        <w:tc>
          <w:tcPr>
            <w:tcW w:w="940" w:type="dxa"/>
            <w:vAlign w:val="bottom"/>
            <w:tcBorders>
              <w:top w:val="single" w:sz="8" w:color="1F5AA8"/>
              <w:bottom w:val="single" w:sz="8" w:color="1F5AA8"/>
            </w:tcBorders>
          </w:tcPr>
          <w:p>
            <w:pPr>
              <w:jc w:val="center"/>
              <w:ind w:right="57"/>
              <w:spacing w:after="0"/>
              <w:rPr>
                <w:sz w:val="20"/>
                <w:szCs w:val="20"/>
                <w:color w:val="auto"/>
              </w:rPr>
            </w:pPr>
            <w:r>
              <w:rPr>
                <w:rFonts w:ascii="Arial" w:cs="Arial" w:eastAsia="Arial" w:hAnsi="Arial"/>
                <w:sz w:val="12"/>
                <w:szCs w:val="12"/>
                <w:b w:val="1"/>
                <w:bCs w:val="1"/>
                <w:color w:val="1F5AA8"/>
                <w:w w:val="89"/>
              </w:rPr>
              <w:t>J</w:t>
            </w:r>
          </w:p>
        </w:tc>
        <w:tc>
          <w:tcPr>
            <w:tcW w:w="860" w:type="dxa"/>
            <w:vAlign w:val="bottom"/>
            <w:tcBorders>
              <w:top w:val="single" w:sz="8" w:color="1F5AA8"/>
              <w:bottom w:val="single" w:sz="8" w:color="1F5AA8"/>
            </w:tcBorders>
          </w:tcPr>
          <w:p>
            <w:pPr>
              <w:jc w:val="center"/>
              <w:ind w:right="57"/>
              <w:spacing w:after="0"/>
              <w:rPr>
                <w:sz w:val="20"/>
                <w:szCs w:val="20"/>
                <w:color w:val="auto"/>
              </w:rPr>
            </w:pPr>
            <w:r>
              <w:rPr>
                <w:rFonts w:ascii="Arial" w:cs="Arial" w:eastAsia="Arial" w:hAnsi="Arial"/>
                <w:sz w:val="12"/>
                <w:szCs w:val="12"/>
                <w:b w:val="1"/>
                <w:bCs w:val="1"/>
                <w:color w:val="1F5AA8"/>
              </w:rPr>
              <w:t>K</w:t>
            </w:r>
          </w:p>
        </w:tc>
        <w:tc>
          <w:tcPr>
            <w:tcW w:w="720" w:type="dxa"/>
            <w:vAlign w:val="bottom"/>
            <w:tcBorders>
              <w:top w:val="single" w:sz="8" w:color="1F5AA8"/>
              <w:bottom w:val="single" w:sz="8" w:color="1F5AA8"/>
            </w:tcBorders>
          </w:tcPr>
          <w:p>
            <w:pPr>
              <w:spacing w:after="0"/>
              <w:rPr>
                <w:sz w:val="12"/>
                <w:szCs w:val="12"/>
                <w:color w:val="auto"/>
              </w:rPr>
            </w:pPr>
          </w:p>
        </w:tc>
        <w:tc>
          <w:tcPr>
            <w:tcW w:w="800" w:type="dxa"/>
            <w:vAlign w:val="bottom"/>
            <w:tcBorders>
              <w:top w:val="single" w:sz="8" w:color="1F5AA8"/>
              <w:bottom w:val="single" w:sz="8" w:color="1F5AA8"/>
            </w:tcBorders>
          </w:tcPr>
          <w:p>
            <w:pPr>
              <w:jc w:val="center"/>
              <w:spacing w:after="0"/>
              <w:rPr>
                <w:sz w:val="20"/>
                <w:szCs w:val="20"/>
                <w:color w:val="auto"/>
              </w:rPr>
            </w:pPr>
            <w:r>
              <w:rPr>
                <w:rFonts w:ascii="Arial" w:cs="Arial" w:eastAsia="Arial" w:hAnsi="Arial"/>
                <w:sz w:val="12"/>
                <w:szCs w:val="12"/>
                <w:b w:val="1"/>
                <w:bCs w:val="1"/>
                <w:color w:val="1F5AA8"/>
              </w:rPr>
              <w:t>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7"/>
              <w:spacing w:after="0" w:line="117" w:lineRule="exact"/>
              <w:rPr>
                <w:sz w:val="20"/>
                <w:szCs w:val="20"/>
                <w:color w:val="auto"/>
              </w:rPr>
            </w:pPr>
            <w:r>
              <w:rPr>
                <w:rFonts w:ascii="Arial" w:cs="Arial" w:eastAsia="Arial" w:hAnsi="Arial"/>
                <w:sz w:val="12"/>
                <w:szCs w:val="12"/>
                <w:b w:val="1"/>
                <w:bCs w:val="1"/>
                <w:color w:val="1F5AA8"/>
                <w:w w:val="98"/>
              </w:rPr>
              <w:t>All other</w:t>
            </w:r>
          </w:p>
        </w:tc>
        <w:tc>
          <w:tcPr>
            <w:tcW w:w="940" w:type="dxa"/>
            <w:vAlign w:val="bottom"/>
          </w:tcPr>
          <w:p>
            <w:pPr>
              <w:jc w:val="center"/>
              <w:ind w:right="77"/>
              <w:spacing w:after="0" w:line="117" w:lineRule="exact"/>
              <w:rPr>
                <w:sz w:val="20"/>
                <w:szCs w:val="20"/>
                <w:color w:val="auto"/>
              </w:rPr>
            </w:pPr>
            <w:r>
              <w:rPr>
                <w:rFonts w:ascii="Arial" w:cs="Arial" w:eastAsia="Arial" w:hAnsi="Arial"/>
                <w:sz w:val="12"/>
                <w:szCs w:val="12"/>
                <w:b w:val="1"/>
                <w:bCs w:val="1"/>
                <w:color w:val="1F5AA8"/>
                <w:w w:val="98"/>
              </w:rPr>
              <w:t>All other</w:t>
            </w:r>
          </w:p>
        </w:tc>
        <w:tc>
          <w:tcPr>
            <w:tcW w:w="860" w:type="dxa"/>
            <w:vAlign w:val="bottom"/>
          </w:tcPr>
          <w:p>
            <w:pPr>
              <w:spacing w:after="0"/>
              <w:rPr>
                <w:sz w:val="10"/>
                <w:szCs w:val="10"/>
                <w:color w:val="auto"/>
              </w:rPr>
            </w:pPr>
          </w:p>
        </w:tc>
        <w:tc>
          <w:tcPr>
            <w:tcW w:w="720" w:type="dxa"/>
            <w:vAlign w:val="bottom"/>
          </w:tcPr>
          <w:p>
            <w:pPr>
              <w:jc w:val="center"/>
              <w:spacing w:after="0" w:line="117" w:lineRule="exact"/>
              <w:rPr>
                <w:sz w:val="20"/>
                <w:szCs w:val="20"/>
                <w:color w:val="auto"/>
              </w:rPr>
            </w:pPr>
            <w:r>
              <w:rPr>
                <w:rFonts w:ascii="Arial" w:cs="Arial" w:eastAsia="Arial" w:hAnsi="Arial"/>
                <w:sz w:val="12"/>
                <w:szCs w:val="12"/>
                <w:b w:val="1"/>
                <w:bCs w:val="1"/>
                <w:color w:val="1F5AA8"/>
                <w:w w:val="99"/>
              </w:rPr>
              <w:t>Closing</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gridSpan w:val="4"/>
            <w:vMerge w:val="restart"/>
          </w:tcPr>
          <w:p>
            <w:pPr>
              <w:jc w:val="center"/>
              <w:ind w:right="100"/>
              <w:spacing w:after="0"/>
              <w:rPr>
                <w:sz w:val="20"/>
                <w:szCs w:val="20"/>
                <w:color w:val="auto"/>
              </w:rPr>
            </w:pPr>
            <w:r>
              <w:rPr>
                <w:rFonts w:ascii="Arial" w:cs="Arial" w:eastAsia="Arial" w:hAnsi="Arial"/>
                <w:sz w:val="12"/>
                <w:szCs w:val="12"/>
                <w:b w:val="1"/>
                <w:bCs w:val="1"/>
                <w:color w:val="1F5AA8"/>
                <w:w w:val="96"/>
              </w:rPr>
              <w:t>Estimated Possible Payouts Under</w:t>
            </w:r>
          </w:p>
        </w:tc>
        <w:tc>
          <w:tcPr>
            <w:tcW w:w="1900" w:type="dxa"/>
            <w:vAlign w:val="bottom"/>
            <w:gridSpan w:val="4"/>
            <w:vMerge w:val="restart"/>
          </w:tcPr>
          <w:p>
            <w:pPr>
              <w:jc w:val="center"/>
              <w:ind w:right="100"/>
              <w:spacing w:after="0"/>
              <w:rPr>
                <w:sz w:val="20"/>
                <w:szCs w:val="20"/>
                <w:color w:val="auto"/>
              </w:rPr>
            </w:pPr>
            <w:r>
              <w:rPr>
                <w:rFonts w:ascii="Arial" w:cs="Arial" w:eastAsia="Arial" w:hAnsi="Arial"/>
                <w:sz w:val="12"/>
                <w:szCs w:val="12"/>
                <w:b w:val="1"/>
                <w:bCs w:val="1"/>
                <w:color w:val="1F5AA8"/>
                <w:w w:val="97"/>
              </w:rPr>
              <w:t>Estimated Possible Payouts</w:t>
            </w:r>
          </w:p>
        </w:tc>
        <w:tc>
          <w:tcPr>
            <w:tcW w:w="90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1F5AA8"/>
              </w:rPr>
              <w:t>stock</w:t>
            </w:r>
          </w:p>
        </w:tc>
        <w:tc>
          <w:tcPr>
            <w:tcW w:w="940" w:type="dxa"/>
            <w:vAlign w:val="bottom"/>
          </w:tcPr>
          <w:p>
            <w:pPr>
              <w:jc w:val="center"/>
              <w:ind w:right="77"/>
              <w:spacing w:after="0" w:line="135" w:lineRule="exact"/>
              <w:rPr>
                <w:sz w:val="20"/>
                <w:szCs w:val="20"/>
                <w:color w:val="auto"/>
              </w:rPr>
            </w:pPr>
            <w:r>
              <w:rPr>
                <w:rFonts w:ascii="Arial" w:cs="Arial" w:eastAsia="Arial" w:hAnsi="Arial"/>
                <w:sz w:val="12"/>
                <w:szCs w:val="12"/>
                <w:b w:val="1"/>
                <w:bCs w:val="1"/>
                <w:color w:val="1F5AA8"/>
                <w:w w:val="98"/>
              </w:rPr>
              <w:t>option</w:t>
            </w:r>
          </w:p>
        </w:tc>
        <w:tc>
          <w:tcPr>
            <w:tcW w:w="8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1F5AA8"/>
              </w:rPr>
              <w:t>price of</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00" w:type="dxa"/>
            <w:vAlign w:val="bottom"/>
            <w:gridSpan w:val="4"/>
            <w:vMerge w:val="continue"/>
          </w:tcPr>
          <w:p>
            <w:pPr>
              <w:spacing w:after="0"/>
              <w:rPr>
                <w:sz w:val="7"/>
                <w:szCs w:val="7"/>
                <w:color w:val="auto"/>
              </w:rPr>
            </w:pPr>
          </w:p>
        </w:tc>
        <w:tc>
          <w:tcPr>
            <w:tcW w:w="1900" w:type="dxa"/>
            <w:vAlign w:val="bottom"/>
            <w:gridSpan w:val="4"/>
            <w:vMerge w:val="continue"/>
          </w:tcPr>
          <w:p>
            <w:pPr>
              <w:spacing w:after="0"/>
              <w:rPr>
                <w:sz w:val="7"/>
                <w:szCs w:val="7"/>
                <w:color w:val="auto"/>
              </w:rPr>
            </w:pPr>
          </w:p>
        </w:tc>
        <w:tc>
          <w:tcPr>
            <w:tcW w:w="900" w:type="dxa"/>
            <w:vAlign w:val="bottom"/>
            <w:vMerge w:val="restart"/>
          </w:tcPr>
          <w:p>
            <w:pPr>
              <w:jc w:val="center"/>
              <w:ind w:right="37"/>
              <w:spacing w:after="0" w:line="135" w:lineRule="exact"/>
              <w:rPr>
                <w:sz w:val="20"/>
                <w:szCs w:val="20"/>
                <w:color w:val="auto"/>
              </w:rPr>
            </w:pPr>
            <w:r>
              <w:rPr>
                <w:rFonts w:ascii="Arial" w:cs="Arial" w:eastAsia="Arial" w:hAnsi="Arial"/>
                <w:sz w:val="12"/>
                <w:szCs w:val="12"/>
                <w:b w:val="1"/>
                <w:bCs w:val="1"/>
                <w:color w:val="1F5AA8"/>
                <w:w w:val="96"/>
              </w:rPr>
              <w:t>awards:</w:t>
            </w:r>
          </w:p>
        </w:tc>
        <w:tc>
          <w:tcPr>
            <w:tcW w:w="940" w:type="dxa"/>
            <w:vAlign w:val="bottom"/>
            <w:vMerge w:val="restart"/>
          </w:tcPr>
          <w:p>
            <w:pPr>
              <w:jc w:val="center"/>
              <w:ind w:right="77"/>
              <w:spacing w:after="0" w:line="135" w:lineRule="exact"/>
              <w:rPr>
                <w:sz w:val="20"/>
                <w:szCs w:val="20"/>
                <w:color w:val="auto"/>
              </w:rPr>
            </w:pPr>
            <w:r>
              <w:rPr>
                <w:rFonts w:ascii="Arial" w:cs="Arial" w:eastAsia="Arial" w:hAnsi="Arial"/>
                <w:sz w:val="12"/>
                <w:szCs w:val="12"/>
                <w:b w:val="1"/>
                <w:bCs w:val="1"/>
                <w:color w:val="1F5AA8"/>
                <w:w w:val="96"/>
              </w:rPr>
              <w:t>awards:</w:t>
            </w:r>
          </w:p>
        </w:tc>
        <w:tc>
          <w:tcPr>
            <w:tcW w:w="860" w:type="dxa"/>
            <w:vAlign w:val="bottom"/>
            <w:vMerge w:val="restart"/>
          </w:tcPr>
          <w:p>
            <w:pPr>
              <w:jc w:val="center"/>
              <w:ind w:right="77"/>
              <w:spacing w:after="0" w:line="135" w:lineRule="exact"/>
              <w:rPr>
                <w:sz w:val="20"/>
                <w:szCs w:val="20"/>
                <w:color w:val="auto"/>
              </w:rPr>
            </w:pPr>
            <w:r>
              <w:rPr>
                <w:rFonts w:ascii="Arial" w:cs="Arial" w:eastAsia="Arial" w:hAnsi="Arial"/>
                <w:sz w:val="12"/>
                <w:szCs w:val="12"/>
                <w:b w:val="1"/>
                <w:bCs w:val="1"/>
                <w:color w:val="1F5AA8"/>
                <w:w w:val="97"/>
              </w:rPr>
              <w:t>Exercise</w:t>
            </w:r>
          </w:p>
        </w:tc>
        <w:tc>
          <w:tcPr>
            <w:tcW w:w="72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1F5AA8"/>
                <w:w w:val="95"/>
              </w:rPr>
              <w:t>Company</w:t>
            </w: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gridSpan w:val="4"/>
            <w:vMerge w:val="restart"/>
          </w:tcPr>
          <w:p>
            <w:pPr>
              <w:jc w:val="center"/>
              <w:ind w:right="100"/>
              <w:spacing w:after="0" w:line="135" w:lineRule="exact"/>
              <w:rPr>
                <w:sz w:val="20"/>
                <w:szCs w:val="20"/>
                <w:color w:val="auto"/>
              </w:rPr>
            </w:pPr>
            <w:r>
              <w:rPr>
                <w:rFonts w:ascii="Arial" w:cs="Arial" w:eastAsia="Arial" w:hAnsi="Arial"/>
                <w:sz w:val="12"/>
                <w:szCs w:val="12"/>
                <w:b w:val="1"/>
                <w:bCs w:val="1"/>
                <w:color w:val="1F5AA8"/>
                <w:w w:val="97"/>
              </w:rPr>
              <w:t>Non-Equity Incentive Plan</w:t>
            </w:r>
          </w:p>
        </w:tc>
        <w:tc>
          <w:tcPr>
            <w:tcW w:w="1900" w:type="dxa"/>
            <w:vAlign w:val="bottom"/>
            <w:gridSpan w:val="4"/>
            <w:vMerge w:val="restart"/>
          </w:tcPr>
          <w:p>
            <w:pPr>
              <w:jc w:val="center"/>
              <w:ind w:right="100"/>
              <w:spacing w:after="0" w:line="135" w:lineRule="exact"/>
              <w:rPr>
                <w:sz w:val="20"/>
                <w:szCs w:val="20"/>
                <w:color w:val="auto"/>
              </w:rPr>
            </w:pPr>
            <w:r>
              <w:rPr>
                <w:rFonts w:ascii="Arial" w:cs="Arial" w:eastAsia="Arial" w:hAnsi="Arial"/>
                <w:sz w:val="12"/>
                <w:szCs w:val="12"/>
                <w:b w:val="1"/>
                <w:bCs w:val="1"/>
                <w:color w:val="1F5AA8"/>
                <w:w w:val="98"/>
              </w:rPr>
              <w:t>Under Equity Incentive Plan</w:t>
            </w:r>
          </w:p>
        </w:tc>
        <w:tc>
          <w:tcPr>
            <w:tcW w:w="9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00" w:type="dxa"/>
            <w:vAlign w:val="bottom"/>
            <w:gridSpan w:val="4"/>
            <w:vMerge w:val="continue"/>
          </w:tcPr>
          <w:p>
            <w:pPr>
              <w:spacing w:after="0"/>
              <w:rPr>
                <w:sz w:val="7"/>
                <w:szCs w:val="7"/>
                <w:color w:val="auto"/>
              </w:rPr>
            </w:pPr>
          </w:p>
        </w:tc>
        <w:tc>
          <w:tcPr>
            <w:tcW w:w="1900" w:type="dxa"/>
            <w:vAlign w:val="bottom"/>
            <w:gridSpan w:val="4"/>
            <w:vMerge w:val="continue"/>
          </w:tcPr>
          <w:p>
            <w:pPr>
              <w:spacing w:after="0"/>
              <w:rPr>
                <w:sz w:val="7"/>
                <w:szCs w:val="7"/>
                <w:color w:val="auto"/>
              </w:rPr>
            </w:pPr>
          </w:p>
        </w:tc>
        <w:tc>
          <w:tcPr>
            <w:tcW w:w="900" w:type="dxa"/>
            <w:vAlign w:val="bottom"/>
            <w:vMerge w:val="restart"/>
          </w:tcPr>
          <w:p>
            <w:pPr>
              <w:jc w:val="center"/>
              <w:ind w:right="37"/>
              <w:spacing w:after="0" w:line="135" w:lineRule="exact"/>
              <w:rPr>
                <w:sz w:val="20"/>
                <w:szCs w:val="20"/>
                <w:color w:val="auto"/>
              </w:rPr>
            </w:pPr>
            <w:r>
              <w:rPr>
                <w:rFonts w:ascii="Arial" w:cs="Arial" w:eastAsia="Arial" w:hAnsi="Arial"/>
                <w:sz w:val="12"/>
                <w:szCs w:val="12"/>
                <w:b w:val="1"/>
                <w:bCs w:val="1"/>
                <w:color w:val="1F5AA8"/>
                <w:w w:val="95"/>
              </w:rPr>
              <w:t>number of</w:t>
            </w:r>
          </w:p>
        </w:tc>
        <w:tc>
          <w:tcPr>
            <w:tcW w:w="940" w:type="dxa"/>
            <w:vAlign w:val="bottom"/>
            <w:vMerge w:val="restart"/>
          </w:tcPr>
          <w:p>
            <w:pPr>
              <w:jc w:val="center"/>
              <w:ind w:right="77"/>
              <w:spacing w:after="0" w:line="135" w:lineRule="exact"/>
              <w:rPr>
                <w:sz w:val="20"/>
                <w:szCs w:val="20"/>
                <w:color w:val="auto"/>
              </w:rPr>
            </w:pPr>
            <w:r>
              <w:rPr>
                <w:rFonts w:ascii="Arial" w:cs="Arial" w:eastAsia="Arial" w:hAnsi="Arial"/>
                <w:sz w:val="12"/>
                <w:szCs w:val="12"/>
                <w:b w:val="1"/>
                <w:bCs w:val="1"/>
                <w:color w:val="1F5AA8"/>
                <w:w w:val="95"/>
              </w:rPr>
              <w:t>number of</w:t>
            </w:r>
          </w:p>
        </w:tc>
        <w:tc>
          <w:tcPr>
            <w:tcW w:w="860" w:type="dxa"/>
            <w:vAlign w:val="bottom"/>
            <w:vMerge w:val="restart"/>
          </w:tcPr>
          <w:p>
            <w:pPr>
              <w:jc w:val="center"/>
              <w:ind w:right="57"/>
              <w:spacing w:after="0" w:line="135" w:lineRule="exact"/>
              <w:rPr>
                <w:sz w:val="20"/>
                <w:szCs w:val="20"/>
                <w:color w:val="auto"/>
              </w:rPr>
            </w:pPr>
            <w:r>
              <w:rPr>
                <w:rFonts w:ascii="Arial" w:cs="Arial" w:eastAsia="Arial" w:hAnsi="Arial"/>
                <w:sz w:val="12"/>
                <w:szCs w:val="12"/>
                <w:b w:val="1"/>
                <w:bCs w:val="1"/>
                <w:color w:val="1F5AA8"/>
                <w:w w:val="98"/>
              </w:rPr>
              <w:t>or base</w:t>
            </w:r>
          </w:p>
        </w:tc>
        <w:tc>
          <w:tcPr>
            <w:tcW w:w="72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1F5AA8"/>
                <w:w w:val="95"/>
              </w:rPr>
              <w:t>common</w:t>
            </w:r>
          </w:p>
        </w:tc>
        <w:tc>
          <w:tcPr>
            <w:tcW w:w="820" w:type="dxa"/>
            <w:vAlign w:val="bottom"/>
            <w:gridSpan w:val="2"/>
            <w:vMerge w:val="restart"/>
          </w:tcPr>
          <w:p>
            <w:pPr>
              <w:jc w:val="center"/>
              <w:ind w:right="20"/>
              <w:spacing w:after="0" w:line="135" w:lineRule="exact"/>
              <w:rPr>
                <w:sz w:val="20"/>
                <w:szCs w:val="20"/>
                <w:color w:val="auto"/>
              </w:rPr>
            </w:pPr>
            <w:r>
              <w:rPr>
                <w:rFonts w:ascii="Arial" w:cs="Arial" w:eastAsia="Arial" w:hAnsi="Arial"/>
                <w:sz w:val="12"/>
                <w:szCs w:val="12"/>
                <w:b w:val="1"/>
                <w:bCs w:val="1"/>
                <w:color w:val="1F5AA8"/>
                <w:w w:val="97"/>
              </w:rPr>
              <w:t>Grant date fair</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1F5AA8"/>
                <w:w w:val="95"/>
              </w:rPr>
              <w:t>Awards1</w:t>
            </w: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1F5AA8"/>
                <w:w w:val="95"/>
              </w:rPr>
              <w:t>Awards2</w:t>
            </w: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1F5AA8"/>
            </w:tcBorders>
          </w:tcPr>
          <w:p>
            <w:pPr>
              <w:spacing w:after="0"/>
              <w:rPr>
                <w:sz w:val="8"/>
                <w:szCs w:val="8"/>
                <w:color w:val="auto"/>
              </w:rPr>
            </w:pPr>
          </w:p>
        </w:tc>
        <w:tc>
          <w:tcPr>
            <w:tcW w:w="700" w:type="dxa"/>
            <w:vAlign w:val="bottom"/>
            <w:tcBorders>
              <w:bottom w:val="single" w:sz="8" w:color="1F5AA8"/>
            </w:tcBorders>
            <w:vMerge w:val="continue"/>
          </w:tcPr>
          <w:p>
            <w:pPr>
              <w:spacing w:after="0"/>
              <w:rPr>
                <w:sz w:val="8"/>
                <w:szCs w:val="8"/>
                <w:color w:val="auto"/>
              </w:rPr>
            </w:pPr>
          </w:p>
        </w:tc>
        <w:tc>
          <w:tcPr>
            <w:tcW w:w="640" w:type="dxa"/>
            <w:vAlign w:val="bottom"/>
            <w:tcBorders>
              <w:bottom w:val="single" w:sz="8" w:color="1F5AA8"/>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1F5AA8"/>
            </w:tcBorders>
          </w:tcPr>
          <w:p>
            <w:pPr>
              <w:spacing w:after="0"/>
              <w:rPr>
                <w:sz w:val="8"/>
                <w:szCs w:val="8"/>
                <w:color w:val="auto"/>
              </w:rPr>
            </w:pPr>
          </w:p>
        </w:tc>
        <w:tc>
          <w:tcPr>
            <w:tcW w:w="600" w:type="dxa"/>
            <w:vAlign w:val="bottom"/>
            <w:tcBorders>
              <w:bottom w:val="single" w:sz="8" w:color="1F5AA8"/>
            </w:tcBorders>
            <w:vMerge w:val="continue"/>
          </w:tcPr>
          <w:p>
            <w:pPr>
              <w:spacing w:after="0"/>
              <w:rPr>
                <w:sz w:val="8"/>
                <w:szCs w:val="8"/>
                <w:color w:val="auto"/>
              </w:rPr>
            </w:pPr>
          </w:p>
        </w:tc>
        <w:tc>
          <w:tcPr>
            <w:tcW w:w="580" w:type="dxa"/>
            <w:vAlign w:val="bottom"/>
            <w:tcBorders>
              <w:bottom w:val="single" w:sz="8" w:color="1F5AA8"/>
            </w:tcBorders>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restart"/>
          </w:tcPr>
          <w:p>
            <w:pPr>
              <w:jc w:val="center"/>
              <w:ind w:right="37"/>
              <w:spacing w:after="0" w:line="135" w:lineRule="exact"/>
              <w:rPr>
                <w:sz w:val="20"/>
                <w:szCs w:val="20"/>
                <w:color w:val="auto"/>
              </w:rPr>
            </w:pPr>
            <w:r>
              <w:rPr>
                <w:rFonts w:ascii="Arial" w:cs="Arial" w:eastAsia="Arial" w:hAnsi="Arial"/>
                <w:sz w:val="12"/>
                <w:szCs w:val="12"/>
                <w:b w:val="1"/>
                <w:bCs w:val="1"/>
                <w:color w:val="1F5AA8"/>
                <w:w w:val="97"/>
              </w:rPr>
              <w:t>shares of</w:t>
            </w:r>
          </w:p>
        </w:tc>
        <w:tc>
          <w:tcPr>
            <w:tcW w:w="940" w:type="dxa"/>
            <w:vAlign w:val="bottom"/>
            <w:vMerge w:val="restart"/>
          </w:tcPr>
          <w:p>
            <w:pPr>
              <w:jc w:val="center"/>
              <w:ind w:right="57"/>
              <w:spacing w:after="0" w:line="135" w:lineRule="exact"/>
              <w:rPr>
                <w:sz w:val="20"/>
                <w:szCs w:val="20"/>
                <w:color w:val="auto"/>
              </w:rPr>
            </w:pPr>
            <w:r>
              <w:rPr>
                <w:rFonts w:ascii="Arial" w:cs="Arial" w:eastAsia="Arial" w:hAnsi="Arial"/>
                <w:sz w:val="12"/>
                <w:szCs w:val="12"/>
                <w:b w:val="1"/>
                <w:bCs w:val="1"/>
                <w:color w:val="1F5AA8"/>
                <w:w w:val="96"/>
              </w:rPr>
              <w:t>securities</w:t>
            </w:r>
          </w:p>
        </w:tc>
        <w:tc>
          <w:tcPr>
            <w:tcW w:w="860" w:type="dxa"/>
            <w:vAlign w:val="bottom"/>
            <w:vMerge w:val="restart"/>
          </w:tcPr>
          <w:p>
            <w:pPr>
              <w:jc w:val="center"/>
              <w:ind w:right="57"/>
              <w:spacing w:after="0" w:line="135" w:lineRule="exact"/>
              <w:rPr>
                <w:sz w:val="20"/>
                <w:szCs w:val="20"/>
                <w:color w:val="auto"/>
              </w:rPr>
            </w:pPr>
            <w:r>
              <w:rPr>
                <w:rFonts w:ascii="Arial" w:cs="Arial" w:eastAsia="Arial" w:hAnsi="Arial"/>
                <w:sz w:val="12"/>
                <w:szCs w:val="12"/>
                <w:b w:val="1"/>
                <w:bCs w:val="1"/>
                <w:color w:val="1F5AA8"/>
                <w:w w:val="96"/>
              </w:rPr>
              <w:t>price of</w:t>
            </w:r>
          </w:p>
        </w:tc>
        <w:tc>
          <w:tcPr>
            <w:tcW w:w="72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1F5AA8"/>
              </w:rPr>
              <w:t>stock</w:t>
            </w:r>
          </w:p>
        </w:tc>
        <w:tc>
          <w:tcPr>
            <w:tcW w:w="820" w:type="dxa"/>
            <w:vAlign w:val="bottom"/>
            <w:gridSpan w:val="2"/>
            <w:vMerge w:val="restart"/>
          </w:tcPr>
          <w:p>
            <w:pPr>
              <w:jc w:val="center"/>
              <w:ind w:right="40"/>
              <w:spacing w:after="0" w:line="135" w:lineRule="exact"/>
              <w:rPr>
                <w:sz w:val="20"/>
                <w:szCs w:val="20"/>
                <w:color w:val="auto"/>
              </w:rPr>
            </w:pPr>
            <w:r>
              <w:rPr>
                <w:rFonts w:ascii="Arial" w:cs="Arial" w:eastAsia="Arial" w:hAnsi="Arial"/>
                <w:sz w:val="12"/>
                <w:szCs w:val="12"/>
                <w:b w:val="1"/>
                <w:bCs w:val="1"/>
                <w:color w:val="1F5AA8"/>
                <w:w w:val="97"/>
              </w:rPr>
              <w:t>value of stock</w:t>
            </w: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1F5AA8"/>
                <w:w w:val="94"/>
              </w:rPr>
              <w:t>stock or</w:t>
            </w:r>
          </w:p>
        </w:tc>
        <w:tc>
          <w:tcPr>
            <w:tcW w:w="940" w:type="dxa"/>
            <w:vAlign w:val="bottom"/>
          </w:tcPr>
          <w:p>
            <w:pPr>
              <w:jc w:val="center"/>
              <w:ind w:right="77"/>
              <w:spacing w:after="0" w:line="135" w:lineRule="exact"/>
              <w:rPr>
                <w:sz w:val="20"/>
                <w:szCs w:val="20"/>
                <w:color w:val="auto"/>
              </w:rPr>
            </w:pPr>
            <w:r>
              <w:rPr>
                <w:rFonts w:ascii="Arial" w:cs="Arial" w:eastAsia="Arial" w:hAnsi="Arial"/>
                <w:sz w:val="12"/>
                <w:szCs w:val="12"/>
                <w:b w:val="1"/>
                <w:bCs w:val="1"/>
                <w:color w:val="1F5AA8"/>
                <w:w w:val="97"/>
              </w:rPr>
              <w:t>underlying</w:t>
            </w:r>
          </w:p>
        </w:tc>
        <w:tc>
          <w:tcPr>
            <w:tcW w:w="860" w:type="dxa"/>
            <w:vAlign w:val="bottom"/>
          </w:tcPr>
          <w:p>
            <w:pPr>
              <w:jc w:val="center"/>
              <w:ind w:right="57"/>
              <w:spacing w:after="0" w:line="135" w:lineRule="exact"/>
              <w:rPr>
                <w:sz w:val="20"/>
                <w:szCs w:val="20"/>
                <w:color w:val="auto"/>
              </w:rPr>
            </w:pPr>
            <w:r>
              <w:rPr>
                <w:rFonts w:ascii="Arial" w:cs="Arial" w:eastAsia="Arial" w:hAnsi="Arial"/>
                <w:sz w:val="12"/>
                <w:szCs w:val="12"/>
                <w:b w:val="1"/>
                <w:bCs w:val="1"/>
                <w:color w:val="1F5AA8"/>
                <w:w w:val="92"/>
              </w:rPr>
              <w:t>option</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1F5AA8"/>
                <w:w w:val="99"/>
              </w:rPr>
              <w:t>on grant</w:t>
            </w:r>
          </w:p>
        </w:tc>
        <w:tc>
          <w:tcPr>
            <w:tcW w:w="82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1F5AA8"/>
                <w:w w:val="97"/>
              </w:rPr>
              <w:t>and option</w:t>
            </w:r>
          </w:p>
        </w:tc>
        <w:tc>
          <w:tcPr>
            <w:tcW w:w="0" w:type="dxa"/>
            <w:vAlign w:val="bottom"/>
          </w:tcPr>
          <w:p>
            <w:pPr>
              <w:spacing w:after="0"/>
              <w:rPr>
                <w:sz w:val="1"/>
                <w:szCs w:val="1"/>
                <w:color w:val="auto"/>
              </w:rPr>
            </w:pPr>
          </w:p>
        </w:tc>
      </w:tr>
      <w:tr>
        <w:trPr>
          <w:trHeight w:val="135"/>
        </w:trPr>
        <w:tc>
          <w:tcPr>
            <w:tcW w:w="1080" w:type="dxa"/>
            <w:vAlign w:val="bottom"/>
            <w:vMerge w:val="restart"/>
          </w:tcPr>
          <w:p>
            <w:pPr>
              <w:ind w:left="40"/>
              <w:spacing w:after="0"/>
              <w:rPr>
                <w:sz w:val="20"/>
                <w:szCs w:val="20"/>
                <w:color w:val="auto"/>
              </w:rPr>
            </w:pPr>
            <w:r>
              <w:rPr>
                <w:rFonts w:ascii="Arial" w:cs="Arial" w:eastAsia="Arial" w:hAnsi="Arial"/>
                <w:sz w:val="13"/>
                <w:szCs w:val="13"/>
                <w:b w:val="1"/>
                <w:bCs w:val="1"/>
                <w:color w:val="1F5AA8"/>
              </w:rPr>
              <w:t>Name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1F5AA8"/>
                <w:w w:val="96"/>
              </w:rPr>
              <w:t>Threshold</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1F5AA8"/>
                <w:w w:val="92"/>
              </w:rPr>
              <w:t>Target</w:t>
            </w:r>
          </w:p>
        </w:tc>
        <w:tc>
          <w:tcPr>
            <w:tcW w:w="74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1F5AA8"/>
                <w:w w:val="97"/>
              </w:rPr>
              <w:t>Maximum</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1F5AA8"/>
                <w:w w:val="99"/>
              </w:rPr>
              <w:t>Threshold</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1F5AA8"/>
                <w:w w:val="98"/>
              </w:rPr>
              <w:t>Target</w:t>
            </w: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1F5AA8"/>
                <w:w w:val="97"/>
              </w:rPr>
              <w:t>Maximum</w:t>
            </w:r>
          </w:p>
        </w:tc>
        <w:tc>
          <w:tcPr>
            <w:tcW w:w="90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1F5AA8"/>
                <w:w w:val="97"/>
              </w:rPr>
              <w:t>units</w:t>
            </w:r>
          </w:p>
        </w:tc>
        <w:tc>
          <w:tcPr>
            <w:tcW w:w="940" w:type="dxa"/>
            <w:vAlign w:val="bottom"/>
          </w:tcPr>
          <w:p>
            <w:pPr>
              <w:jc w:val="center"/>
              <w:ind w:right="57"/>
              <w:spacing w:after="0" w:line="135" w:lineRule="exact"/>
              <w:rPr>
                <w:sz w:val="20"/>
                <w:szCs w:val="20"/>
                <w:color w:val="auto"/>
              </w:rPr>
            </w:pPr>
            <w:r>
              <w:rPr>
                <w:rFonts w:ascii="Arial" w:cs="Arial" w:eastAsia="Arial" w:hAnsi="Arial"/>
                <w:sz w:val="12"/>
                <w:szCs w:val="12"/>
                <w:b w:val="1"/>
                <w:bCs w:val="1"/>
                <w:color w:val="1F5AA8"/>
                <w:w w:val="96"/>
              </w:rPr>
              <w:t>options</w:t>
            </w:r>
          </w:p>
        </w:tc>
        <w:tc>
          <w:tcPr>
            <w:tcW w:w="860" w:type="dxa"/>
            <w:vAlign w:val="bottom"/>
          </w:tcPr>
          <w:p>
            <w:pPr>
              <w:jc w:val="center"/>
              <w:ind w:right="77"/>
              <w:spacing w:after="0" w:line="135" w:lineRule="exact"/>
              <w:rPr>
                <w:sz w:val="20"/>
                <w:szCs w:val="20"/>
                <w:color w:val="auto"/>
              </w:rPr>
            </w:pPr>
            <w:r>
              <w:rPr>
                <w:rFonts w:ascii="Arial" w:cs="Arial" w:eastAsia="Arial" w:hAnsi="Arial"/>
                <w:sz w:val="12"/>
                <w:szCs w:val="12"/>
                <w:b w:val="1"/>
                <w:bCs w:val="1"/>
                <w:color w:val="1F5AA8"/>
                <w:w w:val="96"/>
              </w:rPr>
              <w:t>awards</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1F5AA8"/>
                <w:w w:val="95"/>
              </w:rPr>
              <w:t>date ($/</w:t>
            </w:r>
          </w:p>
        </w:tc>
        <w:tc>
          <w:tcPr>
            <w:tcW w:w="82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1F5AA8"/>
                <w:w w:val="96"/>
              </w:rPr>
              <w:t>awards</w:t>
            </w:r>
          </w:p>
        </w:tc>
        <w:tc>
          <w:tcPr>
            <w:tcW w:w="0" w:type="dxa"/>
            <w:vAlign w:val="bottom"/>
          </w:tcPr>
          <w:p>
            <w:pPr>
              <w:spacing w:after="0"/>
              <w:rPr>
                <w:sz w:val="1"/>
                <w:szCs w:val="1"/>
                <w:color w:val="auto"/>
              </w:rPr>
            </w:pPr>
          </w:p>
        </w:tc>
      </w:tr>
      <w:tr>
        <w:trPr>
          <w:trHeight w:val="154"/>
        </w:trPr>
        <w:tc>
          <w:tcPr>
            <w:tcW w:w="1080" w:type="dxa"/>
            <w:vAlign w:val="bottom"/>
            <w:tcBorders>
              <w:bottom w:val="single" w:sz="8" w:color="1F5AA8"/>
            </w:tcBorders>
            <w:vMerge w:val="continue"/>
          </w:tcPr>
          <w:p>
            <w:pPr>
              <w:spacing w:after="0"/>
              <w:rPr>
                <w:sz w:val="13"/>
                <w:szCs w:val="13"/>
                <w:color w:val="auto"/>
              </w:rPr>
            </w:pPr>
          </w:p>
        </w:tc>
        <w:tc>
          <w:tcPr>
            <w:tcW w:w="100" w:type="dxa"/>
            <w:vAlign w:val="bottom"/>
            <w:tcBorders>
              <w:bottom w:val="single" w:sz="8" w:color="1F5AA8"/>
            </w:tcBorders>
          </w:tcPr>
          <w:p>
            <w:pPr>
              <w:spacing w:after="0"/>
              <w:rPr>
                <w:sz w:val="13"/>
                <w:szCs w:val="13"/>
                <w:color w:val="auto"/>
              </w:rPr>
            </w:pPr>
          </w:p>
        </w:tc>
        <w:tc>
          <w:tcPr>
            <w:tcW w:w="760" w:type="dxa"/>
            <w:vAlign w:val="bottom"/>
            <w:tcBorders>
              <w:bottom w:val="single" w:sz="8" w:color="1F5AA8"/>
            </w:tcBorders>
            <w:gridSpan w:val="2"/>
          </w:tcPr>
          <w:p>
            <w:pPr>
              <w:jc w:val="right"/>
              <w:ind w:right="86"/>
              <w:spacing w:after="0"/>
              <w:rPr>
                <w:sz w:val="20"/>
                <w:szCs w:val="20"/>
                <w:color w:val="auto"/>
              </w:rPr>
            </w:pPr>
            <w:r>
              <w:rPr>
                <w:rFonts w:ascii="Arial" w:cs="Arial" w:eastAsia="Arial" w:hAnsi="Arial"/>
                <w:sz w:val="12"/>
                <w:szCs w:val="12"/>
                <w:b w:val="1"/>
                <w:bCs w:val="1"/>
                <w:color w:val="1F5AA8"/>
                <w:w w:val="99"/>
              </w:rPr>
              <w:t>Grant date</w:t>
            </w:r>
          </w:p>
        </w:tc>
        <w:tc>
          <w:tcPr>
            <w:tcW w:w="66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1F5AA8"/>
                <w:w w:val="95"/>
              </w:rPr>
              <w:t>($)</w:t>
            </w:r>
          </w:p>
        </w:tc>
        <w:tc>
          <w:tcPr>
            <w:tcW w:w="700" w:type="dxa"/>
            <w:vAlign w:val="bottom"/>
            <w:tcBorders>
              <w:bottom w:val="single" w:sz="8" w:color="1F5AA8"/>
            </w:tcBorders>
          </w:tcPr>
          <w:p>
            <w:pPr>
              <w:jc w:val="right"/>
              <w:ind w:right="216"/>
              <w:spacing w:after="0"/>
              <w:rPr>
                <w:sz w:val="20"/>
                <w:szCs w:val="20"/>
                <w:color w:val="auto"/>
              </w:rPr>
            </w:pPr>
            <w:r>
              <w:rPr>
                <w:rFonts w:ascii="Arial" w:cs="Arial" w:eastAsia="Arial" w:hAnsi="Arial"/>
                <w:sz w:val="12"/>
                <w:szCs w:val="12"/>
                <w:b w:val="1"/>
                <w:bCs w:val="1"/>
                <w:color w:val="1F5AA8"/>
              </w:rPr>
              <w:t>($)</w:t>
            </w:r>
          </w:p>
        </w:tc>
        <w:tc>
          <w:tcPr>
            <w:tcW w:w="64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1F5AA8"/>
                <w:w w:val="95"/>
              </w:rPr>
              <w:t>($)</w:t>
            </w:r>
          </w:p>
        </w:tc>
        <w:tc>
          <w:tcPr>
            <w:tcW w:w="100" w:type="dxa"/>
            <w:vAlign w:val="bottom"/>
            <w:tcBorders>
              <w:bottom w:val="single" w:sz="8" w:color="1F5AA8"/>
            </w:tcBorders>
          </w:tcPr>
          <w:p>
            <w:pPr>
              <w:spacing w:after="0"/>
              <w:rPr>
                <w:sz w:val="13"/>
                <w:szCs w:val="13"/>
                <w:color w:val="auto"/>
              </w:rPr>
            </w:pPr>
          </w:p>
        </w:tc>
        <w:tc>
          <w:tcPr>
            <w:tcW w:w="62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1F5AA8"/>
                <w:w w:val="95"/>
              </w:rPr>
              <w:t>(#)</w:t>
            </w:r>
          </w:p>
        </w:tc>
        <w:tc>
          <w:tcPr>
            <w:tcW w:w="60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1F5AA8"/>
                <w:w w:val="95"/>
              </w:rPr>
              <w:t>(#)</w:t>
            </w:r>
          </w:p>
        </w:tc>
        <w:tc>
          <w:tcPr>
            <w:tcW w:w="58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1F5AA8"/>
                <w:w w:val="95"/>
              </w:rPr>
              <w:t>(#)</w:t>
            </w:r>
          </w:p>
        </w:tc>
        <w:tc>
          <w:tcPr>
            <w:tcW w:w="100" w:type="dxa"/>
            <w:vAlign w:val="bottom"/>
            <w:tcBorders>
              <w:bottom w:val="single" w:sz="8" w:color="1F5AA8"/>
            </w:tcBorders>
          </w:tcPr>
          <w:p>
            <w:pPr>
              <w:spacing w:after="0"/>
              <w:rPr>
                <w:sz w:val="13"/>
                <w:szCs w:val="13"/>
                <w:color w:val="auto"/>
              </w:rPr>
            </w:pPr>
          </w:p>
        </w:tc>
        <w:tc>
          <w:tcPr>
            <w:tcW w:w="900" w:type="dxa"/>
            <w:vAlign w:val="bottom"/>
            <w:tcBorders>
              <w:bottom w:val="single" w:sz="8" w:color="1F5AA8"/>
            </w:tcBorders>
          </w:tcPr>
          <w:p>
            <w:pPr>
              <w:jc w:val="center"/>
              <w:ind w:right="37"/>
              <w:spacing w:after="0"/>
              <w:rPr>
                <w:sz w:val="20"/>
                <w:szCs w:val="20"/>
                <w:color w:val="auto"/>
              </w:rPr>
            </w:pPr>
            <w:r>
              <w:rPr>
                <w:rFonts w:ascii="Arial" w:cs="Arial" w:eastAsia="Arial" w:hAnsi="Arial"/>
                <w:sz w:val="12"/>
                <w:szCs w:val="12"/>
                <w:b w:val="1"/>
                <w:bCs w:val="1"/>
                <w:color w:val="1F5AA8"/>
              </w:rPr>
              <w:t>(#)</w:t>
            </w:r>
          </w:p>
        </w:tc>
        <w:tc>
          <w:tcPr>
            <w:tcW w:w="940" w:type="dxa"/>
            <w:vAlign w:val="bottom"/>
            <w:tcBorders>
              <w:bottom w:val="single" w:sz="8" w:color="1F5AA8"/>
            </w:tcBorders>
          </w:tcPr>
          <w:p>
            <w:pPr>
              <w:jc w:val="center"/>
              <w:ind w:right="57"/>
              <w:spacing w:after="0"/>
              <w:rPr>
                <w:sz w:val="20"/>
                <w:szCs w:val="20"/>
                <w:color w:val="auto"/>
              </w:rPr>
            </w:pPr>
            <w:r>
              <w:rPr>
                <w:rFonts w:ascii="Arial" w:cs="Arial" w:eastAsia="Arial" w:hAnsi="Arial"/>
                <w:sz w:val="12"/>
                <w:szCs w:val="12"/>
                <w:b w:val="1"/>
                <w:bCs w:val="1"/>
                <w:color w:val="1F5AA8"/>
                <w:w w:val="95"/>
              </w:rPr>
              <w:t>(#)</w:t>
            </w:r>
          </w:p>
        </w:tc>
        <w:tc>
          <w:tcPr>
            <w:tcW w:w="860" w:type="dxa"/>
            <w:vAlign w:val="bottom"/>
            <w:tcBorders>
              <w:bottom w:val="single" w:sz="8" w:color="1F5AA8"/>
            </w:tcBorders>
          </w:tcPr>
          <w:p>
            <w:pPr>
              <w:jc w:val="center"/>
              <w:ind w:right="57"/>
              <w:spacing w:after="0"/>
              <w:rPr>
                <w:sz w:val="20"/>
                <w:szCs w:val="20"/>
                <w:color w:val="auto"/>
              </w:rPr>
            </w:pPr>
            <w:r>
              <w:rPr>
                <w:rFonts w:ascii="Arial" w:cs="Arial" w:eastAsia="Arial" w:hAnsi="Arial"/>
                <w:sz w:val="12"/>
                <w:szCs w:val="12"/>
                <w:b w:val="1"/>
                <w:bCs w:val="1"/>
                <w:color w:val="1F5AA8"/>
                <w:w w:val="94"/>
              </w:rPr>
              <w:t>($/Sh)3</w:t>
            </w:r>
          </w:p>
        </w:tc>
        <w:tc>
          <w:tcPr>
            <w:tcW w:w="72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1F5AA8"/>
                <w:w w:val="92"/>
              </w:rPr>
              <w:t>Sh)3</w:t>
            </w:r>
          </w:p>
        </w:tc>
        <w:tc>
          <w:tcPr>
            <w:tcW w:w="80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1F5AA8"/>
                <w:w w:val="93"/>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080" w:type="dxa"/>
            <w:vAlign w:val="bottom"/>
          </w:tcPr>
          <w:p>
            <w:pPr>
              <w:ind w:left="40"/>
              <w:spacing w:after="0" w:line="113" w:lineRule="exact"/>
              <w:rPr>
                <w:sz w:val="20"/>
                <w:szCs w:val="20"/>
                <w:color w:val="auto"/>
              </w:rPr>
            </w:pPr>
            <w:r>
              <w:rPr>
                <w:rFonts w:ascii="Arial" w:cs="Arial" w:eastAsia="Arial" w:hAnsi="Arial"/>
                <w:sz w:val="13"/>
                <w:szCs w:val="13"/>
                <w:b w:val="1"/>
                <w:bCs w:val="1"/>
                <w:color w:val="C44E5E"/>
              </w:rPr>
              <w:t>Leonard S.</w:t>
            </w:r>
          </w:p>
        </w:tc>
        <w:tc>
          <w:tcPr>
            <w:tcW w:w="100" w:type="dxa"/>
            <w:vAlign w:val="bottom"/>
          </w:tcPr>
          <w:p>
            <w:pPr>
              <w:spacing w:after="0"/>
              <w:rPr>
                <w:sz w:val="9"/>
                <w:szCs w:val="9"/>
                <w:color w:val="auto"/>
              </w:rPr>
            </w:pPr>
          </w:p>
        </w:tc>
        <w:tc>
          <w:tcPr>
            <w:tcW w:w="760" w:type="dxa"/>
            <w:vAlign w:val="bottom"/>
            <w:gridSpan w:val="2"/>
            <w:vMerge w:val="restart"/>
          </w:tcPr>
          <w:p>
            <w:pPr>
              <w:jc w:val="right"/>
              <w:ind w:right="46"/>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ind w:left="48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1,710,360</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3,567,714</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6"/>
        </w:trPr>
        <w:tc>
          <w:tcPr>
            <w:tcW w:w="1080" w:type="dxa"/>
            <w:vAlign w:val="bottom"/>
            <w:vMerge w:val="restart"/>
          </w:tcPr>
          <w:p>
            <w:pPr>
              <w:ind w:left="40"/>
              <w:spacing w:after="0" w:line="135" w:lineRule="exact"/>
              <w:rPr>
                <w:sz w:val="20"/>
                <w:szCs w:val="20"/>
                <w:color w:val="auto"/>
              </w:rPr>
            </w:pPr>
            <w:r>
              <w:rPr>
                <w:rFonts w:ascii="Arial" w:cs="Arial" w:eastAsia="Arial" w:hAnsi="Arial"/>
                <w:sz w:val="13"/>
                <w:szCs w:val="13"/>
                <w:b w:val="1"/>
                <w:bCs w:val="1"/>
                <w:color w:val="C44E5E"/>
              </w:rPr>
              <w:t>Schleifer, M.D.,</w:t>
            </w:r>
          </w:p>
        </w:tc>
        <w:tc>
          <w:tcPr>
            <w:tcW w:w="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080" w:type="dxa"/>
            <w:vAlign w:val="bottom"/>
            <w:vMerge w:val="continue"/>
          </w:tcPr>
          <w:p>
            <w:pPr>
              <w:spacing w:after="0"/>
              <w:rPr>
                <w:sz w:val="3"/>
                <w:szCs w:val="3"/>
                <w:color w:val="auto"/>
              </w:rPr>
            </w:pPr>
          </w:p>
        </w:tc>
        <w:tc>
          <w:tcPr>
            <w:tcW w:w="100" w:type="dxa"/>
            <w:vAlign w:val="bottom"/>
            <w:tcBorders>
              <w:top w:val="single" w:sz="8" w:color="58585A"/>
            </w:tcBorders>
          </w:tcPr>
          <w:p>
            <w:pPr>
              <w:spacing w:after="0"/>
              <w:rPr>
                <w:sz w:val="3"/>
                <w:szCs w:val="3"/>
                <w:color w:val="auto"/>
              </w:rPr>
            </w:pPr>
          </w:p>
        </w:tc>
        <w:tc>
          <w:tcPr>
            <w:tcW w:w="660" w:type="dxa"/>
            <w:vAlign w:val="bottom"/>
            <w:tcBorders>
              <w:top w:val="single" w:sz="8" w:color="58585A"/>
            </w:tcBorders>
          </w:tcPr>
          <w:p>
            <w:pPr>
              <w:spacing w:after="0"/>
              <w:rPr>
                <w:sz w:val="3"/>
                <w:szCs w:val="3"/>
                <w:color w:val="auto"/>
              </w:rPr>
            </w:pPr>
          </w:p>
        </w:tc>
        <w:tc>
          <w:tcPr>
            <w:tcW w:w="100" w:type="dxa"/>
            <w:vAlign w:val="bottom"/>
            <w:tcBorders>
              <w:top w:val="single" w:sz="8" w:color="58585A"/>
            </w:tcBorders>
          </w:tcPr>
          <w:p>
            <w:pPr>
              <w:spacing w:after="0"/>
              <w:rPr>
                <w:sz w:val="3"/>
                <w:szCs w:val="3"/>
                <w:color w:val="auto"/>
              </w:rPr>
            </w:pPr>
          </w:p>
        </w:tc>
        <w:tc>
          <w:tcPr>
            <w:tcW w:w="660" w:type="dxa"/>
            <w:vAlign w:val="bottom"/>
            <w:tcBorders>
              <w:top w:val="single" w:sz="8" w:color="58585A"/>
            </w:tcBorders>
          </w:tcPr>
          <w:p>
            <w:pPr>
              <w:spacing w:after="0"/>
              <w:rPr>
                <w:sz w:val="3"/>
                <w:szCs w:val="3"/>
                <w:color w:val="auto"/>
              </w:rPr>
            </w:pPr>
          </w:p>
        </w:tc>
        <w:tc>
          <w:tcPr>
            <w:tcW w:w="700" w:type="dxa"/>
            <w:vAlign w:val="bottom"/>
            <w:tcBorders>
              <w:top w:val="single" w:sz="8" w:color="58585A"/>
            </w:tcBorders>
          </w:tcPr>
          <w:p>
            <w:pPr>
              <w:spacing w:after="0"/>
              <w:rPr>
                <w:sz w:val="3"/>
                <w:szCs w:val="3"/>
                <w:color w:val="auto"/>
              </w:rPr>
            </w:pPr>
          </w:p>
        </w:tc>
        <w:tc>
          <w:tcPr>
            <w:tcW w:w="640" w:type="dxa"/>
            <w:vAlign w:val="bottom"/>
            <w:tcBorders>
              <w:top w:val="single" w:sz="8" w:color="58585A"/>
            </w:tcBorders>
          </w:tcPr>
          <w:p>
            <w:pPr>
              <w:spacing w:after="0"/>
              <w:rPr>
                <w:sz w:val="3"/>
                <w:szCs w:val="3"/>
                <w:color w:val="auto"/>
              </w:rPr>
            </w:pPr>
          </w:p>
        </w:tc>
        <w:tc>
          <w:tcPr>
            <w:tcW w:w="100" w:type="dxa"/>
            <w:vAlign w:val="bottom"/>
            <w:tcBorders>
              <w:top w:val="single" w:sz="8" w:color="58585A"/>
            </w:tcBorders>
          </w:tcPr>
          <w:p>
            <w:pPr>
              <w:spacing w:after="0"/>
              <w:rPr>
                <w:sz w:val="3"/>
                <w:szCs w:val="3"/>
                <w:color w:val="auto"/>
              </w:rPr>
            </w:pPr>
          </w:p>
        </w:tc>
        <w:tc>
          <w:tcPr>
            <w:tcW w:w="620" w:type="dxa"/>
            <w:vAlign w:val="bottom"/>
            <w:tcBorders>
              <w:top w:val="single" w:sz="8" w:color="58585A"/>
            </w:tcBorders>
          </w:tcPr>
          <w:p>
            <w:pPr>
              <w:spacing w:after="0"/>
              <w:rPr>
                <w:sz w:val="3"/>
                <w:szCs w:val="3"/>
                <w:color w:val="auto"/>
              </w:rPr>
            </w:pPr>
          </w:p>
        </w:tc>
        <w:tc>
          <w:tcPr>
            <w:tcW w:w="600" w:type="dxa"/>
            <w:vAlign w:val="bottom"/>
            <w:tcBorders>
              <w:top w:val="single" w:sz="8" w:color="58585A"/>
            </w:tcBorders>
          </w:tcPr>
          <w:p>
            <w:pPr>
              <w:spacing w:after="0"/>
              <w:rPr>
                <w:sz w:val="3"/>
                <w:szCs w:val="3"/>
                <w:color w:val="auto"/>
              </w:rPr>
            </w:pPr>
          </w:p>
        </w:tc>
        <w:tc>
          <w:tcPr>
            <w:tcW w:w="580" w:type="dxa"/>
            <w:vAlign w:val="bottom"/>
            <w:tcBorders>
              <w:top w:val="single" w:sz="8" w:color="58585A"/>
            </w:tcBorders>
          </w:tcPr>
          <w:p>
            <w:pPr>
              <w:spacing w:after="0"/>
              <w:rPr>
                <w:sz w:val="3"/>
                <w:szCs w:val="3"/>
                <w:color w:val="auto"/>
              </w:rPr>
            </w:pPr>
          </w:p>
        </w:tc>
        <w:tc>
          <w:tcPr>
            <w:tcW w:w="100" w:type="dxa"/>
            <w:vAlign w:val="bottom"/>
            <w:tcBorders>
              <w:top w:val="single" w:sz="8" w:color="58585A"/>
            </w:tcBorders>
          </w:tcPr>
          <w:p>
            <w:pPr>
              <w:spacing w:after="0"/>
              <w:rPr>
                <w:sz w:val="3"/>
                <w:szCs w:val="3"/>
                <w:color w:val="auto"/>
              </w:rPr>
            </w:pPr>
          </w:p>
        </w:tc>
        <w:tc>
          <w:tcPr>
            <w:tcW w:w="900" w:type="dxa"/>
            <w:vAlign w:val="bottom"/>
            <w:tcBorders>
              <w:top w:val="single" w:sz="8" w:color="58585A"/>
            </w:tcBorders>
          </w:tcPr>
          <w:p>
            <w:pPr>
              <w:spacing w:after="0"/>
              <w:rPr>
                <w:sz w:val="3"/>
                <w:szCs w:val="3"/>
                <w:color w:val="auto"/>
              </w:rPr>
            </w:pPr>
          </w:p>
        </w:tc>
        <w:tc>
          <w:tcPr>
            <w:tcW w:w="940" w:type="dxa"/>
            <w:vAlign w:val="bottom"/>
            <w:tcBorders>
              <w:top w:val="single" w:sz="8" w:color="58585A"/>
            </w:tcBorders>
          </w:tcPr>
          <w:p>
            <w:pPr>
              <w:spacing w:after="0"/>
              <w:rPr>
                <w:sz w:val="3"/>
                <w:szCs w:val="3"/>
                <w:color w:val="auto"/>
              </w:rPr>
            </w:pPr>
          </w:p>
        </w:tc>
        <w:tc>
          <w:tcPr>
            <w:tcW w:w="860" w:type="dxa"/>
            <w:vAlign w:val="bottom"/>
            <w:tcBorders>
              <w:top w:val="single" w:sz="8" w:color="58585A"/>
            </w:tcBorders>
          </w:tcPr>
          <w:p>
            <w:pPr>
              <w:spacing w:after="0"/>
              <w:rPr>
                <w:sz w:val="3"/>
                <w:szCs w:val="3"/>
                <w:color w:val="auto"/>
              </w:rPr>
            </w:pPr>
          </w:p>
        </w:tc>
        <w:tc>
          <w:tcPr>
            <w:tcW w:w="720" w:type="dxa"/>
            <w:vAlign w:val="bottom"/>
            <w:tcBorders>
              <w:top w:val="single" w:sz="8" w:color="58585A"/>
            </w:tcBorders>
          </w:tcPr>
          <w:p>
            <w:pPr>
              <w:spacing w:after="0"/>
              <w:rPr>
                <w:sz w:val="3"/>
                <w:szCs w:val="3"/>
                <w:color w:val="auto"/>
              </w:rPr>
            </w:pPr>
          </w:p>
        </w:tc>
        <w:tc>
          <w:tcPr>
            <w:tcW w:w="800" w:type="dxa"/>
            <w:vAlign w:val="bottom"/>
            <w:tcBorders>
              <w:top w:val="single" w:sz="8" w:color="58585A"/>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1080" w:type="dxa"/>
            <w:vAlign w:val="bottom"/>
          </w:tcPr>
          <w:p>
            <w:pPr>
              <w:ind w:left="40"/>
              <w:spacing w:after="0"/>
              <w:rPr>
                <w:sz w:val="20"/>
                <w:szCs w:val="20"/>
                <w:color w:val="auto"/>
              </w:rPr>
            </w:pPr>
            <w:r>
              <w:rPr>
                <w:rFonts w:ascii="Arial" w:cs="Arial" w:eastAsia="Arial" w:hAnsi="Arial"/>
                <w:sz w:val="13"/>
                <w:szCs w:val="13"/>
                <w:b w:val="1"/>
                <w:bCs w:val="1"/>
                <w:color w:val="C44E5E"/>
              </w:rPr>
              <w:t>Ph.D.</w:t>
            </w:r>
          </w:p>
        </w:tc>
        <w:tc>
          <w:tcPr>
            <w:tcW w:w="860" w:type="dxa"/>
            <w:vAlign w:val="bottom"/>
            <w:gridSpan w:val="3"/>
          </w:tcPr>
          <w:p>
            <w:pPr>
              <w:jc w:val="right"/>
              <w:ind w:right="46"/>
              <w:spacing w:after="0"/>
              <w:rPr>
                <w:sz w:val="20"/>
                <w:szCs w:val="20"/>
                <w:color w:val="auto"/>
              </w:rPr>
            </w:pPr>
            <w:r>
              <w:rPr>
                <w:rFonts w:ascii="Arial" w:cs="Arial" w:eastAsia="Arial" w:hAnsi="Arial"/>
                <w:sz w:val="13"/>
                <w:szCs w:val="13"/>
                <w:color w:val="auto"/>
              </w:rPr>
              <w:t>12/31/2020</w:t>
            </w:r>
          </w:p>
        </w:tc>
        <w:tc>
          <w:tcPr>
            <w:tcW w:w="660" w:type="dxa"/>
            <w:vAlign w:val="bottom"/>
          </w:tcPr>
          <w:p>
            <w:pPr>
              <w:ind w:left="4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124,054</w:t>
            </w:r>
          </w:p>
        </w:tc>
        <w:tc>
          <w:tcPr>
            <w:tcW w:w="600" w:type="dxa"/>
            <w:vAlign w:val="bottom"/>
          </w:tcPr>
          <w:p>
            <w:pPr>
              <w:jc w:val="right"/>
              <w:spacing w:after="0"/>
              <w:rPr>
                <w:sz w:val="20"/>
                <w:szCs w:val="20"/>
                <w:color w:val="auto"/>
              </w:rPr>
            </w:pPr>
            <w:r>
              <w:rPr>
                <w:rFonts w:ascii="Arial" w:cs="Arial" w:eastAsia="Arial" w:hAnsi="Arial"/>
                <w:sz w:val="13"/>
                <w:szCs w:val="13"/>
                <w:color w:val="auto"/>
              </w:rPr>
              <w:t>248,108</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620,270</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130,000,032</w:t>
            </w:r>
          </w:p>
        </w:tc>
        <w:tc>
          <w:tcPr>
            <w:tcW w:w="0" w:type="dxa"/>
            <w:vAlign w:val="bottom"/>
          </w:tcPr>
          <w:p>
            <w:pPr>
              <w:spacing w:after="0"/>
              <w:rPr>
                <w:sz w:val="1"/>
                <w:szCs w:val="1"/>
                <w:color w:val="auto"/>
              </w:rPr>
            </w:pPr>
          </w:p>
        </w:tc>
      </w:tr>
      <w:tr>
        <w:trPr>
          <w:trHeight w:val="107"/>
        </w:trPr>
        <w:tc>
          <w:tcPr>
            <w:tcW w:w="1080" w:type="dxa"/>
            <w:vAlign w:val="bottom"/>
            <w:tcBorders>
              <w:top w:val="single" w:sz="8" w:color="58585A"/>
            </w:tcBorders>
            <w:shd w:val="clear" w:color="auto" w:fill="EBEBEB"/>
          </w:tcPr>
          <w:p>
            <w:pPr>
              <w:ind w:left="40"/>
              <w:spacing w:after="0" w:line="107" w:lineRule="exact"/>
              <w:rPr>
                <w:sz w:val="20"/>
                <w:szCs w:val="20"/>
                <w:color w:val="auto"/>
              </w:rPr>
            </w:pPr>
            <w:r>
              <w:rPr>
                <w:rFonts w:ascii="Arial" w:cs="Arial" w:eastAsia="Arial" w:hAnsi="Arial"/>
                <w:sz w:val="12"/>
                <w:szCs w:val="12"/>
                <w:b w:val="1"/>
                <w:bCs w:val="1"/>
                <w:color w:val="C44E5E"/>
              </w:rPr>
              <w:t>George D.</w:t>
            </w:r>
          </w:p>
        </w:tc>
        <w:tc>
          <w:tcPr>
            <w:tcW w:w="100" w:type="dxa"/>
            <w:vAlign w:val="bottom"/>
            <w:tcBorders>
              <w:top w:val="single" w:sz="8" w:color="58585A"/>
            </w:tcBorders>
            <w:shd w:val="clear" w:color="auto" w:fill="EBEBEB"/>
          </w:tcPr>
          <w:p>
            <w:pPr>
              <w:spacing w:after="0"/>
              <w:rPr>
                <w:sz w:val="9"/>
                <w:szCs w:val="9"/>
                <w:color w:val="auto"/>
              </w:rPr>
            </w:pPr>
          </w:p>
        </w:tc>
        <w:tc>
          <w:tcPr>
            <w:tcW w:w="760" w:type="dxa"/>
            <w:vAlign w:val="bottom"/>
            <w:tcBorders>
              <w:top w:val="single" w:sz="8" w:color="58585A"/>
            </w:tcBorders>
            <w:gridSpan w:val="2"/>
            <w:vMerge w:val="restart"/>
            <w:shd w:val="clear" w:color="auto" w:fill="EBEBEB"/>
          </w:tcPr>
          <w:p>
            <w:pPr>
              <w:jc w:val="right"/>
              <w:ind w:right="46"/>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58585A"/>
            </w:tcBorders>
            <w:vMerge w:val="restart"/>
            <w:shd w:val="clear" w:color="auto" w:fill="EBEBEB"/>
          </w:tcPr>
          <w:p>
            <w:pPr>
              <w:ind w:left="48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58585A"/>
            </w:tcBorders>
            <w:vMerge w:val="restart"/>
            <w:shd w:val="clear" w:color="auto" w:fill="EBEBEB"/>
          </w:tcPr>
          <w:p>
            <w:pPr>
              <w:jc w:val="right"/>
              <w:spacing w:after="0"/>
              <w:rPr>
                <w:sz w:val="20"/>
                <w:szCs w:val="20"/>
                <w:color w:val="auto"/>
              </w:rPr>
            </w:pPr>
            <w:r>
              <w:rPr>
                <w:rFonts w:ascii="Arial" w:cs="Arial" w:eastAsia="Arial" w:hAnsi="Arial"/>
                <w:sz w:val="13"/>
                <w:szCs w:val="13"/>
                <w:color w:val="auto"/>
              </w:rPr>
              <w:t>1,453,800</w:t>
            </w:r>
          </w:p>
        </w:tc>
        <w:tc>
          <w:tcPr>
            <w:tcW w:w="740" w:type="dxa"/>
            <w:vAlign w:val="bottom"/>
            <w:tcBorders>
              <w:top w:val="single" w:sz="8" w:color="58585A"/>
            </w:tcBorders>
            <w:gridSpan w:val="2"/>
            <w:vMerge w:val="restart"/>
            <w:shd w:val="clear" w:color="auto" w:fill="EBEBEB"/>
          </w:tcPr>
          <w:p>
            <w:pPr>
              <w:jc w:val="right"/>
              <w:ind w:right="80"/>
              <w:spacing w:after="0"/>
              <w:rPr>
                <w:sz w:val="20"/>
                <w:szCs w:val="20"/>
                <w:color w:val="auto"/>
              </w:rPr>
            </w:pPr>
            <w:r>
              <w:rPr>
                <w:rFonts w:ascii="Arial" w:cs="Arial" w:eastAsia="Arial" w:hAnsi="Arial"/>
                <w:sz w:val="13"/>
                <w:szCs w:val="13"/>
                <w:color w:val="auto"/>
              </w:rPr>
              <w:t>3,004,391</w:t>
            </w:r>
          </w:p>
        </w:tc>
        <w:tc>
          <w:tcPr>
            <w:tcW w:w="620" w:type="dxa"/>
            <w:vAlign w:val="bottom"/>
            <w:tcBorders>
              <w:top w:val="single" w:sz="8" w:color="58585A"/>
            </w:tcBorders>
            <w:vMerge w:val="restart"/>
            <w:shd w:val="clear" w:color="auto" w:fill="EBEBEB"/>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58585A"/>
            </w:tcBorders>
            <w:vMerge w:val="restart"/>
            <w:shd w:val="clear" w:color="auto" w:fill="EBEBEB"/>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58585A"/>
            </w:tcBorders>
            <w:gridSpan w:val="2"/>
            <w:vMerge w:val="restart"/>
            <w:shd w:val="clear" w:color="auto" w:fill="EBEBEB"/>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58585A"/>
            </w:tcBorders>
            <w:vMerge w:val="restart"/>
            <w:shd w:val="clear" w:color="auto" w:fill="EBEBEB"/>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58585A"/>
            </w:tcBorders>
            <w:vMerge w:val="restart"/>
            <w:shd w:val="clear" w:color="auto" w:fill="EBEBEB"/>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58585A"/>
            </w:tcBorders>
            <w:vMerge w:val="restart"/>
            <w:shd w:val="clear" w:color="auto" w:fill="EBEBEB"/>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58585A"/>
            </w:tcBorders>
            <w:vMerge w:val="restart"/>
            <w:shd w:val="clear" w:color="auto" w:fill="EBEBE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58585A"/>
            </w:tcBorders>
            <w:vMerge w:val="restart"/>
            <w:shd w:val="clear" w:color="auto" w:fill="EBEBEB"/>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080" w:type="dxa"/>
            <w:vAlign w:val="bottom"/>
            <w:tcBorders>
              <w:bottom w:val="single" w:sz="8" w:color="EBEBEB"/>
            </w:tcBorders>
            <w:vMerge w:val="restart"/>
            <w:shd w:val="clear" w:color="auto" w:fill="EBEBEB"/>
          </w:tcPr>
          <w:p>
            <w:pPr>
              <w:ind w:left="40"/>
              <w:spacing w:after="0" w:line="135" w:lineRule="exact"/>
              <w:rPr>
                <w:sz w:val="20"/>
                <w:szCs w:val="20"/>
                <w:color w:val="auto"/>
              </w:rPr>
            </w:pPr>
            <w:r>
              <w:rPr>
                <w:rFonts w:ascii="Arial" w:cs="Arial" w:eastAsia="Arial" w:hAnsi="Arial"/>
                <w:sz w:val="13"/>
                <w:szCs w:val="13"/>
                <w:b w:val="1"/>
                <w:bCs w:val="1"/>
                <w:color w:val="C44E5E"/>
              </w:rPr>
              <w:t>Yancopoulos,</w:t>
            </w:r>
          </w:p>
        </w:tc>
        <w:tc>
          <w:tcPr>
            <w:tcW w:w="100" w:type="dxa"/>
            <w:vAlign w:val="bottom"/>
            <w:tcBorders>
              <w:bottom w:val="single" w:sz="8" w:color="58585A"/>
            </w:tcBorders>
            <w:shd w:val="clear" w:color="auto" w:fill="EBEBEB"/>
          </w:tcPr>
          <w:p>
            <w:pPr>
              <w:spacing w:after="0"/>
              <w:rPr>
                <w:sz w:val="6"/>
                <w:szCs w:val="6"/>
                <w:color w:val="auto"/>
              </w:rPr>
            </w:pPr>
          </w:p>
        </w:tc>
        <w:tc>
          <w:tcPr>
            <w:tcW w:w="760" w:type="dxa"/>
            <w:vAlign w:val="bottom"/>
            <w:tcBorders>
              <w:bottom w:val="single" w:sz="8" w:color="58585A"/>
            </w:tcBorders>
            <w:gridSpan w:val="2"/>
            <w:vMerge w:val="continue"/>
            <w:shd w:val="clear" w:color="auto" w:fill="EBEBEB"/>
          </w:tcPr>
          <w:p>
            <w:pPr>
              <w:spacing w:after="0"/>
              <w:rPr>
                <w:sz w:val="6"/>
                <w:szCs w:val="6"/>
                <w:color w:val="auto"/>
              </w:rPr>
            </w:pPr>
          </w:p>
        </w:tc>
        <w:tc>
          <w:tcPr>
            <w:tcW w:w="660" w:type="dxa"/>
            <w:vAlign w:val="bottom"/>
            <w:tcBorders>
              <w:bottom w:val="single" w:sz="8" w:color="58585A"/>
            </w:tcBorders>
            <w:vMerge w:val="continue"/>
            <w:shd w:val="clear" w:color="auto" w:fill="EBEBEB"/>
          </w:tcPr>
          <w:p>
            <w:pPr>
              <w:spacing w:after="0"/>
              <w:rPr>
                <w:sz w:val="6"/>
                <w:szCs w:val="6"/>
                <w:color w:val="auto"/>
              </w:rPr>
            </w:pPr>
          </w:p>
        </w:tc>
        <w:tc>
          <w:tcPr>
            <w:tcW w:w="700" w:type="dxa"/>
            <w:vAlign w:val="bottom"/>
            <w:tcBorders>
              <w:bottom w:val="single" w:sz="8" w:color="58585A"/>
            </w:tcBorders>
            <w:vMerge w:val="continue"/>
            <w:shd w:val="clear" w:color="auto" w:fill="EBEBEB"/>
          </w:tcPr>
          <w:p>
            <w:pPr>
              <w:spacing w:after="0"/>
              <w:rPr>
                <w:sz w:val="6"/>
                <w:szCs w:val="6"/>
                <w:color w:val="auto"/>
              </w:rPr>
            </w:pPr>
          </w:p>
        </w:tc>
        <w:tc>
          <w:tcPr>
            <w:tcW w:w="740" w:type="dxa"/>
            <w:vAlign w:val="bottom"/>
            <w:tcBorders>
              <w:bottom w:val="single" w:sz="8" w:color="58585A"/>
            </w:tcBorders>
            <w:gridSpan w:val="2"/>
            <w:vMerge w:val="continue"/>
            <w:shd w:val="clear" w:color="auto" w:fill="EBEBEB"/>
          </w:tcPr>
          <w:p>
            <w:pPr>
              <w:spacing w:after="0"/>
              <w:rPr>
                <w:sz w:val="6"/>
                <w:szCs w:val="6"/>
                <w:color w:val="auto"/>
              </w:rPr>
            </w:pPr>
          </w:p>
        </w:tc>
        <w:tc>
          <w:tcPr>
            <w:tcW w:w="620" w:type="dxa"/>
            <w:vAlign w:val="bottom"/>
            <w:tcBorders>
              <w:bottom w:val="single" w:sz="8" w:color="58585A"/>
            </w:tcBorders>
            <w:vMerge w:val="continue"/>
            <w:shd w:val="clear" w:color="auto" w:fill="EBEBEB"/>
          </w:tcPr>
          <w:p>
            <w:pPr>
              <w:spacing w:after="0"/>
              <w:rPr>
                <w:sz w:val="6"/>
                <w:szCs w:val="6"/>
                <w:color w:val="auto"/>
              </w:rPr>
            </w:pPr>
          </w:p>
        </w:tc>
        <w:tc>
          <w:tcPr>
            <w:tcW w:w="600" w:type="dxa"/>
            <w:vAlign w:val="bottom"/>
            <w:tcBorders>
              <w:bottom w:val="single" w:sz="8" w:color="58585A"/>
            </w:tcBorders>
            <w:vMerge w:val="continue"/>
            <w:shd w:val="clear" w:color="auto" w:fill="EBEBEB"/>
          </w:tcPr>
          <w:p>
            <w:pPr>
              <w:spacing w:after="0"/>
              <w:rPr>
                <w:sz w:val="6"/>
                <w:szCs w:val="6"/>
                <w:color w:val="auto"/>
              </w:rPr>
            </w:pPr>
          </w:p>
        </w:tc>
        <w:tc>
          <w:tcPr>
            <w:tcW w:w="680" w:type="dxa"/>
            <w:vAlign w:val="bottom"/>
            <w:tcBorders>
              <w:bottom w:val="single" w:sz="8" w:color="58585A"/>
            </w:tcBorders>
            <w:gridSpan w:val="2"/>
            <w:vMerge w:val="continue"/>
            <w:shd w:val="clear" w:color="auto" w:fill="EBEBEB"/>
          </w:tcPr>
          <w:p>
            <w:pPr>
              <w:spacing w:after="0"/>
              <w:rPr>
                <w:sz w:val="6"/>
                <w:szCs w:val="6"/>
                <w:color w:val="auto"/>
              </w:rPr>
            </w:pPr>
          </w:p>
        </w:tc>
        <w:tc>
          <w:tcPr>
            <w:tcW w:w="900" w:type="dxa"/>
            <w:vAlign w:val="bottom"/>
            <w:tcBorders>
              <w:bottom w:val="single" w:sz="8" w:color="58585A"/>
            </w:tcBorders>
            <w:vMerge w:val="continue"/>
            <w:shd w:val="clear" w:color="auto" w:fill="EBEBEB"/>
          </w:tcPr>
          <w:p>
            <w:pPr>
              <w:spacing w:after="0"/>
              <w:rPr>
                <w:sz w:val="6"/>
                <w:szCs w:val="6"/>
                <w:color w:val="auto"/>
              </w:rPr>
            </w:pPr>
          </w:p>
        </w:tc>
        <w:tc>
          <w:tcPr>
            <w:tcW w:w="940" w:type="dxa"/>
            <w:vAlign w:val="bottom"/>
            <w:tcBorders>
              <w:bottom w:val="single" w:sz="8" w:color="58585A"/>
            </w:tcBorders>
            <w:vMerge w:val="continue"/>
            <w:shd w:val="clear" w:color="auto" w:fill="EBEBEB"/>
          </w:tcPr>
          <w:p>
            <w:pPr>
              <w:spacing w:after="0"/>
              <w:rPr>
                <w:sz w:val="6"/>
                <w:szCs w:val="6"/>
                <w:color w:val="auto"/>
              </w:rPr>
            </w:pPr>
          </w:p>
        </w:tc>
        <w:tc>
          <w:tcPr>
            <w:tcW w:w="860" w:type="dxa"/>
            <w:vAlign w:val="bottom"/>
            <w:tcBorders>
              <w:bottom w:val="single" w:sz="8" w:color="58585A"/>
            </w:tcBorders>
            <w:vMerge w:val="continue"/>
            <w:shd w:val="clear" w:color="auto" w:fill="EBEBEB"/>
          </w:tcPr>
          <w:p>
            <w:pPr>
              <w:spacing w:after="0"/>
              <w:rPr>
                <w:sz w:val="6"/>
                <w:szCs w:val="6"/>
                <w:color w:val="auto"/>
              </w:rPr>
            </w:pPr>
          </w:p>
        </w:tc>
        <w:tc>
          <w:tcPr>
            <w:tcW w:w="720" w:type="dxa"/>
            <w:vAlign w:val="bottom"/>
            <w:tcBorders>
              <w:bottom w:val="single" w:sz="8" w:color="58585A"/>
            </w:tcBorders>
            <w:vMerge w:val="continue"/>
            <w:shd w:val="clear" w:color="auto" w:fill="EBEBEB"/>
          </w:tcPr>
          <w:p>
            <w:pPr>
              <w:spacing w:after="0"/>
              <w:rPr>
                <w:sz w:val="6"/>
                <w:szCs w:val="6"/>
                <w:color w:val="auto"/>
              </w:rPr>
            </w:pPr>
          </w:p>
        </w:tc>
        <w:tc>
          <w:tcPr>
            <w:tcW w:w="800" w:type="dxa"/>
            <w:vAlign w:val="bottom"/>
            <w:tcBorders>
              <w:bottom w:val="single" w:sz="8" w:color="58585A"/>
            </w:tcBorders>
            <w:vMerge w:val="continue"/>
            <w:shd w:val="clear" w:color="auto" w:fill="EBEBEB"/>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080" w:type="dxa"/>
            <w:vAlign w:val="bottom"/>
            <w:vMerge w:val="continue"/>
            <w:shd w:val="clear" w:color="auto" w:fill="EBEBEB"/>
          </w:tcPr>
          <w:p>
            <w:pPr>
              <w:spacing w:after="0"/>
              <w:rPr>
                <w:sz w:val="3"/>
                <w:szCs w:val="3"/>
                <w:color w:val="auto"/>
              </w:rPr>
            </w:pPr>
          </w:p>
        </w:tc>
        <w:tc>
          <w:tcPr>
            <w:tcW w:w="100" w:type="dxa"/>
            <w:vAlign w:val="bottom"/>
            <w:shd w:val="clear" w:color="auto" w:fill="EBEBEB"/>
          </w:tcPr>
          <w:p>
            <w:pPr>
              <w:spacing w:after="0"/>
              <w:rPr>
                <w:sz w:val="3"/>
                <w:szCs w:val="3"/>
                <w:color w:val="auto"/>
              </w:rPr>
            </w:pPr>
          </w:p>
        </w:tc>
        <w:tc>
          <w:tcPr>
            <w:tcW w:w="660" w:type="dxa"/>
            <w:vAlign w:val="bottom"/>
            <w:shd w:val="clear" w:color="auto" w:fill="EBEBEB"/>
          </w:tcPr>
          <w:p>
            <w:pPr>
              <w:spacing w:after="0"/>
              <w:rPr>
                <w:sz w:val="3"/>
                <w:szCs w:val="3"/>
                <w:color w:val="auto"/>
              </w:rPr>
            </w:pPr>
          </w:p>
        </w:tc>
        <w:tc>
          <w:tcPr>
            <w:tcW w:w="100" w:type="dxa"/>
            <w:vAlign w:val="bottom"/>
            <w:shd w:val="clear" w:color="auto" w:fill="EBEBEB"/>
          </w:tcPr>
          <w:p>
            <w:pPr>
              <w:spacing w:after="0"/>
              <w:rPr>
                <w:sz w:val="3"/>
                <w:szCs w:val="3"/>
                <w:color w:val="auto"/>
              </w:rPr>
            </w:pPr>
          </w:p>
        </w:tc>
        <w:tc>
          <w:tcPr>
            <w:tcW w:w="660" w:type="dxa"/>
            <w:vAlign w:val="bottom"/>
            <w:shd w:val="clear" w:color="auto" w:fill="EBEBEB"/>
          </w:tcPr>
          <w:p>
            <w:pPr>
              <w:spacing w:after="0"/>
              <w:rPr>
                <w:sz w:val="3"/>
                <w:szCs w:val="3"/>
                <w:color w:val="auto"/>
              </w:rPr>
            </w:pPr>
          </w:p>
        </w:tc>
        <w:tc>
          <w:tcPr>
            <w:tcW w:w="700" w:type="dxa"/>
            <w:vAlign w:val="bottom"/>
            <w:shd w:val="clear" w:color="auto" w:fill="EBEBEB"/>
          </w:tcPr>
          <w:p>
            <w:pPr>
              <w:spacing w:after="0"/>
              <w:rPr>
                <w:sz w:val="3"/>
                <w:szCs w:val="3"/>
                <w:color w:val="auto"/>
              </w:rPr>
            </w:pPr>
          </w:p>
        </w:tc>
        <w:tc>
          <w:tcPr>
            <w:tcW w:w="640" w:type="dxa"/>
            <w:vAlign w:val="bottom"/>
            <w:shd w:val="clear" w:color="auto" w:fill="EBEBEB"/>
          </w:tcPr>
          <w:p>
            <w:pPr>
              <w:spacing w:after="0"/>
              <w:rPr>
                <w:sz w:val="3"/>
                <w:szCs w:val="3"/>
                <w:color w:val="auto"/>
              </w:rPr>
            </w:pPr>
          </w:p>
        </w:tc>
        <w:tc>
          <w:tcPr>
            <w:tcW w:w="100" w:type="dxa"/>
            <w:vAlign w:val="bottom"/>
            <w:shd w:val="clear" w:color="auto" w:fill="EBEBEB"/>
          </w:tcPr>
          <w:p>
            <w:pPr>
              <w:spacing w:after="0"/>
              <w:rPr>
                <w:sz w:val="3"/>
                <w:szCs w:val="3"/>
                <w:color w:val="auto"/>
              </w:rPr>
            </w:pPr>
          </w:p>
        </w:tc>
        <w:tc>
          <w:tcPr>
            <w:tcW w:w="620" w:type="dxa"/>
            <w:vAlign w:val="bottom"/>
            <w:shd w:val="clear" w:color="auto" w:fill="EBEBEB"/>
          </w:tcPr>
          <w:p>
            <w:pPr>
              <w:spacing w:after="0"/>
              <w:rPr>
                <w:sz w:val="3"/>
                <w:szCs w:val="3"/>
                <w:color w:val="auto"/>
              </w:rPr>
            </w:pPr>
          </w:p>
        </w:tc>
        <w:tc>
          <w:tcPr>
            <w:tcW w:w="600" w:type="dxa"/>
            <w:vAlign w:val="bottom"/>
            <w:shd w:val="clear" w:color="auto" w:fill="EBEBEB"/>
          </w:tcPr>
          <w:p>
            <w:pPr>
              <w:spacing w:after="0"/>
              <w:rPr>
                <w:sz w:val="3"/>
                <w:szCs w:val="3"/>
                <w:color w:val="auto"/>
              </w:rPr>
            </w:pPr>
          </w:p>
        </w:tc>
        <w:tc>
          <w:tcPr>
            <w:tcW w:w="580" w:type="dxa"/>
            <w:vAlign w:val="bottom"/>
            <w:shd w:val="clear" w:color="auto" w:fill="EBEBEB"/>
          </w:tcPr>
          <w:p>
            <w:pPr>
              <w:spacing w:after="0"/>
              <w:rPr>
                <w:sz w:val="3"/>
                <w:szCs w:val="3"/>
                <w:color w:val="auto"/>
              </w:rPr>
            </w:pPr>
          </w:p>
        </w:tc>
        <w:tc>
          <w:tcPr>
            <w:tcW w:w="100" w:type="dxa"/>
            <w:vAlign w:val="bottom"/>
            <w:shd w:val="clear" w:color="auto" w:fill="EBEBEB"/>
          </w:tcPr>
          <w:p>
            <w:pPr>
              <w:spacing w:after="0"/>
              <w:rPr>
                <w:sz w:val="3"/>
                <w:szCs w:val="3"/>
                <w:color w:val="auto"/>
              </w:rPr>
            </w:pPr>
          </w:p>
        </w:tc>
        <w:tc>
          <w:tcPr>
            <w:tcW w:w="900" w:type="dxa"/>
            <w:vAlign w:val="bottom"/>
            <w:shd w:val="clear" w:color="auto" w:fill="EBEBEB"/>
          </w:tcPr>
          <w:p>
            <w:pPr>
              <w:spacing w:after="0"/>
              <w:rPr>
                <w:sz w:val="3"/>
                <w:szCs w:val="3"/>
                <w:color w:val="auto"/>
              </w:rPr>
            </w:pPr>
          </w:p>
        </w:tc>
        <w:tc>
          <w:tcPr>
            <w:tcW w:w="940" w:type="dxa"/>
            <w:vAlign w:val="bottom"/>
            <w:shd w:val="clear" w:color="auto" w:fill="EBEBEB"/>
          </w:tcPr>
          <w:p>
            <w:pPr>
              <w:spacing w:after="0"/>
              <w:rPr>
                <w:sz w:val="3"/>
                <w:szCs w:val="3"/>
                <w:color w:val="auto"/>
              </w:rPr>
            </w:pPr>
          </w:p>
        </w:tc>
        <w:tc>
          <w:tcPr>
            <w:tcW w:w="860" w:type="dxa"/>
            <w:vAlign w:val="bottom"/>
            <w:shd w:val="clear" w:color="auto" w:fill="EBEBEB"/>
          </w:tcPr>
          <w:p>
            <w:pPr>
              <w:spacing w:after="0"/>
              <w:rPr>
                <w:sz w:val="3"/>
                <w:szCs w:val="3"/>
                <w:color w:val="auto"/>
              </w:rPr>
            </w:pPr>
          </w:p>
        </w:tc>
        <w:tc>
          <w:tcPr>
            <w:tcW w:w="720" w:type="dxa"/>
            <w:vAlign w:val="bottom"/>
            <w:shd w:val="clear" w:color="auto" w:fill="EBEBEB"/>
          </w:tcPr>
          <w:p>
            <w:pPr>
              <w:spacing w:after="0"/>
              <w:rPr>
                <w:sz w:val="3"/>
                <w:szCs w:val="3"/>
                <w:color w:val="auto"/>
              </w:rPr>
            </w:pPr>
          </w:p>
        </w:tc>
        <w:tc>
          <w:tcPr>
            <w:tcW w:w="800" w:type="dxa"/>
            <w:vAlign w:val="bottom"/>
            <w:shd w:val="clear" w:color="auto" w:fill="EBEBEB"/>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1080" w:type="dxa"/>
            <w:vAlign w:val="bottom"/>
            <w:tcBorders>
              <w:bottom w:val="single" w:sz="8" w:color="58585A"/>
            </w:tcBorders>
            <w:shd w:val="clear" w:color="auto" w:fill="EBEBEB"/>
          </w:tcPr>
          <w:p>
            <w:pPr>
              <w:ind w:left="40"/>
              <w:spacing w:after="0"/>
              <w:rPr>
                <w:sz w:val="20"/>
                <w:szCs w:val="20"/>
                <w:color w:val="auto"/>
              </w:rPr>
            </w:pPr>
            <w:r>
              <w:rPr>
                <w:rFonts w:ascii="Arial" w:cs="Arial" w:eastAsia="Arial" w:hAnsi="Arial"/>
                <w:sz w:val="13"/>
                <w:szCs w:val="13"/>
                <w:b w:val="1"/>
                <w:bCs w:val="1"/>
                <w:color w:val="C44E5E"/>
              </w:rPr>
              <w:t>M.D., Ph.D.</w:t>
            </w:r>
          </w:p>
        </w:tc>
        <w:tc>
          <w:tcPr>
            <w:tcW w:w="100" w:type="dxa"/>
            <w:vAlign w:val="bottom"/>
            <w:tcBorders>
              <w:bottom w:val="single" w:sz="8" w:color="58585A"/>
            </w:tcBorders>
            <w:shd w:val="clear" w:color="auto" w:fill="EBEBEB"/>
          </w:tcPr>
          <w:p>
            <w:pPr>
              <w:spacing w:after="0"/>
              <w:rPr>
                <w:sz w:val="13"/>
                <w:szCs w:val="13"/>
                <w:color w:val="auto"/>
              </w:rPr>
            </w:pPr>
          </w:p>
        </w:tc>
        <w:tc>
          <w:tcPr>
            <w:tcW w:w="760" w:type="dxa"/>
            <w:vAlign w:val="bottom"/>
            <w:tcBorders>
              <w:bottom w:val="single" w:sz="8" w:color="58585A"/>
            </w:tcBorders>
            <w:gridSpan w:val="2"/>
            <w:shd w:val="clear" w:color="auto" w:fill="EBEBEB"/>
          </w:tcPr>
          <w:p>
            <w:pPr>
              <w:jc w:val="right"/>
              <w:ind w:right="46"/>
              <w:spacing w:after="0"/>
              <w:rPr>
                <w:sz w:val="20"/>
                <w:szCs w:val="20"/>
                <w:color w:val="auto"/>
              </w:rPr>
            </w:pPr>
            <w:r>
              <w:rPr>
                <w:rFonts w:ascii="Arial" w:cs="Arial" w:eastAsia="Arial" w:hAnsi="Arial"/>
                <w:sz w:val="13"/>
                <w:szCs w:val="13"/>
                <w:color w:val="auto"/>
                <w:w w:val="98"/>
              </w:rPr>
              <w:t>12/31/2020</w:t>
            </w:r>
          </w:p>
        </w:tc>
        <w:tc>
          <w:tcPr>
            <w:tcW w:w="660" w:type="dxa"/>
            <w:vAlign w:val="bottom"/>
            <w:tcBorders>
              <w:bottom w:val="single" w:sz="8" w:color="58585A"/>
            </w:tcBorders>
            <w:shd w:val="clear" w:color="auto" w:fill="EBEBEB"/>
          </w:tcPr>
          <w:p>
            <w:pPr>
              <w:ind w:left="48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58585A"/>
            </w:tcBorders>
            <w:shd w:val="clear" w:color="auto" w:fill="EBEBEB"/>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58585A"/>
            </w:tcBorders>
            <w:gridSpan w:val="2"/>
            <w:shd w:val="clear" w:color="auto" w:fill="EBEBEB"/>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58585A"/>
            </w:tcBorders>
            <w:shd w:val="clear" w:color="auto" w:fill="EBEBEB"/>
          </w:tcPr>
          <w:p>
            <w:pPr>
              <w:jc w:val="right"/>
              <w:spacing w:after="0"/>
              <w:rPr>
                <w:sz w:val="20"/>
                <w:szCs w:val="20"/>
                <w:color w:val="auto"/>
              </w:rPr>
            </w:pPr>
            <w:r>
              <w:rPr>
                <w:rFonts w:ascii="Arial" w:cs="Arial" w:eastAsia="Arial" w:hAnsi="Arial"/>
                <w:sz w:val="13"/>
                <w:szCs w:val="13"/>
                <w:color w:val="auto"/>
              </w:rPr>
              <w:t>124,054</w:t>
            </w:r>
          </w:p>
        </w:tc>
        <w:tc>
          <w:tcPr>
            <w:tcW w:w="600" w:type="dxa"/>
            <w:vAlign w:val="bottom"/>
            <w:tcBorders>
              <w:bottom w:val="single" w:sz="8" w:color="58585A"/>
            </w:tcBorders>
            <w:shd w:val="clear" w:color="auto" w:fill="EBEBEB"/>
          </w:tcPr>
          <w:p>
            <w:pPr>
              <w:jc w:val="right"/>
              <w:spacing w:after="0"/>
              <w:rPr>
                <w:sz w:val="20"/>
                <w:szCs w:val="20"/>
                <w:color w:val="auto"/>
              </w:rPr>
            </w:pPr>
            <w:r>
              <w:rPr>
                <w:rFonts w:ascii="Arial" w:cs="Arial" w:eastAsia="Arial" w:hAnsi="Arial"/>
                <w:sz w:val="13"/>
                <w:szCs w:val="13"/>
                <w:color w:val="auto"/>
              </w:rPr>
              <w:t>248,108</w:t>
            </w:r>
          </w:p>
        </w:tc>
        <w:tc>
          <w:tcPr>
            <w:tcW w:w="680" w:type="dxa"/>
            <w:vAlign w:val="bottom"/>
            <w:tcBorders>
              <w:bottom w:val="single" w:sz="8" w:color="58585A"/>
            </w:tcBorders>
            <w:gridSpan w:val="2"/>
            <w:shd w:val="clear" w:color="auto" w:fill="EBEBEB"/>
          </w:tcPr>
          <w:p>
            <w:pPr>
              <w:jc w:val="right"/>
              <w:ind w:right="100"/>
              <w:spacing w:after="0"/>
              <w:rPr>
                <w:sz w:val="20"/>
                <w:szCs w:val="20"/>
                <w:color w:val="auto"/>
              </w:rPr>
            </w:pPr>
            <w:r>
              <w:rPr>
                <w:rFonts w:ascii="Arial" w:cs="Arial" w:eastAsia="Arial" w:hAnsi="Arial"/>
                <w:sz w:val="13"/>
                <w:szCs w:val="13"/>
                <w:color w:val="auto"/>
              </w:rPr>
              <w:t>620,270</w:t>
            </w:r>
          </w:p>
        </w:tc>
        <w:tc>
          <w:tcPr>
            <w:tcW w:w="900" w:type="dxa"/>
            <w:vAlign w:val="bottom"/>
            <w:tcBorders>
              <w:bottom w:val="single" w:sz="8" w:color="58585A"/>
            </w:tcBorders>
            <w:shd w:val="clear" w:color="auto" w:fill="EBEBEB"/>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BEBEB"/>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BEBEB"/>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58585A"/>
            </w:tcBorders>
            <w:shd w:val="clear" w:color="auto" w:fill="EBEBE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58585A"/>
            </w:tcBorders>
            <w:shd w:val="clear" w:color="auto" w:fill="EBEBEB"/>
          </w:tcPr>
          <w:p>
            <w:pPr>
              <w:jc w:val="right"/>
              <w:spacing w:after="0"/>
              <w:rPr>
                <w:sz w:val="20"/>
                <w:szCs w:val="20"/>
                <w:color w:val="auto"/>
              </w:rPr>
            </w:pPr>
            <w:r>
              <w:rPr>
                <w:rFonts w:ascii="Arial" w:cs="Arial" w:eastAsia="Arial" w:hAnsi="Arial"/>
                <w:sz w:val="13"/>
                <w:szCs w:val="13"/>
                <w:color w:val="auto"/>
              </w:rPr>
              <w:t>130,000,032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80" w:type="dxa"/>
            <w:vAlign w:val="bottom"/>
            <w:vMerge w:val="restart"/>
          </w:tcPr>
          <w:p>
            <w:pPr>
              <w:ind w:left="40"/>
              <w:spacing w:after="0"/>
              <w:rPr>
                <w:sz w:val="20"/>
                <w:szCs w:val="20"/>
                <w:color w:val="auto"/>
              </w:rPr>
            </w:pPr>
            <w:r>
              <w:rPr>
                <w:rFonts w:ascii="Arial" w:cs="Arial" w:eastAsia="Arial" w:hAnsi="Arial"/>
                <w:sz w:val="13"/>
                <w:szCs w:val="13"/>
                <w:b w:val="1"/>
                <w:bCs w:val="1"/>
                <w:color w:val="C44E5E"/>
                <w:w w:val="97"/>
              </w:rPr>
              <w:t>Robert E. Landry</w:t>
            </w:r>
          </w:p>
        </w:tc>
        <w:tc>
          <w:tcPr>
            <w:tcW w:w="100" w:type="dxa"/>
            <w:vAlign w:val="bottom"/>
            <w:tcBorders>
              <w:bottom w:val="single" w:sz="8" w:color="58585A"/>
            </w:tcBorders>
          </w:tcPr>
          <w:p>
            <w:pPr>
              <w:spacing w:after="0"/>
              <w:rPr>
                <w:sz w:val="12"/>
                <w:szCs w:val="12"/>
                <w:color w:val="auto"/>
              </w:rPr>
            </w:pPr>
          </w:p>
        </w:tc>
        <w:tc>
          <w:tcPr>
            <w:tcW w:w="760" w:type="dxa"/>
            <w:vAlign w:val="bottom"/>
            <w:tcBorders>
              <w:bottom w:val="single" w:sz="8" w:color="58585A"/>
            </w:tcBorders>
            <w:gridSpan w:val="2"/>
          </w:tcPr>
          <w:p>
            <w:pPr>
              <w:jc w:val="right"/>
              <w:ind w:right="46"/>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58585A"/>
            </w:tcBorders>
          </w:tcPr>
          <w:p>
            <w:pPr>
              <w:ind w:left="480"/>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516,750</w:t>
            </w:r>
          </w:p>
        </w:tc>
        <w:tc>
          <w:tcPr>
            <w:tcW w:w="740" w:type="dxa"/>
            <w:vAlign w:val="bottom"/>
            <w:tcBorders>
              <w:bottom w:val="single" w:sz="8" w:color="58585A"/>
            </w:tcBorders>
            <w:gridSpan w:val="2"/>
          </w:tcPr>
          <w:p>
            <w:pPr>
              <w:jc w:val="right"/>
              <w:ind w:right="80"/>
              <w:spacing w:after="0" w:line="142" w:lineRule="exact"/>
              <w:rPr>
                <w:sz w:val="20"/>
                <w:szCs w:val="20"/>
                <w:color w:val="auto"/>
              </w:rPr>
            </w:pPr>
            <w:r>
              <w:rPr>
                <w:rFonts w:ascii="Arial" w:cs="Arial" w:eastAsia="Arial" w:hAnsi="Arial"/>
                <w:sz w:val="13"/>
                <w:szCs w:val="13"/>
                <w:color w:val="auto"/>
              </w:rPr>
              <w:t>938,872</w:t>
            </w:r>
          </w:p>
        </w:tc>
        <w:tc>
          <w:tcPr>
            <w:tcW w:w="62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080" w:type="dxa"/>
            <w:vAlign w:val="bottom"/>
            <w:vMerge w:val="continue"/>
          </w:tcPr>
          <w:p>
            <w:pPr>
              <w:spacing w:after="0"/>
              <w:rPr>
                <w:sz w:val="12"/>
                <w:szCs w:val="12"/>
                <w:color w:val="auto"/>
              </w:rPr>
            </w:pPr>
          </w:p>
        </w:tc>
        <w:tc>
          <w:tcPr>
            <w:tcW w:w="860" w:type="dxa"/>
            <w:vAlign w:val="bottom"/>
            <w:tcBorders>
              <w:bottom w:val="single" w:sz="8" w:color="58585A"/>
            </w:tcBorders>
            <w:gridSpan w:val="3"/>
          </w:tcPr>
          <w:p>
            <w:pPr>
              <w:jc w:val="right"/>
              <w:spacing w:after="0" w:line="142" w:lineRule="exact"/>
              <w:rPr>
                <w:sz w:val="20"/>
                <w:szCs w:val="20"/>
                <w:color w:val="auto"/>
              </w:rPr>
            </w:pPr>
            <w:r>
              <w:rPr>
                <w:rFonts w:ascii="Arial" w:cs="Arial" w:eastAsia="Arial" w:hAnsi="Arial"/>
                <w:sz w:val="11"/>
                <w:szCs w:val="11"/>
                <w:color w:val="auto"/>
              </w:rPr>
              <w:t xml:space="preserve">12/09/2020 </w:t>
            </w:r>
            <w:r>
              <w:rPr>
                <w:rFonts w:ascii="Arial" w:cs="Arial" w:eastAsia="Arial" w:hAnsi="Arial"/>
                <w:sz w:val="16"/>
                <w:szCs w:val="16"/>
                <w:color w:val="auto"/>
                <w:vertAlign w:val="superscript"/>
              </w:rPr>
              <w:t>5</w:t>
            </w:r>
          </w:p>
        </w:tc>
        <w:tc>
          <w:tcPr>
            <w:tcW w:w="660" w:type="dxa"/>
            <w:vAlign w:val="bottom"/>
            <w:tcBorders>
              <w:bottom w:val="single" w:sz="8" w:color="58585A"/>
            </w:tcBorders>
          </w:tcPr>
          <w:p>
            <w:pPr>
              <w:ind w:left="480"/>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58585A"/>
            </w:tcBorders>
            <w:gridSpan w:val="2"/>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77"/>
              <w:spacing w:after="0" w:line="142" w:lineRule="exact"/>
              <w:rPr>
                <w:sz w:val="20"/>
                <w:szCs w:val="20"/>
                <w:color w:val="auto"/>
              </w:rPr>
            </w:pPr>
            <w:r>
              <w:rPr>
                <w:rFonts w:ascii="Arial" w:cs="Arial" w:eastAsia="Arial" w:hAnsi="Arial"/>
                <w:sz w:val="13"/>
                <w:szCs w:val="13"/>
                <w:color w:val="auto"/>
              </w:rPr>
              <w:t>19,950</w:t>
            </w:r>
          </w:p>
        </w:tc>
        <w:tc>
          <w:tcPr>
            <w:tcW w:w="860" w:type="dxa"/>
            <w:vAlign w:val="bottom"/>
            <w:tcBorders>
              <w:bottom w:val="single" w:sz="8" w:color="58585A"/>
            </w:tcBorders>
          </w:tcPr>
          <w:p>
            <w:pPr>
              <w:jc w:val="right"/>
              <w:ind w:right="17"/>
              <w:spacing w:after="0" w:line="142" w:lineRule="exact"/>
              <w:rPr>
                <w:sz w:val="20"/>
                <w:szCs w:val="20"/>
                <w:color w:val="auto"/>
              </w:rPr>
            </w:pPr>
            <w:r>
              <w:rPr>
                <w:rFonts w:ascii="Arial" w:cs="Arial" w:eastAsia="Arial" w:hAnsi="Arial"/>
                <w:sz w:val="13"/>
                <w:szCs w:val="13"/>
                <w:color w:val="auto"/>
              </w:rPr>
              <w:t>492.00</w:t>
            </w:r>
          </w:p>
        </w:tc>
        <w:tc>
          <w:tcPr>
            <w:tcW w:w="72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488.64</w:t>
            </w:r>
          </w:p>
        </w:tc>
        <w:tc>
          <w:tcPr>
            <w:tcW w:w="8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3,459,499</w:t>
            </w:r>
          </w:p>
        </w:tc>
        <w:tc>
          <w:tcPr>
            <w:tcW w:w="20" w:type="dxa"/>
            <w:vAlign w:val="bottom"/>
            <w:tcBorders>
              <w:bottom w:val="single" w:sz="8" w:color="58585A"/>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1"/>
                <w:szCs w:val="11"/>
                <w:color w:val="auto"/>
              </w:rPr>
              <w:t xml:space="preserve">12/09/2020 </w:t>
            </w:r>
            <w:r>
              <w:rPr>
                <w:rFonts w:ascii="Arial" w:cs="Arial" w:eastAsia="Arial" w:hAnsi="Arial"/>
                <w:sz w:val="16"/>
                <w:szCs w:val="16"/>
                <w:color w:val="auto"/>
                <w:vertAlign w:val="superscript"/>
              </w:rPr>
              <w:t>6</w:t>
            </w:r>
          </w:p>
        </w:tc>
        <w:tc>
          <w:tcPr>
            <w:tcW w:w="660" w:type="dxa"/>
            <w:vAlign w:val="bottom"/>
          </w:tcPr>
          <w:p>
            <w:pPr>
              <w:ind w:left="480"/>
              <w:spacing w:after="0" w:line="142"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1,930</w:t>
            </w:r>
          </w:p>
        </w:tc>
        <w:tc>
          <w:tcPr>
            <w:tcW w:w="940" w:type="dxa"/>
            <w:vAlign w:val="bottom"/>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949,560</w:t>
            </w:r>
          </w:p>
        </w:tc>
        <w:tc>
          <w:tcPr>
            <w:tcW w:w="0" w:type="dxa"/>
            <w:vAlign w:val="bottom"/>
          </w:tcPr>
          <w:p>
            <w:pPr>
              <w:spacing w:after="0"/>
              <w:rPr>
                <w:sz w:val="1"/>
                <w:szCs w:val="1"/>
                <w:color w:val="auto"/>
              </w:rPr>
            </w:pPr>
          </w:p>
        </w:tc>
      </w:tr>
      <w:tr>
        <w:trPr>
          <w:trHeight w:val="142"/>
        </w:trPr>
        <w:tc>
          <w:tcPr>
            <w:tcW w:w="1080" w:type="dxa"/>
            <w:vAlign w:val="bottom"/>
            <w:tcBorders>
              <w:top w:val="single" w:sz="8" w:color="58585A"/>
              <w:bottom w:val="single" w:sz="8" w:color="58585A"/>
            </w:tcBorders>
            <w:vMerge w:val="restart"/>
            <w:shd w:val="clear" w:color="auto" w:fill="EBEBEB"/>
          </w:tcPr>
          <w:p>
            <w:pPr>
              <w:ind w:left="40"/>
              <w:spacing w:after="0"/>
              <w:rPr>
                <w:sz w:val="20"/>
                <w:szCs w:val="20"/>
                <w:color w:val="auto"/>
              </w:rPr>
            </w:pPr>
            <w:r>
              <w:rPr>
                <w:rFonts w:ascii="Arial" w:cs="Arial" w:eastAsia="Arial" w:hAnsi="Arial"/>
                <w:sz w:val="13"/>
                <w:szCs w:val="13"/>
                <w:b w:val="1"/>
                <w:bCs w:val="1"/>
                <w:color w:val="C44E5E"/>
              </w:rPr>
              <w:t>Daniel P. Van</w:t>
            </w:r>
          </w:p>
        </w:tc>
        <w:tc>
          <w:tcPr>
            <w:tcW w:w="100" w:type="dxa"/>
            <w:vAlign w:val="bottom"/>
            <w:tcBorders>
              <w:top w:val="single" w:sz="8" w:color="58585A"/>
              <w:bottom w:val="single" w:sz="8" w:color="58585A"/>
            </w:tcBorders>
            <w:shd w:val="clear" w:color="auto" w:fill="EBEBEB"/>
          </w:tcPr>
          <w:p>
            <w:pPr>
              <w:spacing w:after="0"/>
              <w:rPr>
                <w:sz w:val="12"/>
                <w:szCs w:val="12"/>
                <w:color w:val="auto"/>
              </w:rPr>
            </w:pPr>
          </w:p>
        </w:tc>
        <w:tc>
          <w:tcPr>
            <w:tcW w:w="760" w:type="dxa"/>
            <w:vAlign w:val="bottom"/>
            <w:tcBorders>
              <w:top w:val="single" w:sz="8" w:color="58585A"/>
              <w:bottom w:val="single" w:sz="8" w:color="58585A"/>
            </w:tcBorders>
            <w:gridSpan w:val="2"/>
            <w:shd w:val="clear" w:color="auto" w:fill="EBEBEB"/>
          </w:tcPr>
          <w:p>
            <w:pPr>
              <w:jc w:val="right"/>
              <w:ind w:right="46"/>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58585A"/>
              <w:bottom w:val="single" w:sz="8" w:color="58585A"/>
            </w:tcBorders>
            <w:shd w:val="clear" w:color="auto" w:fill="EBEBEB"/>
          </w:tcPr>
          <w:p>
            <w:pPr>
              <w:ind w:left="480"/>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58585A"/>
              <w:bottom w:val="single" w:sz="8" w:color="58585A"/>
            </w:tcBorders>
            <w:shd w:val="clear" w:color="auto" w:fill="EBEBEB"/>
          </w:tcPr>
          <w:p>
            <w:pPr>
              <w:jc w:val="right"/>
              <w:spacing w:after="0" w:line="142" w:lineRule="exact"/>
              <w:rPr>
                <w:sz w:val="20"/>
                <w:szCs w:val="20"/>
                <w:color w:val="auto"/>
              </w:rPr>
            </w:pPr>
            <w:r>
              <w:rPr>
                <w:rFonts w:ascii="Arial" w:cs="Arial" w:eastAsia="Arial" w:hAnsi="Arial"/>
                <w:sz w:val="13"/>
                <w:szCs w:val="13"/>
                <w:color w:val="auto"/>
              </w:rPr>
              <w:t>516,750</w:t>
            </w:r>
          </w:p>
        </w:tc>
        <w:tc>
          <w:tcPr>
            <w:tcW w:w="740" w:type="dxa"/>
            <w:vAlign w:val="bottom"/>
            <w:tcBorders>
              <w:top w:val="single" w:sz="8" w:color="58585A"/>
              <w:bottom w:val="single" w:sz="8" w:color="58585A"/>
            </w:tcBorders>
            <w:gridSpan w:val="2"/>
            <w:shd w:val="clear" w:color="auto" w:fill="EBEBEB"/>
          </w:tcPr>
          <w:p>
            <w:pPr>
              <w:jc w:val="right"/>
              <w:ind w:right="80"/>
              <w:spacing w:after="0" w:line="142" w:lineRule="exact"/>
              <w:rPr>
                <w:sz w:val="20"/>
                <w:szCs w:val="20"/>
                <w:color w:val="auto"/>
              </w:rPr>
            </w:pPr>
            <w:r>
              <w:rPr>
                <w:rFonts w:ascii="Arial" w:cs="Arial" w:eastAsia="Arial" w:hAnsi="Arial"/>
                <w:sz w:val="13"/>
                <w:szCs w:val="13"/>
                <w:color w:val="auto"/>
              </w:rPr>
              <w:t>938,872</w:t>
            </w:r>
          </w:p>
        </w:tc>
        <w:tc>
          <w:tcPr>
            <w:tcW w:w="620" w:type="dxa"/>
            <w:vAlign w:val="bottom"/>
            <w:tcBorders>
              <w:top w:val="single" w:sz="8" w:color="58585A"/>
              <w:bottom w:val="single" w:sz="8" w:color="58585A"/>
            </w:tcBorders>
            <w:shd w:val="clear" w:color="auto" w:fill="EBEBEB"/>
          </w:tcPr>
          <w:p>
            <w:pPr>
              <w:jc w:val="right"/>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58585A"/>
              <w:bottom w:val="single" w:sz="8" w:color="58585A"/>
            </w:tcBorders>
            <w:shd w:val="clear" w:color="auto" w:fill="EBEBEB"/>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58585A"/>
              <w:bottom w:val="single" w:sz="8" w:color="58585A"/>
            </w:tcBorders>
            <w:gridSpan w:val="2"/>
            <w:shd w:val="clear" w:color="auto" w:fill="EBEBEB"/>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top w:val="single" w:sz="8" w:color="58585A"/>
              <w:bottom w:val="single" w:sz="8" w:color="58585A"/>
            </w:tcBorders>
            <w:shd w:val="clear" w:color="auto" w:fill="EBEBEB"/>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940" w:type="dxa"/>
            <w:vAlign w:val="bottom"/>
            <w:tcBorders>
              <w:top w:val="single" w:sz="8" w:color="58585A"/>
              <w:bottom w:val="single" w:sz="8" w:color="58585A"/>
            </w:tcBorders>
            <w:shd w:val="clear" w:color="auto" w:fill="EBEBEB"/>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top w:val="single" w:sz="8" w:color="58585A"/>
              <w:bottom w:val="single" w:sz="8" w:color="58585A"/>
            </w:tcBorders>
            <w:shd w:val="clear" w:color="auto" w:fill="EBEBEB"/>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58585A"/>
              <w:bottom w:val="single" w:sz="8" w:color="58585A"/>
            </w:tcBorders>
            <w:shd w:val="clear" w:color="auto" w:fill="EBEBEB"/>
          </w:tcPr>
          <w:p>
            <w:pPr>
              <w:jc w:val="right"/>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58585A"/>
              <w:bottom w:val="single" w:sz="8" w:color="58585A"/>
            </w:tcBorders>
            <w:shd w:val="clear" w:color="auto" w:fill="EBEBEB"/>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80" w:type="dxa"/>
            <w:vAlign w:val="bottom"/>
            <w:tcBorders>
              <w:bottom w:val="single" w:sz="8" w:color="EBEBEB"/>
            </w:tcBorders>
            <w:vMerge w:val="continue"/>
            <w:shd w:val="clear" w:color="auto" w:fill="EBEBEB"/>
          </w:tcPr>
          <w:p>
            <w:pPr>
              <w:spacing w:after="0"/>
              <w:rPr>
                <w:sz w:val="12"/>
                <w:szCs w:val="12"/>
                <w:color w:val="auto"/>
              </w:rPr>
            </w:pPr>
          </w:p>
        </w:tc>
        <w:tc>
          <w:tcPr>
            <w:tcW w:w="100" w:type="dxa"/>
            <w:vAlign w:val="bottom"/>
            <w:tcBorders>
              <w:bottom w:val="single" w:sz="8" w:color="EBEBEB"/>
            </w:tcBorders>
            <w:shd w:val="clear" w:color="auto" w:fill="EBEBEB"/>
          </w:tcPr>
          <w:p>
            <w:pPr>
              <w:spacing w:after="0"/>
              <w:rPr>
                <w:sz w:val="12"/>
                <w:szCs w:val="12"/>
                <w:color w:val="auto"/>
              </w:rPr>
            </w:pPr>
          </w:p>
        </w:tc>
        <w:tc>
          <w:tcPr>
            <w:tcW w:w="660" w:type="dxa"/>
            <w:vAlign w:val="bottom"/>
            <w:tcBorders>
              <w:bottom w:val="single" w:sz="8" w:color="EBEBEB"/>
            </w:tcBorders>
            <w:shd w:val="clear" w:color="auto" w:fill="EBEBEB"/>
          </w:tcPr>
          <w:p>
            <w:pPr>
              <w:jc w:val="right"/>
              <w:spacing w:after="0" w:line="120" w:lineRule="exact"/>
              <w:rPr>
                <w:sz w:val="20"/>
                <w:szCs w:val="20"/>
                <w:color w:val="auto"/>
              </w:rPr>
            </w:pPr>
            <w:r>
              <w:rPr>
                <w:rFonts w:ascii="Arial" w:cs="Arial" w:eastAsia="Arial" w:hAnsi="Arial"/>
                <w:sz w:val="13"/>
                <w:szCs w:val="13"/>
                <w:color w:val="auto"/>
                <w:w w:val="98"/>
              </w:rPr>
              <w:t>12/09/2020</w:t>
            </w:r>
          </w:p>
        </w:tc>
        <w:tc>
          <w:tcPr>
            <w:tcW w:w="100" w:type="dxa"/>
            <w:vAlign w:val="bottom"/>
            <w:tcBorders>
              <w:bottom w:val="single" w:sz="8" w:color="EBEBEB"/>
            </w:tcBorders>
            <w:shd w:val="clear" w:color="auto" w:fill="EBEBEB"/>
          </w:tcPr>
          <w:p>
            <w:pPr>
              <w:jc w:val="right"/>
              <w:spacing w:after="0" w:line="120" w:lineRule="exact"/>
              <w:rPr>
                <w:sz w:val="20"/>
                <w:szCs w:val="20"/>
                <w:color w:val="auto"/>
              </w:rPr>
            </w:pPr>
            <w:r>
              <w:rPr>
                <w:rFonts w:ascii="Arial" w:cs="Arial" w:eastAsia="Arial" w:hAnsi="Arial"/>
                <w:sz w:val="11"/>
                <w:szCs w:val="11"/>
                <w:color w:val="auto"/>
              </w:rPr>
              <w:t>5</w:t>
            </w:r>
          </w:p>
        </w:tc>
        <w:tc>
          <w:tcPr>
            <w:tcW w:w="660" w:type="dxa"/>
            <w:vAlign w:val="bottom"/>
            <w:tcBorders>
              <w:bottom w:val="single" w:sz="8" w:color="EBEBEB"/>
            </w:tcBorders>
            <w:shd w:val="clear" w:color="auto" w:fill="EBEBEB"/>
          </w:tcPr>
          <w:p>
            <w:pPr>
              <w:ind w:left="480"/>
              <w:spacing w:after="0" w:line="120"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EBEBEB"/>
            </w:tcBorders>
            <w:shd w:val="clear" w:color="auto" w:fill="EBEBEB"/>
          </w:tcPr>
          <w:p>
            <w:pPr>
              <w:jc w:val="right"/>
              <w:spacing w:after="0" w:line="120"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EBEBEB"/>
            </w:tcBorders>
            <w:gridSpan w:val="2"/>
            <w:shd w:val="clear" w:color="auto" w:fill="EBEBEB"/>
          </w:tcPr>
          <w:p>
            <w:pPr>
              <w:jc w:val="right"/>
              <w:ind w:right="80"/>
              <w:spacing w:after="0" w:line="120"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EBEBEB"/>
            </w:tcBorders>
            <w:shd w:val="clear" w:color="auto" w:fill="EBEBEB"/>
          </w:tcPr>
          <w:p>
            <w:pPr>
              <w:jc w:val="right"/>
              <w:spacing w:after="0" w:line="120"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EBEBEB"/>
            </w:tcBorders>
            <w:shd w:val="clear" w:color="auto" w:fill="EBEBEB"/>
          </w:tcPr>
          <w:p>
            <w:pPr>
              <w:jc w:val="right"/>
              <w:spacing w:after="0" w:line="120"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EBEBEB"/>
            </w:tcBorders>
            <w:gridSpan w:val="2"/>
            <w:shd w:val="clear" w:color="auto" w:fill="EBEBEB"/>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EBEBEB"/>
            </w:tcBorders>
            <w:shd w:val="clear" w:color="auto" w:fill="EBEBEB"/>
          </w:tcPr>
          <w:p>
            <w:pPr>
              <w:jc w:val="right"/>
              <w:ind w:right="37"/>
              <w:spacing w:after="0" w:line="120"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EBEBEB"/>
            </w:tcBorders>
            <w:shd w:val="clear" w:color="auto" w:fill="EBEBEB"/>
          </w:tcPr>
          <w:p>
            <w:pPr>
              <w:jc w:val="right"/>
              <w:ind w:right="77"/>
              <w:spacing w:after="0" w:line="120" w:lineRule="exact"/>
              <w:rPr>
                <w:sz w:val="20"/>
                <w:szCs w:val="20"/>
                <w:color w:val="auto"/>
              </w:rPr>
            </w:pPr>
            <w:r>
              <w:rPr>
                <w:rFonts w:ascii="Arial" w:cs="Arial" w:eastAsia="Arial" w:hAnsi="Arial"/>
                <w:sz w:val="13"/>
                <w:szCs w:val="13"/>
                <w:color w:val="auto"/>
              </w:rPr>
              <w:t>19,950</w:t>
            </w:r>
          </w:p>
        </w:tc>
        <w:tc>
          <w:tcPr>
            <w:tcW w:w="860" w:type="dxa"/>
            <w:vAlign w:val="bottom"/>
            <w:tcBorders>
              <w:bottom w:val="single" w:sz="8" w:color="EBEBEB"/>
            </w:tcBorders>
            <w:shd w:val="clear" w:color="auto" w:fill="EBEBEB"/>
          </w:tcPr>
          <w:p>
            <w:pPr>
              <w:jc w:val="right"/>
              <w:ind w:right="17"/>
              <w:spacing w:after="0" w:line="120" w:lineRule="exact"/>
              <w:rPr>
                <w:sz w:val="20"/>
                <w:szCs w:val="20"/>
                <w:color w:val="auto"/>
              </w:rPr>
            </w:pPr>
            <w:r>
              <w:rPr>
                <w:rFonts w:ascii="Arial" w:cs="Arial" w:eastAsia="Arial" w:hAnsi="Arial"/>
                <w:sz w:val="13"/>
                <w:szCs w:val="13"/>
                <w:color w:val="auto"/>
              </w:rPr>
              <w:t>492.00</w:t>
            </w:r>
          </w:p>
        </w:tc>
        <w:tc>
          <w:tcPr>
            <w:tcW w:w="720" w:type="dxa"/>
            <w:vAlign w:val="bottom"/>
            <w:tcBorders>
              <w:bottom w:val="single" w:sz="8" w:color="EBEBEB"/>
            </w:tcBorders>
            <w:shd w:val="clear" w:color="auto" w:fill="EBEBEB"/>
          </w:tcPr>
          <w:p>
            <w:pPr>
              <w:jc w:val="right"/>
              <w:spacing w:after="0" w:line="120" w:lineRule="exact"/>
              <w:rPr>
                <w:sz w:val="20"/>
                <w:szCs w:val="20"/>
                <w:color w:val="auto"/>
              </w:rPr>
            </w:pPr>
            <w:r>
              <w:rPr>
                <w:rFonts w:ascii="Arial" w:cs="Arial" w:eastAsia="Arial" w:hAnsi="Arial"/>
                <w:sz w:val="13"/>
                <w:szCs w:val="13"/>
                <w:color w:val="auto"/>
              </w:rPr>
              <w:t>488.64</w:t>
            </w:r>
          </w:p>
        </w:tc>
        <w:tc>
          <w:tcPr>
            <w:tcW w:w="800" w:type="dxa"/>
            <w:vAlign w:val="bottom"/>
            <w:tcBorders>
              <w:bottom w:val="single" w:sz="8" w:color="EBEBEB"/>
            </w:tcBorders>
            <w:shd w:val="clear" w:color="auto" w:fill="EBEBEB"/>
          </w:tcPr>
          <w:p>
            <w:pPr>
              <w:jc w:val="right"/>
              <w:spacing w:after="0" w:line="120" w:lineRule="exact"/>
              <w:rPr>
                <w:sz w:val="20"/>
                <w:szCs w:val="20"/>
                <w:color w:val="auto"/>
              </w:rPr>
            </w:pPr>
            <w:r>
              <w:rPr>
                <w:rFonts w:ascii="Arial" w:cs="Arial" w:eastAsia="Arial" w:hAnsi="Arial"/>
                <w:sz w:val="13"/>
                <w:szCs w:val="13"/>
                <w:color w:val="auto"/>
              </w:rPr>
              <w:t>3,459,499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Borders>
              <w:top w:val="single" w:sz="8" w:color="EBEBEB"/>
              <w:bottom w:val="single" w:sz="8" w:color="EBEBEB"/>
            </w:tcBorders>
            <w:shd w:val="clear" w:color="auto" w:fill="EBEBEB"/>
          </w:tcPr>
          <w:p>
            <w:pPr>
              <w:ind w:left="40"/>
              <w:spacing w:after="0" w:line="126" w:lineRule="exact"/>
              <w:rPr>
                <w:sz w:val="20"/>
                <w:szCs w:val="20"/>
                <w:color w:val="auto"/>
              </w:rPr>
            </w:pPr>
            <w:r>
              <w:rPr>
                <w:rFonts w:ascii="Arial" w:cs="Arial" w:eastAsia="Arial" w:hAnsi="Arial"/>
                <w:sz w:val="13"/>
                <w:szCs w:val="13"/>
                <w:b w:val="1"/>
                <w:bCs w:val="1"/>
                <w:color w:val="C44E5E"/>
              </w:rPr>
              <w:t>Plew</w:t>
            </w:r>
          </w:p>
        </w:tc>
        <w:tc>
          <w:tcPr>
            <w:tcW w:w="100" w:type="dxa"/>
            <w:vAlign w:val="bottom"/>
            <w:tcBorders>
              <w:top w:val="single" w:sz="8" w:color="58585A"/>
              <w:bottom w:val="single" w:sz="8" w:color="58585A"/>
            </w:tcBorders>
            <w:shd w:val="clear" w:color="auto" w:fill="EBEBEB"/>
          </w:tcPr>
          <w:p>
            <w:pPr>
              <w:spacing w:after="0"/>
              <w:rPr>
                <w:sz w:val="12"/>
                <w:szCs w:val="12"/>
                <w:color w:val="auto"/>
              </w:rPr>
            </w:pPr>
          </w:p>
        </w:tc>
        <w:tc>
          <w:tcPr>
            <w:tcW w:w="660" w:type="dxa"/>
            <w:vAlign w:val="bottom"/>
            <w:tcBorders>
              <w:top w:val="single" w:sz="8" w:color="58585A"/>
              <w:bottom w:val="single" w:sz="8" w:color="58585A"/>
            </w:tcBorders>
            <w:shd w:val="clear" w:color="auto" w:fill="EBEBEB"/>
          </w:tcPr>
          <w:p>
            <w:pPr>
              <w:jc w:val="right"/>
              <w:spacing w:after="0" w:line="142" w:lineRule="exact"/>
              <w:rPr>
                <w:sz w:val="20"/>
                <w:szCs w:val="20"/>
                <w:color w:val="auto"/>
              </w:rPr>
            </w:pPr>
            <w:r>
              <w:rPr>
                <w:rFonts w:ascii="Arial" w:cs="Arial" w:eastAsia="Arial" w:hAnsi="Arial"/>
                <w:sz w:val="13"/>
                <w:szCs w:val="13"/>
                <w:color w:val="auto"/>
                <w:w w:val="98"/>
              </w:rPr>
              <w:t>12/09/2020</w:t>
            </w:r>
          </w:p>
        </w:tc>
        <w:tc>
          <w:tcPr>
            <w:tcW w:w="100" w:type="dxa"/>
            <w:vAlign w:val="bottom"/>
            <w:tcBorders>
              <w:top w:val="single" w:sz="8" w:color="58585A"/>
              <w:bottom w:val="single" w:sz="8" w:color="58585A"/>
            </w:tcBorders>
            <w:shd w:val="clear" w:color="auto" w:fill="EBEBEB"/>
          </w:tcPr>
          <w:p>
            <w:pPr>
              <w:jc w:val="right"/>
              <w:spacing w:after="0"/>
              <w:rPr>
                <w:sz w:val="20"/>
                <w:szCs w:val="20"/>
                <w:color w:val="auto"/>
              </w:rPr>
            </w:pPr>
            <w:r>
              <w:rPr>
                <w:rFonts w:ascii="Arial" w:cs="Arial" w:eastAsia="Arial" w:hAnsi="Arial"/>
                <w:sz w:val="11"/>
                <w:szCs w:val="11"/>
                <w:color w:val="auto"/>
              </w:rPr>
              <w:t>6</w:t>
            </w:r>
          </w:p>
        </w:tc>
        <w:tc>
          <w:tcPr>
            <w:tcW w:w="660" w:type="dxa"/>
            <w:vAlign w:val="bottom"/>
            <w:tcBorders>
              <w:top w:val="single" w:sz="8" w:color="58585A"/>
              <w:bottom w:val="single" w:sz="8" w:color="58585A"/>
            </w:tcBorders>
            <w:shd w:val="clear" w:color="auto" w:fill="EBEBEB"/>
          </w:tcPr>
          <w:p>
            <w:pPr>
              <w:ind w:left="480"/>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58585A"/>
              <w:bottom w:val="single" w:sz="8" w:color="58585A"/>
            </w:tcBorders>
            <w:shd w:val="clear" w:color="auto" w:fill="EBEBEB"/>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58585A"/>
              <w:bottom w:val="single" w:sz="8" w:color="58585A"/>
            </w:tcBorders>
            <w:gridSpan w:val="2"/>
            <w:shd w:val="clear" w:color="auto" w:fill="EBEBEB"/>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58585A"/>
              <w:bottom w:val="single" w:sz="8" w:color="58585A"/>
            </w:tcBorders>
            <w:shd w:val="clear" w:color="auto" w:fill="EBEBEB"/>
          </w:tcPr>
          <w:p>
            <w:pPr>
              <w:jc w:val="right"/>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58585A"/>
              <w:bottom w:val="single" w:sz="8" w:color="58585A"/>
            </w:tcBorders>
            <w:shd w:val="clear" w:color="auto" w:fill="EBEBEB"/>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58585A"/>
              <w:bottom w:val="single" w:sz="8" w:color="58585A"/>
            </w:tcBorders>
            <w:gridSpan w:val="2"/>
            <w:shd w:val="clear" w:color="auto" w:fill="EBEBEB"/>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top w:val="single" w:sz="8" w:color="58585A"/>
              <w:bottom w:val="single" w:sz="8" w:color="58585A"/>
            </w:tcBorders>
            <w:shd w:val="clear" w:color="auto" w:fill="EBEBEB"/>
          </w:tcPr>
          <w:p>
            <w:pPr>
              <w:jc w:val="right"/>
              <w:ind w:right="37"/>
              <w:spacing w:after="0" w:line="142" w:lineRule="exact"/>
              <w:rPr>
                <w:sz w:val="20"/>
                <w:szCs w:val="20"/>
                <w:color w:val="auto"/>
              </w:rPr>
            </w:pPr>
            <w:r>
              <w:rPr>
                <w:rFonts w:ascii="Arial" w:cs="Arial" w:eastAsia="Arial" w:hAnsi="Arial"/>
                <w:sz w:val="13"/>
                <w:szCs w:val="13"/>
                <w:color w:val="auto"/>
              </w:rPr>
              <w:t>1,930</w:t>
            </w:r>
          </w:p>
        </w:tc>
        <w:tc>
          <w:tcPr>
            <w:tcW w:w="940" w:type="dxa"/>
            <w:vAlign w:val="bottom"/>
            <w:tcBorders>
              <w:top w:val="single" w:sz="8" w:color="58585A"/>
              <w:bottom w:val="single" w:sz="8" w:color="58585A"/>
            </w:tcBorders>
            <w:shd w:val="clear" w:color="auto" w:fill="EBEBEB"/>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top w:val="single" w:sz="8" w:color="58585A"/>
              <w:bottom w:val="single" w:sz="8" w:color="58585A"/>
            </w:tcBorders>
            <w:shd w:val="clear" w:color="auto" w:fill="EBEBEB"/>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58585A"/>
              <w:bottom w:val="single" w:sz="8" w:color="58585A"/>
            </w:tcBorders>
            <w:shd w:val="clear" w:color="auto" w:fill="EBEBEB"/>
          </w:tcPr>
          <w:p>
            <w:pPr>
              <w:jc w:val="right"/>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58585A"/>
              <w:bottom w:val="single" w:sz="8" w:color="58585A"/>
            </w:tcBorders>
            <w:shd w:val="clear" w:color="auto" w:fill="EBEBEB"/>
          </w:tcPr>
          <w:p>
            <w:pPr>
              <w:jc w:val="right"/>
              <w:spacing w:after="0" w:line="142" w:lineRule="exact"/>
              <w:rPr>
                <w:sz w:val="20"/>
                <w:szCs w:val="20"/>
                <w:color w:val="auto"/>
              </w:rPr>
            </w:pPr>
            <w:r>
              <w:rPr>
                <w:rFonts w:ascii="Arial" w:cs="Arial" w:eastAsia="Arial" w:hAnsi="Arial"/>
                <w:sz w:val="13"/>
                <w:szCs w:val="13"/>
                <w:color w:val="auto"/>
              </w:rPr>
              <w:t>949,560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Borders>
              <w:bottom w:val="single" w:sz="8" w:color="58585A"/>
            </w:tcBorders>
            <w:shd w:val="clear" w:color="auto" w:fill="EBEBEB"/>
          </w:tcPr>
          <w:p>
            <w:pPr>
              <w:spacing w:after="0"/>
              <w:rPr>
                <w:sz w:val="12"/>
                <w:szCs w:val="12"/>
                <w:color w:val="auto"/>
              </w:rPr>
            </w:pPr>
          </w:p>
        </w:tc>
        <w:tc>
          <w:tcPr>
            <w:tcW w:w="100" w:type="dxa"/>
            <w:vAlign w:val="bottom"/>
            <w:tcBorders>
              <w:bottom w:val="single" w:sz="8" w:color="58585A"/>
            </w:tcBorders>
            <w:shd w:val="clear" w:color="auto" w:fill="EBEBEB"/>
          </w:tcPr>
          <w:p>
            <w:pPr>
              <w:spacing w:after="0"/>
              <w:rPr>
                <w:sz w:val="12"/>
                <w:szCs w:val="12"/>
                <w:color w:val="auto"/>
              </w:rPr>
            </w:pPr>
          </w:p>
        </w:tc>
        <w:tc>
          <w:tcPr>
            <w:tcW w:w="660" w:type="dxa"/>
            <w:vAlign w:val="bottom"/>
            <w:tcBorders>
              <w:bottom w:val="single" w:sz="8" w:color="58585A"/>
            </w:tcBorders>
            <w:shd w:val="clear" w:color="auto" w:fill="EBEBEB"/>
          </w:tcPr>
          <w:p>
            <w:pPr>
              <w:jc w:val="right"/>
              <w:spacing w:after="0" w:line="142" w:lineRule="exact"/>
              <w:rPr>
                <w:sz w:val="20"/>
                <w:szCs w:val="20"/>
                <w:color w:val="auto"/>
              </w:rPr>
            </w:pPr>
            <w:r>
              <w:rPr>
                <w:rFonts w:ascii="Arial" w:cs="Arial" w:eastAsia="Arial" w:hAnsi="Arial"/>
                <w:sz w:val="13"/>
                <w:szCs w:val="13"/>
                <w:color w:val="auto"/>
                <w:w w:val="98"/>
              </w:rPr>
              <w:t>12/09/2020</w:t>
            </w:r>
          </w:p>
        </w:tc>
        <w:tc>
          <w:tcPr>
            <w:tcW w:w="100" w:type="dxa"/>
            <w:vAlign w:val="bottom"/>
            <w:tcBorders>
              <w:bottom w:val="single" w:sz="8" w:color="58585A"/>
            </w:tcBorders>
            <w:shd w:val="clear" w:color="auto" w:fill="EBEBEB"/>
          </w:tcPr>
          <w:p>
            <w:pPr>
              <w:jc w:val="right"/>
              <w:spacing w:after="0"/>
              <w:rPr>
                <w:sz w:val="20"/>
                <w:szCs w:val="20"/>
                <w:color w:val="auto"/>
              </w:rPr>
            </w:pPr>
            <w:r>
              <w:rPr>
                <w:rFonts w:ascii="Arial" w:cs="Arial" w:eastAsia="Arial" w:hAnsi="Arial"/>
                <w:sz w:val="11"/>
                <w:szCs w:val="11"/>
                <w:color w:val="auto"/>
              </w:rPr>
              <w:t>7</w:t>
            </w:r>
          </w:p>
        </w:tc>
        <w:tc>
          <w:tcPr>
            <w:tcW w:w="660" w:type="dxa"/>
            <w:vAlign w:val="bottom"/>
            <w:tcBorders>
              <w:bottom w:val="single" w:sz="8" w:color="58585A"/>
            </w:tcBorders>
            <w:shd w:val="clear" w:color="auto" w:fill="EBEBEB"/>
          </w:tcPr>
          <w:p>
            <w:pPr>
              <w:ind w:left="480"/>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58585A"/>
            </w:tcBorders>
            <w:shd w:val="clear" w:color="auto" w:fill="EBEBEB"/>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58585A"/>
            </w:tcBorders>
            <w:gridSpan w:val="2"/>
            <w:shd w:val="clear" w:color="auto" w:fill="EBEBEB"/>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58585A"/>
            </w:tcBorders>
            <w:shd w:val="clear" w:color="auto" w:fill="EBEBEB"/>
          </w:tcPr>
          <w:p>
            <w:pPr>
              <w:jc w:val="right"/>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58585A"/>
            </w:tcBorders>
            <w:shd w:val="clear" w:color="auto" w:fill="EBEBEB"/>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gridSpan w:val="2"/>
            <w:shd w:val="clear" w:color="auto" w:fill="EBEBEB"/>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BEBEB"/>
          </w:tcPr>
          <w:p>
            <w:pPr>
              <w:jc w:val="right"/>
              <w:ind w:right="37"/>
              <w:spacing w:after="0" w:line="142" w:lineRule="exact"/>
              <w:rPr>
                <w:sz w:val="20"/>
                <w:szCs w:val="20"/>
                <w:color w:val="auto"/>
              </w:rPr>
            </w:pPr>
            <w:r>
              <w:rPr>
                <w:rFonts w:ascii="Arial" w:cs="Arial" w:eastAsia="Arial" w:hAnsi="Arial"/>
                <w:sz w:val="13"/>
                <w:szCs w:val="13"/>
                <w:color w:val="auto"/>
              </w:rPr>
              <w:t>5,000</w:t>
            </w:r>
          </w:p>
        </w:tc>
        <w:tc>
          <w:tcPr>
            <w:tcW w:w="940" w:type="dxa"/>
            <w:vAlign w:val="bottom"/>
            <w:tcBorders>
              <w:bottom w:val="single" w:sz="8" w:color="58585A"/>
            </w:tcBorders>
            <w:shd w:val="clear" w:color="auto" w:fill="EBEBEB"/>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BEBEB"/>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58585A"/>
            </w:tcBorders>
            <w:shd w:val="clear" w:color="auto" w:fill="EBEBEB"/>
          </w:tcPr>
          <w:p>
            <w:pPr>
              <w:jc w:val="right"/>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58585A"/>
            </w:tcBorders>
            <w:shd w:val="clear" w:color="auto" w:fill="EBEBEB"/>
          </w:tcPr>
          <w:p>
            <w:pPr>
              <w:jc w:val="right"/>
              <w:spacing w:after="0" w:line="142" w:lineRule="exact"/>
              <w:rPr>
                <w:sz w:val="20"/>
                <w:szCs w:val="20"/>
                <w:color w:val="auto"/>
              </w:rPr>
            </w:pPr>
            <w:r>
              <w:rPr>
                <w:rFonts w:ascii="Arial" w:cs="Arial" w:eastAsia="Arial" w:hAnsi="Arial"/>
                <w:sz w:val="13"/>
                <w:szCs w:val="13"/>
                <w:color w:val="auto"/>
              </w:rPr>
              <w:t>2,460,000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vMerge w:val="restart"/>
          </w:tcPr>
          <w:p>
            <w:pPr>
              <w:ind w:left="40"/>
              <w:spacing w:after="0"/>
              <w:rPr>
                <w:sz w:val="20"/>
                <w:szCs w:val="20"/>
                <w:color w:val="auto"/>
              </w:rPr>
            </w:pPr>
            <w:r>
              <w:rPr>
                <w:rFonts w:ascii="Arial" w:cs="Arial" w:eastAsia="Arial" w:hAnsi="Arial"/>
                <w:sz w:val="13"/>
                <w:szCs w:val="13"/>
                <w:b w:val="1"/>
                <w:bCs w:val="1"/>
                <w:color w:val="C44E5E"/>
              </w:rPr>
              <w:t>Andrew J.</w:t>
            </w:r>
          </w:p>
        </w:tc>
        <w:tc>
          <w:tcPr>
            <w:tcW w:w="100" w:type="dxa"/>
            <w:vAlign w:val="bottom"/>
            <w:tcBorders>
              <w:bottom w:val="single" w:sz="8" w:color="58585A"/>
            </w:tcBorders>
          </w:tcPr>
          <w:p>
            <w:pPr>
              <w:spacing w:after="0"/>
              <w:rPr>
                <w:sz w:val="12"/>
                <w:szCs w:val="12"/>
                <w:color w:val="auto"/>
              </w:rPr>
            </w:pPr>
          </w:p>
        </w:tc>
        <w:tc>
          <w:tcPr>
            <w:tcW w:w="760" w:type="dxa"/>
            <w:vAlign w:val="bottom"/>
            <w:tcBorders>
              <w:bottom w:val="single" w:sz="8" w:color="58585A"/>
            </w:tcBorders>
            <w:gridSpan w:val="2"/>
          </w:tcPr>
          <w:p>
            <w:pPr>
              <w:jc w:val="right"/>
              <w:ind w:right="46"/>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58585A"/>
            </w:tcBorders>
          </w:tcPr>
          <w:p>
            <w:pPr>
              <w:ind w:left="480"/>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455,000</w:t>
            </w:r>
          </w:p>
        </w:tc>
        <w:tc>
          <w:tcPr>
            <w:tcW w:w="740" w:type="dxa"/>
            <w:vAlign w:val="bottom"/>
            <w:tcBorders>
              <w:bottom w:val="single" w:sz="8" w:color="58585A"/>
            </w:tcBorders>
            <w:gridSpan w:val="2"/>
          </w:tcPr>
          <w:p>
            <w:pPr>
              <w:jc w:val="right"/>
              <w:ind w:right="80"/>
              <w:spacing w:after="0" w:line="142" w:lineRule="exact"/>
              <w:rPr>
                <w:sz w:val="20"/>
                <w:szCs w:val="20"/>
                <w:color w:val="auto"/>
              </w:rPr>
            </w:pPr>
            <w:r>
              <w:rPr>
                <w:rFonts w:ascii="Arial" w:cs="Arial" w:eastAsia="Arial" w:hAnsi="Arial"/>
                <w:sz w:val="13"/>
                <w:szCs w:val="13"/>
                <w:color w:val="auto"/>
              </w:rPr>
              <w:t>938,872</w:t>
            </w:r>
          </w:p>
        </w:tc>
        <w:tc>
          <w:tcPr>
            <w:tcW w:w="62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1080" w:type="dxa"/>
            <w:vAlign w:val="bottom"/>
            <w:vMerge w:val="continue"/>
          </w:tcPr>
          <w:p>
            <w:pPr>
              <w:spacing w:after="0"/>
              <w:rPr>
                <w:sz w:val="10"/>
                <w:szCs w:val="10"/>
                <w:color w:val="auto"/>
              </w:rPr>
            </w:pPr>
          </w:p>
        </w:tc>
        <w:tc>
          <w:tcPr>
            <w:tcW w:w="860" w:type="dxa"/>
            <w:vAlign w:val="bottom"/>
            <w:gridSpan w:val="3"/>
          </w:tcPr>
          <w:p>
            <w:pPr>
              <w:jc w:val="right"/>
              <w:spacing w:after="0" w:line="120" w:lineRule="exact"/>
              <w:rPr>
                <w:sz w:val="20"/>
                <w:szCs w:val="20"/>
                <w:color w:val="auto"/>
              </w:rPr>
            </w:pPr>
            <w:r>
              <w:rPr>
                <w:rFonts w:ascii="Arial" w:cs="Arial" w:eastAsia="Arial" w:hAnsi="Arial"/>
                <w:sz w:val="9"/>
                <w:szCs w:val="9"/>
                <w:color w:val="auto"/>
              </w:rPr>
              <w:t xml:space="preserve">12/09/2020 </w:t>
            </w:r>
            <w:r>
              <w:rPr>
                <w:rFonts w:ascii="Arial" w:cs="Arial" w:eastAsia="Arial" w:hAnsi="Arial"/>
                <w:sz w:val="13"/>
                <w:szCs w:val="13"/>
                <w:color w:val="auto"/>
                <w:vertAlign w:val="superscript"/>
              </w:rPr>
              <w:t>5</w:t>
            </w:r>
          </w:p>
        </w:tc>
        <w:tc>
          <w:tcPr>
            <w:tcW w:w="660" w:type="dxa"/>
            <w:vAlign w:val="bottom"/>
          </w:tcPr>
          <w:p>
            <w:pPr>
              <w:ind w:left="480"/>
              <w:spacing w:after="0" w:line="120"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20"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line="120"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line="120" w:lineRule="exact"/>
              <w:rPr>
                <w:sz w:val="20"/>
                <w:szCs w:val="20"/>
                <w:color w:val="auto"/>
              </w:rPr>
            </w:pPr>
            <w:r>
              <w:rPr>
                <w:rFonts w:ascii="Arial" w:cs="Arial" w:eastAsia="Arial" w:hAnsi="Arial"/>
                <w:sz w:val="13"/>
                <w:szCs w:val="13"/>
                <w:color w:val="auto"/>
              </w:rPr>
              <w:t>25,000</w:t>
            </w:r>
          </w:p>
        </w:tc>
        <w:tc>
          <w:tcPr>
            <w:tcW w:w="860" w:type="dxa"/>
            <w:vAlign w:val="bottom"/>
          </w:tcPr>
          <w:p>
            <w:pPr>
              <w:jc w:val="right"/>
              <w:ind w:right="17"/>
              <w:spacing w:after="0" w:line="120" w:lineRule="exact"/>
              <w:rPr>
                <w:sz w:val="20"/>
                <w:szCs w:val="20"/>
                <w:color w:val="auto"/>
              </w:rPr>
            </w:pPr>
            <w:r>
              <w:rPr>
                <w:rFonts w:ascii="Arial" w:cs="Arial" w:eastAsia="Arial" w:hAnsi="Arial"/>
                <w:sz w:val="13"/>
                <w:szCs w:val="13"/>
                <w:color w:val="auto"/>
              </w:rPr>
              <w:t>492.00</w:t>
            </w:r>
          </w:p>
        </w:tc>
        <w:tc>
          <w:tcPr>
            <w:tcW w:w="720" w:type="dxa"/>
            <w:vAlign w:val="bottom"/>
          </w:tcPr>
          <w:p>
            <w:pPr>
              <w:jc w:val="right"/>
              <w:spacing w:after="0" w:line="120" w:lineRule="exact"/>
              <w:rPr>
                <w:sz w:val="20"/>
                <w:szCs w:val="20"/>
                <w:color w:val="auto"/>
              </w:rPr>
            </w:pPr>
            <w:r>
              <w:rPr>
                <w:rFonts w:ascii="Arial" w:cs="Arial" w:eastAsia="Arial" w:hAnsi="Arial"/>
                <w:sz w:val="13"/>
                <w:szCs w:val="13"/>
                <w:color w:val="auto"/>
              </w:rPr>
              <w:t>488.64</w:t>
            </w:r>
          </w:p>
        </w:tc>
        <w:tc>
          <w:tcPr>
            <w:tcW w:w="800" w:type="dxa"/>
            <w:vAlign w:val="bottom"/>
          </w:tcPr>
          <w:p>
            <w:pPr>
              <w:jc w:val="right"/>
              <w:spacing w:after="0" w:line="120" w:lineRule="exact"/>
              <w:rPr>
                <w:sz w:val="20"/>
                <w:szCs w:val="20"/>
                <w:color w:val="auto"/>
              </w:rPr>
            </w:pPr>
            <w:r>
              <w:rPr>
                <w:rFonts w:ascii="Arial" w:cs="Arial" w:eastAsia="Arial" w:hAnsi="Arial"/>
                <w:sz w:val="13"/>
                <w:szCs w:val="13"/>
                <w:color w:val="auto"/>
              </w:rPr>
              <w:t>4,335,258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080" w:type="dxa"/>
            <w:vAlign w:val="bottom"/>
            <w:vMerge w:val="restart"/>
          </w:tcPr>
          <w:p>
            <w:pPr>
              <w:ind w:left="40"/>
              <w:spacing w:after="0"/>
              <w:rPr>
                <w:sz w:val="20"/>
                <w:szCs w:val="20"/>
                <w:color w:val="auto"/>
              </w:rPr>
            </w:pPr>
            <w:r>
              <w:rPr>
                <w:rFonts w:ascii="Arial" w:cs="Arial" w:eastAsia="Arial" w:hAnsi="Arial"/>
                <w:sz w:val="13"/>
                <w:szCs w:val="13"/>
                <w:b w:val="1"/>
                <w:bCs w:val="1"/>
                <w:color w:val="C44E5E"/>
              </w:rPr>
              <w:t>Murphy, Ph.D.</w:t>
            </w:r>
          </w:p>
        </w:tc>
        <w:tc>
          <w:tcPr>
            <w:tcW w:w="860" w:type="dxa"/>
            <w:vAlign w:val="bottom"/>
            <w:tcBorders>
              <w:bottom w:val="single" w:sz="8" w:color="58585A"/>
            </w:tcBorders>
            <w:gridSpan w:val="3"/>
          </w:tcPr>
          <w:p>
            <w:pPr>
              <w:spacing w:after="0" w:line="20" w:lineRule="exact"/>
              <w:rPr>
                <w:sz w:val="1"/>
                <w:szCs w:val="1"/>
                <w:color w:val="auto"/>
              </w:rPr>
            </w:pPr>
          </w:p>
        </w:tc>
        <w:tc>
          <w:tcPr>
            <w:tcW w:w="660" w:type="dxa"/>
            <w:vAlign w:val="bottom"/>
            <w:tcBorders>
              <w:bottom w:val="single" w:sz="8" w:color="58585A"/>
            </w:tcBorders>
          </w:tcPr>
          <w:p>
            <w:pPr>
              <w:spacing w:after="0" w:line="20" w:lineRule="exact"/>
              <w:rPr>
                <w:sz w:val="1"/>
                <w:szCs w:val="1"/>
                <w:color w:val="auto"/>
              </w:rPr>
            </w:pPr>
          </w:p>
        </w:tc>
        <w:tc>
          <w:tcPr>
            <w:tcW w:w="700" w:type="dxa"/>
            <w:vAlign w:val="bottom"/>
            <w:tcBorders>
              <w:bottom w:val="single" w:sz="8" w:color="58585A"/>
            </w:tcBorders>
          </w:tcPr>
          <w:p>
            <w:pPr>
              <w:spacing w:after="0" w:line="20" w:lineRule="exact"/>
              <w:rPr>
                <w:sz w:val="1"/>
                <w:szCs w:val="1"/>
                <w:color w:val="auto"/>
              </w:rPr>
            </w:pPr>
          </w:p>
        </w:tc>
        <w:tc>
          <w:tcPr>
            <w:tcW w:w="640" w:type="dxa"/>
            <w:vAlign w:val="bottom"/>
            <w:tcBorders>
              <w:bottom w:val="single" w:sz="8" w:color="58585A"/>
            </w:tcBorders>
          </w:tcPr>
          <w:p>
            <w:pPr>
              <w:spacing w:after="0" w:line="20" w:lineRule="exact"/>
              <w:rPr>
                <w:sz w:val="1"/>
                <w:szCs w:val="1"/>
                <w:color w:val="auto"/>
              </w:rPr>
            </w:pPr>
          </w:p>
        </w:tc>
        <w:tc>
          <w:tcPr>
            <w:tcW w:w="100" w:type="dxa"/>
            <w:vAlign w:val="bottom"/>
            <w:tcBorders>
              <w:bottom w:val="single" w:sz="8" w:color="58585A"/>
            </w:tcBorders>
          </w:tcPr>
          <w:p>
            <w:pPr>
              <w:spacing w:after="0" w:line="20" w:lineRule="exact"/>
              <w:rPr>
                <w:sz w:val="1"/>
                <w:szCs w:val="1"/>
                <w:color w:val="auto"/>
              </w:rPr>
            </w:pPr>
          </w:p>
        </w:tc>
        <w:tc>
          <w:tcPr>
            <w:tcW w:w="620" w:type="dxa"/>
            <w:vAlign w:val="bottom"/>
            <w:tcBorders>
              <w:bottom w:val="single" w:sz="8" w:color="58585A"/>
            </w:tcBorders>
          </w:tcPr>
          <w:p>
            <w:pPr>
              <w:spacing w:after="0" w:line="20" w:lineRule="exact"/>
              <w:rPr>
                <w:sz w:val="1"/>
                <w:szCs w:val="1"/>
                <w:color w:val="auto"/>
              </w:rPr>
            </w:pPr>
          </w:p>
        </w:tc>
        <w:tc>
          <w:tcPr>
            <w:tcW w:w="600" w:type="dxa"/>
            <w:vAlign w:val="bottom"/>
            <w:tcBorders>
              <w:bottom w:val="single" w:sz="8" w:color="58585A"/>
            </w:tcBorders>
          </w:tcPr>
          <w:p>
            <w:pPr>
              <w:spacing w:after="0" w:line="20" w:lineRule="exact"/>
              <w:rPr>
                <w:sz w:val="1"/>
                <w:szCs w:val="1"/>
                <w:color w:val="auto"/>
              </w:rPr>
            </w:pPr>
          </w:p>
        </w:tc>
        <w:tc>
          <w:tcPr>
            <w:tcW w:w="580" w:type="dxa"/>
            <w:vAlign w:val="bottom"/>
            <w:tcBorders>
              <w:bottom w:val="single" w:sz="8" w:color="58585A"/>
            </w:tcBorders>
          </w:tcPr>
          <w:p>
            <w:pPr>
              <w:spacing w:after="0" w:line="20" w:lineRule="exact"/>
              <w:rPr>
                <w:sz w:val="1"/>
                <w:szCs w:val="1"/>
                <w:color w:val="auto"/>
              </w:rPr>
            </w:pPr>
          </w:p>
        </w:tc>
        <w:tc>
          <w:tcPr>
            <w:tcW w:w="100" w:type="dxa"/>
            <w:vAlign w:val="bottom"/>
            <w:tcBorders>
              <w:bottom w:val="single" w:sz="8" w:color="58585A"/>
            </w:tcBorders>
          </w:tcPr>
          <w:p>
            <w:pPr>
              <w:spacing w:after="0" w:line="20" w:lineRule="exact"/>
              <w:rPr>
                <w:sz w:val="1"/>
                <w:szCs w:val="1"/>
                <w:color w:val="auto"/>
              </w:rPr>
            </w:pPr>
          </w:p>
        </w:tc>
        <w:tc>
          <w:tcPr>
            <w:tcW w:w="900" w:type="dxa"/>
            <w:vAlign w:val="bottom"/>
            <w:tcBorders>
              <w:bottom w:val="single" w:sz="8" w:color="58585A"/>
            </w:tcBorders>
          </w:tcPr>
          <w:p>
            <w:pPr>
              <w:spacing w:after="0" w:line="20" w:lineRule="exact"/>
              <w:rPr>
                <w:sz w:val="1"/>
                <w:szCs w:val="1"/>
                <w:color w:val="auto"/>
              </w:rPr>
            </w:pPr>
          </w:p>
        </w:tc>
        <w:tc>
          <w:tcPr>
            <w:tcW w:w="940" w:type="dxa"/>
            <w:vAlign w:val="bottom"/>
            <w:tcBorders>
              <w:bottom w:val="single" w:sz="8" w:color="58585A"/>
            </w:tcBorders>
          </w:tcPr>
          <w:p>
            <w:pPr>
              <w:spacing w:after="0" w:line="20" w:lineRule="exact"/>
              <w:rPr>
                <w:sz w:val="1"/>
                <w:szCs w:val="1"/>
                <w:color w:val="auto"/>
              </w:rPr>
            </w:pPr>
          </w:p>
        </w:tc>
        <w:tc>
          <w:tcPr>
            <w:tcW w:w="860" w:type="dxa"/>
            <w:vAlign w:val="bottom"/>
            <w:tcBorders>
              <w:bottom w:val="single" w:sz="8" w:color="58585A"/>
            </w:tcBorders>
          </w:tcPr>
          <w:p>
            <w:pPr>
              <w:spacing w:after="0" w:line="20" w:lineRule="exact"/>
              <w:rPr>
                <w:sz w:val="1"/>
                <w:szCs w:val="1"/>
                <w:color w:val="auto"/>
              </w:rPr>
            </w:pPr>
          </w:p>
        </w:tc>
        <w:tc>
          <w:tcPr>
            <w:tcW w:w="720" w:type="dxa"/>
            <w:vAlign w:val="bottom"/>
            <w:tcBorders>
              <w:bottom w:val="single" w:sz="8" w:color="58585A"/>
            </w:tcBorders>
          </w:tcPr>
          <w:p>
            <w:pPr>
              <w:spacing w:after="0" w:line="20" w:lineRule="exact"/>
              <w:rPr>
                <w:sz w:val="1"/>
                <w:szCs w:val="1"/>
                <w:color w:val="auto"/>
              </w:rPr>
            </w:pPr>
          </w:p>
        </w:tc>
        <w:tc>
          <w:tcPr>
            <w:tcW w:w="820" w:type="dxa"/>
            <w:vAlign w:val="bottom"/>
            <w:tcBorders>
              <w:bottom w:val="single" w:sz="8" w:color="58585A"/>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080" w:type="dxa"/>
            <w:vAlign w:val="bottom"/>
            <w:vMerge w:val="continue"/>
          </w:tcPr>
          <w:p>
            <w:pPr>
              <w:spacing w:after="0"/>
              <w:rPr>
                <w:sz w:val="12"/>
                <w:szCs w:val="12"/>
                <w:color w:val="auto"/>
              </w:rPr>
            </w:pPr>
          </w:p>
        </w:tc>
        <w:tc>
          <w:tcPr>
            <w:tcW w:w="860" w:type="dxa"/>
            <w:vAlign w:val="bottom"/>
            <w:tcBorders>
              <w:bottom w:val="single" w:sz="8" w:color="58585A"/>
            </w:tcBorders>
            <w:gridSpan w:val="3"/>
          </w:tcPr>
          <w:p>
            <w:pPr>
              <w:jc w:val="right"/>
              <w:spacing w:after="0" w:line="142" w:lineRule="exact"/>
              <w:rPr>
                <w:sz w:val="20"/>
                <w:szCs w:val="20"/>
                <w:color w:val="auto"/>
              </w:rPr>
            </w:pPr>
            <w:r>
              <w:rPr>
                <w:rFonts w:ascii="Arial" w:cs="Arial" w:eastAsia="Arial" w:hAnsi="Arial"/>
                <w:sz w:val="11"/>
                <w:szCs w:val="11"/>
                <w:color w:val="auto"/>
              </w:rPr>
              <w:t xml:space="preserve">12/09/2020 </w:t>
            </w:r>
            <w:r>
              <w:rPr>
                <w:rFonts w:ascii="Arial" w:cs="Arial" w:eastAsia="Arial" w:hAnsi="Arial"/>
                <w:sz w:val="16"/>
                <w:szCs w:val="16"/>
                <w:color w:val="auto"/>
                <w:vertAlign w:val="superscript"/>
              </w:rPr>
              <w:t>6</w:t>
            </w:r>
          </w:p>
        </w:tc>
        <w:tc>
          <w:tcPr>
            <w:tcW w:w="660" w:type="dxa"/>
            <w:vAlign w:val="bottom"/>
            <w:tcBorders>
              <w:bottom w:val="single" w:sz="8" w:color="58585A"/>
            </w:tcBorders>
          </w:tcPr>
          <w:p>
            <w:pPr>
              <w:ind w:left="480"/>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58585A"/>
            </w:tcBorders>
            <w:gridSpan w:val="2"/>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37"/>
              <w:spacing w:after="0" w:line="142" w:lineRule="exact"/>
              <w:rPr>
                <w:sz w:val="20"/>
                <w:szCs w:val="20"/>
                <w:color w:val="auto"/>
              </w:rPr>
            </w:pPr>
            <w:r>
              <w:rPr>
                <w:rFonts w:ascii="Arial" w:cs="Arial" w:eastAsia="Arial" w:hAnsi="Arial"/>
                <w:sz w:val="13"/>
                <w:szCs w:val="13"/>
                <w:color w:val="auto"/>
              </w:rPr>
              <w:t>1,929</w:t>
            </w:r>
          </w:p>
        </w:tc>
        <w:tc>
          <w:tcPr>
            <w:tcW w:w="940" w:type="dxa"/>
            <w:vAlign w:val="bottom"/>
            <w:tcBorders>
              <w:bottom w:val="single" w:sz="8" w:color="58585A"/>
            </w:tcBorders>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58585A"/>
            </w:tcBorders>
            <w:gridSpan w:val="2"/>
          </w:tcPr>
          <w:p>
            <w:pPr>
              <w:jc w:val="right"/>
              <w:ind w:right="20"/>
              <w:spacing w:after="0" w:line="142" w:lineRule="exact"/>
              <w:rPr>
                <w:sz w:val="20"/>
                <w:szCs w:val="20"/>
                <w:color w:val="auto"/>
              </w:rPr>
            </w:pPr>
            <w:r>
              <w:rPr>
                <w:rFonts w:ascii="Arial" w:cs="Arial" w:eastAsia="Arial" w:hAnsi="Arial"/>
                <w:sz w:val="13"/>
                <w:szCs w:val="13"/>
                <w:color w:val="auto"/>
              </w:rPr>
              <w:t>949,068</w:t>
            </w:r>
          </w:p>
        </w:tc>
        <w:tc>
          <w:tcPr>
            <w:tcW w:w="0" w:type="dxa"/>
            <w:vAlign w:val="bottom"/>
          </w:tcPr>
          <w:p>
            <w:pPr>
              <w:spacing w:after="0"/>
              <w:rPr>
                <w:sz w:val="1"/>
                <w:szCs w:val="1"/>
                <w:color w:val="auto"/>
              </w:rPr>
            </w:pPr>
          </w:p>
        </w:tc>
      </w:tr>
      <w:tr>
        <w:trPr>
          <w:trHeight w:val="142"/>
        </w:trPr>
        <w:tc>
          <w:tcPr>
            <w:tcW w:w="1080" w:type="dxa"/>
            <w:vAlign w:val="bottom"/>
            <w:tcBorders>
              <w:bottom w:val="single" w:sz="8" w:color="58585A"/>
            </w:tcBorders>
          </w:tcPr>
          <w:p>
            <w:pPr>
              <w:spacing w:after="0"/>
              <w:rPr>
                <w:sz w:val="12"/>
                <w:szCs w:val="12"/>
                <w:color w:val="auto"/>
              </w:rPr>
            </w:pPr>
          </w:p>
        </w:tc>
        <w:tc>
          <w:tcPr>
            <w:tcW w:w="860" w:type="dxa"/>
            <w:vAlign w:val="bottom"/>
            <w:tcBorders>
              <w:bottom w:val="single" w:sz="8" w:color="58585A"/>
            </w:tcBorders>
            <w:gridSpan w:val="3"/>
          </w:tcPr>
          <w:p>
            <w:pPr>
              <w:jc w:val="right"/>
              <w:spacing w:after="0" w:line="142" w:lineRule="exact"/>
              <w:rPr>
                <w:sz w:val="20"/>
                <w:szCs w:val="20"/>
                <w:color w:val="auto"/>
              </w:rPr>
            </w:pPr>
            <w:r>
              <w:rPr>
                <w:rFonts w:ascii="Arial" w:cs="Arial" w:eastAsia="Arial" w:hAnsi="Arial"/>
                <w:sz w:val="11"/>
                <w:szCs w:val="11"/>
                <w:color w:val="auto"/>
              </w:rPr>
              <w:t xml:space="preserve">12/09/2020 </w:t>
            </w:r>
            <w:r>
              <w:rPr>
                <w:rFonts w:ascii="Arial" w:cs="Arial" w:eastAsia="Arial" w:hAnsi="Arial"/>
                <w:sz w:val="16"/>
                <w:szCs w:val="16"/>
                <w:color w:val="auto"/>
                <w:vertAlign w:val="superscript"/>
              </w:rPr>
              <w:t>7</w:t>
            </w:r>
          </w:p>
        </w:tc>
        <w:tc>
          <w:tcPr>
            <w:tcW w:w="660" w:type="dxa"/>
            <w:vAlign w:val="bottom"/>
            <w:tcBorders>
              <w:bottom w:val="single" w:sz="8" w:color="58585A"/>
            </w:tcBorders>
          </w:tcPr>
          <w:p>
            <w:pPr>
              <w:ind w:left="480"/>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58585A"/>
            </w:tcBorders>
            <w:gridSpan w:val="2"/>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gridSpan w:val="2"/>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37"/>
              <w:spacing w:after="0" w:line="142" w:lineRule="exact"/>
              <w:rPr>
                <w:sz w:val="20"/>
                <w:szCs w:val="20"/>
                <w:color w:val="auto"/>
              </w:rPr>
            </w:pPr>
            <w:r>
              <w:rPr>
                <w:rFonts w:ascii="Arial" w:cs="Arial" w:eastAsia="Arial" w:hAnsi="Arial"/>
                <w:sz w:val="13"/>
                <w:szCs w:val="13"/>
                <w:color w:val="auto"/>
              </w:rPr>
              <w:t>8,285</w:t>
            </w:r>
          </w:p>
        </w:tc>
        <w:tc>
          <w:tcPr>
            <w:tcW w:w="940" w:type="dxa"/>
            <w:vAlign w:val="bottom"/>
            <w:tcBorders>
              <w:bottom w:val="single" w:sz="8" w:color="58585A"/>
            </w:tcBorders>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4,076,220</w:t>
            </w:r>
          </w:p>
        </w:tc>
        <w:tc>
          <w:tcPr>
            <w:tcW w:w="20" w:type="dxa"/>
            <w:vAlign w:val="bottom"/>
            <w:tcBorders>
              <w:bottom w:val="single" w:sz="8" w:color="58585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720" w:right="540" w:hanging="172"/>
        <w:spacing w:after="0" w:line="247" w:lineRule="auto"/>
        <w:tabs>
          <w:tab w:leader="none" w:pos="720" w:val="left"/>
        </w:tabs>
        <w:numPr>
          <w:ilvl w:val="0"/>
          <w:numId w:val="126"/>
        </w:numPr>
        <w:rPr>
          <w:rFonts w:ascii="Arial" w:cs="Arial" w:eastAsia="Arial" w:hAnsi="Arial"/>
          <w:sz w:val="14"/>
          <w:szCs w:val="14"/>
          <w:b w:val="1"/>
          <w:bCs w:val="1"/>
          <w:color w:val="205BA8"/>
        </w:rPr>
      </w:pPr>
      <w:r>
        <w:rPr>
          <w:rFonts w:ascii="Arial" w:cs="Arial" w:eastAsia="Arial" w:hAnsi="Arial"/>
          <w:sz w:val="14"/>
          <w:szCs w:val="14"/>
          <w:color w:val="auto"/>
        </w:rPr>
        <w:t>Cash incentive awards under the Regeneron Pharmaceuticals, Inc. Cash Incentive Bonus Plan. The actual cash incentive awards earned in respect of 2020 and paid out in January 2021 are reported as “Non-Equity Incentive Plan Compensation” in the Summary Compensation Table above. The maximum amount in this column represents the maximum cash incentive allocated to each executive by the Compensation Committee in March 2020 under the Cash Incentive Bonus Plan.</w:t>
      </w:r>
    </w:p>
    <w:p>
      <w:pPr>
        <w:spacing w:after="0" w:line="80" w:lineRule="exact"/>
        <w:rPr>
          <w:sz w:val="20"/>
          <w:szCs w:val="20"/>
          <w:color w:val="auto"/>
        </w:rPr>
      </w:pPr>
    </w:p>
    <w:p>
      <w:pPr>
        <w:ind w:left="720" w:right="560" w:hanging="172"/>
        <w:spacing w:after="0" w:line="258" w:lineRule="auto"/>
        <w:tabs>
          <w:tab w:leader="none" w:pos="720" w:val="left"/>
        </w:tabs>
        <w:numPr>
          <w:ilvl w:val="0"/>
          <w:numId w:val="127"/>
        </w:numPr>
        <w:rPr>
          <w:rFonts w:ascii="Arial" w:cs="Arial" w:eastAsia="Arial" w:hAnsi="Arial"/>
          <w:sz w:val="14"/>
          <w:szCs w:val="14"/>
          <w:b w:val="1"/>
          <w:bCs w:val="1"/>
          <w:color w:val="205BA8"/>
        </w:rPr>
      </w:pPr>
      <w:r>
        <w:rPr>
          <w:rFonts w:ascii="Arial" w:cs="Arial" w:eastAsia="Arial" w:hAnsi="Arial"/>
          <w:sz w:val="14"/>
          <w:szCs w:val="14"/>
          <w:color w:val="auto"/>
        </w:rPr>
        <w:t>The amounts in this column represents the threshold, target, and maximum number of shares of common stock that may be earned by the NEO in respect of the five-year PSUs granted to the NEO in 2020 in lieu of five years of annual equity awards.</w:t>
      </w:r>
    </w:p>
    <w:p>
      <w:pPr>
        <w:spacing w:after="0" w:line="72" w:lineRule="exact"/>
        <w:rPr>
          <w:sz w:val="20"/>
          <w:szCs w:val="20"/>
          <w:color w:val="auto"/>
        </w:rPr>
      </w:pPr>
    </w:p>
    <w:p>
      <w:pPr>
        <w:ind w:left="720" w:right="700" w:hanging="172"/>
        <w:spacing w:after="0" w:line="258" w:lineRule="auto"/>
        <w:tabs>
          <w:tab w:leader="none" w:pos="720" w:val="left"/>
        </w:tabs>
        <w:numPr>
          <w:ilvl w:val="0"/>
          <w:numId w:val="128"/>
        </w:numPr>
        <w:rPr>
          <w:rFonts w:ascii="Arial" w:cs="Arial" w:eastAsia="Arial" w:hAnsi="Arial"/>
          <w:sz w:val="14"/>
          <w:szCs w:val="14"/>
          <w:b w:val="1"/>
          <w:bCs w:val="1"/>
          <w:color w:val="205BA8"/>
        </w:rPr>
      </w:pPr>
      <w:r>
        <w:rPr>
          <w:rFonts w:ascii="Arial" w:cs="Arial" w:eastAsia="Arial" w:hAnsi="Arial"/>
          <w:sz w:val="14"/>
          <w:szCs w:val="14"/>
          <w:color w:val="auto"/>
        </w:rPr>
        <w:t>These options have an exercise price equal to the average of the high and low sales price per share of the Company’s common stock on the date of grant. Therefore, the closing price of our common stock on the grant date may be higher or lower than the exercise price of these options.</w:t>
      </w:r>
    </w:p>
    <w:p>
      <w:pPr>
        <w:spacing w:after="0" w:line="72" w:lineRule="exact"/>
        <w:rPr>
          <w:sz w:val="20"/>
          <w:szCs w:val="20"/>
          <w:color w:val="auto"/>
        </w:rPr>
      </w:pPr>
    </w:p>
    <w:p>
      <w:pPr>
        <w:ind w:left="720" w:right="800" w:hanging="172"/>
        <w:spacing w:after="0" w:line="247" w:lineRule="auto"/>
        <w:tabs>
          <w:tab w:leader="none" w:pos="720" w:val="left"/>
        </w:tabs>
        <w:numPr>
          <w:ilvl w:val="0"/>
          <w:numId w:val="129"/>
        </w:numPr>
        <w:rPr>
          <w:rFonts w:ascii="Arial" w:cs="Arial" w:eastAsia="Arial" w:hAnsi="Arial"/>
          <w:sz w:val="14"/>
          <w:szCs w:val="14"/>
          <w:b w:val="1"/>
          <w:bCs w:val="1"/>
          <w:color w:val="205BA8"/>
        </w:rPr>
      </w:pPr>
      <w:r>
        <w:rPr>
          <w:rFonts w:ascii="Arial" w:cs="Arial" w:eastAsia="Arial" w:hAnsi="Arial"/>
          <w:sz w:val="14"/>
          <w:szCs w:val="14"/>
          <w:color w:val="auto"/>
        </w:rPr>
        <w:t>The amounts in this column represent the grant date fair value (disregarding estimated forfeitures) of the awards made pursuant to the Second Amended and Restated Regeneron Pharmaceuticals, Inc. 2014 Long-Term Incentive Plan. The valuation assumptions and methodologies used in the calculation of these amounts are included in Note 12 to the Company’s audited financial statements for the fiscal year ended December 31, 2020 included in the 2020 Annual Report.</w:t>
      </w:r>
    </w:p>
    <w:p>
      <w:pPr>
        <w:spacing w:after="0" w:line="80" w:lineRule="exact"/>
        <w:rPr>
          <w:sz w:val="20"/>
          <w:szCs w:val="20"/>
          <w:color w:val="auto"/>
        </w:rPr>
      </w:pPr>
    </w:p>
    <w:p>
      <w:pPr>
        <w:ind w:left="720" w:right="780" w:hanging="172"/>
        <w:spacing w:after="0" w:line="258" w:lineRule="auto"/>
        <w:tabs>
          <w:tab w:leader="none" w:pos="720" w:val="left"/>
        </w:tabs>
        <w:numPr>
          <w:ilvl w:val="0"/>
          <w:numId w:val="130"/>
        </w:numPr>
        <w:rPr>
          <w:rFonts w:ascii="Arial" w:cs="Arial" w:eastAsia="Arial" w:hAnsi="Arial"/>
          <w:sz w:val="14"/>
          <w:szCs w:val="14"/>
          <w:b w:val="1"/>
          <w:bCs w:val="1"/>
          <w:color w:val="205BA8"/>
        </w:rPr>
      </w:pPr>
      <w:r>
        <w:rPr>
          <w:rFonts w:ascii="Arial" w:cs="Arial" w:eastAsia="Arial" w:hAnsi="Arial"/>
          <w:sz w:val="14"/>
          <w:szCs w:val="14"/>
          <w:color w:val="auto"/>
        </w:rPr>
        <w:t>The NEO received a non-qualified stock option award that vests subject to continued employment at a rate of 25% per year over the first four years of the maximum ten-year option term.</w:t>
      </w:r>
    </w:p>
    <w:p>
      <w:pPr>
        <w:spacing w:after="0" w:line="72" w:lineRule="exact"/>
        <w:rPr>
          <w:sz w:val="20"/>
          <w:szCs w:val="20"/>
          <w:color w:val="auto"/>
        </w:rPr>
      </w:pPr>
    </w:p>
    <w:p>
      <w:pPr>
        <w:ind w:left="720" w:right="840" w:hanging="172"/>
        <w:spacing w:after="0" w:line="258" w:lineRule="auto"/>
        <w:tabs>
          <w:tab w:leader="none" w:pos="720" w:val="left"/>
        </w:tabs>
        <w:numPr>
          <w:ilvl w:val="0"/>
          <w:numId w:val="131"/>
        </w:numPr>
        <w:rPr>
          <w:rFonts w:ascii="Arial" w:cs="Arial" w:eastAsia="Arial" w:hAnsi="Arial"/>
          <w:sz w:val="14"/>
          <w:szCs w:val="14"/>
          <w:b w:val="1"/>
          <w:bCs w:val="1"/>
          <w:color w:val="205BA8"/>
        </w:rPr>
      </w:pPr>
      <w:r>
        <w:rPr>
          <w:rFonts w:ascii="Arial" w:cs="Arial" w:eastAsia="Arial" w:hAnsi="Arial"/>
          <w:sz w:val="14"/>
          <w:szCs w:val="14"/>
          <w:color w:val="auto"/>
        </w:rPr>
        <w:t>The NEO received an annual RSA that vests 50% on the second anniversary of the date of grant and 50% on the fourth anniversary of the date of grant, subject to the NEO’s continued employment.</w:t>
      </w:r>
    </w:p>
    <w:p>
      <w:pPr>
        <w:spacing w:after="0" w:line="72" w:lineRule="exact"/>
        <w:rPr>
          <w:sz w:val="20"/>
          <w:szCs w:val="20"/>
          <w:color w:val="auto"/>
        </w:rPr>
      </w:pPr>
    </w:p>
    <w:p>
      <w:pPr>
        <w:ind w:left="720" w:hanging="172"/>
        <w:spacing w:after="0"/>
        <w:tabs>
          <w:tab w:leader="none" w:pos="720" w:val="left"/>
        </w:tabs>
        <w:numPr>
          <w:ilvl w:val="0"/>
          <w:numId w:val="132"/>
        </w:numPr>
        <w:rPr>
          <w:rFonts w:ascii="Arial" w:cs="Arial" w:eastAsia="Arial" w:hAnsi="Arial"/>
          <w:sz w:val="14"/>
          <w:szCs w:val="14"/>
          <w:b w:val="1"/>
          <w:bCs w:val="1"/>
          <w:color w:val="205BA8"/>
        </w:rPr>
      </w:pPr>
      <w:r>
        <w:rPr>
          <w:rFonts w:ascii="Arial" w:cs="Arial" w:eastAsia="Arial" w:hAnsi="Arial"/>
          <w:sz w:val="14"/>
          <w:szCs w:val="14"/>
          <w:color w:val="auto"/>
        </w:rPr>
        <w:t>The NEO received a special RSA that vests 100% on the fifth anniversary of the date of grant, subject to the NEO’s continued employment.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40" w:type="dxa"/>
            <w:vAlign w:val="bottom"/>
          </w:tcPr>
          <w:p>
            <w:pPr>
              <w:spacing w:after="0"/>
              <w:rPr>
                <w:sz w:val="20"/>
                <w:szCs w:val="20"/>
                <w:color w:val="auto"/>
              </w:rPr>
            </w:pPr>
            <w:r>
              <w:rPr>
                <w:rFonts w:ascii="Arial" w:cs="Arial" w:eastAsia="Arial" w:hAnsi="Arial"/>
                <w:sz w:val="13"/>
                <w:szCs w:val="13"/>
                <w:b w:val="1"/>
                <w:bCs w:val="1"/>
                <w:color w:val="205BA8"/>
              </w:rPr>
              <w:t>2021 PROXY STATEMENT AND NOTICE OF ANNUAL SHAREHOLDER MEETING</w:t>
            </w:r>
          </w:p>
        </w:tc>
        <w:tc>
          <w:tcPr>
            <w:tcW w:w="3400" w:type="dxa"/>
            <w:vAlign w:val="bottom"/>
          </w:tcPr>
          <w:p>
            <w:pPr>
              <w:jc w:val="right"/>
              <w:spacing w:after="0"/>
              <w:rPr>
                <w:sz w:val="20"/>
                <w:szCs w:val="20"/>
                <w:color w:val="auto"/>
              </w:rPr>
            </w:pPr>
            <w:r>
              <w:rPr>
                <w:rFonts w:ascii="Arial" w:cs="Arial" w:eastAsia="Arial" w:hAnsi="Arial"/>
                <w:sz w:val="14"/>
                <w:szCs w:val="14"/>
                <w:color w:val="00AEEF"/>
              </w:rPr>
              <w:t>/  85</w:t>
            </w:r>
          </w:p>
        </w:tc>
      </w:tr>
      <w:tr>
        <w:trPr>
          <w:trHeight w:val="262"/>
        </w:trPr>
        <w:tc>
          <w:tcPr>
            <w:tcW w:w="7840" w:type="dxa"/>
            <w:vAlign w:val="bottom"/>
            <w:tcBorders>
              <w:bottom w:val="single" w:sz="8" w:color="C0C0C0"/>
            </w:tcBorders>
          </w:tcPr>
          <w:p>
            <w:pPr>
              <w:spacing w:after="0"/>
              <w:rPr>
                <w:sz w:val="22"/>
                <w:szCs w:val="22"/>
                <w:color w:val="auto"/>
              </w:rPr>
            </w:pPr>
          </w:p>
        </w:tc>
        <w:tc>
          <w:tcPr>
            <w:tcW w:w="34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96" w:name="page97"/>
    <w:bookmarkEnd w:id="96"/>
    <w:p>
      <w:pPr>
        <w:ind w:left="3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690054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C44E5E"/>
        </w:rPr>
        <w:t>Outstanding Equity Awards at 2020 Fiscal Year-End</w:t>
      </w:r>
    </w:p>
    <w:p>
      <w:pPr>
        <w:spacing w:after="0" w:line="177" w:lineRule="exact"/>
        <w:rPr>
          <w:sz w:val="20"/>
          <w:szCs w:val="20"/>
          <w:color w:val="auto"/>
        </w:rPr>
      </w:pPr>
    </w:p>
    <w:p>
      <w:pPr>
        <w:ind w:left="540" w:right="600"/>
        <w:spacing w:after="0" w:line="242" w:lineRule="auto"/>
        <w:rPr>
          <w:sz w:val="20"/>
          <w:szCs w:val="20"/>
          <w:color w:val="auto"/>
        </w:rPr>
      </w:pPr>
      <w:r>
        <w:rPr>
          <w:rFonts w:ascii="Arial" w:cs="Arial" w:eastAsia="Arial" w:hAnsi="Arial"/>
          <w:sz w:val="15"/>
          <w:szCs w:val="15"/>
          <w:color w:val="auto"/>
        </w:rPr>
        <w:t>The following table and explanatory footnotes provide information regarding unexercised stock options and PSUs or RSAs (as applicable) held by our NEOs as of December 31,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1080" w:type="dxa"/>
            <w:vAlign w:val="bottom"/>
            <w:tcBorders>
              <w:top w:val="single" w:sz="8" w:color="2952A4"/>
              <w:bottom w:val="single" w:sz="8" w:color="2952A4"/>
            </w:tcBorders>
            <w:gridSpan w:val="2"/>
          </w:tcPr>
          <w:p>
            <w:pPr>
              <w:ind w:left="60"/>
              <w:spacing w:after="0"/>
              <w:rPr>
                <w:sz w:val="20"/>
                <w:szCs w:val="20"/>
                <w:color w:val="auto"/>
              </w:rPr>
            </w:pPr>
            <w:r>
              <w:rPr>
                <w:rFonts w:ascii="Arial" w:cs="Arial" w:eastAsia="Arial" w:hAnsi="Arial"/>
                <w:sz w:val="12"/>
                <w:szCs w:val="12"/>
                <w:b w:val="1"/>
                <w:bCs w:val="1"/>
                <w:color w:val="2952A4"/>
              </w:rPr>
              <w:t>A</w:t>
            </w:r>
          </w:p>
        </w:tc>
        <w:tc>
          <w:tcPr>
            <w:tcW w:w="140" w:type="dxa"/>
            <w:vAlign w:val="bottom"/>
            <w:tcBorders>
              <w:top w:val="single" w:sz="8" w:color="2952A4"/>
              <w:bottom w:val="single" w:sz="8" w:color="2952A4"/>
            </w:tcBorders>
          </w:tcPr>
          <w:p>
            <w:pPr>
              <w:spacing w:after="0"/>
              <w:rPr>
                <w:sz w:val="14"/>
                <w:szCs w:val="14"/>
                <w:color w:val="auto"/>
              </w:rPr>
            </w:pPr>
          </w:p>
        </w:tc>
        <w:tc>
          <w:tcPr>
            <w:tcW w:w="860" w:type="dxa"/>
            <w:vAlign w:val="bottom"/>
            <w:tcBorders>
              <w:top w:val="single" w:sz="8" w:color="2952A4"/>
              <w:bottom w:val="single" w:sz="8" w:color="2952A4"/>
            </w:tcBorders>
          </w:tcPr>
          <w:p>
            <w:pPr>
              <w:jc w:val="center"/>
              <w:ind w:right="77"/>
              <w:spacing w:after="0"/>
              <w:rPr>
                <w:sz w:val="20"/>
                <w:szCs w:val="20"/>
                <w:color w:val="auto"/>
              </w:rPr>
            </w:pPr>
            <w:r>
              <w:rPr>
                <w:rFonts w:ascii="Arial" w:cs="Arial" w:eastAsia="Arial" w:hAnsi="Arial"/>
                <w:sz w:val="12"/>
                <w:szCs w:val="12"/>
                <w:b w:val="1"/>
                <w:bCs w:val="1"/>
                <w:color w:val="2952A4"/>
                <w:w w:val="91"/>
              </w:rPr>
              <w:t>B</w:t>
            </w:r>
          </w:p>
        </w:tc>
        <w:tc>
          <w:tcPr>
            <w:tcW w:w="1060" w:type="dxa"/>
            <w:vAlign w:val="bottom"/>
            <w:tcBorders>
              <w:top w:val="single" w:sz="8" w:color="2952A4"/>
              <w:bottom w:val="single" w:sz="8" w:color="2952A4"/>
            </w:tcBorders>
            <w:gridSpan w:val="2"/>
          </w:tcPr>
          <w:p>
            <w:pPr>
              <w:jc w:val="center"/>
              <w:ind w:left="77"/>
              <w:spacing w:after="0"/>
              <w:rPr>
                <w:sz w:val="20"/>
                <w:szCs w:val="20"/>
                <w:color w:val="auto"/>
              </w:rPr>
            </w:pPr>
            <w:r>
              <w:rPr>
                <w:rFonts w:ascii="Arial" w:cs="Arial" w:eastAsia="Arial" w:hAnsi="Arial"/>
                <w:sz w:val="12"/>
                <w:szCs w:val="12"/>
                <w:b w:val="1"/>
                <w:bCs w:val="1"/>
                <w:color w:val="2952A4"/>
                <w:w w:val="91"/>
              </w:rPr>
              <w:t>C</w:t>
            </w:r>
          </w:p>
        </w:tc>
        <w:tc>
          <w:tcPr>
            <w:tcW w:w="98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1"/>
              </w:rPr>
              <w:t>D</w:t>
            </w:r>
          </w:p>
        </w:tc>
        <w:tc>
          <w:tcPr>
            <w:tcW w:w="100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9"/>
              </w:rPr>
              <w:t>E</w:t>
            </w:r>
          </w:p>
        </w:tc>
        <w:tc>
          <w:tcPr>
            <w:tcW w:w="86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2"/>
                <w:szCs w:val="12"/>
                <w:b w:val="1"/>
                <w:bCs w:val="1"/>
                <w:color w:val="2952A4"/>
              </w:rPr>
              <w:t>F</w:t>
            </w:r>
          </w:p>
        </w:tc>
        <w:tc>
          <w:tcPr>
            <w:tcW w:w="140" w:type="dxa"/>
            <w:vAlign w:val="bottom"/>
            <w:tcBorders>
              <w:top w:val="single" w:sz="8" w:color="2952A4"/>
              <w:bottom w:val="single" w:sz="8" w:color="2952A4"/>
            </w:tcBorders>
          </w:tcPr>
          <w:p>
            <w:pPr>
              <w:spacing w:after="0"/>
              <w:rPr>
                <w:sz w:val="14"/>
                <w:szCs w:val="14"/>
                <w:color w:val="auto"/>
              </w:rPr>
            </w:pPr>
          </w:p>
        </w:tc>
        <w:tc>
          <w:tcPr>
            <w:tcW w:w="1000" w:type="dxa"/>
            <w:vAlign w:val="bottom"/>
            <w:tcBorders>
              <w:top w:val="single" w:sz="8" w:color="2952A4"/>
              <w:bottom w:val="single" w:sz="8" w:color="2952A4"/>
            </w:tcBorders>
          </w:tcPr>
          <w:p>
            <w:pPr>
              <w:jc w:val="center"/>
              <w:ind w:right="16"/>
              <w:spacing w:after="0"/>
              <w:rPr>
                <w:sz w:val="20"/>
                <w:szCs w:val="20"/>
                <w:color w:val="auto"/>
              </w:rPr>
            </w:pPr>
            <w:r>
              <w:rPr>
                <w:rFonts w:ascii="Arial" w:cs="Arial" w:eastAsia="Arial" w:hAnsi="Arial"/>
                <w:sz w:val="12"/>
                <w:szCs w:val="12"/>
                <w:b w:val="1"/>
                <w:bCs w:val="1"/>
                <w:color w:val="2952A4"/>
                <w:w w:val="85"/>
              </w:rPr>
              <w:t>G</w:t>
            </w:r>
          </w:p>
        </w:tc>
        <w:tc>
          <w:tcPr>
            <w:tcW w:w="102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1"/>
              </w:rPr>
              <w:t>H</w:t>
            </w:r>
          </w:p>
        </w:tc>
        <w:tc>
          <w:tcPr>
            <w:tcW w:w="1060" w:type="dxa"/>
            <w:vAlign w:val="bottom"/>
            <w:tcBorders>
              <w:top w:val="single" w:sz="8" w:color="2952A4"/>
              <w:bottom w:val="single" w:sz="8" w:color="2952A4"/>
            </w:tcBorders>
          </w:tcPr>
          <w:p>
            <w:pPr>
              <w:jc w:val="center"/>
              <w:spacing w:after="0"/>
              <w:rPr>
                <w:sz w:val="20"/>
                <w:szCs w:val="20"/>
                <w:color w:val="auto"/>
              </w:rPr>
            </w:pPr>
            <w:r>
              <w:rPr>
                <w:rFonts w:ascii="Arial" w:cs="Arial" w:eastAsia="Arial" w:hAnsi="Arial"/>
                <w:sz w:val="9"/>
                <w:szCs w:val="9"/>
                <w:b w:val="1"/>
                <w:bCs w:val="1"/>
                <w:color w:val="2952A4"/>
                <w:w w:val="77"/>
              </w:rPr>
              <w:t>I</w:t>
            </w:r>
          </w:p>
        </w:tc>
        <w:tc>
          <w:tcPr>
            <w:tcW w:w="960" w:type="dxa"/>
            <w:vAlign w:val="bottom"/>
            <w:tcBorders>
              <w:top w:val="single" w:sz="8" w:color="2952A4"/>
              <w:bottom w:val="single" w:sz="8" w:color="2952A4"/>
            </w:tcBorders>
            <w:gridSpan w:val="2"/>
          </w:tcPr>
          <w:p>
            <w:pPr>
              <w:jc w:val="center"/>
              <w:spacing w:after="0"/>
              <w:rPr>
                <w:sz w:val="20"/>
                <w:szCs w:val="20"/>
                <w:color w:val="auto"/>
              </w:rPr>
            </w:pPr>
            <w:r>
              <w:rPr>
                <w:rFonts w:ascii="Arial" w:cs="Arial" w:eastAsia="Arial" w:hAnsi="Arial"/>
                <w:sz w:val="12"/>
                <w:szCs w:val="12"/>
                <w:b w:val="1"/>
                <w:bCs w:val="1"/>
                <w:color w:val="2952A4"/>
                <w:w w:val="89"/>
              </w:rPr>
              <w:t>J</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bottom w:val="single" w:sz="8" w:color="2952A4"/>
            </w:tcBorders>
          </w:tcPr>
          <w:p>
            <w:pPr>
              <w:spacing w:after="0"/>
              <w:rPr>
                <w:sz w:val="12"/>
                <w:szCs w:val="12"/>
                <w:color w:val="auto"/>
              </w:rPr>
            </w:pPr>
          </w:p>
        </w:tc>
        <w:tc>
          <w:tcPr>
            <w:tcW w:w="140" w:type="dxa"/>
            <w:vAlign w:val="bottom"/>
            <w:tcBorders>
              <w:bottom w:val="single" w:sz="8" w:color="2952A4"/>
            </w:tcBorders>
          </w:tcPr>
          <w:p>
            <w:pPr>
              <w:spacing w:after="0"/>
              <w:rPr>
                <w:sz w:val="12"/>
                <w:szCs w:val="12"/>
                <w:color w:val="auto"/>
              </w:rPr>
            </w:pPr>
          </w:p>
        </w:tc>
        <w:tc>
          <w:tcPr>
            <w:tcW w:w="860" w:type="dxa"/>
            <w:vAlign w:val="bottom"/>
            <w:tcBorders>
              <w:bottom w:val="single" w:sz="8" w:color="2952A4"/>
            </w:tcBorders>
          </w:tcPr>
          <w:p>
            <w:pPr>
              <w:spacing w:after="0"/>
              <w:rPr>
                <w:sz w:val="12"/>
                <w:szCs w:val="12"/>
                <w:color w:val="auto"/>
              </w:rPr>
            </w:pPr>
          </w:p>
        </w:tc>
        <w:tc>
          <w:tcPr>
            <w:tcW w:w="740" w:type="dxa"/>
            <w:vAlign w:val="bottom"/>
            <w:tcBorders>
              <w:bottom w:val="single" w:sz="8" w:color="2952A4"/>
            </w:tcBorders>
          </w:tcPr>
          <w:p>
            <w:pPr>
              <w:spacing w:after="0"/>
              <w:rPr>
                <w:sz w:val="12"/>
                <w:szCs w:val="12"/>
                <w:color w:val="auto"/>
              </w:rPr>
            </w:pPr>
          </w:p>
        </w:tc>
        <w:tc>
          <w:tcPr>
            <w:tcW w:w="1300" w:type="dxa"/>
            <w:vAlign w:val="bottom"/>
            <w:tcBorders>
              <w:bottom w:val="single" w:sz="8" w:color="2952A4"/>
            </w:tcBorders>
            <w:gridSpan w:val="2"/>
          </w:tcPr>
          <w:p>
            <w:pPr>
              <w:jc w:val="right"/>
              <w:ind w:right="177"/>
              <w:spacing w:after="0"/>
              <w:rPr>
                <w:sz w:val="20"/>
                <w:szCs w:val="20"/>
                <w:color w:val="auto"/>
              </w:rPr>
            </w:pPr>
            <w:r>
              <w:rPr>
                <w:rFonts w:ascii="Arial" w:cs="Arial" w:eastAsia="Arial" w:hAnsi="Arial"/>
                <w:sz w:val="12"/>
                <w:szCs w:val="12"/>
                <w:b w:val="1"/>
                <w:bCs w:val="1"/>
                <w:color w:val="2952A4"/>
              </w:rPr>
              <w:t>Option Awards</w:t>
            </w:r>
          </w:p>
        </w:tc>
        <w:tc>
          <w:tcPr>
            <w:tcW w:w="1000" w:type="dxa"/>
            <w:vAlign w:val="bottom"/>
            <w:tcBorders>
              <w:bottom w:val="single" w:sz="8" w:color="2952A4"/>
            </w:tcBorders>
          </w:tcPr>
          <w:p>
            <w:pPr>
              <w:spacing w:after="0"/>
              <w:rPr>
                <w:sz w:val="12"/>
                <w:szCs w:val="12"/>
                <w:color w:val="auto"/>
              </w:rPr>
            </w:pPr>
          </w:p>
        </w:tc>
        <w:tc>
          <w:tcPr>
            <w:tcW w:w="860" w:type="dxa"/>
            <w:vAlign w:val="bottom"/>
            <w:tcBorders>
              <w:bottom w:val="single" w:sz="8" w:color="2952A4"/>
            </w:tcBorders>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bottom w:val="single" w:sz="8" w:color="2952A4"/>
            </w:tcBorders>
          </w:tcPr>
          <w:p>
            <w:pPr>
              <w:spacing w:after="0"/>
              <w:rPr>
                <w:sz w:val="12"/>
                <w:szCs w:val="12"/>
                <w:color w:val="auto"/>
              </w:rPr>
            </w:pPr>
          </w:p>
        </w:tc>
        <w:tc>
          <w:tcPr>
            <w:tcW w:w="2080" w:type="dxa"/>
            <w:vAlign w:val="bottom"/>
            <w:tcBorders>
              <w:bottom w:val="single" w:sz="8" w:color="2952A4"/>
            </w:tcBorders>
            <w:gridSpan w:val="2"/>
          </w:tcPr>
          <w:p>
            <w:pPr>
              <w:jc w:val="right"/>
              <w:ind w:right="617"/>
              <w:spacing w:after="0"/>
              <w:rPr>
                <w:sz w:val="20"/>
                <w:szCs w:val="20"/>
                <w:color w:val="auto"/>
              </w:rPr>
            </w:pPr>
            <w:r>
              <w:rPr>
                <w:rFonts w:ascii="Arial" w:cs="Arial" w:eastAsia="Arial" w:hAnsi="Arial"/>
                <w:sz w:val="12"/>
                <w:szCs w:val="12"/>
                <w:b w:val="1"/>
                <w:bCs w:val="1"/>
                <w:color w:val="2952A4"/>
              </w:rPr>
              <w:t>Stock Awards</w:t>
            </w:r>
          </w:p>
        </w:tc>
        <w:tc>
          <w:tcPr>
            <w:tcW w:w="860" w:type="dxa"/>
            <w:vAlign w:val="bottom"/>
            <w:tcBorders>
              <w:bottom w:val="single" w:sz="8" w:color="2952A4"/>
            </w:tcBorders>
          </w:tcPr>
          <w:p>
            <w:pPr>
              <w:spacing w:after="0"/>
              <w:rPr>
                <w:sz w:val="12"/>
                <w:szCs w:val="12"/>
                <w:color w:val="auto"/>
              </w:rPr>
            </w:pPr>
          </w:p>
        </w:tc>
        <w:tc>
          <w:tcPr>
            <w:tcW w:w="100" w:type="dxa"/>
            <w:vAlign w:val="bottom"/>
            <w:tcBorders>
              <w:bottom w:val="single" w:sz="8" w:color="2952A4"/>
            </w:tcBorders>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gridSpan w:val="2"/>
          </w:tcPr>
          <w:p>
            <w:pPr>
              <w:jc w:val="center"/>
              <w:ind w:left="17"/>
              <w:spacing w:after="0" w:line="117" w:lineRule="exact"/>
              <w:rPr>
                <w:sz w:val="20"/>
                <w:szCs w:val="20"/>
                <w:color w:val="auto"/>
              </w:rPr>
            </w:pPr>
            <w:r>
              <w:rPr>
                <w:rFonts w:ascii="Arial" w:cs="Arial" w:eastAsia="Arial" w:hAnsi="Arial"/>
                <w:sz w:val="12"/>
                <w:szCs w:val="12"/>
                <w:b w:val="1"/>
                <w:bCs w:val="1"/>
                <w:color w:val="2952A4"/>
                <w:w w:val="98"/>
              </w:rPr>
              <w:t>Equity</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Equity</w:t>
            </w: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Equity</w:t>
            </w:r>
          </w:p>
        </w:tc>
        <w:tc>
          <w:tcPr>
            <w:tcW w:w="1500" w:type="dxa"/>
            <w:vAlign w:val="bottom"/>
            <w:gridSpan w:val="3"/>
          </w:tcPr>
          <w:p>
            <w:pPr>
              <w:jc w:val="center"/>
              <w:ind w:right="480"/>
              <w:spacing w:after="0" w:line="135" w:lineRule="exact"/>
              <w:rPr>
                <w:sz w:val="20"/>
                <w:szCs w:val="20"/>
                <w:color w:val="auto"/>
              </w:rPr>
            </w:pPr>
            <w:r>
              <w:rPr>
                <w:rFonts w:ascii="Arial" w:cs="Arial" w:eastAsia="Arial" w:hAnsi="Arial"/>
                <w:sz w:val="12"/>
                <w:szCs w:val="12"/>
                <w:b w:val="1"/>
                <w:bCs w:val="1"/>
                <w:color w:val="2952A4"/>
                <w:w w:val="96"/>
              </w:rPr>
              <w:t>incentive</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9"/>
              </w:rPr>
              <w:t>incentive</w:t>
            </w: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incentive</w:t>
            </w:r>
          </w:p>
        </w:tc>
        <w:tc>
          <w:tcPr>
            <w:tcW w:w="1500" w:type="dxa"/>
            <w:vAlign w:val="bottom"/>
            <w:gridSpan w:val="3"/>
          </w:tcPr>
          <w:p>
            <w:pPr>
              <w:jc w:val="center"/>
              <w:ind w:right="460"/>
              <w:spacing w:after="0" w:line="135" w:lineRule="exact"/>
              <w:rPr>
                <w:sz w:val="20"/>
                <w:szCs w:val="20"/>
                <w:color w:val="auto"/>
              </w:rPr>
            </w:pPr>
            <w:r>
              <w:rPr>
                <w:rFonts w:ascii="Arial" w:cs="Arial" w:eastAsia="Arial" w:hAnsi="Arial"/>
                <w:sz w:val="12"/>
                <w:szCs w:val="12"/>
                <w:b w:val="1"/>
                <w:bCs w:val="1"/>
                <w:color w:val="2952A4"/>
                <w:w w:val="98"/>
              </w:rPr>
              <w:t>plan awards:</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plan awards:</w:t>
            </w: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5"/>
              </w:rPr>
              <w:t>plan awards:</w:t>
            </w:r>
          </w:p>
        </w:tc>
        <w:tc>
          <w:tcPr>
            <w:tcW w:w="1500" w:type="dxa"/>
            <w:vAlign w:val="bottom"/>
            <w:gridSpan w:val="3"/>
          </w:tcPr>
          <w:p>
            <w:pPr>
              <w:jc w:val="center"/>
              <w:ind w:right="480"/>
              <w:spacing w:after="0" w:line="135" w:lineRule="exact"/>
              <w:rPr>
                <w:sz w:val="20"/>
                <w:szCs w:val="20"/>
                <w:color w:val="auto"/>
              </w:rPr>
            </w:pPr>
            <w:r>
              <w:rPr>
                <w:rFonts w:ascii="Arial" w:cs="Arial" w:eastAsia="Arial" w:hAnsi="Arial"/>
                <w:sz w:val="12"/>
                <w:szCs w:val="12"/>
                <w:b w:val="1"/>
                <w:bCs w:val="1"/>
                <w:color w:val="2952A4"/>
                <w:w w:val="98"/>
              </w:rPr>
              <w:t>market or</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77"/>
              <w:spacing w:after="0" w:line="135" w:lineRule="exact"/>
              <w:rPr>
                <w:sz w:val="20"/>
                <w:szCs w:val="20"/>
                <w:color w:val="auto"/>
              </w:rPr>
            </w:pPr>
            <w:r>
              <w:rPr>
                <w:rFonts w:ascii="Arial" w:cs="Arial" w:eastAsia="Arial" w:hAnsi="Arial"/>
                <w:sz w:val="12"/>
                <w:szCs w:val="12"/>
                <w:b w:val="1"/>
                <w:bCs w:val="1"/>
                <w:color w:val="2952A4"/>
                <w:w w:val="99"/>
              </w:rPr>
              <w:t>Number of</w:t>
            </w:r>
          </w:p>
        </w:tc>
        <w:tc>
          <w:tcPr>
            <w:tcW w:w="1060" w:type="dxa"/>
            <w:vAlign w:val="bottom"/>
            <w:gridSpan w:val="2"/>
          </w:tcPr>
          <w:p>
            <w:pPr>
              <w:jc w:val="center"/>
              <w:ind w:left="57"/>
              <w:spacing w:after="0" w:line="135" w:lineRule="exact"/>
              <w:rPr>
                <w:sz w:val="20"/>
                <w:szCs w:val="20"/>
                <w:color w:val="auto"/>
              </w:rPr>
            </w:pPr>
            <w:r>
              <w:rPr>
                <w:rFonts w:ascii="Arial" w:cs="Arial" w:eastAsia="Arial" w:hAnsi="Arial"/>
                <w:sz w:val="12"/>
                <w:szCs w:val="12"/>
                <w:b w:val="1"/>
                <w:bCs w:val="1"/>
                <w:color w:val="2952A4"/>
                <w:w w:val="96"/>
              </w:rPr>
              <w:t>Number of</w:t>
            </w: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5"/>
              </w:rPr>
              <w:t>number of</w:t>
            </w: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number of</w:t>
            </w:r>
          </w:p>
        </w:tc>
        <w:tc>
          <w:tcPr>
            <w:tcW w:w="1500" w:type="dxa"/>
            <w:vAlign w:val="bottom"/>
            <w:gridSpan w:val="3"/>
          </w:tcPr>
          <w:p>
            <w:pPr>
              <w:jc w:val="center"/>
              <w:ind w:right="460"/>
              <w:spacing w:after="0" w:line="135" w:lineRule="exact"/>
              <w:rPr>
                <w:sz w:val="20"/>
                <w:szCs w:val="20"/>
                <w:color w:val="auto"/>
              </w:rPr>
            </w:pPr>
            <w:r>
              <w:rPr>
                <w:rFonts w:ascii="Arial" w:cs="Arial" w:eastAsia="Arial" w:hAnsi="Arial"/>
                <w:sz w:val="12"/>
                <w:szCs w:val="12"/>
                <w:b w:val="1"/>
                <w:bCs w:val="1"/>
                <w:color w:val="2952A4"/>
                <w:w w:val="98"/>
              </w:rPr>
              <w:t>payout value</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77"/>
              <w:spacing w:after="0" w:line="135" w:lineRule="exact"/>
              <w:rPr>
                <w:sz w:val="20"/>
                <w:szCs w:val="20"/>
                <w:color w:val="auto"/>
              </w:rPr>
            </w:pPr>
            <w:r>
              <w:rPr>
                <w:rFonts w:ascii="Arial" w:cs="Arial" w:eastAsia="Arial" w:hAnsi="Arial"/>
                <w:sz w:val="12"/>
                <w:szCs w:val="12"/>
                <w:b w:val="1"/>
                <w:bCs w:val="1"/>
                <w:color w:val="2952A4"/>
                <w:w w:val="99"/>
              </w:rPr>
              <w:t>securities</w:t>
            </w:r>
          </w:p>
        </w:tc>
        <w:tc>
          <w:tcPr>
            <w:tcW w:w="1060" w:type="dxa"/>
            <w:vAlign w:val="bottom"/>
            <w:gridSpan w:val="2"/>
          </w:tcPr>
          <w:p>
            <w:pPr>
              <w:jc w:val="center"/>
              <w:ind w:left="57"/>
              <w:spacing w:after="0" w:line="135" w:lineRule="exact"/>
              <w:rPr>
                <w:sz w:val="20"/>
                <w:szCs w:val="20"/>
                <w:color w:val="auto"/>
              </w:rPr>
            </w:pPr>
            <w:r>
              <w:rPr>
                <w:rFonts w:ascii="Arial" w:cs="Arial" w:eastAsia="Arial" w:hAnsi="Arial"/>
                <w:sz w:val="12"/>
                <w:szCs w:val="12"/>
                <w:b w:val="1"/>
                <w:bCs w:val="1"/>
                <w:color w:val="2952A4"/>
                <w:w w:val="96"/>
              </w:rPr>
              <w:t>securities</w:t>
            </w: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9"/>
              </w:rPr>
              <w:t>securities</w:t>
            </w: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Number of</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Market value</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9"/>
              </w:rPr>
              <w:t>unearned</w:t>
            </w:r>
          </w:p>
        </w:tc>
        <w:tc>
          <w:tcPr>
            <w:tcW w:w="1500" w:type="dxa"/>
            <w:vAlign w:val="bottom"/>
            <w:gridSpan w:val="3"/>
          </w:tcPr>
          <w:p>
            <w:pPr>
              <w:jc w:val="center"/>
              <w:ind w:right="480"/>
              <w:spacing w:after="0" w:line="135" w:lineRule="exact"/>
              <w:rPr>
                <w:sz w:val="20"/>
                <w:szCs w:val="20"/>
                <w:color w:val="auto"/>
              </w:rPr>
            </w:pPr>
            <w:r>
              <w:rPr>
                <w:rFonts w:ascii="Arial" w:cs="Arial" w:eastAsia="Arial" w:hAnsi="Arial"/>
                <w:sz w:val="12"/>
                <w:szCs w:val="12"/>
                <w:b w:val="1"/>
                <w:bCs w:val="1"/>
                <w:color w:val="2952A4"/>
                <w:w w:val="96"/>
              </w:rPr>
              <w:t>of unearned</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77"/>
              <w:spacing w:after="0" w:line="135" w:lineRule="exact"/>
              <w:rPr>
                <w:sz w:val="20"/>
                <w:szCs w:val="20"/>
                <w:color w:val="auto"/>
              </w:rPr>
            </w:pPr>
            <w:r>
              <w:rPr>
                <w:rFonts w:ascii="Arial" w:cs="Arial" w:eastAsia="Arial" w:hAnsi="Arial"/>
                <w:sz w:val="12"/>
                <w:szCs w:val="12"/>
                <w:b w:val="1"/>
                <w:bCs w:val="1"/>
                <w:color w:val="2952A4"/>
                <w:w w:val="97"/>
              </w:rPr>
              <w:t>underlying</w:t>
            </w:r>
          </w:p>
        </w:tc>
        <w:tc>
          <w:tcPr>
            <w:tcW w:w="1060" w:type="dxa"/>
            <w:vAlign w:val="bottom"/>
            <w:gridSpan w:val="2"/>
          </w:tcPr>
          <w:p>
            <w:pPr>
              <w:jc w:val="center"/>
              <w:ind w:left="77"/>
              <w:spacing w:after="0" w:line="135" w:lineRule="exact"/>
              <w:rPr>
                <w:sz w:val="20"/>
                <w:szCs w:val="20"/>
                <w:color w:val="auto"/>
              </w:rPr>
            </w:pPr>
            <w:r>
              <w:rPr>
                <w:rFonts w:ascii="Arial" w:cs="Arial" w:eastAsia="Arial" w:hAnsi="Arial"/>
                <w:sz w:val="12"/>
                <w:szCs w:val="12"/>
                <w:b w:val="1"/>
                <w:bCs w:val="1"/>
                <w:color w:val="2952A4"/>
                <w:w w:val="97"/>
              </w:rPr>
              <w:t>underlying</w:t>
            </w:r>
          </w:p>
        </w:tc>
        <w:tc>
          <w:tcPr>
            <w:tcW w:w="980" w:type="dxa"/>
            <w:vAlign w:val="bottom"/>
          </w:tcPr>
          <w:p>
            <w:pPr>
              <w:jc w:val="right"/>
              <w:ind w:right="97"/>
              <w:spacing w:after="0" w:line="135" w:lineRule="exact"/>
              <w:rPr>
                <w:sz w:val="20"/>
                <w:szCs w:val="20"/>
                <w:color w:val="auto"/>
              </w:rPr>
            </w:pPr>
            <w:r>
              <w:rPr>
                <w:rFonts w:ascii="Arial" w:cs="Arial" w:eastAsia="Arial" w:hAnsi="Arial"/>
                <w:sz w:val="12"/>
                <w:szCs w:val="12"/>
                <w:b w:val="1"/>
                <w:bCs w:val="1"/>
                <w:color w:val="2952A4"/>
              </w:rPr>
              <w:t>underlying</w:t>
            </w: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6"/>
              <w:spacing w:after="0" w:line="135" w:lineRule="exact"/>
              <w:rPr>
                <w:sz w:val="20"/>
                <w:szCs w:val="20"/>
                <w:color w:val="auto"/>
              </w:rPr>
            </w:pPr>
            <w:r>
              <w:rPr>
                <w:rFonts w:ascii="Arial" w:cs="Arial" w:eastAsia="Arial" w:hAnsi="Arial"/>
                <w:sz w:val="12"/>
                <w:szCs w:val="12"/>
                <w:b w:val="1"/>
                <w:bCs w:val="1"/>
                <w:color w:val="2952A4"/>
                <w:w w:val="96"/>
              </w:rPr>
              <w:t>shares or</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of shares or</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shares, units</w:t>
            </w:r>
          </w:p>
        </w:tc>
        <w:tc>
          <w:tcPr>
            <w:tcW w:w="1500" w:type="dxa"/>
            <w:vAlign w:val="bottom"/>
            <w:gridSpan w:val="3"/>
          </w:tcPr>
          <w:p>
            <w:pPr>
              <w:jc w:val="center"/>
              <w:ind w:right="460"/>
              <w:spacing w:after="0" w:line="135" w:lineRule="exact"/>
              <w:rPr>
                <w:sz w:val="20"/>
                <w:szCs w:val="20"/>
                <w:color w:val="auto"/>
              </w:rPr>
            </w:pPr>
            <w:r>
              <w:rPr>
                <w:rFonts w:ascii="Arial" w:cs="Arial" w:eastAsia="Arial" w:hAnsi="Arial"/>
                <w:sz w:val="12"/>
                <w:szCs w:val="12"/>
                <w:b w:val="1"/>
                <w:bCs w:val="1"/>
                <w:color w:val="2952A4"/>
                <w:w w:val="97"/>
              </w:rPr>
              <w:t>shares, units</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77"/>
              <w:spacing w:after="0" w:line="135" w:lineRule="exact"/>
              <w:rPr>
                <w:sz w:val="20"/>
                <w:szCs w:val="20"/>
                <w:color w:val="auto"/>
              </w:rPr>
            </w:pPr>
            <w:r>
              <w:rPr>
                <w:rFonts w:ascii="Arial" w:cs="Arial" w:eastAsia="Arial" w:hAnsi="Arial"/>
                <w:sz w:val="12"/>
                <w:szCs w:val="12"/>
                <w:b w:val="1"/>
                <w:bCs w:val="1"/>
                <w:color w:val="2952A4"/>
                <w:w w:val="97"/>
              </w:rPr>
              <w:t>unexercised</w:t>
            </w:r>
          </w:p>
        </w:tc>
        <w:tc>
          <w:tcPr>
            <w:tcW w:w="1060" w:type="dxa"/>
            <w:vAlign w:val="bottom"/>
            <w:gridSpan w:val="2"/>
          </w:tcPr>
          <w:p>
            <w:pPr>
              <w:jc w:val="center"/>
              <w:ind w:left="77"/>
              <w:spacing w:after="0" w:line="135" w:lineRule="exact"/>
              <w:rPr>
                <w:sz w:val="20"/>
                <w:szCs w:val="20"/>
                <w:color w:val="auto"/>
              </w:rPr>
            </w:pPr>
            <w:r>
              <w:rPr>
                <w:rFonts w:ascii="Arial" w:cs="Arial" w:eastAsia="Arial" w:hAnsi="Arial"/>
                <w:sz w:val="12"/>
                <w:szCs w:val="12"/>
                <w:b w:val="1"/>
                <w:bCs w:val="1"/>
                <w:color w:val="2952A4"/>
                <w:w w:val="97"/>
              </w:rPr>
              <w:t>unexercised</w:t>
            </w: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unexercised</w:t>
            </w: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6"/>
              <w:spacing w:after="0" w:line="135" w:lineRule="exact"/>
              <w:rPr>
                <w:sz w:val="20"/>
                <w:szCs w:val="20"/>
                <w:color w:val="auto"/>
              </w:rPr>
            </w:pPr>
            <w:r>
              <w:rPr>
                <w:rFonts w:ascii="Arial" w:cs="Arial" w:eastAsia="Arial" w:hAnsi="Arial"/>
                <w:sz w:val="12"/>
                <w:szCs w:val="12"/>
                <w:b w:val="1"/>
                <w:bCs w:val="1"/>
                <w:color w:val="2952A4"/>
                <w:w w:val="97"/>
              </w:rPr>
              <w:t>units of stock</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units of stock</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or other rights</w:t>
            </w:r>
          </w:p>
        </w:tc>
        <w:tc>
          <w:tcPr>
            <w:tcW w:w="1500" w:type="dxa"/>
            <w:vAlign w:val="bottom"/>
            <w:gridSpan w:val="3"/>
          </w:tcPr>
          <w:p>
            <w:pPr>
              <w:jc w:val="center"/>
              <w:ind w:right="460"/>
              <w:spacing w:after="0" w:line="135" w:lineRule="exact"/>
              <w:rPr>
                <w:sz w:val="20"/>
                <w:szCs w:val="20"/>
                <w:color w:val="auto"/>
              </w:rPr>
            </w:pPr>
            <w:r>
              <w:rPr>
                <w:rFonts w:ascii="Arial" w:cs="Arial" w:eastAsia="Arial" w:hAnsi="Arial"/>
                <w:sz w:val="12"/>
                <w:szCs w:val="12"/>
                <w:b w:val="1"/>
                <w:bCs w:val="1"/>
                <w:color w:val="2952A4"/>
                <w:w w:val="97"/>
              </w:rPr>
              <w:t>or other rights</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77"/>
              <w:spacing w:after="0" w:line="135" w:lineRule="exact"/>
              <w:rPr>
                <w:sz w:val="20"/>
                <w:szCs w:val="20"/>
                <w:color w:val="auto"/>
              </w:rPr>
            </w:pPr>
            <w:r>
              <w:rPr>
                <w:rFonts w:ascii="Arial" w:cs="Arial" w:eastAsia="Arial" w:hAnsi="Arial"/>
                <w:sz w:val="12"/>
                <w:szCs w:val="12"/>
                <w:b w:val="1"/>
                <w:bCs w:val="1"/>
                <w:color w:val="2952A4"/>
              </w:rPr>
              <w:t>options</w:t>
            </w:r>
          </w:p>
        </w:tc>
        <w:tc>
          <w:tcPr>
            <w:tcW w:w="1060" w:type="dxa"/>
            <w:vAlign w:val="bottom"/>
            <w:gridSpan w:val="2"/>
          </w:tcPr>
          <w:p>
            <w:pPr>
              <w:jc w:val="center"/>
              <w:ind w:left="57"/>
              <w:spacing w:after="0" w:line="135" w:lineRule="exact"/>
              <w:rPr>
                <w:sz w:val="20"/>
                <w:szCs w:val="20"/>
                <w:color w:val="auto"/>
              </w:rPr>
            </w:pPr>
            <w:r>
              <w:rPr>
                <w:rFonts w:ascii="Arial" w:cs="Arial" w:eastAsia="Arial" w:hAnsi="Arial"/>
                <w:sz w:val="12"/>
                <w:szCs w:val="12"/>
                <w:b w:val="1"/>
                <w:bCs w:val="1"/>
                <w:color w:val="2952A4"/>
                <w:w w:val="96"/>
              </w:rPr>
              <w:t>options</w:t>
            </w: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unearned</w:t>
            </w: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Option</w:t>
            </w:r>
          </w:p>
        </w:tc>
        <w:tc>
          <w:tcPr>
            <w:tcW w:w="860" w:type="dxa"/>
            <w:vAlign w:val="bottom"/>
          </w:tcPr>
          <w:p>
            <w:pPr>
              <w:jc w:val="center"/>
              <w:ind w:left="16"/>
              <w:spacing w:after="0" w:line="135" w:lineRule="exact"/>
              <w:rPr>
                <w:sz w:val="20"/>
                <w:szCs w:val="20"/>
                <w:color w:val="auto"/>
              </w:rPr>
            </w:pPr>
            <w:r>
              <w:rPr>
                <w:rFonts w:ascii="Arial" w:cs="Arial" w:eastAsia="Arial" w:hAnsi="Arial"/>
                <w:sz w:val="12"/>
                <w:szCs w:val="12"/>
                <w:b w:val="1"/>
                <w:bCs w:val="1"/>
                <w:color w:val="2952A4"/>
                <w:w w:val="98"/>
              </w:rPr>
              <w:t>Option</w:t>
            </w:r>
          </w:p>
        </w:tc>
        <w:tc>
          <w:tcPr>
            <w:tcW w:w="140" w:type="dxa"/>
            <w:vAlign w:val="bottom"/>
          </w:tcPr>
          <w:p>
            <w:pPr>
              <w:spacing w:after="0"/>
              <w:rPr>
                <w:sz w:val="11"/>
                <w:szCs w:val="11"/>
                <w:color w:val="auto"/>
              </w:rPr>
            </w:pPr>
          </w:p>
        </w:tc>
        <w:tc>
          <w:tcPr>
            <w:tcW w:w="1000" w:type="dxa"/>
            <w:vAlign w:val="bottom"/>
          </w:tcPr>
          <w:p>
            <w:pPr>
              <w:jc w:val="center"/>
              <w:ind w:right="16"/>
              <w:spacing w:after="0" w:line="135" w:lineRule="exact"/>
              <w:rPr>
                <w:sz w:val="20"/>
                <w:szCs w:val="20"/>
                <w:color w:val="auto"/>
              </w:rPr>
            </w:pPr>
            <w:r>
              <w:rPr>
                <w:rFonts w:ascii="Arial" w:cs="Arial" w:eastAsia="Arial" w:hAnsi="Arial"/>
                <w:sz w:val="12"/>
                <w:szCs w:val="12"/>
                <w:b w:val="1"/>
                <w:bCs w:val="1"/>
                <w:color w:val="2952A4"/>
                <w:w w:val="96"/>
              </w:rPr>
              <w:t>that have not</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that have not</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9"/>
              </w:rPr>
              <w:t>that have not</w:t>
            </w:r>
          </w:p>
        </w:tc>
        <w:tc>
          <w:tcPr>
            <w:tcW w:w="1500" w:type="dxa"/>
            <w:vAlign w:val="bottom"/>
            <w:gridSpan w:val="3"/>
          </w:tcPr>
          <w:p>
            <w:pPr>
              <w:jc w:val="center"/>
              <w:ind w:right="460"/>
              <w:spacing w:after="0" w:line="135" w:lineRule="exact"/>
              <w:rPr>
                <w:sz w:val="20"/>
                <w:szCs w:val="20"/>
                <w:color w:val="auto"/>
              </w:rPr>
            </w:pPr>
            <w:r>
              <w:rPr>
                <w:rFonts w:ascii="Arial" w:cs="Arial" w:eastAsia="Arial" w:hAnsi="Arial"/>
                <w:sz w:val="12"/>
                <w:szCs w:val="12"/>
                <w:b w:val="1"/>
                <w:bCs w:val="1"/>
                <w:color w:val="2952A4"/>
                <w:w w:val="96"/>
              </w:rPr>
              <w:t>that have not</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2952A4"/>
              </w:rPr>
              <w:t>Name</w:t>
            </w:r>
          </w:p>
        </w:tc>
        <w:tc>
          <w:tcPr>
            <w:tcW w:w="140" w:type="dxa"/>
            <w:vAlign w:val="bottom"/>
          </w:tcPr>
          <w:p>
            <w:pPr>
              <w:spacing w:after="0"/>
              <w:rPr>
                <w:sz w:val="12"/>
                <w:szCs w:val="12"/>
                <w:color w:val="auto"/>
              </w:rPr>
            </w:pPr>
          </w:p>
        </w:tc>
        <w:tc>
          <w:tcPr>
            <w:tcW w:w="860" w:type="dxa"/>
            <w:vAlign w:val="bottom"/>
          </w:tcPr>
          <w:p>
            <w:pPr>
              <w:jc w:val="center"/>
              <w:ind w:right="77"/>
              <w:spacing w:after="0"/>
              <w:rPr>
                <w:sz w:val="20"/>
                <w:szCs w:val="20"/>
                <w:color w:val="auto"/>
              </w:rPr>
            </w:pPr>
            <w:r>
              <w:rPr>
                <w:rFonts w:ascii="Arial" w:cs="Arial" w:eastAsia="Arial" w:hAnsi="Arial"/>
                <w:sz w:val="12"/>
                <w:szCs w:val="12"/>
                <w:b w:val="1"/>
                <w:bCs w:val="1"/>
                <w:color w:val="2952A4"/>
                <w:w w:val="97"/>
              </w:rPr>
              <w:t>exercisable</w:t>
            </w:r>
          </w:p>
        </w:tc>
        <w:tc>
          <w:tcPr>
            <w:tcW w:w="1060" w:type="dxa"/>
            <w:vAlign w:val="bottom"/>
            <w:gridSpan w:val="2"/>
          </w:tcPr>
          <w:p>
            <w:pPr>
              <w:jc w:val="center"/>
              <w:ind w:left="57"/>
              <w:spacing w:after="0"/>
              <w:rPr>
                <w:sz w:val="20"/>
                <w:szCs w:val="20"/>
                <w:color w:val="auto"/>
              </w:rPr>
            </w:pPr>
            <w:r>
              <w:rPr>
                <w:rFonts w:ascii="Arial" w:cs="Arial" w:eastAsia="Arial" w:hAnsi="Arial"/>
                <w:sz w:val="12"/>
                <w:szCs w:val="12"/>
                <w:b w:val="1"/>
                <w:bCs w:val="1"/>
                <w:color w:val="2952A4"/>
                <w:w w:val="97"/>
              </w:rPr>
              <w:t>unexercisable</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2952A4"/>
              </w:rPr>
              <w:t>options</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2952A4"/>
                <w:w w:val="97"/>
              </w:rPr>
              <w:t>exercise price</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2952A4"/>
                <w:w w:val="97"/>
              </w:rPr>
              <w:t>expiration</w:t>
            </w:r>
          </w:p>
        </w:tc>
        <w:tc>
          <w:tcPr>
            <w:tcW w:w="140" w:type="dxa"/>
            <w:vAlign w:val="bottom"/>
          </w:tcPr>
          <w:p>
            <w:pPr>
              <w:spacing w:after="0"/>
              <w:rPr>
                <w:sz w:val="12"/>
                <w:szCs w:val="12"/>
                <w:color w:val="auto"/>
              </w:rPr>
            </w:pPr>
          </w:p>
        </w:tc>
        <w:tc>
          <w:tcPr>
            <w:tcW w:w="1000" w:type="dxa"/>
            <w:vAlign w:val="bottom"/>
          </w:tcPr>
          <w:p>
            <w:pPr>
              <w:jc w:val="center"/>
              <w:ind w:right="16"/>
              <w:spacing w:after="0"/>
              <w:rPr>
                <w:sz w:val="20"/>
                <w:szCs w:val="20"/>
                <w:color w:val="auto"/>
              </w:rPr>
            </w:pPr>
            <w:r>
              <w:rPr>
                <w:rFonts w:ascii="Arial" w:cs="Arial" w:eastAsia="Arial" w:hAnsi="Arial"/>
                <w:sz w:val="12"/>
                <w:szCs w:val="12"/>
                <w:b w:val="1"/>
                <w:bCs w:val="1"/>
                <w:color w:val="2952A4"/>
                <w:w w:val="94"/>
              </w:rPr>
              <w:t>vested</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2952A4"/>
                <w:w w:val="94"/>
              </w:rPr>
              <w:t>vested</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2952A4"/>
                <w:w w:val="99"/>
              </w:rPr>
              <w:t>vested</w:t>
            </w:r>
          </w:p>
        </w:tc>
        <w:tc>
          <w:tcPr>
            <w:tcW w:w="1500" w:type="dxa"/>
            <w:vAlign w:val="bottom"/>
            <w:gridSpan w:val="3"/>
          </w:tcPr>
          <w:p>
            <w:pPr>
              <w:jc w:val="center"/>
              <w:ind w:right="480"/>
              <w:spacing w:after="0"/>
              <w:rPr>
                <w:sz w:val="20"/>
                <w:szCs w:val="20"/>
                <w:color w:val="auto"/>
              </w:rPr>
            </w:pPr>
            <w:r>
              <w:rPr>
                <w:rFonts w:ascii="Arial" w:cs="Arial" w:eastAsia="Arial" w:hAnsi="Arial"/>
                <w:sz w:val="12"/>
                <w:szCs w:val="12"/>
                <w:b w:val="1"/>
                <w:bCs w:val="1"/>
                <w:color w:val="2952A4"/>
                <w:w w:val="99"/>
              </w:rPr>
              <w:t>vested</w:t>
            </w:r>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1080" w:type="dxa"/>
            <w:vAlign w:val="bottom"/>
            <w:tcBorders>
              <w:bottom w:val="single" w:sz="8" w:color="2952A4"/>
            </w:tcBorders>
            <w:gridSpan w:val="2"/>
            <w:vMerge w:val="continue"/>
          </w:tcPr>
          <w:p>
            <w:pPr>
              <w:spacing w:after="0"/>
              <w:rPr>
                <w:sz w:val="13"/>
                <w:szCs w:val="13"/>
                <w:color w:val="auto"/>
              </w:rPr>
            </w:pPr>
          </w:p>
        </w:tc>
        <w:tc>
          <w:tcPr>
            <w:tcW w:w="1000" w:type="dxa"/>
            <w:vAlign w:val="bottom"/>
            <w:tcBorders>
              <w:bottom w:val="single" w:sz="8" w:color="2952A4"/>
            </w:tcBorders>
            <w:gridSpan w:val="2"/>
          </w:tcPr>
          <w:p>
            <w:pPr>
              <w:jc w:val="center"/>
              <w:spacing w:after="0"/>
              <w:rPr>
                <w:sz w:val="20"/>
                <w:szCs w:val="20"/>
                <w:color w:val="auto"/>
              </w:rPr>
            </w:pPr>
            <w:r>
              <w:rPr>
                <w:rFonts w:ascii="Arial" w:cs="Arial" w:eastAsia="Arial" w:hAnsi="Arial"/>
                <w:sz w:val="12"/>
                <w:szCs w:val="12"/>
                <w:b w:val="1"/>
                <w:bCs w:val="1"/>
                <w:color w:val="2952A4"/>
              </w:rPr>
              <w:t>(#)</w:t>
            </w:r>
          </w:p>
        </w:tc>
        <w:tc>
          <w:tcPr>
            <w:tcW w:w="740" w:type="dxa"/>
            <w:vAlign w:val="bottom"/>
            <w:tcBorders>
              <w:bottom w:val="single" w:sz="8" w:color="2952A4"/>
            </w:tcBorders>
          </w:tcPr>
          <w:p>
            <w:pPr>
              <w:jc w:val="center"/>
              <w:ind w:left="377"/>
              <w:spacing w:after="0"/>
              <w:rPr>
                <w:sz w:val="20"/>
                <w:szCs w:val="20"/>
                <w:color w:val="auto"/>
              </w:rPr>
            </w:pPr>
            <w:r>
              <w:rPr>
                <w:rFonts w:ascii="Arial" w:cs="Arial" w:eastAsia="Arial" w:hAnsi="Arial"/>
                <w:sz w:val="12"/>
                <w:szCs w:val="12"/>
                <w:b w:val="1"/>
                <w:bCs w:val="1"/>
                <w:color w:val="2952A4"/>
                <w:w w:val="95"/>
              </w:rPr>
              <w:t>(#)</w:t>
            </w:r>
          </w:p>
        </w:tc>
        <w:tc>
          <w:tcPr>
            <w:tcW w:w="320" w:type="dxa"/>
            <w:vAlign w:val="bottom"/>
            <w:tcBorders>
              <w:bottom w:val="single" w:sz="8" w:color="2952A4"/>
            </w:tcBorders>
          </w:tcPr>
          <w:p>
            <w:pPr>
              <w:spacing w:after="0"/>
              <w:rPr>
                <w:sz w:val="13"/>
                <w:szCs w:val="13"/>
                <w:color w:val="auto"/>
              </w:rPr>
            </w:pPr>
          </w:p>
        </w:tc>
        <w:tc>
          <w:tcPr>
            <w:tcW w:w="98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rPr>
              <w:t>(#)</w:t>
            </w:r>
          </w:p>
        </w:tc>
        <w:tc>
          <w:tcPr>
            <w:tcW w:w="100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8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7"/>
              </w:rPr>
              <w:t>date</w:t>
            </w:r>
          </w:p>
        </w:tc>
        <w:tc>
          <w:tcPr>
            <w:tcW w:w="1140" w:type="dxa"/>
            <w:vAlign w:val="bottom"/>
            <w:tcBorders>
              <w:bottom w:val="single" w:sz="8" w:color="2952A4"/>
            </w:tcBorders>
            <w:gridSpan w:val="2"/>
          </w:tcPr>
          <w:p>
            <w:pPr>
              <w:jc w:val="center"/>
              <w:ind w:left="20"/>
              <w:spacing w:after="0"/>
              <w:rPr>
                <w:sz w:val="20"/>
                <w:szCs w:val="20"/>
                <w:color w:val="auto"/>
              </w:rPr>
            </w:pPr>
            <w:r>
              <w:rPr>
                <w:rFonts w:ascii="Arial" w:cs="Arial" w:eastAsia="Arial" w:hAnsi="Arial"/>
                <w:sz w:val="12"/>
                <w:szCs w:val="12"/>
                <w:b w:val="1"/>
                <w:bCs w:val="1"/>
                <w:color w:val="2952A4"/>
                <w:w w:val="95"/>
              </w:rPr>
              <w:t>(#)</w:t>
            </w:r>
          </w:p>
        </w:tc>
        <w:tc>
          <w:tcPr>
            <w:tcW w:w="102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10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860" w:type="dxa"/>
            <w:vAlign w:val="bottom"/>
            <w:tcBorders>
              <w:bottom w:val="single" w:sz="8" w:color="2952A4"/>
            </w:tcBorders>
          </w:tcPr>
          <w:p>
            <w:pPr>
              <w:jc w:val="center"/>
              <w:ind w:left="97"/>
              <w:spacing w:after="0"/>
              <w:rPr>
                <w:sz w:val="20"/>
                <w:szCs w:val="20"/>
                <w:color w:val="auto"/>
              </w:rPr>
            </w:pPr>
            <w:r>
              <w:rPr>
                <w:rFonts w:ascii="Arial" w:cs="Arial" w:eastAsia="Arial" w:hAnsi="Arial"/>
                <w:sz w:val="12"/>
                <w:szCs w:val="12"/>
                <w:b w:val="1"/>
                <w:bCs w:val="1"/>
                <w:color w:val="2952A4"/>
                <w:w w:val="95"/>
              </w:rPr>
              <w:t>($)</w:t>
            </w:r>
          </w:p>
        </w:tc>
        <w:tc>
          <w:tcPr>
            <w:tcW w:w="100" w:type="dxa"/>
            <w:vAlign w:val="bottom"/>
            <w:tcBorders>
              <w:bottom w:val="single" w:sz="8" w:color="2952A4"/>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gridSpan w:val="2"/>
          </w:tcPr>
          <w:p>
            <w:pPr>
              <w:jc w:val="right"/>
              <w:ind w:right="217"/>
              <w:spacing w:after="0"/>
              <w:rPr>
                <w:sz w:val="20"/>
                <w:szCs w:val="20"/>
                <w:color w:val="auto"/>
              </w:rPr>
            </w:pPr>
            <w:r>
              <w:rPr>
                <w:rFonts w:ascii="Arial" w:cs="Arial" w:eastAsia="Arial" w:hAnsi="Arial"/>
                <w:sz w:val="13"/>
                <w:szCs w:val="13"/>
                <w:color w:val="231F20"/>
              </w:rPr>
              <w:t>20,320</w:t>
            </w:r>
          </w:p>
        </w:tc>
        <w:tc>
          <w:tcPr>
            <w:tcW w:w="1060" w:type="dxa"/>
            <w:vAlign w:val="bottom"/>
            <w:tcBorders>
              <w:bottom w:val="single" w:sz="8" w:color="auto"/>
            </w:tcBorders>
            <w:gridSpan w:val="2"/>
          </w:tcPr>
          <w:p>
            <w:pPr>
              <w:ind w:left="360"/>
              <w:spacing w:after="0" w:line="176" w:lineRule="exact"/>
              <w:rPr>
                <w:sz w:val="20"/>
                <w:szCs w:val="20"/>
                <w:color w:val="auto"/>
              </w:rPr>
            </w:pPr>
            <w:r>
              <w:rPr>
                <w:rFonts w:ascii="Arial" w:cs="Arial" w:eastAsia="Arial" w:hAnsi="Arial"/>
                <w:sz w:val="13"/>
                <w:szCs w:val="13"/>
                <w:color w:val="231F20"/>
              </w:rPr>
              <w:t>60,958</w:t>
            </w:r>
            <w:r>
              <w:rPr>
                <w:rFonts w:ascii="Arial" w:cs="Arial" w:eastAsia="Arial" w:hAnsi="Arial"/>
                <w:sz w:val="20"/>
                <w:szCs w:val="20"/>
                <w:color w:val="231F20"/>
                <w:vertAlign w:val="superscript"/>
              </w:rPr>
              <w:t>2</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231F20"/>
              </w:rPr>
              <w:t>372.46</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231F20"/>
              </w:rPr>
              <w:t>12/11/2029</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231F20"/>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217"/>
              <w:spacing w:after="0"/>
              <w:rPr>
                <w:sz w:val="20"/>
                <w:szCs w:val="20"/>
                <w:color w:val="auto"/>
              </w:rPr>
            </w:pPr>
            <w:r>
              <w:rPr>
                <w:rFonts w:ascii="Arial" w:cs="Arial" w:eastAsia="Arial" w:hAnsi="Arial"/>
                <w:sz w:val="13"/>
                <w:szCs w:val="13"/>
                <w:color w:val="231F20"/>
              </w:rPr>
              <w:t>64,507</w:t>
            </w:r>
          </w:p>
        </w:tc>
        <w:tc>
          <w:tcPr>
            <w:tcW w:w="1060" w:type="dxa"/>
            <w:vAlign w:val="bottom"/>
            <w:tcBorders>
              <w:bottom w:val="single" w:sz="8" w:color="auto"/>
            </w:tcBorders>
            <w:gridSpan w:val="2"/>
          </w:tcPr>
          <w:p>
            <w:pPr>
              <w:ind w:left="360"/>
              <w:spacing w:after="0" w:line="169" w:lineRule="exact"/>
              <w:rPr>
                <w:sz w:val="20"/>
                <w:szCs w:val="20"/>
                <w:color w:val="auto"/>
              </w:rPr>
            </w:pPr>
            <w:r>
              <w:rPr>
                <w:rFonts w:ascii="Arial" w:cs="Arial" w:eastAsia="Arial" w:hAnsi="Arial"/>
                <w:sz w:val="12"/>
                <w:szCs w:val="12"/>
                <w:color w:val="231F20"/>
              </w:rPr>
              <w:t>64,506</w:t>
            </w:r>
            <w:r>
              <w:rPr>
                <w:rFonts w:ascii="Arial" w:cs="Arial" w:eastAsia="Arial" w:hAnsi="Arial"/>
                <w:sz w:val="19"/>
                <w:szCs w:val="19"/>
                <w:color w:val="231F20"/>
                <w:vertAlign w:val="superscript"/>
              </w:rPr>
              <w:t>3</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231F20"/>
              </w:rPr>
              <w:t>381.40</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231F20"/>
              </w:rPr>
              <w:t>12/12/2028</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231F20"/>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217"/>
              <w:spacing w:after="0"/>
              <w:rPr>
                <w:sz w:val="20"/>
                <w:szCs w:val="20"/>
                <w:color w:val="auto"/>
              </w:rPr>
            </w:pPr>
            <w:r>
              <w:rPr>
                <w:rFonts w:ascii="Arial" w:cs="Arial" w:eastAsia="Arial" w:hAnsi="Arial"/>
                <w:sz w:val="13"/>
                <w:szCs w:val="13"/>
                <w:color w:val="231F20"/>
              </w:rPr>
              <w:t>104,606</w:t>
            </w:r>
          </w:p>
        </w:tc>
        <w:tc>
          <w:tcPr>
            <w:tcW w:w="1060" w:type="dxa"/>
            <w:vAlign w:val="bottom"/>
            <w:tcBorders>
              <w:bottom w:val="single" w:sz="8" w:color="auto"/>
            </w:tcBorders>
            <w:gridSpan w:val="2"/>
          </w:tcPr>
          <w:p>
            <w:pPr>
              <w:ind w:left="360"/>
              <w:spacing w:after="0" w:line="169" w:lineRule="exact"/>
              <w:rPr>
                <w:sz w:val="20"/>
                <w:szCs w:val="20"/>
                <w:color w:val="auto"/>
              </w:rPr>
            </w:pPr>
            <w:r>
              <w:rPr>
                <w:rFonts w:ascii="Arial" w:cs="Arial" w:eastAsia="Arial" w:hAnsi="Arial"/>
                <w:sz w:val="12"/>
                <w:szCs w:val="12"/>
                <w:color w:val="231F20"/>
              </w:rPr>
              <w:t>34,868</w:t>
            </w:r>
            <w:r>
              <w:rPr>
                <w:rFonts w:ascii="Arial" w:cs="Arial" w:eastAsia="Arial" w:hAnsi="Arial"/>
                <w:sz w:val="19"/>
                <w:szCs w:val="19"/>
                <w:color w:val="231F20"/>
                <w:vertAlign w:val="superscript"/>
              </w:rPr>
              <w:t>4</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231F20"/>
              </w:rPr>
              <w:t>378.98</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231F20"/>
              </w:rPr>
              <w:t>12/12/2027</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231F20"/>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217"/>
              <w:spacing w:after="0" w:line="142" w:lineRule="exact"/>
              <w:rPr>
                <w:sz w:val="20"/>
                <w:szCs w:val="20"/>
                <w:color w:val="auto"/>
              </w:rPr>
            </w:pPr>
            <w:r>
              <w:rPr>
                <w:rFonts w:ascii="Arial" w:cs="Arial" w:eastAsia="Arial" w:hAnsi="Arial"/>
                <w:sz w:val="13"/>
                <w:szCs w:val="13"/>
                <w:color w:val="231F20"/>
              </w:rPr>
              <w:t>146,815</w:t>
            </w:r>
          </w:p>
        </w:tc>
        <w:tc>
          <w:tcPr>
            <w:tcW w:w="1060" w:type="dxa"/>
            <w:vAlign w:val="bottom"/>
            <w:tcBorders>
              <w:bottom w:val="single" w:sz="8" w:color="auto"/>
            </w:tcBorders>
            <w:gridSpan w:val="2"/>
          </w:tcPr>
          <w:p>
            <w:pPr>
              <w:ind w:left="620"/>
              <w:spacing w:after="0" w:line="142" w:lineRule="exact"/>
              <w:rPr>
                <w:sz w:val="20"/>
                <w:szCs w:val="20"/>
                <w:color w:val="auto"/>
              </w:rPr>
            </w:pPr>
            <w:r>
              <w:rPr>
                <w:rFonts w:ascii="Arial" w:cs="Arial" w:eastAsia="Arial" w:hAnsi="Arial"/>
                <w:sz w:val="13"/>
                <w:szCs w:val="13"/>
                <w:color w:val="231F20"/>
              </w:rPr>
              <w:t>—</w:t>
            </w:r>
          </w:p>
        </w:tc>
        <w:tc>
          <w:tcPr>
            <w:tcW w:w="9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3"/>
                <w:szCs w:val="13"/>
                <w:color w:val="231F20"/>
              </w:rPr>
              <w:t>381.92</w:t>
            </w:r>
          </w:p>
        </w:tc>
        <w:tc>
          <w:tcPr>
            <w:tcW w:w="8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3"/>
                <w:szCs w:val="13"/>
                <w:color w:val="231F20"/>
              </w:rPr>
              <w:t>12/16/2026</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217"/>
              <w:spacing w:after="0" w:line="142" w:lineRule="exact"/>
              <w:rPr>
                <w:sz w:val="20"/>
                <w:szCs w:val="20"/>
                <w:color w:val="auto"/>
              </w:rPr>
            </w:pPr>
            <w:r>
              <w:rPr>
                <w:rFonts w:ascii="Arial" w:cs="Arial" w:eastAsia="Arial" w:hAnsi="Arial"/>
                <w:sz w:val="13"/>
                <w:szCs w:val="13"/>
                <w:color w:val="231F20"/>
              </w:rPr>
              <w:t>172,723</w:t>
            </w:r>
          </w:p>
        </w:tc>
        <w:tc>
          <w:tcPr>
            <w:tcW w:w="1060" w:type="dxa"/>
            <w:vAlign w:val="bottom"/>
            <w:tcBorders>
              <w:bottom w:val="single" w:sz="8" w:color="auto"/>
            </w:tcBorders>
            <w:gridSpan w:val="2"/>
          </w:tcPr>
          <w:p>
            <w:pPr>
              <w:ind w:left="620"/>
              <w:spacing w:after="0" w:line="142" w:lineRule="exact"/>
              <w:rPr>
                <w:sz w:val="20"/>
                <w:szCs w:val="20"/>
                <w:color w:val="auto"/>
              </w:rPr>
            </w:pPr>
            <w:r>
              <w:rPr>
                <w:rFonts w:ascii="Arial" w:cs="Arial" w:eastAsia="Arial" w:hAnsi="Arial"/>
                <w:sz w:val="13"/>
                <w:szCs w:val="13"/>
                <w:color w:val="231F20"/>
              </w:rPr>
              <w:t>—</w:t>
            </w:r>
          </w:p>
        </w:tc>
        <w:tc>
          <w:tcPr>
            <w:tcW w:w="9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3"/>
                <w:szCs w:val="13"/>
                <w:color w:val="231F20"/>
              </w:rPr>
              <w:t>555.67</w:t>
            </w:r>
          </w:p>
        </w:tc>
        <w:tc>
          <w:tcPr>
            <w:tcW w:w="8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3"/>
                <w:szCs w:val="13"/>
                <w:color w:val="231F20"/>
              </w:rPr>
              <w:t>12/16/2025</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217"/>
              <w:spacing w:after="0" w:line="142" w:lineRule="exact"/>
              <w:rPr>
                <w:sz w:val="20"/>
                <w:szCs w:val="20"/>
                <w:color w:val="auto"/>
              </w:rPr>
            </w:pPr>
            <w:r>
              <w:rPr>
                <w:rFonts w:ascii="Arial" w:cs="Arial" w:eastAsia="Arial" w:hAnsi="Arial"/>
                <w:sz w:val="13"/>
                <w:szCs w:val="13"/>
                <w:color w:val="231F20"/>
              </w:rPr>
              <w:t>203,204</w:t>
            </w:r>
          </w:p>
        </w:tc>
        <w:tc>
          <w:tcPr>
            <w:tcW w:w="1060" w:type="dxa"/>
            <w:vAlign w:val="bottom"/>
            <w:tcBorders>
              <w:bottom w:val="single" w:sz="8" w:color="auto"/>
            </w:tcBorders>
            <w:gridSpan w:val="2"/>
          </w:tcPr>
          <w:p>
            <w:pPr>
              <w:ind w:left="620"/>
              <w:spacing w:after="0" w:line="142" w:lineRule="exact"/>
              <w:rPr>
                <w:sz w:val="20"/>
                <w:szCs w:val="20"/>
                <w:color w:val="auto"/>
              </w:rPr>
            </w:pPr>
            <w:r>
              <w:rPr>
                <w:rFonts w:ascii="Arial" w:cs="Arial" w:eastAsia="Arial" w:hAnsi="Arial"/>
                <w:sz w:val="13"/>
                <w:szCs w:val="13"/>
                <w:color w:val="231F20"/>
              </w:rPr>
              <w:t>—</w:t>
            </w:r>
          </w:p>
        </w:tc>
        <w:tc>
          <w:tcPr>
            <w:tcW w:w="9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3"/>
                <w:szCs w:val="13"/>
                <w:color w:val="231F20"/>
              </w:rPr>
              <w:t>399.66</w:t>
            </w:r>
          </w:p>
        </w:tc>
        <w:tc>
          <w:tcPr>
            <w:tcW w:w="8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3"/>
                <w:szCs w:val="13"/>
                <w:color w:val="231F20"/>
              </w:rPr>
              <w:t>12/16/2024</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C04C57"/>
              </w:rPr>
              <w:t>Leonard S.</w:t>
            </w:r>
          </w:p>
        </w:tc>
        <w:tc>
          <w:tcPr>
            <w:tcW w:w="1000" w:type="dxa"/>
            <w:vAlign w:val="bottom"/>
            <w:tcBorders>
              <w:bottom w:val="single" w:sz="8" w:color="auto"/>
            </w:tcBorders>
            <w:gridSpan w:val="2"/>
          </w:tcPr>
          <w:p>
            <w:pPr>
              <w:jc w:val="right"/>
              <w:ind w:right="217"/>
              <w:spacing w:after="0" w:line="129" w:lineRule="exact"/>
              <w:rPr>
                <w:sz w:val="20"/>
                <w:szCs w:val="20"/>
                <w:color w:val="auto"/>
              </w:rPr>
            </w:pPr>
            <w:r>
              <w:rPr>
                <w:rFonts w:ascii="Arial" w:cs="Arial" w:eastAsia="Arial" w:hAnsi="Arial"/>
                <w:sz w:val="13"/>
                <w:szCs w:val="13"/>
                <w:color w:val="231F20"/>
              </w:rPr>
              <w:t>239,063</w:t>
            </w:r>
          </w:p>
        </w:tc>
        <w:tc>
          <w:tcPr>
            <w:tcW w:w="1060" w:type="dxa"/>
            <w:vAlign w:val="bottom"/>
            <w:tcBorders>
              <w:bottom w:val="single" w:sz="8" w:color="auto"/>
            </w:tcBorders>
            <w:gridSpan w:val="2"/>
          </w:tcPr>
          <w:p>
            <w:pPr>
              <w:ind w:left="620"/>
              <w:spacing w:after="0" w:line="129" w:lineRule="exact"/>
              <w:rPr>
                <w:sz w:val="20"/>
                <w:szCs w:val="20"/>
                <w:color w:val="auto"/>
              </w:rPr>
            </w:pPr>
            <w:r>
              <w:rPr>
                <w:rFonts w:ascii="Arial" w:cs="Arial" w:eastAsia="Arial" w:hAnsi="Arial"/>
                <w:sz w:val="13"/>
                <w:szCs w:val="13"/>
                <w:color w:val="231F20"/>
              </w:rPr>
              <w:t>—</w:t>
            </w:r>
          </w:p>
        </w:tc>
        <w:tc>
          <w:tcPr>
            <w:tcW w:w="98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line="129" w:lineRule="exact"/>
              <w:rPr>
                <w:sz w:val="20"/>
                <w:szCs w:val="20"/>
                <w:color w:val="auto"/>
              </w:rPr>
            </w:pPr>
            <w:r>
              <w:rPr>
                <w:rFonts w:ascii="Arial" w:cs="Arial" w:eastAsia="Arial" w:hAnsi="Arial"/>
                <w:sz w:val="13"/>
                <w:szCs w:val="13"/>
                <w:color w:val="231F20"/>
              </w:rPr>
              <w:t>270.43</w:t>
            </w:r>
          </w:p>
        </w:tc>
        <w:tc>
          <w:tcPr>
            <w:tcW w:w="860" w:type="dxa"/>
            <w:vAlign w:val="bottom"/>
            <w:tcBorders>
              <w:bottom w:val="single" w:sz="8" w:color="auto"/>
            </w:tcBorders>
          </w:tcPr>
          <w:p>
            <w:pPr>
              <w:jc w:val="right"/>
              <w:ind w:right="16"/>
              <w:spacing w:after="0" w:line="129" w:lineRule="exact"/>
              <w:rPr>
                <w:sz w:val="20"/>
                <w:szCs w:val="20"/>
                <w:color w:val="auto"/>
              </w:rPr>
            </w:pPr>
            <w:r>
              <w:rPr>
                <w:rFonts w:ascii="Arial" w:cs="Arial" w:eastAsia="Arial" w:hAnsi="Arial"/>
                <w:sz w:val="13"/>
                <w:szCs w:val="13"/>
                <w:color w:val="231F20"/>
              </w:rPr>
              <w:t>12/13/2023</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76"/>
              <w:spacing w:after="0" w:line="129" w:lineRule="exact"/>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color w:val="231F20"/>
              </w:rPr>
              <w: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08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C04C57"/>
              </w:rPr>
              <w:t>Schleifer,</w:t>
            </w:r>
          </w:p>
        </w:tc>
        <w:tc>
          <w:tcPr>
            <w:tcW w:w="1000" w:type="dxa"/>
            <w:vAlign w:val="bottom"/>
            <w:tcBorders>
              <w:bottom w:val="single" w:sz="8" w:color="auto"/>
            </w:tcBorders>
            <w:gridSpan w:val="2"/>
          </w:tcPr>
          <w:p>
            <w:pPr>
              <w:jc w:val="right"/>
              <w:ind w:right="217"/>
              <w:spacing w:after="0" w:line="142" w:lineRule="exact"/>
              <w:rPr>
                <w:sz w:val="20"/>
                <w:szCs w:val="20"/>
                <w:color w:val="auto"/>
              </w:rPr>
            </w:pPr>
            <w:r>
              <w:rPr>
                <w:rFonts w:ascii="Arial" w:cs="Arial" w:eastAsia="Arial" w:hAnsi="Arial"/>
                <w:sz w:val="13"/>
                <w:szCs w:val="13"/>
                <w:color w:val="231F20"/>
              </w:rPr>
              <w:t>281,250</w:t>
            </w:r>
          </w:p>
        </w:tc>
        <w:tc>
          <w:tcPr>
            <w:tcW w:w="1060" w:type="dxa"/>
            <w:vAlign w:val="bottom"/>
            <w:tcBorders>
              <w:bottom w:val="single" w:sz="8" w:color="auto"/>
            </w:tcBorders>
            <w:gridSpan w:val="2"/>
          </w:tcPr>
          <w:p>
            <w:pPr>
              <w:ind w:left="620"/>
              <w:spacing w:after="0" w:line="142" w:lineRule="exact"/>
              <w:rPr>
                <w:sz w:val="20"/>
                <w:szCs w:val="20"/>
                <w:color w:val="auto"/>
              </w:rPr>
            </w:pPr>
            <w:r>
              <w:rPr>
                <w:rFonts w:ascii="Arial" w:cs="Arial" w:eastAsia="Arial" w:hAnsi="Arial"/>
                <w:sz w:val="13"/>
                <w:szCs w:val="13"/>
                <w:color w:val="231F20"/>
              </w:rPr>
              <w:t>—</w:t>
            </w:r>
          </w:p>
        </w:tc>
        <w:tc>
          <w:tcPr>
            <w:tcW w:w="9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3"/>
                <w:szCs w:val="13"/>
                <w:color w:val="231F20"/>
              </w:rPr>
              <w:t>179.13</w:t>
            </w:r>
          </w:p>
        </w:tc>
        <w:tc>
          <w:tcPr>
            <w:tcW w:w="8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3"/>
                <w:szCs w:val="13"/>
                <w:color w:val="231F20"/>
              </w:rPr>
              <w:t>12/14/2022</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08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C04C57"/>
              </w:rPr>
              <w:t>M.D., Ph.D.</w:t>
            </w:r>
          </w:p>
        </w:tc>
        <w:tc>
          <w:tcPr>
            <w:tcW w:w="1000" w:type="dxa"/>
            <w:vAlign w:val="bottom"/>
            <w:tcBorders>
              <w:bottom w:val="single" w:sz="8" w:color="auto"/>
            </w:tcBorders>
            <w:gridSpan w:val="2"/>
          </w:tcPr>
          <w:p>
            <w:pPr>
              <w:jc w:val="right"/>
              <w:ind w:right="217"/>
              <w:spacing w:after="0" w:line="142" w:lineRule="exact"/>
              <w:rPr>
                <w:sz w:val="20"/>
                <w:szCs w:val="20"/>
                <w:color w:val="auto"/>
              </w:rPr>
            </w:pPr>
            <w:r>
              <w:rPr>
                <w:rFonts w:ascii="Arial" w:cs="Arial" w:eastAsia="Arial" w:hAnsi="Arial"/>
                <w:sz w:val="13"/>
                <w:szCs w:val="13"/>
                <w:color w:val="231F20"/>
              </w:rPr>
              <w:t>160,000</w:t>
            </w:r>
          </w:p>
        </w:tc>
        <w:tc>
          <w:tcPr>
            <w:tcW w:w="1060" w:type="dxa"/>
            <w:vAlign w:val="bottom"/>
            <w:tcBorders>
              <w:bottom w:val="single" w:sz="8" w:color="auto"/>
            </w:tcBorders>
            <w:gridSpan w:val="2"/>
          </w:tcPr>
          <w:p>
            <w:pPr>
              <w:ind w:left="620"/>
              <w:spacing w:after="0" w:line="142" w:lineRule="exact"/>
              <w:rPr>
                <w:sz w:val="20"/>
                <w:szCs w:val="20"/>
                <w:color w:val="auto"/>
              </w:rPr>
            </w:pPr>
            <w:r>
              <w:rPr>
                <w:rFonts w:ascii="Arial" w:cs="Arial" w:eastAsia="Arial" w:hAnsi="Arial"/>
                <w:sz w:val="13"/>
                <w:szCs w:val="13"/>
                <w:color w:val="231F20"/>
              </w:rPr>
              <w:t>—</w:t>
            </w:r>
          </w:p>
        </w:tc>
        <w:tc>
          <w:tcPr>
            <w:tcW w:w="9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3"/>
                <w:szCs w:val="13"/>
                <w:color w:val="231F20"/>
              </w:rPr>
              <w:t>52.03</w:t>
            </w:r>
          </w:p>
        </w:tc>
        <w:tc>
          <w:tcPr>
            <w:tcW w:w="8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3"/>
                <w:szCs w:val="13"/>
                <w:color w:val="231F20"/>
              </w:rPr>
              <w:t>12/16/2021</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17"/>
              <w:spacing w:after="0" w:line="142" w:lineRule="exact"/>
              <w:rPr>
                <w:sz w:val="20"/>
                <w:szCs w:val="20"/>
                <w:color w:val="auto"/>
              </w:rPr>
            </w:pPr>
            <w:r>
              <w:rPr>
                <w:rFonts w:ascii="Arial" w:cs="Arial" w:eastAsia="Arial" w:hAnsi="Arial"/>
                <w:sz w:val="13"/>
                <w:szCs w:val="13"/>
                <w:color w:val="231F20"/>
              </w:rPr>
              <w:t>240,000</w:t>
            </w:r>
          </w:p>
        </w:tc>
        <w:tc>
          <w:tcPr>
            <w:tcW w:w="1060" w:type="dxa"/>
            <w:vAlign w:val="bottom"/>
            <w:gridSpan w:val="2"/>
          </w:tcPr>
          <w:p>
            <w:pPr>
              <w:ind w:left="620"/>
              <w:spacing w:after="0" w:line="142" w:lineRule="exact"/>
              <w:rPr>
                <w:sz w:val="20"/>
                <w:szCs w:val="20"/>
                <w:color w:val="auto"/>
              </w:rPr>
            </w:pPr>
            <w:r>
              <w:rPr>
                <w:rFonts w:ascii="Arial" w:cs="Arial" w:eastAsia="Arial" w:hAnsi="Arial"/>
                <w:sz w:val="13"/>
                <w:szCs w:val="13"/>
                <w:color w:val="231F20"/>
              </w:rPr>
              <w:t>—</w:t>
            </w:r>
          </w:p>
        </w:tc>
        <w:tc>
          <w:tcPr>
            <w:tcW w:w="980" w:type="dxa"/>
            <w:vAlign w:val="bottom"/>
          </w:tcPr>
          <w:p>
            <w:pPr>
              <w:jc w:val="right"/>
              <w:ind w:right="97"/>
              <w:spacing w:after="0" w:line="142" w:lineRule="exact"/>
              <w:rPr>
                <w:sz w:val="20"/>
                <w:szCs w:val="20"/>
                <w:color w:val="auto"/>
              </w:rPr>
            </w:pPr>
            <w:r>
              <w:rPr>
                <w:rFonts w:ascii="Arial" w:cs="Arial" w:eastAsia="Arial" w:hAnsi="Arial"/>
                <w:sz w:val="13"/>
                <w:szCs w:val="13"/>
                <w:color w:val="231F20"/>
              </w:rPr>
              <w:t>—</w:t>
            </w:r>
          </w:p>
        </w:tc>
        <w:tc>
          <w:tcPr>
            <w:tcW w:w="1000" w:type="dxa"/>
            <w:vAlign w:val="bottom"/>
          </w:tcPr>
          <w:p>
            <w:pPr>
              <w:jc w:val="right"/>
              <w:ind w:right="316"/>
              <w:spacing w:after="0" w:line="142" w:lineRule="exact"/>
              <w:rPr>
                <w:sz w:val="20"/>
                <w:szCs w:val="20"/>
                <w:color w:val="auto"/>
              </w:rPr>
            </w:pPr>
            <w:r>
              <w:rPr>
                <w:rFonts w:ascii="Arial" w:cs="Arial" w:eastAsia="Arial" w:hAnsi="Arial"/>
                <w:sz w:val="13"/>
                <w:szCs w:val="13"/>
                <w:color w:val="231F20"/>
              </w:rPr>
              <w:t>52.03</w:t>
            </w:r>
          </w:p>
        </w:tc>
        <w:tc>
          <w:tcPr>
            <w:tcW w:w="860" w:type="dxa"/>
            <w:vAlign w:val="bottom"/>
          </w:tcPr>
          <w:p>
            <w:pPr>
              <w:jc w:val="right"/>
              <w:ind w:right="16"/>
              <w:spacing w:after="0" w:line="142" w:lineRule="exact"/>
              <w:rPr>
                <w:sz w:val="20"/>
                <w:szCs w:val="20"/>
                <w:color w:val="auto"/>
              </w:rPr>
            </w:pPr>
            <w:r>
              <w:rPr>
                <w:rFonts w:ascii="Arial" w:cs="Arial" w:eastAsia="Arial" w:hAnsi="Arial"/>
                <w:sz w:val="13"/>
                <w:szCs w:val="13"/>
                <w:color w:val="231F20"/>
              </w:rPr>
              <w:t>12/16/2021</w:t>
            </w:r>
          </w:p>
        </w:tc>
        <w:tc>
          <w:tcPr>
            <w:tcW w:w="140" w:type="dxa"/>
            <w:vAlign w:val="bottom"/>
          </w:tcPr>
          <w:p>
            <w:pPr>
              <w:spacing w:after="0"/>
              <w:rPr>
                <w:sz w:val="12"/>
                <w:szCs w:val="12"/>
                <w:color w:val="auto"/>
              </w:rPr>
            </w:pPr>
          </w:p>
        </w:tc>
        <w:tc>
          <w:tcPr>
            <w:tcW w:w="1000" w:type="dxa"/>
            <w:vAlign w:val="bottom"/>
          </w:tcPr>
          <w:p>
            <w:pPr>
              <w:jc w:val="right"/>
              <w:ind w:right="176"/>
              <w:spacing w:after="0" w:line="142" w:lineRule="exact"/>
              <w:rPr>
                <w:sz w:val="20"/>
                <w:szCs w:val="20"/>
                <w:color w:val="auto"/>
              </w:rPr>
            </w:pPr>
            <w:r>
              <w:rPr>
                <w:rFonts w:ascii="Arial" w:cs="Arial" w:eastAsia="Arial" w:hAnsi="Arial"/>
                <w:sz w:val="13"/>
                <w:szCs w:val="13"/>
                <w:color w:val="231F20"/>
              </w:rPr>
              <w:t>—</w:t>
            </w:r>
          </w:p>
        </w:tc>
        <w:tc>
          <w:tcPr>
            <w:tcW w:w="1020" w:type="dxa"/>
            <w:vAlign w:val="bottom"/>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60" w:type="dxa"/>
            <w:vAlign w:val="bottom"/>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500" w:type="dxa"/>
            <w:vAlign w:val="bottom"/>
            <w:gridSpan w:val="3"/>
          </w:tcPr>
          <w:p>
            <w:pPr>
              <w:jc w:val="right"/>
              <w:ind w:righ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color w:val="231F20"/>
              </w:rPr>
              <w:t>—</w:t>
            </w:r>
          </w:p>
        </w:tc>
        <w:tc>
          <w:tcPr>
            <w:tcW w:w="1060" w:type="dxa"/>
            <w:vAlign w:val="bottom"/>
            <w:tcBorders>
              <w:top w:val="single" w:sz="8" w:color="auto"/>
              <w:bottom w:val="single" w:sz="8" w:color="auto"/>
            </w:tcBorders>
            <w:gridSpan w:val="2"/>
          </w:tcPr>
          <w:p>
            <w:pPr>
              <w:ind w:left="620"/>
              <w:spacing w:after="0"/>
              <w:rPr>
                <w:sz w:val="20"/>
                <w:szCs w:val="20"/>
                <w:color w:val="auto"/>
              </w:rPr>
            </w:pPr>
            <w:r>
              <w:rPr>
                <w:rFonts w:ascii="Arial" w:cs="Arial" w:eastAsia="Arial" w:hAnsi="Arial"/>
                <w:sz w:val="13"/>
                <w:szCs w:val="13"/>
                <w:color w:val="231F20"/>
              </w:rPr>
              <w:t>—</w:t>
            </w:r>
          </w:p>
        </w:tc>
        <w:tc>
          <w:tcPr>
            <w:tcW w:w="9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231F20"/>
              </w:rPr>
              <w:t>—</w:t>
            </w:r>
          </w:p>
        </w:tc>
        <w:tc>
          <w:tcPr>
            <w:tcW w:w="10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3"/>
                <w:szCs w:val="13"/>
                <w:color w:val="231F20"/>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231F20"/>
              </w:rPr>
              <w:t>—</w:t>
            </w: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3"/>
                <w:szCs w:val="13"/>
                <w:color w:val="231F20"/>
              </w:rPr>
              <w:t>—</w:t>
            </w:r>
          </w:p>
        </w:tc>
        <w:tc>
          <w:tcPr>
            <w:tcW w:w="10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60" w:type="dxa"/>
            <w:vAlign w:val="bottom"/>
            <w:tcBorders>
              <w:top w:val="single" w:sz="8" w:color="auto"/>
              <w:bottom w:val="single" w:sz="8" w:color="auto"/>
            </w:tcBorders>
          </w:tcPr>
          <w:p>
            <w:pPr>
              <w:jc w:val="right"/>
              <w:ind w:right="57"/>
              <w:spacing w:after="0" w:line="169" w:lineRule="exact"/>
              <w:rPr>
                <w:sz w:val="20"/>
                <w:szCs w:val="20"/>
                <w:color w:val="auto"/>
              </w:rPr>
            </w:pPr>
            <w:r>
              <w:rPr>
                <w:rFonts w:ascii="Arial" w:cs="Arial" w:eastAsia="Arial" w:hAnsi="Arial"/>
                <w:sz w:val="12"/>
                <w:szCs w:val="12"/>
                <w:color w:val="231F20"/>
              </w:rPr>
              <w:t>124,054</w:t>
            </w:r>
            <w:r>
              <w:rPr>
                <w:rFonts w:ascii="Arial" w:cs="Arial" w:eastAsia="Arial" w:hAnsi="Arial"/>
                <w:sz w:val="19"/>
                <w:szCs w:val="19"/>
                <w:color w:val="231F20"/>
                <w:vertAlign w:val="superscript"/>
              </w:rPr>
              <w:t>5</w:t>
            </w:r>
          </w:p>
        </w:tc>
        <w:tc>
          <w:tcPr>
            <w:tcW w:w="960" w:type="dxa"/>
            <w:vAlign w:val="bottom"/>
            <w:tcBorders>
              <w:top w:val="single" w:sz="8" w:color="auto"/>
              <w:bottom w:val="single" w:sz="8" w:color="auto"/>
            </w:tcBorders>
            <w:gridSpan w:val="2"/>
          </w:tcPr>
          <w:p>
            <w:pPr>
              <w:jc w:val="right"/>
              <w:ind w:right="40"/>
              <w:spacing w:after="0" w:line="169" w:lineRule="exact"/>
              <w:rPr>
                <w:sz w:val="20"/>
                <w:szCs w:val="20"/>
                <w:color w:val="auto"/>
              </w:rPr>
            </w:pPr>
            <w:r>
              <w:rPr>
                <w:rFonts w:ascii="Arial" w:cs="Arial" w:eastAsia="Arial" w:hAnsi="Arial"/>
                <w:sz w:val="12"/>
                <w:szCs w:val="12"/>
                <w:color w:val="231F20"/>
              </w:rPr>
              <w:t>59,931,728</w:t>
            </w:r>
            <w:r>
              <w:rPr>
                <w:rFonts w:ascii="Arial" w:cs="Arial" w:eastAsia="Arial" w:hAnsi="Arial"/>
                <w:sz w:val="19"/>
                <w:szCs w:val="19"/>
                <w:color w:val="231F20"/>
                <w:vertAlign w:val="superscript"/>
              </w:rPr>
              <w:t>7</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080" w:type="dxa"/>
            <w:vAlign w:val="bottom"/>
            <w:gridSpan w:val="2"/>
            <w:vMerge w:val="restart"/>
          </w:tcPr>
          <w:p>
            <w:pPr>
              <w:ind w:left="520"/>
              <w:spacing w:after="0"/>
              <w:rPr>
                <w:sz w:val="20"/>
                <w:szCs w:val="20"/>
                <w:color w:val="auto"/>
              </w:rPr>
            </w:pPr>
            <w:r>
              <w:rPr>
                <w:rFonts w:ascii="Arial" w:cs="Arial" w:eastAsia="Arial" w:hAnsi="Arial"/>
                <w:sz w:val="13"/>
                <w:szCs w:val="13"/>
                <w:b w:val="1"/>
                <w:bCs w:val="1"/>
                <w:color w:val="231F20"/>
              </w:rPr>
              <w:t>TOTAL</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gridSpan w:val="2"/>
          </w:tcPr>
          <w:p>
            <w:pPr>
              <w:ind w:left="620"/>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231F20"/>
              </w:rPr>
              <w:t>—</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57"/>
              <w:spacing w:after="0" w:line="169" w:lineRule="exact"/>
              <w:rPr>
                <w:sz w:val="20"/>
                <w:szCs w:val="20"/>
                <w:color w:val="auto"/>
              </w:rPr>
            </w:pPr>
            <w:r>
              <w:rPr>
                <w:rFonts w:ascii="Arial" w:cs="Arial" w:eastAsia="Arial" w:hAnsi="Arial"/>
                <w:sz w:val="12"/>
                <w:szCs w:val="12"/>
                <w:color w:val="231F20"/>
              </w:rPr>
              <w:t>25,155</w:t>
            </w:r>
            <w:r>
              <w:rPr>
                <w:rFonts w:ascii="Arial" w:cs="Arial" w:eastAsia="Arial" w:hAnsi="Arial"/>
                <w:sz w:val="19"/>
                <w:szCs w:val="19"/>
                <w:color w:val="231F20"/>
                <w:vertAlign w:val="superscript"/>
              </w:rPr>
              <w:t>6</w:t>
            </w:r>
          </w:p>
        </w:tc>
        <w:tc>
          <w:tcPr>
            <w:tcW w:w="960" w:type="dxa"/>
            <w:vAlign w:val="bottom"/>
            <w:tcBorders>
              <w:bottom w:val="single" w:sz="8" w:color="auto"/>
            </w:tcBorders>
            <w:gridSpan w:val="2"/>
          </w:tcPr>
          <w:p>
            <w:pPr>
              <w:jc w:val="right"/>
              <w:ind w:right="40"/>
              <w:spacing w:after="0" w:line="169" w:lineRule="exact"/>
              <w:rPr>
                <w:sz w:val="20"/>
                <w:szCs w:val="20"/>
                <w:color w:val="auto"/>
              </w:rPr>
            </w:pPr>
            <w:r>
              <w:rPr>
                <w:rFonts w:ascii="Arial" w:cs="Arial" w:eastAsia="Arial" w:hAnsi="Arial"/>
                <w:sz w:val="12"/>
                <w:szCs w:val="12"/>
                <w:color w:val="231F20"/>
              </w:rPr>
              <w:t>12,152,632</w:t>
            </w:r>
            <w:r>
              <w:rPr>
                <w:rFonts w:ascii="Arial" w:cs="Arial" w:eastAsia="Arial" w:hAnsi="Arial"/>
                <w:sz w:val="19"/>
                <w:szCs w:val="19"/>
                <w:color w:val="231F20"/>
                <w:vertAlign w:val="superscript"/>
              </w:rPr>
              <w:t>7</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080" w:type="dxa"/>
            <w:vAlign w:val="bottom"/>
            <w:tcBorders>
              <w:bottom w:val="single" w:sz="8" w:color="auto"/>
            </w:tcBorders>
            <w:gridSpan w:val="2"/>
            <w:vMerge w:val="continue"/>
          </w:tcPr>
          <w:p>
            <w:pPr>
              <w:spacing w:after="0"/>
              <w:rPr>
                <w:sz w:val="12"/>
                <w:szCs w:val="12"/>
                <w:color w:val="auto"/>
              </w:rPr>
            </w:pPr>
          </w:p>
        </w:tc>
        <w:tc>
          <w:tcPr>
            <w:tcW w:w="1000" w:type="dxa"/>
            <w:vAlign w:val="bottom"/>
            <w:tcBorders>
              <w:bottom w:val="single" w:sz="8" w:color="auto"/>
            </w:tcBorders>
            <w:gridSpan w:val="2"/>
          </w:tcPr>
          <w:p>
            <w:pPr>
              <w:jc w:val="right"/>
              <w:ind w:right="217"/>
              <w:spacing w:after="0" w:line="142" w:lineRule="exact"/>
              <w:rPr>
                <w:sz w:val="20"/>
                <w:szCs w:val="20"/>
                <w:color w:val="auto"/>
              </w:rPr>
            </w:pPr>
            <w:r>
              <w:rPr>
                <w:rFonts w:ascii="Arial" w:cs="Arial" w:eastAsia="Arial" w:hAnsi="Arial"/>
                <w:sz w:val="13"/>
                <w:szCs w:val="13"/>
                <w:b w:val="1"/>
                <w:bCs w:val="1"/>
                <w:color w:val="231F20"/>
              </w:rPr>
              <w:t>1,632,488</w:t>
            </w:r>
          </w:p>
        </w:tc>
        <w:tc>
          <w:tcPr>
            <w:tcW w:w="106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3"/>
                <w:szCs w:val="13"/>
                <w:b w:val="1"/>
                <w:bCs w:val="1"/>
                <w:color w:val="231F20"/>
              </w:rPr>
              <w:t>160,332</w:t>
            </w:r>
          </w:p>
        </w:tc>
        <w:tc>
          <w:tcPr>
            <w:tcW w:w="9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231F20"/>
              </w:rPr>
              <w:t>149,209</w:t>
            </w:r>
          </w:p>
        </w:tc>
        <w:tc>
          <w:tcPr>
            <w:tcW w:w="9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3"/>
                <w:szCs w:val="13"/>
                <w:b w:val="1"/>
                <w:bCs w:val="1"/>
                <w:color w:val="auto"/>
              </w:rPr>
              <w:t>72,084,360</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940" w:type="dxa"/>
            <w:vAlign w:val="bottom"/>
            <w:tcBorders>
              <w:bottom w:val="single" w:sz="8" w:color="EAEAEC"/>
            </w:tcBorders>
            <w:shd w:val="clear" w:color="auto" w:fill="EAEAEC"/>
          </w:tcPr>
          <w:p>
            <w:pPr>
              <w:spacing w:after="0"/>
              <w:rPr>
                <w:sz w:val="14"/>
                <w:szCs w:val="14"/>
                <w:color w:val="auto"/>
              </w:rPr>
            </w:pPr>
          </w:p>
        </w:tc>
        <w:tc>
          <w:tcPr>
            <w:tcW w:w="140" w:type="dxa"/>
            <w:vAlign w:val="bottom"/>
            <w:tcBorders>
              <w:bottom w:val="single" w:sz="8" w:color="EAEAEC"/>
            </w:tcBorders>
            <w:shd w:val="clear" w:color="auto" w:fill="EAEAEC"/>
          </w:tcPr>
          <w:p>
            <w:pPr>
              <w:spacing w:after="0"/>
              <w:rPr>
                <w:sz w:val="14"/>
                <w:szCs w:val="14"/>
                <w:color w:val="auto"/>
              </w:rPr>
            </w:pPr>
          </w:p>
        </w:tc>
        <w:tc>
          <w:tcPr>
            <w:tcW w:w="1000" w:type="dxa"/>
            <w:vAlign w:val="bottom"/>
            <w:tcBorders>
              <w:bottom w:val="single" w:sz="8" w:color="auto"/>
            </w:tcBorders>
            <w:gridSpan w:val="2"/>
            <w:shd w:val="clear" w:color="auto" w:fill="EAEAEC"/>
          </w:tcPr>
          <w:p>
            <w:pPr>
              <w:jc w:val="right"/>
              <w:ind w:right="217"/>
              <w:spacing w:after="0"/>
              <w:rPr>
                <w:sz w:val="20"/>
                <w:szCs w:val="20"/>
                <w:color w:val="auto"/>
              </w:rPr>
            </w:pPr>
            <w:r>
              <w:rPr>
                <w:rFonts w:ascii="Arial" w:cs="Arial" w:eastAsia="Arial" w:hAnsi="Arial"/>
                <w:sz w:val="13"/>
                <w:szCs w:val="13"/>
                <w:color w:val="231F20"/>
              </w:rPr>
              <w:t>20,320</w:t>
            </w:r>
          </w:p>
        </w:tc>
        <w:tc>
          <w:tcPr>
            <w:tcW w:w="1060" w:type="dxa"/>
            <w:vAlign w:val="bottom"/>
            <w:tcBorders>
              <w:bottom w:val="single" w:sz="8" w:color="auto"/>
            </w:tcBorders>
            <w:gridSpan w:val="2"/>
            <w:shd w:val="clear" w:color="auto" w:fill="EAEAEC"/>
          </w:tcPr>
          <w:p>
            <w:pPr>
              <w:ind w:left="360"/>
              <w:spacing w:after="0" w:line="169" w:lineRule="exact"/>
              <w:rPr>
                <w:sz w:val="20"/>
                <w:szCs w:val="20"/>
                <w:color w:val="auto"/>
              </w:rPr>
            </w:pPr>
            <w:r>
              <w:rPr>
                <w:rFonts w:ascii="Arial" w:cs="Arial" w:eastAsia="Arial" w:hAnsi="Arial"/>
                <w:sz w:val="12"/>
                <w:szCs w:val="12"/>
                <w:color w:val="231F20"/>
              </w:rPr>
              <w:t>60,958</w:t>
            </w:r>
            <w:r>
              <w:rPr>
                <w:rFonts w:ascii="Arial" w:cs="Arial" w:eastAsia="Arial" w:hAnsi="Arial"/>
                <w:sz w:val="19"/>
                <w:szCs w:val="19"/>
                <w:color w:val="231F20"/>
                <w:vertAlign w:val="superscript"/>
              </w:rPr>
              <w:t>2</w:t>
            </w:r>
          </w:p>
        </w:tc>
        <w:tc>
          <w:tcPr>
            <w:tcW w:w="980" w:type="dxa"/>
            <w:vAlign w:val="bottom"/>
            <w:tcBorders>
              <w:bottom w:val="single" w:sz="8" w:color="auto"/>
            </w:tcBorders>
            <w:shd w:val="clear" w:color="auto" w:fill="EAEAEC"/>
          </w:tcPr>
          <w:p>
            <w:pPr>
              <w:jc w:val="right"/>
              <w:ind w:right="9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shd w:val="clear" w:color="auto" w:fill="EAEAEC"/>
          </w:tcPr>
          <w:p>
            <w:pPr>
              <w:jc w:val="right"/>
              <w:ind w:right="316"/>
              <w:spacing w:after="0"/>
              <w:rPr>
                <w:sz w:val="20"/>
                <w:szCs w:val="20"/>
                <w:color w:val="auto"/>
              </w:rPr>
            </w:pPr>
            <w:r>
              <w:rPr>
                <w:rFonts w:ascii="Arial" w:cs="Arial" w:eastAsia="Arial" w:hAnsi="Arial"/>
                <w:sz w:val="13"/>
                <w:szCs w:val="13"/>
                <w:color w:val="231F20"/>
              </w:rPr>
              <w:t>372.46</w:t>
            </w:r>
          </w:p>
        </w:tc>
        <w:tc>
          <w:tcPr>
            <w:tcW w:w="860" w:type="dxa"/>
            <w:vAlign w:val="bottom"/>
            <w:tcBorders>
              <w:bottom w:val="single" w:sz="8" w:color="auto"/>
            </w:tcBorders>
            <w:shd w:val="clear" w:color="auto" w:fill="EAEAEC"/>
          </w:tcPr>
          <w:p>
            <w:pPr>
              <w:jc w:val="right"/>
              <w:ind w:right="16"/>
              <w:spacing w:after="0"/>
              <w:rPr>
                <w:sz w:val="20"/>
                <w:szCs w:val="20"/>
                <w:color w:val="auto"/>
              </w:rPr>
            </w:pPr>
            <w:r>
              <w:rPr>
                <w:rFonts w:ascii="Arial" w:cs="Arial" w:eastAsia="Arial" w:hAnsi="Arial"/>
                <w:sz w:val="13"/>
                <w:szCs w:val="13"/>
                <w:color w:val="231F20"/>
              </w:rPr>
              <w:t>12/11/2029</w:t>
            </w:r>
          </w:p>
        </w:tc>
        <w:tc>
          <w:tcPr>
            <w:tcW w:w="140" w:type="dxa"/>
            <w:vAlign w:val="bottom"/>
            <w:tcBorders>
              <w:bottom w:val="single" w:sz="8" w:color="auto"/>
            </w:tcBorders>
            <w:shd w:val="clear" w:color="auto" w:fill="EAEAEC"/>
          </w:tcPr>
          <w:p>
            <w:pPr>
              <w:spacing w:after="0"/>
              <w:rPr>
                <w:sz w:val="14"/>
                <w:szCs w:val="14"/>
                <w:color w:val="auto"/>
              </w:rPr>
            </w:pPr>
          </w:p>
        </w:tc>
        <w:tc>
          <w:tcPr>
            <w:tcW w:w="1000" w:type="dxa"/>
            <w:vAlign w:val="bottom"/>
            <w:tcBorders>
              <w:bottom w:val="single" w:sz="8" w:color="auto"/>
            </w:tcBorders>
            <w:shd w:val="clear" w:color="auto" w:fill="EAEAEC"/>
          </w:tcPr>
          <w:p>
            <w:pPr>
              <w:jc w:val="right"/>
              <w:ind w:right="176"/>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shd w:val="clear" w:color="auto" w:fill="EAEAEC"/>
          </w:tcPr>
          <w:p>
            <w:pPr>
              <w:jc w:val="right"/>
              <w:ind w:right="11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11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shd w:val="clear" w:color="auto" w:fill="EAEAEC"/>
          </w:tcPr>
          <w:p>
            <w:pPr>
              <w:jc w:val="right"/>
              <w:ind w:right="100"/>
              <w:spacing w:after="0"/>
              <w:rPr>
                <w:sz w:val="20"/>
                <w:szCs w:val="20"/>
                <w:color w:val="auto"/>
              </w:rPr>
            </w:pPr>
            <w:r>
              <w:rPr>
                <w:rFonts w:ascii="Arial" w:cs="Arial" w:eastAsia="Arial" w:hAnsi="Arial"/>
                <w:sz w:val="13"/>
                <w:szCs w:val="13"/>
                <w:color w:val="231F20"/>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940" w:type="dxa"/>
            <w:vAlign w:val="bottom"/>
            <w:tcBorders>
              <w:bottom w:val="single" w:sz="8" w:color="EAEAEC"/>
            </w:tcBorders>
            <w:shd w:val="clear" w:color="auto" w:fill="EAEAEC"/>
          </w:tcPr>
          <w:p>
            <w:pPr>
              <w:spacing w:after="0"/>
              <w:rPr>
                <w:sz w:val="14"/>
                <w:szCs w:val="14"/>
                <w:color w:val="auto"/>
              </w:rPr>
            </w:pPr>
          </w:p>
        </w:tc>
        <w:tc>
          <w:tcPr>
            <w:tcW w:w="140" w:type="dxa"/>
            <w:vAlign w:val="bottom"/>
            <w:tcBorders>
              <w:bottom w:val="single" w:sz="8" w:color="EAEAEC"/>
            </w:tcBorders>
            <w:shd w:val="clear" w:color="auto" w:fill="EAEAEC"/>
          </w:tcPr>
          <w:p>
            <w:pPr>
              <w:spacing w:after="0"/>
              <w:rPr>
                <w:sz w:val="14"/>
                <w:szCs w:val="14"/>
                <w:color w:val="auto"/>
              </w:rPr>
            </w:pPr>
          </w:p>
        </w:tc>
        <w:tc>
          <w:tcPr>
            <w:tcW w:w="1000" w:type="dxa"/>
            <w:vAlign w:val="bottom"/>
            <w:tcBorders>
              <w:bottom w:val="single" w:sz="8" w:color="auto"/>
            </w:tcBorders>
            <w:gridSpan w:val="2"/>
            <w:shd w:val="clear" w:color="auto" w:fill="EAEAEC"/>
          </w:tcPr>
          <w:p>
            <w:pPr>
              <w:jc w:val="right"/>
              <w:ind w:right="217"/>
              <w:spacing w:after="0"/>
              <w:rPr>
                <w:sz w:val="20"/>
                <w:szCs w:val="20"/>
                <w:color w:val="auto"/>
              </w:rPr>
            </w:pPr>
            <w:r>
              <w:rPr>
                <w:rFonts w:ascii="Arial" w:cs="Arial" w:eastAsia="Arial" w:hAnsi="Arial"/>
                <w:sz w:val="13"/>
                <w:szCs w:val="13"/>
                <w:color w:val="231F20"/>
              </w:rPr>
              <w:t>64,507</w:t>
            </w:r>
          </w:p>
        </w:tc>
        <w:tc>
          <w:tcPr>
            <w:tcW w:w="1060" w:type="dxa"/>
            <w:vAlign w:val="bottom"/>
            <w:tcBorders>
              <w:bottom w:val="single" w:sz="8" w:color="auto"/>
            </w:tcBorders>
            <w:gridSpan w:val="2"/>
            <w:shd w:val="clear" w:color="auto" w:fill="EAEAEC"/>
          </w:tcPr>
          <w:p>
            <w:pPr>
              <w:ind w:left="360"/>
              <w:spacing w:after="0" w:line="169" w:lineRule="exact"/>
              <w:rPr>
                <w:sz w:val="20"/>
                <w:szCs w:val="20"/>
                <w:color w:val="auto"/>
              </w:rPr>
            </w:pPr>
            <w:r>
              <w:rPr>
                <w:rFonts w:ascii="Arial" w:cs="Arial" w:eastAsia="Arial" w:hAnsi="Arial"/>
                <w:sz w:val="12"/>
                <w:szCs w:val="12"/>
                <w:color w:val="231F20"/>
              </w:rPr>
              <w:t>64,506</w:t>
            </w:r>
            <w:r>
              <w:rPr>
                <w:rFonts w:ascii="Arial" w:cs="Arial" w:eastAsia="Arial" w:hAnsi="Arial"/>
                <w:sz w:val="19"/>
                <w:szCs w:val="19"/>
                <w:color w:val="231F20"/>
                <w:vertAlign w:val="superscript"/>
              </w:rPr>
              <w:t>2</w:t>
            </w:r>
          </w:p>
        </w:tc>
        <w:tc>
          <w:tcPr>
            <w:tcW w:w="980" w:type="dxa"/>
            <w:vAlign w:val="bottom"/>
            <w:tcBorders>
              <w:bottom w:val="single" w:sz="8" w:color="auto"/>
            </w:tcBorders>
            <w:shd w:val="clear" w:color="auto" w:fill="EAEAEC"/>
          </w:tcPr>
          <w:p>
            <w:pPr>
              <w:jc w:val="right"/>
              <w:ind w:right="9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shd w:val="clear" w:color="auto" w:fill="EAEAEC"/>
          </w:tcPr>
          <w:p>
            <w:pPr>
              <w:jc w:val="right"/>
              <w:ind w:right="316"/>
              <w:spacing w:after="0"/>
              <w:rPr>
                <w:sz w:val="20"/>
                <w:szCs w:val="20"/>
                <w:color w:val="auto"/>
              </w:rPr>
            </w:pPr>
            <w:r>
              <w:rPr>
                <w:rFonts w:ascii="Arial" w:cs="Arial" w:eastAsia="Arial" w:hAnsi="Arial"/>
                <w:sz w:val="13"/>
                <w:szCs w:val="13"/>
                <w:color w:val="231F20"/>
              </w:rPr>
              <w:t>381.40</w:t>
            </w:r>
          </w:p>
        </w:tc>
        <w:tc>
          <w:tcPr>
            <w:tcW w:w="860" w:type="dxa"/>
            <w:vAlign w:val="bottom"/>
            <w:tcBorders>
              <w:bottom w:val="single" w:sz="8" w:color="auto"/>
            </w:tcBorders>
            <w:shd w:val="clear" w:color="auto" w:fill="EAEAEC"/>
          </w:tcPr>
          <w:p>
            <w:pPr>
              <w:jc w:val="right"/>
              <w:ind w:right="16"/>
              <w:spacing w:after="0"/>
              <w:rPr>
                <w:sz w:val="20"/>
                <w:szCs w:val="20"/>
                <w:color w:val="auto"/>
              </w:rPr>
            </w:pPr>
            <w:r>
              <w:rPr>
                <w:rFonts w:ascii="Arial" w:cs="Arial" w:eastAsia="Arial" w:hAnsi="Arial"/>
                <w:sz w:val="13"/>
                <w:szCs w:val="13"/>
                <w:color w:val="231F20"/>
              </w:rPr>
              <w:t>12/12/2028</w:t>
            </w:r>
          </w:p>
        </w:tc>
        <w:tc>
          <w:tcPr>
            <w:tcW w:w="140" w:type="dxa"/>
            <w:vAlign w:val="bottom"/>
            <w:tcBorders>
              <w:bottom w:val="single" w:sz="8" w:color="auto"/>
            </w:tcBorders>
            <w:shd w:val="clear" w:color="auto" w:fill="EAEAEC"/>
          </w:tcPr>
          <w:p>
            <w:pPr>
              <w:spacing w:after="0"/>
              <w:rPr>
                <w:sz w:val="14"/>
                <w:szCs w:val="14"/>
                <w:color w:val="auto"/>
              </w:rPr>
            </w:pPr>
          </w:p>
        </w:tc>
        <w:tc>
          <w:tcPr>
            <w:tcW w:w="1000" w:type="dxa"/>
            <w:vAlign w:val="bottom"/>
            <w:tcBorders>
              <w:bottom w:val="single" w:sz="8" w:color="auto"/>
            </w:tcBorders>
            <w:shd w:val="clear" w:color="auto" w:fill="EAEAEC"/>
          </w:tcPr>
          <w:p>
            <w:pPr>
              <w:jc w:val="right"/>
              <w:ind w:right="176"/>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shd w:val="clear" w:color="auto" w:fill="EAEAEC"/>
          </w:tcPr>
          <w:p>
            <w:pPr>
              <w:jc w:val="right"/>
              <w:ind w:right="11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11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shd w:val="clear" w:color="auto" w:fill="EAEAEC"/>
          </w:tcPr>
          <w:p>
            <w:pPr>
              <w:jc w:val="right"/>
              <w:ind w:right="100"/>
              <w:spacing w:after="0"/>
              <w:rPr>
                <w:sz w:val="20"/>
                <w:szCs w:val="20"/>
                <w:color w:val="auto"/>
              </w:rPr>
            </w:pPr>
            <w:r>
              <w:rPr>
                <w:rFonts w:ascii="Arial" w:cs="Arial" w:eastAsia="Arial" w:hAnsi="Arial"/>
                <w:sz w:val="13"/>
                <w:szCs w:val="13"/>
                <w:color w:val="231F20"/>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940" w:type="dxa"/>
            <w:vAlign w:val="bottom"/>
            <w:tcBorders>
              <w:bottom w:val="single" w:sz="8" w:color="EAEAEC"/>
            </w:tcBorders>
            <w:shd w:val="clear" w:color="auto" w:fill="EAEAEC"/>
          </w:tcPr>
          <w:p>
            <w:pPr>
              <w:spacing w:after="0"/>
              <w:rPr>
                <w:sz w:val="14"/>
                <w:szCs w:val="14"/>
                <w:color w:val="auto"/>
              </w:rPr>
            </w:pPr>
          </w:p>
        </w:tc>
        <w:tc>
          <w:tcPr>
            <w:tcW w:w="140" w:type="dxa"/>
            <w:vAlign w:val="bottom"/>
            <w:tcBorders>
              <w:bottom w:val="single" w:sz="8" w:color="EAEAEC"/>
            </w:tcBorders>
            <w:shd w:val="clear" w:color="auto" w:fill="EAEAEC"/>
          </w:tcPr>
          <w:p>
            <w:pPr>
              <w:spacing w:after="0"/>
              <w:rPr>
                <w:sz w:val="14"/>
                <w:szCs w:val="14"/>
                <w:color w:val="auto"/>
              </w:rPr>
            </w:pPr>
          </w:p>
        </w:tc>
        <w:tc>
          <w:tcPr>
            <w:tcW w:w="140" w:type="dxa"/>
            <w:vAlign w:val="bottom"/>
            <w:tcBorders>
              <w:bottom w:val="single" w:sz="8" w:color="auto"/>
            </w:tcBorders>
            <w:shd w:val="clear" w:color="auto" w:fill="EAEAEC"/>
          </w:tcPr>
          <w:p>
            <w:pPr>
              <w:spacing w:after="0"/>
              <w:rPr>
                <w:sz w:val="14"/>
                <w:szCs w:val="14"/>
                <w:color w:val="auto"/>
              </w:rPr>
            </w:pPr>
          </w:p>
        </w:tc>
        <w:tc>
          <w:tcPr>
            <w:tcW w:w="860" w:type="dxa"/>
            <w:vAlign w:val="bottom"/>
            <w:tcBorders>
              <w:bottom w:val="single" w:sz="8" w:color="auto"/>
            </w:tcBorders>
            <w:shd w:val="clear" w:color="auto" w:fill="EAEAEC"/>
          </w:tcPr>
          <w:p>
            <w:pPr>
              <w:jc w:val="right"/>
              <w:ind w:right="217"/>
              <w:spacing w:after="0"/>
              <w:rPr>
                <w:sz w:val="20"/>
                <w:szCs w:val="20"/>
                <w:color w:val="auto"/>
              </w:rPr>
            </w:pPr>
            <w:r>
              <w:rPr>
                <w:rFonts w:ascii="Arial" w:cs="Arial" w:eastAsia="Arial" w:hAnsi="Arial"/>
                <w:sz w:val="13"/>
                <w:szCs w:val="13"/>
                <w:color w:val="231F20"/>
              </w:rPr>
              <w:t>104,606</w:t>
            </w:r>
          </w:p>
        </w:tc>
        <w:tc>
          <w:tcPr>
            <w:tcW w:w="1060" w:type="dxa"/>
            <w:vAlign w:val="bottom"/>
            <w:tcBorders>
              <w:bottom w:val="single" w:sz="8" w:color="auto"/>
            </w:tcBorders>
            <w:gridSpan w:val="2"/>
            <w:shd w:val="clear" w:color="auto" w:fill="EAEAEC"/>
          </w:tcPr>
          <w:p>
            <w:pPr>
              <w:ind w:left="360"/>
              <w:spacing w:after="0" w:line="169" w:lineRule="exact"/>
              <w:rPr>
                <w:sz w:val="20"/>
                <w:szCs w:val="20"/>
                <w:color w:val="auto"/>
              </w:rPr>
            </w:pPr>
            <w:r>
              <w:rPr>
                <w:rFonts w:ascii="Arial" w:cs="Arial" w:eastAsia="Arial" w:hAnsi="Arial"/>
                <w:sz w:val="12"/>
                <w:szCs w:val="12"/>
                <w:color w:val="231F20"/>
              </w:rPr>
              <w:t>34,868</w:t>
            </w:r>
            <w:r>
              <w:rPr>
                <w:rFonts w:ascii="Arial" w:cs="Arial" w:eastAsia="Arial" w:hAnsi="Arial"/>
                <w:sz w:val="19"/>
                <w:szCs w:val="19"/>
                <w:color w:val="231F20"/>
                <w:vertAlign w:val="superscript"/>
              </w:rPr>
              <w:t>4</w:t>
            </w:r>
          </w:p>
        </w:tc>
        <w:tc>
          <w:tcPr>
            <w:tcW w:w="980" w:type="dxa"/>
            <w:vAlign w:val="bottom"/>
            <w:tcBorders>
              <w:bottom w:val="single" w:sz="8" w:color="auto"/>
            </w:tcBorders>
            <w:shd w:val="clear" w:color="auto" w:fill="EAEAEC"/>
          </w:tcPr>
          <w:p>
            <w:pPr>
              <w:jc w:val="right"/>
              <w:ind w:right="9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shd w:val="clear" w:color="auto" w:fill="EAEAEC"/>
          </w:tcPr>
          <w:p>
            <w:pPr>
              <w:jc w:val="right"/>
              <w:ind w:right="316"/>
              <w:spacing w:after="0"/>
              <w:rPr>
                <w:sz w:val="20"/>
                <w:szCs w:val="20"/>
                <w:color w:val="auto"/>
              </w:rPr>
            </w:pPr>
            <w:r>
              <w:rPr>
                <w:rFonts w:ascii="Arial" w:cs="Arial" w:eastAsia="Arial" w:hAnsi="Arial"/>
                <w:sz w:val="13"/>
                <w:szCs w:val="13"/>
                <w:color w:val="231F20"/>
              </w:rPr>
              <w:t>378.98</w:t>
            </w:r>
          </w:p>
        </w:tc>
        <w:tc>
          <w:tcPr>
            <w:tcW w:w="860" w:type="dxa"/>
            <w:vAlign w:val="bottom"/>
            <w:tcBorders>
              <w:bottom w:val="single" w:sz="8" w:color="auto"/>
            </w:tcBorders>
            <w:shd w:val="clear" w:color="auto" w:fill="EAEAEC"/>
          </w:tcPr>
          <w:p>
            <w:pPr>
              <w:jc w:val="right"/>
              <w:ind w:right="16"/>
              <w:spacing w:after="0"/>
              <w:rPr>
                <w:sz w:val="20"/>
                <w:szCs w:val="20"/>
                <w:color w:val="auto"/>
              </w:rPr>
            </w:pPr>
            <w:r>
              <w:rPr>
                <w:rFonts w:ascii="Arial" w:cs="Arial" w:eastAsia="Arial" w:hAnsi="Arial"/>
                <w:sz w:val="13"/>
                <w:szCs w:val="13"/>
                <w:color w:val="231F20"/>
              </w:rPr>
              <w:t>12/12/2027</w:t>
            </w:r>
          </w:p>
        </w:tc>
        <w:tc>
          <w:tcPr>
            <w:tcW w:w="140" w:type="dxa"/>
            <w:vAlign w:val="bottom"/>
            <w:tcBorders>
              <w:bottom w:val="single" w:sz="8" w:color="auto"/>
            </w:tcBorders>
            <w:shd w:val="clear" w:color="auto" w:fill="EAEAEC"/>
          </w:tcPr>
          <w:p>
            <w:pPr>
              <w:spacing w:after="0"/>
              <w:rPr>
                <w:sz w:val="14"/>
                <w:szCs w:val="14"/>
                <w:color w:val="auto"/>
              </w:rPr>
            </w:pPr>
          </w:p>
        </w:tc>
        <w:tc>
          <w:tcPr>
            <w:tcW w:w="1000" w:type="dxa"/>
            <w:vAlign w:val="bottom"/>
            <w:tcBorders>
              <w:bottom w:val="single" w:sz="8" w:color="auto"/>
            </w:tcBorders>
            <w:shd w:val="clear" w:color="auto" w:fill="EAEAEC"/>
          </w:tcPr>
          <w:p>
            <w:pPr>
              <w:jc w:val="right"/>
              <w:ind w:right="176"/>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shd w:val="clear" w:color="auto" w:fill="EAEAEC"/>
          </w:tcPr>
          <w:p>
            <w:pPr>
              <w:jc w:val="right"/>
              <w:ind w:right="11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11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shd w:val="clear" w:color="auto" w:fill="EAEAEC"/>
          </w:tcPr>
          <w:p>
            <w:pPr>
              <w:jc w:val="right"/>
              <w:ind w:right="100"/>
              <w:spacing w:after="0"/>
              <w:rPr>
                <w:sz w:val="20"/>
                <w:szCs w:val="20"/>
                <w:color w:val="auto"/>
              </w:rPr>
            </w:pPr>
            <w:r>
              <w:rPr>
                <w:rFonts w:ascii="Arial" w:cs="Arial" w:eastAsia="Arial" w:hAnsi="Arial"/>
                <w:sz w:val="13"/>
                <w:szCs w:val="13"/>
                <w:color w:val="231F20"/>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4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217"/>
              <w:spacing w:after="0" w:line="142" w:lineRule="exact"/>
              <w:rPr>
                <w:sz w:val="20"/>
                <w:szCs w:val="20"/>
                <w:color w:val="auto"/>
              </w:rPr>
            </w:pPr>
            <w:r>
              <w:rPr>
                <w:rFonts w:ascii="Arial" w:cs="Arial" w:eastAsia="Arial" w:hAnsi="Arial"/>
                <w:sz w:val="13"/>
                <w:szCs w:val="13"/>
                <w:color w:val="231F20"/>
              </w:rPr>
              <w:t>146,815</w:t>
            </w:r>
          </w:p>
        </w:tc>
        <w:tc>
          <w:tcPr>
            <w:tcW w:w="1060" w:type="dxa"/>
            <w:vAlign w:val="bottom"/>
            <w:tcBorders>
              <w:bottom w:val="single" w:sz="8" w:color="auto"/>
            </w:tcBorders>
            <w:gridSpan w:val="2"/>
            <w:shd w:val="clear" w:color="auto" w:fill="EAEAEC"/>
          </w:tcPr>
          <w:p>
            <w:pPr>
              <w:ind w:left="620"/>
              <w:spacing w:after="0" w:line="142" w:lineRule="exact"/>
              <w:rPr>
                <w:sz w:val="20"/>
                <w:szCs w:val="20"/>
                <w:color w:val="auto"/>
              </w:rPr>
            </w:pPr>
            <w:r>
              <w:rPr>
                <w:rFonts w:ascii="Arial" w:cs="Arial" w:eastAsia="Arial" w:hAnsi="Arial"/>
                <w:sz w:val="13"/>
                <w:szCs w:val="13"/>
                <w:color w:val="231F20"/>
              </w:rPr>
              <w:t>—</w:t>
            </w:r>
          </w:p>
        </w:tc>
        <w:tc>
          <w:tcPr>
            <w:tcW w:w="980" w:type="dxa"/>
            <w:vAlign w:val="bottom"/>
            <w:tcBorders>
              <w:bottom w:val="single" w:sz="8" w:color="auto"/>
            </w:tcBorders>
            <w:shd w:val="clear" w:color="auto" w:fill="EAEAEC"/>
          </w:tcPr>
          <w:p>
            <w:pPr>
              <w:jc w:val="right"/>
              <w:ind w:right="9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shd w:val="clear" w:color="auto" w:fill="EAEAEC"/>
          </w:tcPr>
          <w:p>
            <w:pPr>
              <w:jc w:val="right"/>
              <w:ind w:right="316"/>
              <w:spacing w:after="0" w:line="142" w:lineRule="exact"/>
              <w:rPr>
                <w:sz w:val="20"/>
                <w:szCs w:val="20"/>
                <w:color w:val="auto"/>
              </w:rPr>
            </w:pPr>
            <w:r>
              <w:rPr>
                <w:rFonts w:ascii="Arial" w:cs="Arial" w:eastAsia="Arial" w:hAnsi="Arial"/>
                <w:sz w:val="13"/>
                <w:szCs w:val="13"/>
                <w:color w:val="231F20"/>
              </w:rPr>
              <w:t>381.92</w:t>
            </w:r>
          </w:p>
        </w:tc>
        <w:tc>
          <w:tcPr>
            <w:tcW w:w="860" w:type="dxa"/>
            <w:vAlign w:val="bottom"/>
            <w:tcBorders>
              <w:bottom w:val="single" w:sz="8" w:color="auto"/>
            </w:tcBorders>
            <w:shd w:val="clear" w:color="auto" w:fill="EAEAEC"/>
          </w:tcPr>
          <w:p>
            <w:pPr>
              <w:jc w:val="right"/>
              <w:ind w:right="16"/>
              <w:spacing w:after="0" w:line="142" w:lineRule="exact"/>
              <w:rPr>
                <w:sz w:val="20"/>
                <w:szCs w:val="20"/>
                <w:color w:val="auto"/>
              </w:rPr>
            </w:pPr>
            <w:r>
              <w:rPr>
                <w:rFonts w:ascii="Arial" w:cs="Arial" w:eastAsia="Arial" w:hAnsi="Arial"/>
                <w:sz w:val="13"/>
                <w:szCs w:val="13"/>
                <w:color w:val="231F20"/>
              </w:rPr>
              <w:t>12/16/2026</w:t>
            </w:r>
          </w:p>
        </w:tc>
        <w:tc>
          <w:tcPr>
            <w:tcW w:w="140" w:type="dxa"/>
            <w:vAlign w:val="bottom"/>
            <w:tcBorders>
              <w:bottom w:val="single" w:sz="8" w:color="auto"/>
            </w:tcBorders>
            <w:shd w:val="clear" w:color="auto" w:fill="EAEAEC"/>
          </w:tcPr>
          <w:p>
            <w:pPr>
              <w:spacing w:after="0"/>
              <w:rPr>
                <w:sz w:val="12"/>
                <w:szCs w:val="12"/>
                <w:color w:val="auto"/>
              </w:rPr>
            </w:pPr>
          </w:p>
        </w:tc>
        <w:tc>
          <w:tcPr>
            <w:tcW w:w="1000" w:type="dxa"/>
            <w:vAlign w:val="bottom"/>
            <w:tcBorders>
              <w:bottom w:val="single" w:sz="8" w:color="auto"/>
            </w:tcBorders>
            <w:shd w:val="clear" w:color="auto" w:fill="EAEAEC"/>
          </w:tcPr>
          <w:p>
            <w:pPr>
              <w:jc w:val="right"/>
              <w:ind w:right="176"/>
              <w:spacing w:after="0" w:line="142" w:lineRule="exact"/>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shd w:val="clear" w:color="auto" w:fill="EAEAEC"/>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4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217"/>
              <w:spacing w:after="0" w:line="142" w:lineRule="exact"/>
              <w:rPr>
                <w:sz w:val="20"/>
                <w:szCs w:val="20"/>
                <w:color w:val="auto"/>
              </w:rPr>
            </w:pPr>
            <w:r>
              <w:rPr>
                <w:rFonts w:ascii="Arial" w:cs="Arial" w:eastAsia="Arial" w:hAnsi="Arial"/>
                <w:sz w:val="13"/>
                <w:szCs w:val="13"/>
                <w:color w:val="231F20"/>
              </w:rPr>
              <w:t>146,815</w:t>
            </w:r>
          </w:p>
        </w:tc>
        <w:tc>
          <w:tcPr>
            <w:tcW w:w="1060" w:type="dxa"/>
            <w:vAlign w:val="bottom"/>
            <w:tcBorders>
              <w:bottom w:val="single" w:sz="8" w:color="auto"/>
            </w:tcBorders>
            <w:gridSpan w:val="2"/>
            <w:shd w:val="clear" w:color="auto" w:fill="EAEAEC"/>
          </w:tcPr>
          <w:p>
            <w:pPr>
              <w:ind w:left="620"/>
              <w:spacing w:after="0" w:line="142" w:lineRule="exact"/>
              <w:rPr>
                <w:sz w:val="20"/>
                <w:szCs w:val="20"/>
                <w:color w:val="auto"/>
              </w:rPr>
            </w:pPr>
            <w:r>
              <w:rPr>
                <w:rFonts w:ascii="Arial" w:cs="Arial" w:eastAsia="Arial" w:hAnsi="Arial"/>
                <w:sz w:val="13"/>
                <w:szCs w:val="13"/>
                <w:color w:val="231F20"/>
              </w:rPr>
              <w:t>—</w:t>
            </w:r>
          </w:p>
        </w:tc>
        <w:tc>
          <w:tcPr>
            <w:tcW w:w="980" w:type="dxa"/>
            <w:vAlign w:val="bottom"/>
            <w:tcBorders>
              <w:bottom w:val="single" w:sz="8" w:color="auto"/>
            </w:tcBorders>
            <w:shd w:val="clear" w:color="auto" w:fill="EAEAEC"/>
          </w:tcPr>
          <w:p>
            <w:pPr>
              <w:jc w:val="right"/>
              <w:ind w:right="9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shd w:val="clear" w:color="auto" w:fill="EAEAEC"/>
          </w:tcPr>
          <w:p>
            <w:pPr>
              <w:jc w:val="right"/>
              <w:ind w:right="316"/>
              <w:spacing w:after="0" w:line="142" w:lineRule="exact"/>
              <w:rPr>
                <w:sz w:val="20"/>
                <w:szCs w:val="20"/>
                <w:color w:val="auto"/>
              </w:rPr>
            </w:pPr>
            <w:r>
              <w:rPr>
                <w:rFonts w:ascii="Arial" w:cs="Arial" w:eastAsia="Arial" w:hAnsi="Arial"/>
                <w:sz w:val="13"/>
                <w:szCs w:val="13"/>
                <w:color w:val="231F20"/>
              </w:rPr>
              <w:t>555.67</w:t>
            </w:r>
          </w:p>
        </w:tc>
        <w:tc>
          <w:tcPr>
            <w:tcW w:w="860" w:type="dxa"/>
            <w:vAlign w:val="bottom"/>
            <w:tcBorders>
              <w:bottom w:val="single" w:sz="8" w:color="auto"/>
            </w:tcBorders>
            <w:shd w:val="clear" w:color="auto" w:fill="EAEAEC"/>
          </w:tcPr>
          <w:p>
            <w:pPr>
              <w:jc w:val="right"/>
              <w:ind w:right="16"/>
              <w:spacing w:after="0" w:line="142" w:lineRule="exact"/>
              <w:rPr>
                <w:sz w:val="20"/>
                <w:szCs w:val="20"/>
                <w:color w:val="auto"/>
              </w:rPr>
            </w:pPr>
            <w:r>
              <w:rPr>
                <w:rFonts w:ascii="Arial" w:cs="Arial" w:eastAsia="Arial" w:hAnsi="Arial"/>
                <w:sz w:val="13"/>
                <w:szCs w:val="13"/>
                <w:color w:val="231F20"/>
              </w:rPr>
              <w:t>12/16/2025</w:t>
            </w:r>
          </w:p>
        </w:tc>
        <w:tc>
          <w:tcPr>
            <w:tcW w:w="140" w:type="dxa"/>
            <w:vAlign w:val="bottom"/>
            <w:tcBorders>
              <w:bottom w:val="single" w:sz="8" w:color="auto"/>
            </w:tcBorders>
            <w:shd w:val="clear" w:color="auto" w:fill="EAEAEC"/>
          </w:tcPr>
          <w:p>
            <w:pPr>
              <w:spacing w:after="0"/>
              <w:rPr>
                <w:sz w:val="12"/>
                <w:szCs w:val="12"/>
                <w:color w:val="auto"/>
              </w:rPr>
            </w:pPr>
          </w:p>
        </w:tc>
        <w:tc>
          <w:tcPr>
            <w:tcW w:w="1000" w:type="dxa"/>
            <w:vAlign w:val="bottom"/>
            <w:tcBorders>
              <w:bottom w:val="single" w:sz="8" w:color="auto"/>
            </w:tcBorders>
            <w:shd w:val="clear" w:color="auto" w:fill="EAEAEC"/>
          </w:tcPr>
          <w:p>
            <w:pPr>
              <w:jc w:val="right"/>
              <w:ind w:right="176"/>
              <w:spacing w:after="0" w:line="142" w:lineRule="exact"/>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shd w:val="clear" w:color="auto" w:fill="EAEAEC"/>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4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217"/>
              <w:spacing w:after="0" w:line="142" w:lineRule="exact"/>
              <w:rPr>
                <w:sz w:val="20"/>
                <w:szCs w:val="20"/>
                <w:color w:val="auto"/>
              </w:rPr>
            </w:pPr>
            <w:r>
              <w:rPr>
                <w:rFonts w:ascii="Arial" w:cs="Arial" w:eastAsia="Arial" w:hAnsi="Arial"/>
                <w:sz w:val="13"/>
                <w:szCs w:val="13"/>
                <w:color w:val="231F20"/>
              </w:rPr>
              <w:t>172,723</w:t>
            </w:r>
          </w:p>
        </w:tc>
        <w:tc>
          <w:tcPr>
            <w:tcW w:w="1060" w:type="dxa"/>
            <w:vAlign w:val="bottom"/>
            <w:tcBorders>
              <w:bottom w:val="single" w:sz="8" w:color="auto"/>
            </w:tcBorders>
            <w:gridSpan w:val="2"/>
            <w:shd w:val="clear" w:color="auto" w:fill="EAEAEC"/>
          </w:tcPr>
          <w:p>
            <w:pPr>
              <w:ind w:left="620"/>
              <w:spacing w:after="0" w:line="142" w:lineRule="exact"/>
              <w:rPr>
                <w:sz w:val="20"/>
                <w:szCs w:val="20"/>
                <w:color w:val="auto"/>
              </w:rPr>
            </w:pPr>
            <w:r>
              <w:rPr>
                <w:rFonts w:ascii="Arial" w:cs="Arial" w:eastAsia="Arial" w:hAnsi="Arial"/>
                <w:sz w:val="13"/>
                <w:szCs w:val="13"/>
                <w:color w:val="231F20"/>
              </w:rPr>
              <w:t>—</w:t>
            </w:r>
          </w:p>
        </w:tc>
        <w:tc>
          <w:tcPr>
            <w:tcW w:w="980" w:type="dxa"/>
            <w:vAlign w:val="bottom"/>
            <w:tcBorders>
              <w:bottom w:val="single" w:sz="8" w:color="auto"/>
            </w:tcBorders>
            <w:shd w:val="clear" w:color="auto" w:fill="EAEAEC"/>
          </w:tcPr>
          <w:p>
            <w:pPr>
              <w:jc w:val="right"/>
              <w:ind w:right="9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shd w:val="clear" w:color="auto" w:fill="EAEAEC"/>
          </w:tcPr>
          <w:p>
            <w:pPr>
              <w:jc w:val="right"/>
              <w:ind w:right="316"/>
              <w:spacing w:after="0" w:line="142" w:lineRule="exact"/>
              <w:rPr>
                <w:sz w:val="20"/>
                <w:szCs w:val="20"/>
                <w:color w:val="auto"/>
              </w:rPr>
            </w:pPr>
            <w:r>
              <w:rPr>
                <w:rFonts w:ascii="Arial" w:cs="Arial" w:eastAsia="Arial" w:hAnsi="Arial"/>
                <w:sz w:val="13"/>
                <w:szCs w:val="13"/>
                <w:color w:val="231F20"/>
              </w:rPr>
              <w:t>399.66</w:t>
            </w:r>
          </w:p>
        </w:tc>
        <w:tc>
          <w:tcPr>
            <w:tcW w:w="860" w:type="dxa"/>
            <w:vAlign w:val="bottom"/>
            <w:tcBorders>
              <w:bottom w:val="single" w:sz="8" w:color="auto"/>
            </w:tcBorders>
            <w:shd w:val="clear" w:color="auto" w:fill="EAEAEC"/>
          </w:tcPr>
          <w:p>
            <w:pPr>
              <w:jc w:val="right"/>
              <w:ind w:right="16"/>
              <w:spacing w:after="0" w:line="142" w:lineRule="exact"/>
              <w:rPr>
                <w:sz w:val="20"/>
                <w:szCs w:val="20"/>
                <w:color w:val="auto"/>
              </w:rPr>
            </w:pPr>
            <w:r>
              <w:rPr>
                <w:rFonts w:ascii="Arial" w:cs="Arial" w:eastAsia="Arial" w:hAnsi="Arial"/>
                <w:sz w:val="13"/>
                <w:szCs w:val="13"/>
                <w:color w:val="231F20"/>
              </w:rPr>
              <w:t>12/16/2024</w:t>
            </w:r>
          </w:p>
        </w:tc>
        <w:tc>
          <w:tcPr>
            <w:tcW w:w="140" w:type="dxa"/>
            <w:vAlign w:val="bottom"/>
            <w:tcBorders>
              <w:bottom w:val="single" w:sz="8" w:color="auto"/>
            </w:tcBorders>
            <w:shd w:val="clear" w:color="auto" w:fill="EAEAEC"/>
          </w:tcPr>
          <w:p>
            <w:pPr>
              <w:spacing w:after="0"/>
              <w:rPr>
                <w:sz w:val="12"/>
                <w:szCs w:val="12"/>
                <w:color w:val="auto"/>
              </w:rPr>
            </w:pPr>
          </w:p>
        </w:tc>
        <w:tc>
          <w:tcPr>
            <w:tcW w:w="1000" w:type="dxa"/>
            <w:vAlign w:val="bottom"/>
            <w:tcBorders>
              <w:bottom w:val="single" w:sz="8" w:color="auto"/>
            </w:tcBorders>
            <w:shd w:val="clear" w:color="auto" w:fill="EAEAEC"/>
          </w:tcPr>
          <w:p>
            <w:pPr>
              <w:jc w:val="right"/>
              <w:ind w:right="176"/>
              <w:spacing w:after="0" w:line="142" w:lineRule="exact"/>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shd w:val="clear" w:color="auto" w:fill="EAEAEC"/>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40" w:type="dxa"/>
            <w:vAlign w:val="bottom"/>
            <w:tcBorders>
              <w:bottom w:val="single" w:sz="8" w:color="EAEAEC"/>
            </w:tcBorders>
            <w:shd w:val="clear" w:color="auto" w:fill="EAEAEC"/>
          </w:tcPr>
          <w:p>
            <w:pPr>
              <w:ind w:left="60"/>
              <w:spacing w:after="0" w:line="142" w:lineRule="exact"/>
              <w:rPr>
                <w:sz w:val="20"/>
                <w:szCs w:val="20"/>
                <w:color w:val="auto"/>
              </w:rPr>
            </w:pPr>
            <w:r>
              <w:rPr>
                <w:rFonts w:ascii="Arial" w:cs="Arial" w:eastAsia="Arial" w:hAnsi="Arial"/>
                <w:sz w:val="13"/>
                <w:szCs w:val="13"/>
                <w:b w:val="1"/>
                <w:bCs w:val="1"/>
                <w:color w:val="C04C57"/>
              </w:rPr>
              <w:t>George D.</w:t>
            </w:r>
          </w:p>
        </w:tc>
        <w:tc>
          <w:tcPr>
            <w:tcW w:w="14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217"/>
              <w:spacing w:after="0" w:line="129" w:lineRule="exact"/>
              <w:rPr>
                <w:sz w:val="20"/>
                <w:szCs w:val="20"/>
                <w:color w:val="auto"/>
              </w:rPr>
            </w:pPr>
            <w:r>
              <w:rPr>
                <w:rFonts w:ascii="Arial" w:cs="Arial" w:eastAsia="Arial" w:hAnsi="Arial"/>
                <w:sz w:val="13"/>
                <w:szCs w:val="13"/>
                <w:color w:val="231F20"/>
              </w:rPr>
              <w:t>203,204</w:t>
            </w:r>
          </w:p>
        </w:tc>
        <w:tc>
          <w:tcPr>
            <w:tcW w:w="1060" w:type="dxa"/>
            <w:vAlign w:val="bottom"/>
            <w:tcBorders>
              <w:bottom w:val="single" w:sz="8" w:color="auto"/>
            </w:tcBorders>
            <w:gridSpan w:val="2"/>
            <w:shd w:val="clear" w:color="auto" w:fill="EAEAEC"/>
          </w:tcPr>
          <w:p>
            <w:pPr>
              <w:ind w:left="620"/>
              <w:spacing w:after="0" w:line="129" w:lineRule="exact"/>
              <w:rPr>
                <w:sz w:val="20"/>
                <w:szCs w:val="20"/>
                <w:color w:val="auto"/>
              </w:rPr>
            </w:pPr>
            <w:r>
              <w:rPr>
                <w:rFonts w:ascii="Arial" w:cs="Arial" w:eastAsia="Arial" w:hAnsi="Arial"/>
                <w:sz w:val="13"/>
                <w:szCs w:val="13"/>
                <w:color w:val="231F20"/>
              </w:rPr>
              <w:t>—</w:t>
            </w:r>
          </w:p>
        </w:tc>
        <w:tc>
          <w:tcPr>
            <w:tcW w:w="980" w:type="dxa"/>
            <w:vAlign w:val="bottom"/>
            <w:tcBorders>
              <w:bottom w:val="single" w:sz="8" w:color="auto"/>
            </w:tcBorders>
            <w:shd w:val="clear" w:color="auto" w:fill="EAEAEC"/>
          </w:tcPr>
          <w:p>
            <w:pPr>
              <w:jc w:val="right"/>
              <w:ind w:right="97"/>
              <w:spacing w:after="0" w:line="129"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shd w:val="clear" w:color="auto" w:fill="EAEAEC"/>
          </w:tcPr>
          <w:p>
            <w:pPr>
              <w:jc w:val="right"/>
              <w:ind w:right="316"/>
              <w:spacing w:after="0" w:line="129" w:lineRule="exact"/>
              <w:rPr>
                <w:sz w:val="20"/>
                <w:szCs w:val="20"/>
                <w:color w:val="auto"/>
              </w:rPr>
            </w:pPr>
            <w:r>
              <w:rPr>
                <w:rFonts w:ascii="Arial" w:cs="Arial" w:eastAsia="Arial" w:hAnsi="Arial"/>
                <w:sz w:val="13"/>
                <w:szCs w:val="13"/>
                <w:color w:val="231F20"/>
              </w:rPr>
              <w:t>270.43</w:t>
            </w:r>
          </w:p>
        </w:tc>
        <w:tc>
          <w:tcPr>
            <w:tcW w:w="860" w:type="dxa"/>
            <w:vAlign w:val="bottom"/>
            <w:tcBorders>
              <w:bottom w:val="single" w:sz="8" w:color="auto"/>
            </w:tcBorders>
            <w:shd w:val="clear" w:color="auto" w:fill="EAEAEC"/>
          </w:tcPr>
          <w:p>
            <w:pPr>
              <w:jc w:val="right"/>
              <w:ind w:right="16"/>
              <w:spacing w:after="0" w:line="129" w:lineRule="exact"/>
              <w:rPr>
                <w:sz w:val="20"/>
                <w:szCs w:val="20"/>
                <w:color w:val="auto"/>
              </w:rPr>
            </w:pPr>
            <w:r>
              <w:rPr>
                <w:rFonts w:ascii="Arial" w:cs="Arial" w:eastAsia="Arial" w:hAnsi="Arial"/>
                <w:sz w:val="13"/>
                <w:szCs w:val="13"/>
                <w:color w:val="231F20"/>
              </w:rPr>
              <w:t>12/13/2023</w:t>
            </w:r>
          </w:p>
        </w:tc>
        <w:tc>
          <w:tcPr>
            <w:tcW w:w="140" w:type="dxa"/>
            <w:vAlign w:val="bottom"/>
            <w:tcBorders>
              <w:bottom w:val="single" w:sz="8" w:color="auto"/>
            </w:tcBorders>
            <w:shd w:val="clear" w:color="auto" w:fill="EAEAEC"/>
          </w:tcPr>
          <w:p>
            <w:pPr>
              <w:spacing w:after="0"/>
              <w:rPr>
                <w:sz w:val="12"/>
                <w:szCs w:val="12"/>
                <w:color w:val="auto"/>
              </w:rPr>
            </w:pPr>
          </w:p>
        </w:tc>
        <w:tc>
          <w:tcPr>
            <w:tcW w:w="1000" w:type="dxa"/>
            <w:vAlign w:val="bottom"/>
            <w:tcBorders>
              <w:bottom w:val="single" w:sz="8" w:color="auto"/>
            </w:tcBorders>
            <w:shd w:val="clear" w:color="auto" w:fill="EAEAEC"/>
          </w:tcPr>
          <w:p>
            <w:pPr>
              <w:jc w:val="right"/>
              <w:ind w:right="176"/>
              <w:spacing w:after="0" w:line="129" w:lineRule="exact"/>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shd w:val="clear" w:color="auto" w:fill="EAEAEC"/>
          </w:tcPr>
          <w:p>
            <w:pPr>
              <w:jc w:val="right"/>
              <w:ind w:right="117"/>
              <w:spacing w:after="0" w:line="129"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117"/>
              <w:spacing w:after="0" w:line="129"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shd w:val="clear" w:color="auto" w:fill="EAEAEC"/>
          </w:tcPr>
          <w:p>
            <w:pPr>
              <w:jc w:val="right"/>
              <w:ind w:right="100"/>
              <w:spacing w:after="0" w:line="129" w:lineRule="exact"/>
              <w:rPr>
                <w:sz w:val="20"/>
                <w:szCs w:val="20"/>
                <w:color w:val="auto"/>
              </w:rPr>
            </w:pPr>
            <w:r>
              <w:rPr>
                <w:rFonts w:ascii="Arial" w:cs="Arial" w:eastAsia="Arial" w:hAnsi="Arial"/>
                <w:sz w:val="13"/>
                <w:szCs w:val="13"/>
                <w:color w:val="231F20"/>
              </w:rPr>
              <w: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40" w:type="dxa"/>
            <w:vAlign w:val="bottom"/>
            <w:tcBorders>
              <w:bottom w:val="single" w:sz="8" w:color="EAEAEC"/>
            </w:tcBorders>
            <w:shd w:val="clear" w:color="auto" w:fill="EAEAEC"/>
          </w:tcPr>
          <w:p>
            <w:pPr>
              <w:ind w:left="60"/>
              <w:spacing w:after="0" w:line="129" w:lineRule="exact"/>
              <w:rPr>
                <w:sz w:val="20"/>
                <w:szCs w:val="20"/>
                <w:color w:val="auto"/>
              </w:rPr>
            </w:pPr>
            <w:r>
              <w:rPr>
                <w:rFonts w:ascii="Arial" w:cs="Arial" w:eastAsia="Arial" w:hAnsi="Arial"/>
                <w:sz w:val="13"/>
                <w:szCs w:val="13"/>
                <w:b w:val="1"/>
                <w:bCs w:val="1"/>
                <w:color w:val="C04C57"/>
              </w:rPr>
              <w:t>Yancopoulos,</w:t>
            </w:r>
          </w:p>
        </w:tc>
        <w:tc>
          <w:tcPr>
            <w:tcW w:w="140" w:type="dxa"/>
            <w:vAlign w:val="bottom"/>
            <w:tcBorders>
              <w:bottom w:val="single" w:sz="8" w:color="EAEAEC"/>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217"/>
              <w:spacing w:after="0" w:line="129" w:lineRule="exact"/>
              <w:rPr>
                <w:sz w:val="20"/>
                <w:szCs w:val="20"/>
                <w:color w:val="auto"/>
              </w:rPr>
            </w:pPr>
            <w:r>
              <w:rPr>
                <w:rFonts w:ascii="Arial" w:cs="Arial" w:eastAsia="Arial" w:hAnsi="Arial"/>
                <w:sz w:val="13"/>
                <w:szCs w:val="13"/>
                <w:color w:val="231F20"/>
              </w:rPr>
              <w:t>239,063</w:t>
            </w:r>
          </w:p>
        </w:tc>
        <w:tc>
          <w:tcPr>
            <w:tcW w:w="740" w:type="dxa"/>
            <w:vAlign w:val="bottom"/>
            <w:tcBorders>
              <w:bottom w:val="single" w:sz="8" w:color="auto"/>
            </w:tcBorders>
            <w:shd w:val="clear" w:color="auto" w:fill="EAEAEC"/>
          </w:tcPr>
          <w:p>
            <w:pPr>
              <w:ind w:left="620"/>
              <w:spacing w:after="0" w:line="129" w:lineRule="exact"/>
              <w:rPr>
                <w:sz w:val="20"/>
                <w:szCs w:val="20"/>
                <w:color w:val="auto"/>
              </w:rPr>
            </w:pPr>
            <w:r>
              <w:rPr>
                <w:rFonts w:ascii="Arial" w:cs="Arial" w:eastAsia="Arial" w:hAnsi="Arial"/>
                <w:sz w:val="13"/>
                <w:szCs w:val="13"/>
                <w:color w:val="231F20"/>
                <w:w w:val="76"/>
              </w:rPr>
              <w:t>—</w:t>
            </w:r>
          </w:p>
        </w:tc>
        <w:tc>
          <w:tcPr>
            <w:tcW w:w="320" w:type="dxa"/>
            <w:vAlign w:val="bottom"/>
            <w:tcBorders>
              <w:bottom w:val="single" w:sz="8" w:color="auto"/>
            </w:tcBorders>
            <w:shd w:val="clear" w:color="auto" w:fill="EAEAEC"/>
          </w:tcPr>
          <w:p>
            <w:pPr>
              <w:spacing w:after="0"/>
              <w:rPr>
                <w:sz w:val="12"/>
                <w:szCs w:val="12"/>
                <w:color w:val="auto"/>
              </w:rPr>
            </w:pPr>
          </w:p>
        </w:tc>
        <w:tc>
          <w:tcPr>
            <w:tcW w:w="980" w:type="dxa"/>
            <w:vAlign w:val="bottom"/>
            <w:tcBorders>
              <w:bottom w:val="single" w:sz="8" w:color="auto"/>
            </w:tcBorders>
            <w:shd w:val="clear" w:color="auto" w:fill="EAEAEC"/>
          </w:tcPr>
          <w:p>
            <w:pPr>
              <w:jc w:val="right"/>
              <w:ind w:right="97"/>
              <w:spacing w:after="0" w:line="129"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shd w:val="clear" w:color="auto" w:fill="EAEAEC"/>
          </w:tcPr>
          <w:p>
            <w:pPr>
              <w:jc w:val="right"/>
              <w:ind w:right="316"/>
              <w:spacing w:after="0" w:line="129" w:lineRule="exact"/>
              <w:rPr>
                <w:sz w:val="20"/>
                <w:szCs w:val="20"/>
                <w:color w:val="auto"/>
              </w:rPr>
            </w:pPr>
            <w:r>
              <w:rPr>
                <w:rFonts w:ascii="Arial" w:cs="Arial" w:eastAsia="Arial" w:hAnsi="Arial"/>
                <w:sz w:val="13"/>
                <w:szCs w:val="13"/>
                <w:color w:val="231F20"/>
              </w:rPr>
              <w:t>179.13</w:t>
            </w:r>
          </w:p>
        </w:tc>
        <w:tc>
          <w:tcPr>
            <w:tcW w:w="860" w:type="dxa"/>
            <w:vAlign w:val="bottom"/>
            <w:tcBorders>
              <w:bottom w:val="single" w:sz="8" w:color="auto"/>
            </w:tcBorders>
            <w:shd w:val="clear" w:color="auto" w:fill="EAEAEC"/>
          </w:tcPr>
          <w:p>
            <w:pPr>
              <w:jc w:val="right"/>
              <w:ind w:right="16"/>
              <w:spacing w:after="0" w:line="129" w:lineRule="exact"/>
              <w:rPr>
                <w:sz w:val="20"/>
                <w:szCs w:val="20"/>
                <w:color w:val="auto"/>
              </w:rPr>
            </w:pPr>
            <w:r>
              <w:rPr>
                <w:rFonts w:ascii="Arial" w:cs="Arial" w:eastAsia="Arial" w:hAnsi="Arial"/>
                <w:sz w:val="13"/>
                <w:szCs w:val="13"/>
                <w:color w:val="231F20"/>
              </w:rPr>
              <w:t>12/14/2022</w:t>
            </w:r>
          </w:p>
        </w:tc>
        <w:tc>
          <w:tcPr>
            <w:tcW w:w="140" w:type="dxa"/>
            <w:vAlign w:val="bottom"/>
            <w:tcBorders>
              <w:bottom w:val="single" w:sz="8" w:color="auto"/>
            </w:tcBorders>
            <w:shd w:val="clear" w:color="auto" w:fill="EAEAEC"/>
          </w:tcPr>
          <w:p>
            <w:pPr>
              <w:spacing w:after="0"/>
              <w:rPr>
                <w:sz w:val="12"/>
                <w:szCs w:val="12"/>
                <w:color w:val="auto"/>
              </w:rPr>
            </w:pPr>
          </w:p>
        </w:tc>
        <w:tc>
          <w:tcPr>
            <w:tcW w:w="1000" w:type="dxa"/>
            <w:vAlign w:val="bottom"/>
            <w:tcBorders>
              <w:bottom w:val="single" w:sz="8" w:color="auto"/>
            </w:tcBorders>
            <w:shd w:val="clear" w:color="auto" w:fill="EAEAEC"/>
          </w:tcPr>
          <w:p>
            <w:pPr>
              <w:jc w:val="right"/>
              <w:ind w:right="176"/>
              <w:spacing w:after="0" w:line="129" w:lineRule="exact"/>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shd w:val="clear" w:color="auto" w:fill="EAEAEC"/>
          </w:tcPr>
          <w:p>
            <w:pPr>
              <w:jc w:val="right"/>
              <w:ind w:right="117"/>
              <w:spacing w:after="0" w:line="129"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117"/>
              <w:spacing w:after="0" w:line="129"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shd w:val="clear" w:color="auto" w:fill="EAEAEC"/>
          </w:tcPr>
          <w:p>
            <w:pPr>
              <w:jc w:val="right"/>
              <w:ind w:right="100"/>
              <w:spacing w:after="0" w:line="129" w:lineRule="exact"/>
              <w:rPr>
                <w:sz w:val="20"/>
                <w:szCs w:val="20"/>
                <w:color w:val="auto"/>
              </w:rPr>
            </w:pPr>
            <w:r>
              <w:rPr>
                <w:rFonts w:ascii="Arial" w:cs="Arial" w:eastAsia="Arial" w:hAnsi="Arial"/>
                <w:sz w:val="13"/>
                <w:szCs w:val="13"/>
                <w:color w:val="231F20"/>
              </w:rPr>
              <w: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940" w:type="dxa"/>
            <w:vAlign w:val="bottom"/>
            <w:tcBorders>
              <w:bottom w:val="single" w:sz="8" w:color="EAEAEC"/>
            </w:tcBorders>
            <w:shd w:val="clear" w:color="auto" w:fill="EAEAEC"/>
          </w:tcPr>
          <w:p>
            <w:pPr>
              <w:ind w:left="60"/>
              <w:spacing w:after="0"/>
              <w:rPr>
                <w:sz w:val="20"/>
                <w:szCs w:val="20"/>
                <w:color w:val="auto"/>
              </w:rPr>
            </w:pPr>
            <w:r>
              <w:rPr>
                <w:rFonts w:ascii="Arial" w:cs="Arial" w:eastAsia="Arial" w:hAnsi="Arial"/>
                <w:sz w:val="13"/>
                <w:szCs w:val="13"/>
                <w:b w:val="1"/>
                <w:bCs w:val="1"/>
                <w:color w:val="C04C57"/>
              </w:rPr>
              <w:t>M.D., Ph.D.</w:t>
            </w:r>
          </w:p>
        </w:tc>
        <w:tc>
          <w:tcPr>
            <w:tcW w:w="140" w:type="dxa"/>
            <w:vAlign w:val="bottom"/>
            <w:tcBorders>
              <w:bottom w:val="single" w:sz="8" w:color="EAEAEC"/>
            </w:tcBorders>
            <w:shd w:val="clear" w:color="auto" w:fill="EAEAEC"/>
          </w:tcPr>
          <w:p>
            <w:pPr>
              <w:spacing w:after="0"/>
              <w:rPr>
                <w:sz w:val="14"/>
                <w:szCs w:val="14"/>
                <w:color w:val="auto"/>
              </w:rPr>
            </w:pPr>
          </w:p>
        </w:tc>
        <w:tc>
          <w:tcPr>
            <w:tcW w:w="140" w:type="dxa"/>
            <w:vAlign w:val="bottom"/>
            <w:tcBorders>
              <w:bottom w:val="single" w:sz="8" w:color="auto"/>
            </w:tcBorders>
            <w:shd w:val="clear" w:color="auto" w:fill="EAEAEC"/>
          </w:tcPr>
          <w:p>
            <w:pPr>
              <w:spacing w:after="0"/>
              <w:rPr>
                <w:sz w:val="14"/>
                <w:szCs w:val="14"/>
                <w:color w:val="auto"/>
              </w:rPr>
            </w:pPr>
          </w:p>
        </w:tc>
        <w:tc>
          <w:tcPr>
            <w:tcW w:w="860" w:type="dxa"/>
            <w:vAlign w:val="bottom"/>
            <w:tcBorders>
              <w:bottom w:val="single" w:sz="8" w:color="auto"/>
            </w:tcBorders>
            <w:shd w:val="clear" w:color="auto" w:fill="EAEAEC"/>
          </w:tcPr>
          <w:p>
            <w:pPr>
              <w:jc w:val="right"/>
              <w:ind w:right="21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uto"/>
            </w:tcBorders>
            <w:shd w:val="clear" w:color="auto" w:fill="EAEAEC"/>
          </w:tcPr>
          <w:p>
            <w:pPr>
              <w:ind w:left="620"/>
              <w:spacing w:after="0"/>
              <w:rPr>
                <w:sz w:val="20"/>
                <w:szCs w:val="20"/>
                <w:color w:val="auto"/>
              </w:rPr>
            </w:pPr>
            <w:r>
              <w:rPr>
                <w:rFonts w:ascii="Arial" w:cs="Arial" w:eastAsia="Arial" w:hAnsi="Arial"/>
                <w:sz w:val="13"/>
                <w:szCs w:val="13"/>
                <w:color w:val="231F20"/>
                <w:w w:val="76"/>
              </w:rPr>
              <w:t>—</w:t>
            </w:r>
          </w:p>
        </w:tc>
        <w:tc>
          <w:tcPr>
            <w:tcW w:w="320" w:type="dxa"/>
            <w:vAlign w:val="bottom"/>
            <w:tcBorders>
              <w:bottom w:val="single" w:sz="8" w:color="auto"/>
            </w:tcBorders>
            <w:shd w:val="clear" w:color="auto" w:fill="EAEAEC"/>
          </w:tcPr>
          <w:p>
            <w:pPr>
              <w:spacing w:after="0"/>
              <w:rPr>
                <w:sz w:val="14"/>
                <w:szCs w:val="14"/>
                <w:color w:val="auto"/>
              </w:rPr>
            </w:pPr>
          </w:p>
        </w:tc>
        <w:tc>
          <w:tcPr>
            <w:tcW w:w="980" w:type="dxa"/>
            <w:vAlign w:val="bottom"/>
            <w:tcBorders>
              <w:bottom w:val="single" w:sz="8" w:color="auto"/>
            </w:tcBorders>
            <w:shd w:val="clear" w:color="auto" w:fill="EAEAEC"/>
          </w:tcPr>
          <w:p>
            <w:pPr>
              <w:jc w:val="right"/>
              <w:ind w:right="9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shd w:val="clear" w:color="auto" w:fill="EAEAEC"/>
          </w:tcPr>
          <w:p>
            <w:pPr>
              <w:jc w:val="right"/>
              <w:ind w:right="316"/>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jc w:val="right"/>
              <w:ind w:right="16"/>
              <w:spacing w:after="0"/>
              <w:rPr>
                <w:sz w:val="20"/>
                <w:szCs w:val="20"/>
                <w:color w:val="auto"/>
              </w:rPr>
            </w:pPr>
            <w:r>
              <w:rPr>
                <w:rFonts w:ascii="Arial" w:cs="Arial" w:eastAsia="Arial" w:hAnsi="Arial"/>
                <w:sz w:val="13"/>
                <w:szCs w:val="13"/>
                <w:color w:val="231F20"/>
              </w:rPr>
              <w:t>—</w:t>
            </w:r>
          </w:p>
        </w:tc>
        <w:tc>
          <w:tcPr>
            <w:tcW w:w="140" w:type="dxa"/>
            <w:vAlign w:val="bottom"/>
            <w:tcBorders>
              <w:bottom w:val="single" w:sz="8" w:color="auto"/>
            </w:tcBorders>
            <w:shd w:val="clear" w:color="auto" w:fill="EAEAEC"/>
          </w:tcPr>
          <w:p>
            <w:pPr>
              <w:spacing w:after="0"/>
              <w:rPr>
                <w:sz w:val="14"/>
                <w:szCs w:val="14"/>
                <w:color w:val="auto"/>
              </w:rPr>
            </w:pPr>
          </w:p>
        </w:tc>
        <w:tc>
          <w:tcPr>
            <w:tcW w:w="1000" w:type="dxa"/>
            <w:vAlign w:val="bottom"/>
            <w:tcBorders>
              <w:bottom w:val="single" w:sz="8" w:color="auto"/>
            </w:tcBorders>
            <w:shd w:val="clear" w:color="auto" w:fill="EAEAEC"/>
          </w:tcPr>
          <w:p>
            <w:pPr>
              <w:jc w:val="right"/>
              <w:ind w:right="176"/>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shd w:val="clear" w:color="auto" w:fill="EAEAEC"/>
          </w:tcPr>
          <w:p>
            <w:pPr>
              <w:jc w:val="right"/>
              <w:ind w:right="11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57"/>
              <w:spacing w:after="0" w:line="169" w:lineRule="exact"/>
              <w:rPr>
                <w:sz w:val="20"/>
                <w:szCs w:val="20"/>
                <w:color w:val="auto"/>
              </w:rPr>
            </w:pPr>
            <w:r>
              <w:rPr>
                <w:rFonts w:ascii="Arial" w:cs="Arial" w:eastAsia="Arial" w:hAnsi="Arial"/>
                <w:sz w:val="12"/>
                <w:szCs w:val="12"/>
                <w:color w:val="231F20"/>
              </w:rPr>
              <w:t>124,054</w:t>
            </w:r>
            <w:r>
              <w:rPr>
                <w:rFonts w:ascii="Arial" w:cs="Arial" w:eastAsia="Arial" w:hAnsi="Arial"/>
                <w:sz w:val="19"/>
                <w:szCs w:val="19"/>
                <w:color w:val="231F20"/>
                <w:vertAlign w:val="superscript"/>
              </w:rPr>
              <w:t>5</w:t>
            </w:r>
          </w:p>
        </w:tc>
        <w:tc>
          <w:tcPr>
            <w:tcW w:w="960" w:type="dxa"/>
            <w:vAlign w:val="bottom"/>
            <w:tcBorders>
              <w:bottom w:val="single" w:sz="8" w:color="auto"/>
            </w:tcBorders>
            <w:gridSpan w:val="2"/>
            <w:shd w:val="clear" w:color="auto" w:fill="EAEAEC"/>
          </w:tcPr>
          <w:p>
            <w:pPr>
              <w:jc w:val="right"/>
              <w:ind w:right="40"/>
              <w:spacing w:after="0" w:line="169" w:lineRule="exact"/>
              <w:rPr>
                <w:sz w:val="20"/>
                <w:szCs w:val="20"/>
                <w:color w:val="auto"/>
              </w:rPr>
            </w:pPr>
            <w:r>
              <w:rPr>
                <w:rFonts w:ascii="Arial" w:cs="Arial" w:eastAsia="Arial" w:hAnsi="Arial"/>
                <w:sz w:val="12"/>
                <w:szCs w:val="12"/>
                <w:color w:val="231F20"/>
              </w:rPr>
              <w:t>59,931,728</w:t>
            </w:r>
            <w:r>
              <w:rPr>
                <w:rFonts w:ascii="Arial" w:cs="Arial" w:eastAsia="Arial" w:hAnsi="Arial"/>
                <w:sz w:val="19"/>
                <w:szCs w:val="19"/>
                <w:color w:val="231F20"/>
                <w:vertAlign w:val="superscript"/>
              </w:rPr>
              <w:t>7</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940" w:type="dxa"/>
            <w:vAlign w:val="bottom"/>
            <w:tcBorders>
              <w:bottom w:val="single" w:sz="8" w:color="EAEAEC"/>
            </w:tcBorders>
            <w:vMerge w:val="restart"/>
            <w:shd w:val="clear" w:color="auto" w:fill="EAEAEC"/>
          </w:tcPr>
          <w:p>
            <w:pPr>
              <w:ind w:left="520"/>
              <w:spacing w:after="0"/>
              <w:rPr>
                <w:sz w:val="20"/>
                <w:szCs w:val="20"/>
                <w:color w:val="auto"/>
              </w:rPr>
            </w:pPr>
            <w:r>
              <w:rPr>
                <w:rFonts w:ascii="Arial" w:cs="Arial" w:eastAsia="Arial" w:hAnsi="Arial"/>
                <w:sz w:val="13"/>
                <w:szCs w:val="13"/>
                <w:b w:val="1"/>
                <w:bCs w:val="1"/>
                <w:color w:val="231F20"/>
                <w:w w:val="92"/>
              </w:rPr>
              <w:t>TOTAL</w:t>
            </w:r>
          </w:p>
        </w:tc>
        <w:tc>
          <w:tcPr>
            <w:tcW w:w="140" w:type="dxa"/>
            <w:vAlign w:val="bottom"/>
            <w:tcBorders>
              <w:bottom w:val="single" w:sz="8" w:color="EAEAEC"/>
            </w:tcBorders>
            <w:shd w:val="clear" w:color="auto" w:fill="EAEAEC"/>
          </w:tcPr>
          <w:p>
            <w:pPr>
              <w:spacing w:after="0"/>
              <w:rPr>
                <w:sz w:val="14"/>
                <w:szCs w:val="14"/>
                <w:color w:val="auto"/>
              </w:rPr>
            </w:pPr>
          </w:p>
        </w:tc>
        <w:tc>
          <w:tcPr>
            <w:tcW w:w="140" w:type="dxa"/>
            <w:vAlign w:val="bottom"/>
            <w:tcBorders>
              <w:bottom w:val="single" w:sz="8" w:color="auto"/>
            </w:tcBorders>
            <w:shd w:val="clear" w:color="auto" w:fill="EAEAEC"/>
          </w:tcPr>
          <w:p>
            <w:pPr>
              <w:spacing w:after="0"/>
              <w:rPr>
                <w:sz w:val="14"/>
                <w:szCs w:val="14"/>
                <w:color w:val="auto"/>
              </w:rPr>
            </w:pPr>
          </w:p>
        </w:tc>
        <w:tc>
          <w:tcPr>
            <w:tcW w:w="860" w:type="dxa"/>
            <w:vAlign w:val="bottom"/>
            <w:tcBorders>
              <w:bottom w:val="single" w:sz="8" w:color="auto"/>
            </w:tcBorders>
            <w:shd w:val="clear" w:color="auto" w:fill="EAEAEC"/>
          </w:tcPr>
          <w:p>
            <w:pPr>
              <w:jc w:val="right"/>
              <w:ind w:right="21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auto"/>
            </w:tcBorders>
            <w:shd w:val="clear" w:color="auto" w:fill="EAEAEC"/>
          </w:tcPr>
          <w:p>
            <w:pPr>
              <w:ind w:left="620"/>
              <w:spacing w:after="0"/>
              <w:rPr>
                <w:sz w:val="20"/>
                <w:szCs w:val="20"/>
                <w:color w:val="auto"/>
              </w:rPr>
            </w:pPr>
            <w:r>
              <w:rPr>
                <w:rFonts w:ascii="Arial" w:cs="Arial" w:eastAsia="Arial" w:hAnsi="Arial"/>
                <w:sz w:val="13"/>
                <w:szCs w:val="13"/>
                <w:color w:val="231F20"/>
                <w:w w:val="76"/>
              </w:rPr>
              <w:t>—</w:t>
            </w:r>
          </w:p>
        </w:tc>
        <w:tc>
          <w:tcPr>
            <w:tcW w:w="320" w:type="dxa"/>
            <w:vAlign w:val="bottom"/>
            <w:tcBorders>
              <w:bottom w:val="single" w:sz="8" w:color="auto"/>
            </w:tcBorders>
            <w:shd w:val="clear" w:color="auto" w:fill="EAEAEC"/>
          </w:tcPr>
          <w:p>
            <w:pPr>
              <w:spacing w:after="0"/>
              <w:rPr>
                <w:sz w:val="14"/>
                <w:szCs w:val="14"/>
                <w:color w:val="auto"/>
              </w:rPr>
            </w:pPr>
          </w:p>
        </w:tc>
        <w:tc>
          <w:tcPr>
            <w:tcW w:w="980" w:type="dxa"/>
            <w:vAlign w:val="bottom"/>
            <w:tcBorders>
              <w:bottom w:val="single" w:sz="8" w:color="auto"/>
            </w:tcBorders>
            <w:shd w:val="clear" w:color="auto" w:fill="EAEAEC"/>
          </w:tcPr>
          <w:p>
            <w:pPr>
              <w:jc w:val="right"/>
              <w:ind w:right="9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shd w:val="clear" w:color="auto" w:fill="EAEAEC"/>
          </w:tcPr>
          <w:p>
            <w:pPr>
              <w:jc w:val="right"/>
              <w:ind w:right="316"/>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shd w:val="clear" w:color="auto" w:fill="EAEAEC"/>
          </w:tcPr>
          <w:p>
            <w:pPr>
              <w:jc w:val="right"/>
              <w:ind w:right="16"/>
              <w:spacing w:after="0"/>
              <w:rPr>
                <w:sz w:val="20"/>
                <w:szCs w:val="20"/>
                <w:color w:val="auto"/>
              </w:rPr>
            </w:pPr>
            <w:r>
              <w:rPr>
                <w:rFonts w:ascii="Arial" w:cs="Arial" w:eastAsia="Arial" w:hAnsi="Arial"/>
                <w:sz w:val="13"/>
                <w:szCs w:val="13"/>
                <w:color w:val="231F20"/>
              </w:rPr>
              <w:t>—</w:t>
            </w:r>
          </w:p>
        </w:tc>
        <w:tc>
          <w:tcPr>
            <w:tcW w:w="140" w:type="dxa"/>
            <w:vAlign w:val="bottom"/>
            <w:tcBorders>
              <w:bottom w:val="single" w:sz="8" w:color="auto"/>
            </w:tcBorders>
            <w:shd w:val="clear" w:color="auto" w:fill="EAEAEC"/>
          </w:tcPr>
          <w:p>
            <w:pPr>
              <w:spacing w:after="0"/>
              <w:rPr>
                <w:sz w:val="14"/>
                <w:szCs w:val="14"/>
                <w:color w:val="auto"/>
              </w:rPr>
            </w:pPr>
          </w:p>
        </w:tc>
        <w:tc>
          <w:tcPr>
            <w:tcW w:w="1000" w:type="dxa"/>
            <w:vAlign w:val="bottom"/>
            <w:tcBorders>
              <w:bottom w:val="single" w:sz="8" w:color="auto"/>
            </w:tcBorders>
            <w:shd w:val="clear" w:color="auto" w:fill="EAEAEC"/>
          </w:tcPr>
          <w:p>
            <w:pPr>
              <w:jc w:val="right"/>
              <w:ind w:right="176"/>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shd w:val="clear" w:color="auto" w:fill="EAEAEC"/>
          </w:tcPr>
          <w:p>
            <w:pPr>
              <w:jc w:val="right"/>
              <w:ind w:right="11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57"/>
              <w:spacing w:after="0" w:line="169" w:lineRule="exact"/>
              <w:rPr>
                <w:sz w:val="20"/>
                <w:szCs w:val="20"/>
                <w:color w:val="auto"/>
              </w:rPr>
            </w:pPr>
            <w:r>
              <w:rPr>
                <w:rFonts w:ascii="Arial" w:cs="Arial" w:eastAsia="Arial" w:hAnsi="Arial"/>
                <w:sz w:val="12"/>
                <w:szCs w:val="12"/>
                <w:color w:val="231F20"/>
              </w:rPr>
              <w:t>25,155</w:t>
            </w:r>
            <w:r>
              <w:rPr>
                <w:rFonts w:ascii="Arial" w:cs="Arial" w:eastAsia="Arial" w:hAnsi="Arial"/>
                <w:sz w:val="19"/>
                <w:szCs w:val="19"/>
                <w:color w:val="231F20"/>
                <w:vertAlign w:val="superscript"/>
              </w:rPr>
              <w:t>6</w:t>
            </w:r>
          </w:p>
        </w:tc>
        <w:tc>
          <w:tcPr>
            <w:tcW w:w="960" w:type="dxa"/>
            <w:vAlign w:val="bottom"/>
            <w:tcBorders>
              <w:bottom w:val="single" w:sz="8" w:color="auto"/>
            </w:tcBorders>
            <w:gridSpan w:val="2"/>
            <w:shd w:val="clear" w:color="auto" w:fill="EAEAEC"/>
          </w:tcPr>
          <w:p>
            <w:pPr>
              <w:jc w:val="right"/>
              <w:ind w:right="40"/>
              <w:spacing w:after="0" w:line="169" w:lineRule="exact"/>
              <w:rPr>
                <w:sz w:val="20"/>
                <w:szCs w:val="20"/>
                <w:color w:val="auto"/>
              </w:rPr>
            </w:pPr>
            <w:r>
              <w:rPr>
                <w:rFonts w:ascii="Arial" w:cs="Arial" w:eastAsia="Arial" w:hAnsi="Arial"/>
                <w:sz w:val="12"/>
                <w:szCs w:val="12"/>
                <w:color w:val="231F20"/>
              </w:rPr>
              <w:t>12,152,632</w:t>
            </w:r>
            <w:r>
              <w:rPr>
                <w:rFonts w:ascii="Arial" w:cs="Arial" w:eastAsia="Arial" w:hAnsi="Arial"/>
                <w:sz w:val="19"/>
                <w:szCs w:val="19"/>
                <w:color w:val="231F20"/>
                <w:vertAlign w:val="superscript"/>
              </w:rPr>
              <w:t>7</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40" w:type="dxa"/>
            <w:vAlign w:val="bottom"/>
            <w:tcBorders>
              <w:bottom w:val="single" w:sz="8" w:color="auto"/>
            </w:tcBorders>
            <w:vMerge w:val="continue"/>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217"/>
              <w:spacing w:after="0" w:line="142" w:lineRule="exact"/>
              <w:rPr>
                <w:sz w:val="20"/>
                <w:szCs w:val="20"/>
                <w:color w:val="auto"/>
              </w:rPr>
            </w:pPr>
            <w:r>
              <w:rPr>
                <w:rFonts w:ascii="Arial" w:cs="Arial" w:eastAsia="Arial" w:hAnsi="Arial"/>
                <w:sz w:val="13"/>
                <w:szCs w:val="13"/>
                <w:b w:val="1"/>
                <w:bCs w:val="1"/>
                <w:color w:val="231F20"/>
                <w:w w:val="96"/>
              </w:rPr>
              <w:t>1,098,053</w:t>
            </w:r>
          </w:p>
        </w:tc>
        <w:tc>
          <w:tcPr>
            <w:tcW w:w="740" w:type="dxa"/>
            <w:vAlign w:val="bottom"/>
            <w:tcBorders>
              <w:bottom w:val="single" w:sz="8" w:color="auto"/>
            </w:tcBorders>
            <w:shd w:val="clear" w:color="auto" w:fill="EAEAEC"/>
          </w:tcPr>
          <w:p>
            <w:pPr>
              <w:ind w:left="280"/>
              <w:spacing w:after="0" w:line="142" w:lineRule="exact"/>
              <w:rPr>
                <w:sz w:val="20"/>
                <w:szCs w:val="20"/>
                <w:color w:val="auto"/>
              </w:rPr>
            </w:pPr>
            <w:r>
              <w:rPr>
                <w:rFonts w:ascii="Arial" w:cs="Arial" w:eastAsia="Arial" w:hAnsi="Arial"/>
                <w:sz w:val="13"/>
                <w:szCs w:val="13"/>
                <w:b w:val="1"/>
                <w:bCs w:val="1"/>
                <w:color w:val="231F20"/>
                <w:w w:val="93"/>
              </w:rPr>
              <w:t>160,332</w:t>
            </w:r>
          </w:p>
        </w:tc>
        <w:tc>
          <w:tcPr>
            <w:tcW w:w="320" w:type="dxa"/>
            <w:vAlign w:val="bottom"/>
            <w:tcBorders>
              <w:bottom w:val="single" w:sz="8" w:color="auto"/>
            </w:tcBorders>
            <w:shd w:val="clear" w:color="auto" w:fill="EAEAEC"/>
          </w:tcPr>
          <w:p>
            <w:pPr>
              <w:spacing w:after="0"/>
              <w:rPr>
                <w:sz w:val="12"/>
                <w:szCs w:val="12"/>
                <w:color w:val="auto"/>
              </w:rPr>
            </w:pPr>
          </w:p>
        </w:tc>
        <w:tc>
          <w:tcPr>
            <w:tcW w:w="980" w:type="dxa"/>
            <w:vAlign w:val="bottom"/>
            <w:tcBorders>
              <w:bottom w:val="single" w:sz="8" w:color="auto"/>
            </w:tcBorders>
            <w:shd w:val="clear" w:color="auto" w:fill="EAEAEC"/>
          </w:tcPr>
          <w:p>
            <w:pPr>
              <w:spacing w:after="0"/>
              <w:rPr>
                <w:sz w:val="12"/>
                <w:szCs w:val="12"/>
                <w:color w:val="auto"/>
              </w:rPr>
            </w:pPr>
          </w:p>
        </w:tc>
        <w:tc>
          <w:tcPr>
            <w:tcW w:w="1000" w:type="dxa"/>
            <w:vAlign w:val="bottom"/>
            <w:tcBorders>
              <w:bottom w:val="single" w:sz="8" w:color="auto"/>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spacing w:after="0"/>
              <w:rPr>
                <w:sz w:val="12"/>
                <w:szCs w:val="12"/>
                <w:color w:val="auto"/>
              </w:rPr>
            </w:pPr>
          </w:p>
        </w:tc>
        <w:tc>
          <w:tcPr>
            <w:tcW w:w="140" w:type="dxa"/>
            <w:vAlign w:val="bottom"/>
            <w:tcBorders>
              <w:bottom w:val="single" w:sz="8" w:color="auto"/>
            </w:tcBorders>
            <w:shd w:val="clear" w:color="auto" w:fill="EAEAEC"/>
          </w:tcPr>
          <w:p>
            <w:pPr>
              <w:spacing w:after="0"/>
              <w:rPr>
                <w:sz w:val="12"/>
                <w:szCs w:val="12"/>
                <w:color w:val="auto"/>
              </w:rPr>
            </w:pPr>
          </w:p>
        </w:tc>
        <w:tc>
          <w:tcPr>
            <w:tcW w:w="1000" w:type="dxa"/>
            <w:vAlign w:val="bottom"/>
            <w:tcBorders>
              <w:bottom w:val="single" w:sz="8" w:color="auto"/>
            </w:tcBorders>
            <w:shd w:val="clear" w:color="auto" w:fill="EAEAEC"/>
          </w:tcPr>
          <w:p>
            <w:pPr>
              <w:spacing w:after="0"/>
              <w:rPr>
                <w:sz w:val="12"/>
                <w:szCs w:val="12"/>
                <w:color w:val="auto"/>
              </w:rPr>
            </w:pPr>
          </w:p>
        </w:tc>
        <w:tc>
          <w:tcPr>
            <w:tcW w:w="1020" w:type="dxa"/>
            <w:vAlign w:val="bottom"/>
            <w:tcBorders>
              <w:bottom w:val="single" w:sz="8" w:color="auto"/>
            </w:tcBorders>
            <w:shd w:val="clear" w:color="auto" w:fill="EAEAEC"/>
          </w:tcPr>
          <w:p>
            <w:pPr>
              <w:spacing w:after="0"/>
              <w:rPr>
                <w:sz w:val="12"/>
                <w:szCs w:val="12"/>
                <w:color w:val="auto"/>
              </w:rPr>
            </w:pPr>
          </w:p>
        </w:tc>
        <w:tc>
          <w:tcPr>
            <w:tcW w:w="106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b w:val="1"/>
                <w:bCs w:val="1"/>
                <w:color w:val="231F20"/>
              </w:rPr>
              <w:t>149,209</w:t>
            </w:r>
          </w:p>
        </w:tc>
        <w:tc>
          <w:tcPr>
            <w:tcW w:w="960" w:type="dxa"/>
            <w:vAlign w:val="bottom"/>
            <w:tcBorders>
              <w:bottom w:val="single" w:sz="8" w:color="auto"/>
            </w:tcBorders>
            <w:gridSpan w:val="2"/>
            <w:shd w:val="clear" w:color="auto" w:fill="EAEAEC"/>
          </w:tcPr>
          <w:p>
            <w:pPr>
              <w:jc w:val="right"/>
              <w:ind w:right="100"/>
              <w:spacing w:after="0" w:line="142" w:lineRule="exact"/>
              <w:rPr>
                <w:sz w:val="20"/>
                <w:szCs w:val="20"/>
                <w:color w:val="auto"/>
              </w:rPr>
            </w:pPr>
            <w:r>
              <w:rPr>
                <w:rFonts w:ascii="Arial" w:cs="Arial" w:eastAsia="Arial" w:hAnsi="Arial"/>
                <w:sz w:val="13"/>
                <w:szCs w:val="13"/>
                <w:b w:val="1"/>
                <w:bCs w:val="1"/>
                <w:color w:val="auto"/>
              </w:rPr>
              <w:t>72,084,360</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gridSpan w:val="2"/>
          </w:tcPr>
          <w:p>
            <w:pPr>
              <w:ind w:left="360"/>
              <w:spacing w:after="0" w:line="169" w:lineRule="exact"/>
              <w:rPr>
                <w:sz w:val="20"/>
                <w:szCs w:val="20"/>
                <w:color w:val="auto"/>
              </w:rPr>
            </w:pPr>
            <w:r>
              <w:rPr>
                <w:rFonts w:ascii="Arial" w:cs="Arial" w:eastAsia="Arial" w:hAnsi="Arial"/>
                <w:sz w:val="12"/>
                <w:szCs w:val="12"/>
                <w:color w:val="231F20"/>
              </w:rPr>
              <w:t>19,950</w:t>
            </w:r>
            <w:r>
              <w:rPr>
                <w:rFonts w:ascii="Arial" w:cs="Arial" w:eastAsia="Arial" w:hAnsi="Arial"/>
                <w:sz w:val="19"/>
                <w:szCs w:val="19"/>
                <w:color w:val="231F20"/>
                <w:vertAlign w:val="superscript"/>
              </w:rPr>
              <w:t>1</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231F20"/>
              </w:rPr>
              <w:t>492.00</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231F20"/>
              </w:rPr>
              <w:t>12/09/2030</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231F20"/>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217"/>
              <w:spacing w:after="0"/>
              <w:rPr>
                <w:sz w:val="20"/>
                <w:szCs w:val="20"/>
                <w:color w:val="auto"/>
              </w:rPr>
            </w:pPr>
            <w:r>
              <w:rPr>
                <w:rFonts w:ascii="Arial" w:cs="Arial" w:eastAsia="Arial" w:hAnsi="Arial"/>
                <w:sz w:val="13"/>
                <w:szCs w:val="13"/>
                <w:color w:val="231F20"/>
              </w:rPr>
              <w:t>6,125</w:t>
            </w:r>
          </w:p>
        </w:tc>
        <w:tc>
          <w:tcPr>
            <w:tcW w:w="1060" w:type="dxa"/>
            <w:vAlign w:val="bottom"/>
            <w:tcBorders>
              <w:bottom w:val="single" w:sz="8" w:color="auto"/>
            </w:tcBorders>
            <w:gridSpan w:val="2"/>
          </w:tcPr>
          <w:p>
            <w:pPr>
              <w:ind w:left="360"/>
              <w:spacing w:after="0" w:line="169" w:lineRule="exact"/>
              <w:rPr>
                <w:sz w:val="20"/>
                <w:szCs w:val="20"/>
                <w:color w:val="auto"/>
              </w:rPr>
            </w:pPr>
            <w:r>
              <w:rPr>
                <w:rFonts w:ascii="Arial" w:cs="Arial" w:eastAsia="Arial" w:hAnsi="Arial"/>
                <w:sz w:val="12"/>
                <w:szCs w:val="12"/>
                <w:color w:val="231F20"/>
              </w:rPr>
              <w:t>18,375</w:t>
            </w:r>
            <w:r>
              <w:rPr>
                <w:rFonts w:ascii="Arial" w:cs="Arial" w:eastAsia="Arial" w:hAnsi="Arial"/>
                <w:sz w:val="19"/>
                <w:szCs w:val="19"/>
                <w:color w:val="231F20"/>
                <w:vertAlign w:val="superscript"/>
              </w:rPr>
              <w:t>2</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231F20"/>
              </w:rPr>
              <w:t>372.46</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231F20"/>
              </w:rPr>
              <w:t>12/11/2029</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231F20"/>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217"/>
              <w:spacing w:after="0"/>
              <w:rPr>
                <w:sz w:val="20"/>
                <w:szCs w:val="20"/>
                <w:color w:val="auto"/>
              </w:rPr>
            </w:pPr>
            <w:r>
              <w:rPr>
                <w:rFonts w:ascii="Arial" w:cs="Arial" w:eastAsia="Arial" w:hAnsi="Arial"/>
                <w:sz w:val="13"/>
                <w:szCs w:val="13"/>
                <w:color w:val="231F20"/>
              </w:rPr>
              <w:t>10,000</w:t>
            </w:r>
          </w:p>
        </w:tc>
        <w:tc>
          <w:tcPr>
            <w:tcW w:w="1060" w:type="dxa"/>
            <w:vAlign w:val="bottom"/>
            <w:tcBorders>
              <w:bottom w:val="single" w:sz="8" w:color="auto"/>
            </w:tcBorders>
            <w:gridSpan w:val="2"/>
          </w:tcPr>
          <w:p>
            <w:pPr>
              <w:ind w:left="360"/>
              <w:spacing w:after="0" w:line="169" w:lineRule="exact"/>
              <w:rPr>
                <w:sz w:val="20"/>
                <w:szCs w:val="20"/>
                <w:color w:val="auto"/>
              </w:rPr>
            </w:pPr>
            <w:r>
              <w:rPr>
                <w:rFonts w:ascii="Arial" w:cs="Arial" w:eastAsia="Arial" w:hAnsi="Arial"/>
                <w:sz w:val="12"/>
                <w:szCs w:val="12"/>
                <w:color w:val="231F20"/>
              </w:rPr>
              <w:t>10,000</w:t>
            </w:r>
            <w:r>
              <w:rPr>
                <w:rFonts w:ascii="Arial" w:cs="Arial" w:eastAsia="Arial" w:hAnsi="Arial"/>
                <w:sz w:val="19"/>
                <w:szCs w:val="19"/>
                <w:color w:val="231F20"/>
                <w:vertAlign w:val="superscript"/>
              </w:rPr>
              <w:t>3</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231F20"/>
              </w:rPr>
              <w:t>381.40</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231F20"/>
              </w:rPr>
              <w:t>12/12/2028</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231F20"/>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217"/>
              <w:spacing w:after="0"/>
              <w:rPr>
                <w:sz w:val="20"/>
                <w:szCs w:val="20"/>
                <w:color w:val="auto"/>
              </w:rPr>
            </w:pPr>
            <w:r>
              <w:rPr>
                <w:rFonts w:ascii="Arial" w:cs="Arial" w:eastAsia="Arial" w:hAnsi="Arial"/>
                <w:sz w:val="13"/>
                <w:szCs w:val="13"/>
                <w:color w:val="231F20"/>
              </w:rPr>
              <w:t>17,503</w:t>
            </w:r>
          </w:p>
        </w:tc>
        <w:tc>
          <w:tcPr>
            <w:tcW w:w="1060" w:type="dxa"/>
            <w:vAlign w:val="bottom"/>
            <w:tcBorders>
              <w:bottom w:val="single" w:sz="8" w:color="auto"/>
            </w:tcBorders>
            <w:gridSpan w:val="2"/>
          </w:tcPr>
          <w:p>
            <w:pPr>
              <w:jc w:val="center"/>
              <w:ind w:left="117"/>
              <w:spacing w:after="0" w:line="169" w:lineRule="exact"/>
              <w:rPr>
                <w:sz w:val="20"/>
                <w:szCs w:val="20"/>
                <w:color w:val="auto"/>
              </w:rPr>
            </w:pPr>
            <w:r>
              <w:rPr>
                <w:rFonts w:ascii="Arial" w:cs="Arial" w:eastAsia="Arial" w:hAnsi="Arial"/>
                <w:sz w:val="12"/>
                <w:szCs w:val="12"/>
                <w:color w:val="231F20"/>
              </w:rPr>
              <w:t>5,834</w:t>
            </w:r>
            <w:r>
              <w:rPr>
                <w:rFonts w:ascii="Arial" w:cs="Arial" w:eastAsia="Arial" w:hAnsi="Arial"/>
                <w:sz w:val="19"/>
                <w:szCs w:val="19"/>
                <w:color w:val="231F20"/>
                <w:vertAlign w:val="superscript"/>
              </w:rPr>
              <w:t>4</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231F20"/>
              </w:rPr>
              <w:t>378.98</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231F20"/>
              </w:rPr>
              <w:t>12/12/2027</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231F20"/>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217"/>
              <w:spacing w:after="0" w:line="142" w:lineRule="exact"/>
              <w:rPr>
                <w:sz w:val="20"/>
                <w:szCs w:val="20"/>
                <w:color w:val="auto"/>
              </w:rPr>
            </w:pPr>
            <w:r>
              <w:rPr>
                <w:rFonts w:ascii="Arial" w:cs="Arial" w:eastAsia="Arial" w:hAnsi="Arial"/>
                <w:sz w:val="13"/>
                <w:szCs w:val="13"/>
                <w:color w:val="231F20"/>
              </w:rPr>
              <w:t>24,565</w:t>
            </w:r>
          </w:p>
        </w:tc>
        <w:tc>
          <w:tcPr>
            <w:tcW w:w="1060" w:type="dxa"/>
            <w:vAlign w:val="bottom"/>
            <w:tcBorders>
              <w:bottom w:val="single" w:sz="8" w:color="auto"/>
            </w:tcBorders>
            <w:gridSpan w:val="2"/>
          </w:tcPr>
          <w:p>
            <w:pPr>
              <w:ind w:left="620"/>
              <w:spacing w:after="0" w:line="142" w:lineRule="exact"/>
              <w:rPr>
                <w:sz w:val="20"/>
                <w:szCs w:val="20"/>
                <w:color w:val="auto"/>
              </w:rPr>
            </w:pPr>
            <w:r>
              <w:rPr>
                <w:rFonts w:ascii="Arial" w:cs="Arial" w:eastAsia="Arial" w:hAnsi="Arial"/>
                <w:sz w:val="13"/>
                <w:szCs w:val="13"/>
                <w:color w:val="231F20"/>
              </w:rPr>
              <w:t>—</w:t>
            </w:r>
          </w:p>
        </w:tc>
        <w:tc>
          <w:tcPr>
            <w:tcW w:w="9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3"/>
                <w:szCs w:val="13"/>
                <w:color w:val="231F20"/>
              </w:rPr>
              <w:t>381.92</w:t>
            </w:r>
          </w:p>
        </w:tc>
        <w:tc>
          <w:tcPr>
            <w:tcW w:w="8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3"/>
                <w:szCs w:val="13"/>
                <w:color w:val="231F20"/>
              </w:rPr>
              <w:t>12/16/2026</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08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C04C57"/>
              </w:rPr>
              <w:t>Robert E.</w:t>
            </w:r>
          </w:p>
        </w:tc>
        <w:tc>
          <w:tcPr>
            <w:tcW w:w="140" w:type="dxa"/>
            <w:vAlign w:val="bottom"/>
          </w:tcPr>
          <w:p>
            <w:pPr>
              <w:spacing w:after="0"/>
              <w:rPr>
                <w:sz w:val="12"/>
                <w:szCs w:val="12"/>
                <w:color w:val="auto"/>
              </w:rPr>
            </w:pPr>
          </w:p>
        </w:tc>
        <w:tc>
          <w:tcPr>
            <w:tcW w:w="86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3"/>
                <w:szCs w:val="13"/>
                <w:color w:val="231F20"/>
              </w:rPr>
              <w:t>5,000</w:t>
            </w:r>
          </w:p>
        </w:tc>
        <w:tc>
          <w:tcPr>
            <w:tcW w:w="1060" w:type="dxa"/>
            <w:vAlign w:val="bottom"/>
            <w:tcBorders>
              <w:bottom w:val="single" w:sz="8" w:color="auto"/>
            </w:tcBorders>
            <w:gridSpan w:val="2"/>
          </w:tcPr>
          <w:p>
            <w:pPr>
              <w:ind w:left="620"/>
              <w:spacing w:after="0" w:line="142" w:lineRule="exact"/>
              <w:rPr>
                <w:sz w:val="20"/>
                <w:szCs w:val="20"/>
                <w:color w:val="auto"/>
              </w:rPr>
            </w:pPr>
            <w:r>
              <w:rPr>
                <w:rFonts w:ascii="Arial" w:cs="Arial" w:eastAsia="Arial" w:hAnsi="Arial"/>
                <w:sz w:val="13"/>
                <w:szCs w:val="13"/>
                <w:color w:val="231F20"/>
              </w:rPr>
              <w:t>—</w:t>
            </w:r>
          </w:p>
        </w:tc>
        <w:tc>
          <w:tcPr>
            <w:tcW w:w="9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3"/>
                <w:szCs w:val="13"/>
                <w:color w:val="231F20"/>
              </w:rPr>
              <w:t>555.67</w:t>
            </w:r>
          </w:p>
        </w:tc>
        <w:tc>
          <w:tcPr>
            <w:tcW w:w="8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3"/>
                <w:szCs w:val="13"/>
                <w:color w:val="231F20"/>
              </w:rPr>
              <w:t>12/16/2025</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08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C04C57"/>
              </w:rPr>
              <w:t>Landry</w:t>
            </w:r>
          </w:p>
        </w:tc>
        <w:tc>
          <w:tcPr>
            <w:tcW w:w="1000" w:type="dxa"/>
            <w:vAlign w:val="bottom"/>
            <w:gridSpan w:val="2"/>
          </w:tcPr>
          <w:p>
            <w:pPr>
              <w:jc w:val="right"/>
              <w:ind w:right="217"/>
              <w:spacing w:after="0" w:line="142" w:lineRule="exact"/>
              <w:rPr>
                <w:sz w:val="20"/>
                <w:szCs w:val="20"/>
                <w:color w:val="auto"/>
              </w:rPr>
            </w:pPr>
            <w:r>
              <w:rPr>
                <w:rFonts w:ascii="Arial" w:cs="Arial" w:eastAsia="Arial" w:hAnsi="Arial"/>
                <w:sz w:val="13"/>
                <w:szCs w:val="13"/>
                <w:color w:val="231F20"/>
              </w:rPr>
              <w:t>25,000</w:t>
            </w:r>
          </w:p>
        </w:tc>
        <w:tc>
          <w:tcPr>
            <w:tcW w:w="1060" w:type="dxa"/>
            <w:vAlign w:val="bottom"/>
            <w:gridSpan w:val="2"/>
          </w:tcPr>
          <w:p>
            <w:pPr>
              <w:ind w:left="620"/>
              <w:spacing w:after="0" w:line="142" w:lineRule="exact"/>
              <w:rPr>
                <w:sz w:val="20"/>
                <w:szCs w:val="20"/>
                <w:color w:val="auto"/>
              </w:rPr>
            </w:pPr>
            <w:r>
              <w:rPr>
                <w:rFonts w:ascii="Arial" w:cs="Arial" w:eastAsia="Arial" w:hAnsi="Arial"/>
                <w:sz w:val="13"/>
                <w:szCs w:val="13"/>
                <w:color w:val="231F20"/>
              </w:rPr>
              <w:t>—</w:t>
            </w:r>
          </w:p>
        </w:tc>
        <w:tc>
          <w:tcPr>
            <w:tcW w:w="980" w:type="dxa"/>
            <w:vAlign w:val="bottom"/>
          </w:tcPr>
          <w:p>
            <w:pPr>
              <w:jc w:val="right"/>
              <w:ind w:right="97"/>
              <w:spacing w:after="0" w:line="142" w:lineRule="exact"/>
              <w:rPr>
                <w:sz w:val="20"/>
                <w:szCs w:val="20"/>
                <w:color w:val="auto"/>
              </w:rPr>
            </w:pPr>
            <w:r>
              <w:rPr>
                <w:rFonts w:ascii="Arial" w:cs="Arial" w:eastAsia="Arial" w:hAnsi="Arial"/>
                <w:sz w:val="13"/>
                <w:szCs w:val="13"/>
                <w:color w:val="231F20"/>
              </w:rPr>
              <w:t>—</w:t>
            </w:r>
          </w:p>
        </w:tc>
        <w:tc>
          <w:tcPr>
            <w:tcW w:w="1000" w:type="dxa"/>
            <w:vAlign w:val="bottom"/>
          </w:tcPr>
          <w:p>
            <w:pPr>
              <w:jc w:val="right"/>
              <w:ind w:right="316"/>
              <w:spacing w:after="0" w:line="142" w:lineRule="exact"/>
              <w:rPr>
                <w:sz w:val="20"/>
                <w:szCs w:val="20"/>
                <w:color w:val="auto"/>
              </w:rPr>
            </w:pPr>
            <w:r>
              <w:rPr>
                <w:rFonts w:ascii="Arial" w:cs="Arial" w:eastAsia="Arial" w:hAnsi="Arial"/>
                <w:sz w:val="13"/>
                <w:szCs w:val="13"/>
                <w:color w:val="231F20"/>
              </w:rPr>
              <w:t>399.66</w:t>
            </w:r>
          </w:p>
        </w:tc>
        <w:tc>
          <w:tcPr>
            <w:tcW w:w="860" w:type="dxa"/>
            <w:vAlign w:val="bottom"/>
          </w:tcPr>
          <w:p>
            <w:pPr>
              <w:jc w:val="right"/>
              <w:ind w:right="16"/>
              <w:spacing w:after="0" w:line="142" w:lineRule="exact"/>
              <w:rPr>
                <w:sz w:val="20"/>
                <w:szCs w:val="20"/>
                <w:color w:val="auto"/>
              </w:rPr>
            </w:pPr>
            <w:r>
              <w:rPr>
                <w:rFonts w:ascii="Arial" w:cs="Arial" w:eastAsia="Arial" w:hAnsi="Arial"/>
                <w:sz w:val="13"/>
                <w:szCs w:val="13"/>
                <w:color w:val="231F20"/>
              </w:rPr>
              <w:t>12/16/2024</w:t>
            </w:r>
          </w:p>
        </w:tc>
        <w:tc>
          <w:tcPr>
            <w:tcW w:w="140" w:type="dxa"/>
            <w:vAlign w:val="bottom"/>
          </w:tcPr>
          <w:p>
            <w:pPr>
              <w:spacing w:after="0"/>
              <w:rPr>
                <w:sz w:val="12"/>
                <w:szCs w:val="12"/>
                <w:color w:val="auto"/>
              </w:rPr>
            </w:pPr>
          </w:p>
        </w:tc>
        <w:tc>
          <w:tcPr>
            <w:tcW w:w="1000" w:type="dxa"/>
            <w:vAlign w:val="bottom"/>
          </w:tcPr>
          <w:p>
            <w:pPr>
              <w:jc w:val="right"/>
              <w:ind w:right="176"/>
              <w:spacing w:after="0" w:line="142" w:lineRule="exact"/>
              <w:rPr>
                <w:sz w:val="20"/>
                <w:szCs w:val="20"/>
                <w:color w:val="auto"/>
              </w:rPr>
            </w:pPr>
            <w:r>
              <w:rPr>
                <w:rFonts w:ascii="Arial" w:cs="Arial" w:eastAsia="Arial" w:hAnsi="Arial"/>
                <w:sz w:val="13"/>
                <w:szCs w:val="13"/>
                <w:color w:val="231F20"/>
              </w:rPr>
              <w:t>—</w:t>
            </w:r>
          </w:p>
        </w:tc>
        <w:tc>
          <w:tcPr>
            <w:tcW w:w="1020" w:type="dxa"/>
            <w:vAlign w:val="bottom"/>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60" w:type="dxa"/>
            <w:vAlign w:val="bottom"/>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500" w:type="dxa"/>
            <w:vAlign w:val="bottom"/>
            <w:gridSpan w:val="3"/>
          </w:tcPr>
          <w:p>
            <w:pPr>
              <w:jc w:val="right"/>
              <w:ind w:right="64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2"/>
          </w:tcPr>
          <w:p>
            <w:pPr>
              <w:jc w:val="right"/>
              <w:ind w:right="116"/>
              <w:spacing w:after="0" w:line="169" w:lineRule="exact"/>
              <w:rPr>
                <w:sz w:val="20"/>
                <w:szCs w:val="20"/>
                <w:color w:val="auto"/>
              </w:rPr>
            </w:pPr>
            <w:r>
              <w:rPr>
                <w:rFonts w:ascii="Arial" w:cs="Arial" w:eastAsia="Arial" w:hAnsi="Arial"/>
                <w:sz w:val="12"/>
                <w:szCs w:val="12"/>
                <w:color w:val="231F20"/>
              </w:rPr>
              <w:t>1,930</w:t>
            </w:r>
            <w:r>
              <w:rPr>
                <w:rFonts w:ascii="Arial" w:cs="Arial" w:eastAsia="Arial" w:hAnsi="Arial"/>
                <w:sz w:val="19"/>
                <w:szCs w:val="19"/>
                <w:color w:val="231F20"/>
                <w:vertAlign w:val="superscript"/>
              </w:rPr>
              <w:t>8</w:t>
            </w:r>
          </w:p>
        </w:tc>
        <w:tc>
          <w:tcPr>
            <w:tcW w:w="1020" w:type="dxa"/>
            <w:vAlign w:val="bottom"/>
            <w:tcBorders>
              <w:top w:val="single" w:sz="8" w:color="auto"/>
              <w:bottom w:val="single" w:sz="8" w:color="auto"/>
            </w:tcBorders>
          </w:tcPr>
          <w:p>
            <w:pPr>
              <w:jc w:val="right"/>
              <w:ind w:right="57"/>
              <w:spacing w:after="0" w:line="169" w:lineRule="exact"/>
              <w:rPr>
                <w:sz w:val="20"/>
                <w:szCs w:val="20"/>
                <w:color w:val="auto"/>
              </w:rPr>
            </w:pPr>
            <w:r>
              <w:rPr>
                <w:rFonts w:ascii="Arial" w:cs="Arial" w:eastAsia="Arial" w:hAnsi="Arial"/>
                <w:sz w:val="12"/>
                <w:szCs w:val="12"/>
                <w:color w:val="231F20"/>
              </w:rPr>
              <w:t>932,402</w:t>
            </w:r>
            <w:r>
              <w:rPr>
                <w:rFonts w:ascii="Arial" w:cs="Arial" w:eastAsia="Arial" w:hAnsi="Arial"/>
                <w:sz w:val="19"/>
                <w:szCs w:val="19"/>
                <w:color w:val="231F20"/>
                <w:vertAlign w:val="superscript"/>
              </w:rPr>
              <w:t>7</w:t>
            </w:r>
          </w:p>
        </w:tc>
        <w:tc>
          <w:tcPr>
            <w:tcW w:w="10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gridSpan w:val="2"/>
          </w:tcPr>
          <w:p>
            <w:pPr>
              <w:ind w:left="620"/>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231F20"/>
              </w:rPr>
              <w:t>—</w:t>
            </w:r>
          </w:p>
        </w:tc>
        <w:tc>
          <w:tcPr>
            <w:tcW w:w="1140" w:type="dxa"/>
            <w:vAlign w:val="bottom"/>
            <w:tcBorders>
              <w:bottom w:val="single" w:sz="8" w:color="auto"/>
            </w:tcBorders>
            <w:gridSpan w:val="2"/>
          </w:tcPr>
          <w:p>
            <w:pPr>
              <w:jc w:val="right"/>
              <w:ind w:right="56"/>
              <w:spacing w:after="0" w:line="169" w:lineRule="exact"/>
              <w:rPr>
                <w:sz w:val="20"/>
                <w:szCs w:val="20"/>
                <w:color w:val="auto"/>
              </w:rPr>
            </w:pPr>
            <w:r>
              <w:rPr>
                <w:rFonts w:ascii="Arial" w:cs="Arial" w:eastAsia="Arial" w:hAnsi="Arial"/>
                <w:sz w:val="12"/>
                <w:szCs w:val="12"/>
                <w:color w:val="231F20"/>
              </w:rPr>
              <w:t>2,625</w:t>
            </w:r>
            <w:r>
              <w:rPr>
                <w:rFonts w:ascii="Arial" w:cs="Arial" w:eastAsia="Arial" w:hAnsi="Arial"/>
                <w:sz w:val="19"/>
                <w:szCs w:val="19"/>
                <w:color w:val="231F20"/>
                <w:vertAlign w:val="superscript"/>
              </w:rPr>
              <w:t>10</w:t>
            </w:r>
          </w:p>
        </w:tc>
        <w:tc>
          <w:tcPr>
            <w:tcW w:w="1020" w:type="dxa"/>
            <w:vAlign w:val="bottom"/>
            <w:tcBorders>
              <w:bottom w:val="single" w:sz="8" w:color="auto"/>
            </w:tcBorders>
          </w:tcPr>
          <w:p>
            <w:pPr>
              <w:jc w:val="right"/>
              <w:ind w:right="57"/>
              <w:spacing w:after="0" w:line="169" w:lineRule="exact"/>
              <w:rPr>
                <w:sz w:val="20"/>
                <w:szCs w:val="20"/>
                <w:color w:val="auto"/>
              </w:rPr>
            </w:pPr>
            <w:r>
              <w:rPr>
                <w:rFonts w:ascii="Arial" w:cs="Arial" w:eastAsia="Arial" w:hAnsi="Arial"/>
                <w:sz w:val="12"/>
                <w:szCs w:val="12"/>
                <w:color w:val="231F20"/>
              </w:rPr>
              <w:t>1,268,164</w:t>
            </w:r>
            <w:r>
              <w:rPr>
                <w:rFonts w:ascii="Arial" w:cs="Arial" w:eastAsia="Arial" w:hAnsi="Arial"/>
                <w:sz w:val="19"/>
                <w:szCs w:val="19"/>
                <w:color w:val="231F20"/>
                <w:vertAlign w:val="superscript"/>
              </w:rPr>
              <w:t>7</w:t>
            </w: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231F20"/>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gridSpan w:val="2"/>
          </w:tcPr>
          <w:p>
            <w:pPr>
              <w:ind w:left="620"/>
              <w:spacing w:after="0" w:line="142" w:lineRule="exact"/>
              <w:rPr>
                <w:sz w:val="20"/>
                <w:szCs w:val="20"/>
                <w:color w:val="auto"/>
              </w:rPr>
            </w:pPr>
            <w:r>
              <w:rPr>
                <w:rFonts w:ascii="Arial" w:cs="Arial" w:eastAsia="Arial" w:hAnsi="Arial"/>
                <w:sz w:val="13"/>
                <w:szCs w:val="13"/>
                <w:color w:val="231F20"/>
              </w:rPr>
              <w:t>—</w:t>
            </w:r>
          </w:p>
        </w:tc>
        <w:tc>
          <w:tcPr>
            <w:tcW w:w="9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3"/>
                <w:szCs w:val="13"/>
                <w:color w:val="231F20"/>
              </w:rPr>
              <w:t>—</w:t>
            </w:r>
          </w:p>
        </w:tc>
        <w:tc>
          <w:tcPr>
            <w:tcW w:w="8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3"/>
                <w:szCs w:val="13"/>
                <w:color w:val="231F20"/>
              </w:rPr>
              <w:t>—</w:t>
            </w:r>
          </w:p>
        </w:tc>
        <w:tc>
          <w:tcPr>
            <w:tcW w:w="1140" w:type="dxa"/>
            <w:vAlign w:val="bottom"/>
            <w:tcBorders>
              <w:bottom w:val="single" w:sz="8" w:color="auto"/>
            </w:tcBorders>
            <w:gridSpan w:val="2"/>
          </w:tcPr>
          <w:p>
            <w:pPr>
              <w:jc w:val="right"/>
              <w:ind w:right="56"/>
              <w:spacing w:after="0" w:line="142" w:lineRule="exact"/>
              <w:rPr>
                <w:sz w:val="20"/>
                <w:szCs w:val="20"/>
                <w:color w:val="auto"/>
              </w:rPr>
            </w:pPr>
            <w:r>
              <w:rPr>
                <w:rFonts w:ascii="Arial" w:cs="Arial" w:eastAsia="Arial" w:hAnsi="Arial"/>
                <w:sz w:val="11"/>
                <w:szCs w:val="11"/>
                <w:color w:val="231F20"/>
              </w:rPr>
              <w:t>5,000</w:t>
            </w:r>
            <w:r>
              <w:rPr>
                <w:rFonts w:ascii="Arial" w:cs="Arial" w:eastAsia="Arial" w:hAnsi="Arial"/>
                <w:sz w:val="16"/>
                <w:szCs w:val="16"/>
                <w:color w:val="231F20"/>
                <w:vertAlign w:val="superscript"/>
              </w:rPr>
              <w:t>11</w:t>
            </w:r>
          </w:p>
        </w:tc>
        <w:tc>
          <w:tcPr>
            <w:tcW w:w="10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1"/>
                <w:szCs w:val="11"/>
                <w:color w:val="231F20"/>
              </w:rPr>
              <w:t>2,415,550</w:t>
            </w:r>
            <w:r>
              <w:rPr>
                <w:rFonts w:ascii="Arial" w:cs="Arial" w:eastAsia="Arial" w:hAnsi="Arial"/>
                <w:sz w:val="16"/>
                <w:szCs w:val="16"/>
                <w:color w:val="231F20"/>
                <w:vertAlign w:val="superscript"/>
              </w:rPr>
              <w:t>7</w:t>
            </w:r>
          </w:p>
        </w:tc>
        <w:tc>
          <w:tcPr>
            <w:tcW w:w="10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9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080" w:type="dxa"/>
            <w:vAlign w:val="bottom"/>
            <w:gridSpan w:val="2"/>
            <w:vMerge w:val="restart"/>
          </w:tcPr>
          <w:p>
            <w:pPr>
              <w:ind w:left="520"/>
              <w:spacing w:after="0"/>
              <w:rPr>
                <w:sz w:val="20"/>
                <w:szCs w:val="20"/>
                <w:color w:val="auto"/>
              </w:rPr>
            </w:pPr>
            <w:r>
              <w:rPr>
                <w:rFonts w:ascii="Arial" w:cs="Arial" w:eastAsia="Arial" w:hAnsi="Arial"/>
                <w:sz w:val="13"/>
                <w:szCs w:val="13"/>
                <w:b w:val="1"/>
                <w:bCs w:val="1"/>
                <w:color w:val="231F20"/>
              </w:rPr>
              <w:t>TOTAL</w:t>
            </w:r>
          </w:p>
        </w:tc>
        <w:tc>
          <w:tcPr>
            <w:tcW w:w="140" w:type="dxa"/>
            <w:vAlign w:val="bottom"/>
          </w:tcPr>
          <w:p>
            <w:pPr>
              <w:spacing w:after="0"/>
              <w:rPr>
                <w:sz w:val="14"/>
                <w:szCs w:val="14"/>
                <w:color w:val="auto"/>
              </w:rPr>
            </w:pPr>
          </w:p>
        </w:tc>
        <w:tc>
          <w:tcPr>
            <w:tcW w:w="860" w:type="dxa"/>
            <w:vAlign w:val="bottom"/>
          </w:tcPr>
          <w:p>
            <w:pPr>
              <w:jc w:val="right"/>
              <w:ind w:right="217"/>
              <w:spacing w:after="0"/>
              <w:rPr>
                <w:sz w:val="20"/>
                <w:szCs w:val="20"/>
                <w:color w:val="auto"/>
              </w:rPr>
            </w:pPr>
            <w:r>
              <w:rPr>
                <w:rFonts w:ascii="Arial" w:cs="Arial" w:eastAsia="Arial" w:hAnsi="Arial"/>
                <w:sz w:val="13"/>
                <w:szCs w:val="13"/>
                <w:color w:val="231F20"/>
              </w:rPr>
              <w:t>—</w:t>
            </w:r>
          </w:p>
        </w:tc>
        <w:tc>
          <w:tcPr>
            <w:tcW w:w="1060" w:type="dxa"/>
            <w:vAlign w:val="bottom"/>
            <w:gridSpan w:val="2"/>
          </w:tcPr>
          <w:p>
            <w:pPr>
              <w:ind w:left="620"/>
              <w:spacing w:after="0"/>
              <w:rPr>
                <w:sz w:val="20"/>
                <w:szCs w:val="20"/>
                <w:color w:val="auto"/>
              </w:rPr>
            </w:pPr>
            <w:r>
              <w:rPr>
                <w:rFonts w:ascii="Arial" w:cs="Arial" w:eastAsia="Arial" w:hAnsi="Arial"/>
                <w:sz w:val="13"/>
                <w:szCs w:val="13"/>
                <w:color w:val="231F20"/>
              </w:rPr>
              <w:t>—</w:t>
            </w:r>
          </w:p>
        </w:tc>
        <w:tc>
          <w:tcPr>
            <w:tcW w:w="980" w:type="dxa"/>
            <w:vAlign w:val="bottom"/>
          </w:tcPr>
          <w:p>
            <w:pPr>
              <w:jc w:val="right"/>
              <w:ind w:right="97"/>
              <w:spacing w:after="0"/>
              <w:rPr>
                <w:sz w:val="20"/>
                <w:szCs w:val="20"/>
                <w:color w:val="auto"/>
              </w:rPr>
            </w:pPr>
            <w:r>
              <w:rPr>
                <w:rFonts w:ascii="Arial" w:cs="Arial" w:eastAsia="Arial" w:hAnsi="Arial"/>
                <w:sz w:val="13"/>
                <w:szCs w:val="13"/>
                <w:color w:val="231F20"/>
              </w:rPr>
              <w:t>—</w:t>
            </w:r>
          </w:p>
        </w:tc>
        <w:tc>
          <w:tcPr>
            <w:tcW w:w="1000" w:type="dxa"/>
            <w:vAlign w:val="bottom"/>
          </w:tcPr>
          <w:p>
            <w:pPr>
              <w:jc w:val="right"/>
              <w:ind w:right="316"/>
              <w:spacing w:after="0"/>
              <w:rPr>
                <w:sz w:val="20"/>
                <w:szCs w:val="20"/>
                <w:color w:val="auto"/>
              </w:rPr>
            </w:pPr>
            <w:r>
              <w:rPr>
                <w:rFonts w:ascii="Arial" w:cs="Arial" w:eastAsia="Arial" w:hAnsi="Arial"/>
                <w:sz w:val="13"/>
                <w:szCs w:val="13"/>
                <w:color w:val="231F20"/>
              </w:rPr>
              <w:t>—</w:t>
            </w:r>
          </w:p>
        </w:tc>
        <w:tc>
          <w:tcPr>
            <w:tcW w:w="860" w:type="dxa"/>
            <w:vAlign w:val="bottom"/>
          </w:tcPr>
          <w:p>
            <w:pPr>
              <w:jc w:val="right"/>
              <w:ind w:right="16"/>
              <w:spacing w:after="0"/>
              <w:rPr>
                <w:sz w:val="20"/>
                <w:szCs w:val="20"/>
                <w:color w:val="auto"/>
              </w:rPr>
            </w:pPr>
            <w:r>
              <w:rPr>
                <w:rFonts w:ascii="Arial" w:cs="Arial" w:eastAsia="Arial" w:hAnsi="Arial"/>
                <w:sz w:val="13"/>
                <w:szCs w:val="13"/>
                <w:color w:val="231F20"/>
              </w:rPr>
              <w:t>—</w:t>
            </w:r>
          </w:p>
        </w:tc>
        <w:tc>
          <w:tcPr>
            <w:tcW w:w="1140" w:type="dxa"/>
            <w:vAlign w:val="bottom"/>
            <w:gridSpan w:val="2"/>
          </w:tcPr>
          <w:p>
            <w:pPr>
              <w:jc w:val="right"/>
              <w:ind w:right="56"/>
              <w:spacing w:after="0" w:line="169" w:lineRule="exact"/>
              <w:rPr>
                <w:sz w:val="20"/>
                <w:szCs w:val="20"/>
                <w:color w:val="auto"/>
              </w:rPr>
            </w:pPr>
            <w:r>
              <w:rPr>
                <w:rFonts w:ascii="Arial" w:cs="Arial" w:eastAsia="Arial" w:hAnsi="Arial"/>
                <w:sz w:val="12"/>
                <w:szCs w:val="12"/>
                <w:color w:val="231F20"/>
              </w:rPr>
              <w:t>12,500</w:t>
            </w:r>
            <w:r>
              <w:rPr>
                <w:rFonts w:ascii="Arial" w:cs="Arial" w:eastAsia="Arial" w:hAnsi="Arial"/>
                <w:sz w:val="19"/>
                <w:szCs w:val="19"/>
                <w:color w:val="231F20"/>
                <w:vertAlign w:val="superscript"/>
              </w:rPr>
              <w:t>11</w:t>
            </w:r>
          </w:p>
        </w:tc>
        <w:tc>
          <w:tcPr>
            <w:tcW w:w="1020" w:type="dxa"/>
            <w:vAlign w:val="bottom"/>
          </w:tcPr>
          <w:p>
            <w:pPr>
              <w:jc w:val="right"/>
              <w:ind w:right="57"/>
              <w:spacing w:after="0" w:line="169" w:lineRule="exact"/>
              <w:rPr>
                <w:sz w:val="20"/>
                <w:szCs w:val="20"/>
                <w:color w:val="auto"/>
              </w:rPr>
            </w:pPr>
            <w:r>
              <w:rPr>
                <w:rFonts w:ascii="Arial" w:cs="Arial" w:eastAsia="Arial" w:hAnsi="Arial"/>
                <w:sz w:val="12"/>
                <w:szCs w:val="12"/>
                <w:color w:val="231F20"/>
              </w:rPr>
              <w:t>6,038,875</w:t>
            </w:r>
            <w:r>
              <w:rPr>
                <w:rFonts w:ascii="Arial" w:cs="Arial" w:eastAsia="Arial" w:hAnsi="Arial"/>
                <w:sz w:val="19"/>
                <w:szCs w:val="19"/>
                <w:color w:val="231F20"/>
                <w:vertAlign w:val="superscript"/>
              </w:rPr>
              <w:t>7</w:t>
            </w:r>
          </w:p>
        </w:tc>
        <w:tc>
          <w:tcPr>
            <w:tcW w:w="1060" w:type="dxa"/>
            <w:vAlign w:val="bottom"/>
          </w:tcPr>
          <w:p>
            <w:pPr>
              <w:jc w:val="right"/>
              <w:ind w:right="117"/>
              <w:spacing w:after="0"/>
              <w:rPr>
                <w:sz w:val="20"/>
                <w:szCs w:val="20"/>
                <w:color w:val="auto"/>
              </w:rPr>
            </w:pPr>
            <w:r>
              <w:rPr>
                <w:rFonts w:ascii="Arial" w:cs="Arial" w:eastAsia="Arial" w:hAnsi="Arial"/>
                <w:sz w:val="13"/>
                <w:szCs w:val="13"/>
                <w:color w:val="231F20"/>
              </w:rPr>
              <w:t>—</w:t>
            </w:r>
          </w:p>
        </w:tc>
        <w:tc>
          <w:tcPr>
            <w:tcW w:w="1500" w:type="dxa"/>
            <w:vAlign w:val="bottom"/>
            <w:gridSpan w:val="3"/>
          </w:tcPr>
          <w:p>
            <w:pPr>
              <w:jc w:val="right"/>
              <w:ind w:right="6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080" w:type="dxa"/>
            <w:vAlign w:val="bottom"/>
            <w:tcBorders>
              <w:bottom w:val="single" w:sz="8" w:color="auto"/>
            </w:tcBorders>
            <w:gridSpan w:val="2"/>
            <w:vMerge w:val="continue"/>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217"/>
              <w:spacing w:after="0" w:line="142" w:lineRule="exact"/>
              <w:rPr>
                <w:sz w:val="20"/>
                <w:szCs w:val="20"/>
                <w:color w:val="auto"/>
              </w:rPr>
            </w:pPr>
            <w:r>
              <w:rPr>
                <w:rFonts w:ascii="Arial" w:cs="Arial" w:eastAsia="Arial" w:hAnsi="Arial"/>
                <w:sz w:val="13"/>
                <w:szCs w:val="13"/>
                <w:b w:val="1"/>
                <w:bCs w:val="1"/>
                <w:color w:val="231F20"/>
              </w:rPr>
              <w:t>88,193</w:t>
            </w:r>
          </w:p>
        </w:tc>
        <w:tc>
          <w:tcPr>
            <w:tcW w:w="1060" w:type="dxa"/>
            <w:vAlign w:val="bottom"/>
            <w:tcBorders>
              <w:top w:val="single" w:sz="8" w:color="auto"/>
              <w:bottom w:val="single" w:sz="8" w:color="auto"/>
            </w:tcBorders>
            <w:gridSpan w:val="2"/>
          </w:tcPr>
          <w:p>
            <w:pPr>
              <w:ind w:left="360"/>
              <w:spacing w:after="0" w:line="142" w:lineRule="exact"/>
              <w:rPr>
                <w:sz w:val="20"/>
                <w:szCs w:val="20"/>
                <w:color w:val="auto"/>
              </w:rPr>
            </w:pPr>
            <w:r>
              <w:rPr>
                <w:rFonts w:ascii="Arial" w:cs="Arial" w:eastAsia="Arial" w:hAnsi="Arial"/>
                <w:sz w:val="13"/>
                <w:szCs w:val="13"/>
                <w:b w:val="1"/>
                <w:bCs w:val="1"/>
                <w:color w:val="231F20"/>
              </w:rPr>
              <w:t>54,159</w:t>
            </w:r>
          </w:p>
        </w:tc>
        <w:tc>
          <w:tcPr>
            <w:tcW w:w="9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176"/>
              <w:spacing w:after="0" w:line="142" w:lineRule="exact"/>
              <w:rPr>
                <w:sz w:val="20"/>
                <w:szCs w:val="20"/>
                <w:color w:val="auto"/>
              </w:rPr>
            </w:pPr>
            <w:r>
              <w:rPr>
                <w:rFonts w:ascii="Arial" w:cs="Arial" w:eastAsia="Arial" w:hAnsi="Arial"/>
                <w:sz w:val="13"/>
                <w:szCs w:val="13"/>
                <w:b w:val="1"/>
                <w:bCs w:val="1"/>
                <w:color w:val="231F20"/>
              </w:rPr>
              <w:t>22,055</w:t>
            </w:r>
          </w:p>
        </w:tc>
        <w:tc>
          <w:tcPr>
            <w:tcW w:w="10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auto"/>
              </w:rPr>
              <w:t>10,654,991</w:t>
            </w:r>
          </w:p>
        </w:tc>
        <w:tc>
          <w:tcPr>
            <w:tcW w:w="10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5"/>
        </w:trPr>
        <w:tc>
          <w:tcPr>
            <w:tcW w:w="540" w:type="dxa"/>
            <w:vAlign w:val="bottom"/>
          </w:tcPr>
          <w:p>
            <w:pPr>
              <w:jc w:val="right"/>
              <w:ind w:right="108"/>
              <w:spacing w:after="0"/>
              <w:rPr>
                <w:sz w:val="20"/>
                <w:szCs w:val="20"/>
                <w:color w:val="auto"/>
              </w:rPr>
            </w:pPr>
            <w:r>
              <w:rPr>
                <w:rFonts w:ascii="Arial" w:cs="Arial" w:eastAsia="Arial" w:hAnsi="Arial"/>
                <w:sz w:val="14"/>
                <w:szCs w:val="14"/>
                <w:color w:val="00AEEF"/>
              </w:rPr>
              <w:t>86  /</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20" w:type="dxa"/>
            <w:vAlign w:val="bottom"/>
            <w:gridSpan w:val="7"/>
          </w:tcPr>
          <w:p>
            <w:pPr>
              <w:ind w:left="20"/>
              <w:spacing w:after="0"/>
              <w:rPr>
                <w:sz w:val="20"/>
                <w:szCs w:val="20"/>
                <w:color w:val="auto"/>
              </w:rPr>
            </w:pPr>
            <w:r>
              <w:rPr>
                <w:rFonts w:ascii="Arial" w:cs="Arial" w:eastAsia="Arial" w:hAnsi="Arial"/>
                <w:sz w:val="13"/>
                <w:szCs w:val="13"/>
                <w:color w:val="205BA8"/>
                <w:w w:val="95"/>
              </w:rPr>
              <w:t>2021 PROXY STATEMENT AND NOTICE OF ANNUAL SHAREHOLDER MEETING</w:t>
            </w:r>
          </w:p>
        </w:tc>
        <w:tc>
          <w:tcPr>
            <w:tcW w:w="0" w:type="dxa"/>
            <w:vAlign w:val="bottom"/>
          </w:tcPr>
          <w:p>
            <w:pPr>
              <w:spacing w:after="0"/>
              <w:rPr>
                <w:sz w:val="1"/>
                <w:szCs w:val="1"/>
                <w:color w:val="auto"/>
              </w:rPr>
            </w:pPr>
          </w:p>
        </w:tc>
      </w:tr>
      <w:tr>
        <w:trPr>
          <w:trHeight w:val="262"/>
        </w:trPr>
        <w:tc>
          <w:tcPr>
            <w:tcW w:w="540" w:type="dxa"/>
            <w:vAlign w:val="bottom"/>
            <w:tcBorders>
              <w:bottom w:val="single" w:sz="8" w:color="C0C0C0"/>
            </w:tcBorders>
          </w:tcPr>
          <w:p>
            <w:pPr>
              <w:spacing w:after="0"/>
              <w:rPr>
                <w:sz w:val="22"/>
                <w:szCs w:val="22"/>
                <w:color w:val="auto"/>
              </w:rPr>
            </w:pPr>
          </w:p>
        </w:tc>
        <w:tc>
          <w:tcPr>
            <w:tcW w:w="940" w:type="dxa"/>
            <w:vAlign w:val="bottom"/>
            <w:tcBorders>
              <w:bottom w:val="single" w:sz="8" w:color="C0C0C0"/>
            </w:tcBorders>
          </w:tcPr>
          <w:p>
            <w:pPr>
              <w:spacing w:after="0"/>
              <w:rPr>
                <w:sz w:val="22"/>
                <w:szCs w:val="22"/>
                <w:color w:val="auto"/>
              </w:rPr>
            </w:pPr>
          </w:p>
        </w:tc>
        <w:tc>
          <w:tcPr>
            <w:tcW w:w="140" w:type="dxa"/>
            <w:vAlign w:val="bottom"/>
            <w:tcBorders>
              <w:bottom w:val="single" w:sz="8" w:color="C0C0C0"/>
            </w:tcBorders>
          </w:tcPr>
          <w:p>
            <w:pPr>
              <w:spacing w:after="0"/>
              <w:rPr>
                <w:sz w:val="22"/>
                <w:szCs w:val="22"/>
                <w:color w:val="auto"/>
              </w:rPr>
            </w:pPr>
          </w:p>
        </w:tc>
        <w:tc>
          <w:tcPr>
            <w:tcW w:w="140" w:type="dxa"/>
            <w:vAlign w:val="bottom"/>
            <w:tcBorders>
              <w:bottom w:val="single" w:sz="8" w:color="C0C0C0"/>
            </w:tcBorders>
          </w:tcPr>
          <w:p>
            <w:pPr>
              <w:spacing w:after="0"/>
              <w:rPr>
                <w:sz w:val="22"/>
                <w:szCs w:val="22"/>
                <w:color w:val="auto"/>
              </w:rPr>
            </w:pPr>
          </w:p>
        </w:tc>
        <w:tc>
          <w:tcPr>
            <w:tcW w:w="860" w:type="dxa"/>
            <w:vAlign w:val="bottom"/>
            <w:tcBorders>
              <w:bottom w:val="single" w:sz="8" w:color="C0C0C0"/>
            </w:tcBorders>
          </w:tcPr>
          <w:p>
            <w:pPr>
              <w:spacing w:after="0"/>
              <w:rPr>
                <w:sz w:val="22"/>
                <w:szCs w:val="22"/>
                <w:color w:val="auto"/>
              </w:rPr>
            </w:pPr>
          </w:p>
        </w:tc>
        <w:tc>
          <w:tcPr>
            <w:tcW w:w="740" w:type="dxa"/>
            <w:vAlign w:val="bottom"/>
            <w:tcBorders>
              <w:bottom w:val="single" w:sz="8" w:color="C0C0C0"/>
            </w:tcBorders>
          </w:tcPr>
          <w:p>
            <w:pPr>
              <w:spacing w:after="0"/>
              <w:rPr>
                <w:sz w:val="22"/>
                <w:szCs w:val="22"/>
                <w:color w:val="auto"/>
              </w:rPr>
            </w:pPr>
          </w:p>
        </w:tc>
        <w:tc>
          <w:tcPr>
            <w:tcW w:w="320" w:type="dxa"/>
            <w:vAlign w:val="bottom"/>
            <w:tcBorders>
              <w:bottom w:val="single" w:sz="8" w:color="C0C0C0"/>
            </w:tcBorders>
          </w:tcPr>
          <w:p>
            <w:pPr>
              <w:spacing w:after="0"/>
              <w:rPr>
                <w:sz w:val="22"/>
                <w:szCs w:val="22"/>
                <w:color w:val="auto"/>
              </w:rPr>
            </w:pPr>
          </w:p>
        </w:tc>
        <w:tc>
          <w:tcPr>
            <w:tcW w:w="980" w:type="dxa"/>
            <w:vAlign w:val="bottom"/>
            <w:tcBorders>
              <w:bottom w:val="single" w:sz="8" w:color="C0C0C0"/>
            </w:tcBorders>
          </w:tcPr>
          <w:p>
            <w:pPr>
              <w:spacing w:after="0"/>
              <w:rPr>
                <w:sz w:val="22"/>
                <w:szCs w:val="22"/>
                <w:color w:val="auto"/>
              </w:rPr>
            </w:pPr>
          </w:p>
        </w:tc>
        <w:tc>
          <w:tcPr>
            <w:tcW w:w="1000" w:type="dxa"/>
            <w:vAlign w:val="bottom"/>
            <w:tcBorders>
              <w:bottom w:val="single" w:sz="8" w:color="C0C0C0"/>
            </w:tcBorders>
          </w:tcPr>
          <w:p>
            <w:pPr>
              <w:spacing w:after="0"/>
              <w:rPr>
                <w:sz w:val="22"/>
                <w:szCs w:val="22"/>
                <w:color w:val="auto"/>
              </w:rPr>
            </w:pPr>
          </w:p>
        </w:tc>
        <w:tc>
          <w:tcPr>
            <w:tcW w:w="860" w:type="dxa"/>
            <w:vAlign w:val="bottom"/>
            <w:tcBorders>
              <w:bottom w:val="single" w:sz="8" w:color="C0C0C0"/>
            </w:tcBorders>
          </w:tcPr>
          <w:p>
            <w:pPr>
              <w:spacing w:after="0"/>
              <w:rPr>
                <w:sz w:val="22"/>
                <w:szCs w:val="22"/>
                <w:color w:val="auto"/>
              </w:rPr>
            </w:pPr>
          </w:p>
        </w:tc>
        <w:tc>
          <w:tcPr>
            <w:tcW w:w="140" w:type="dxa"/>
            <w:vAlign w:val="bottom"/>
            <w:tcBorders>
              <w:bottom w:val="single" w:sz="8" w:color="C0C0C0"/>
            </w:tcBorders>
          </w:tcPr>
          <w:p>
            <w:pPr>
              <w:spacing w:after="0"/>
              <w:rPr>
                <w:sz w:val="22"/>
                <w:szCs w:val="22"/>
                <w:color w:val="auto"/>
              </w:rPr>
            </w:pPr>
          </w:p>
        </w:tc>
        <w:tc>
          <w:tcPr>
            <w:tcW w:w="1000" w:type="dxa"/>
            <w:vAlign w:val="bottom"/>
            <w:tcBorders>
              <w:bottom w:val="single" w:sz="8" w:color="C0C0C0"/>
            </w:tcBorders>
          </w:tcPr>
          <w:p>
            <w:pPr>
              <w:spacing w:after="0"/>
              <w:rPr>
                <w:sz w:val="22"/>
                <w:szCs w:val="22"/>
                <w:color w:val="auto"/>
              </w:rPr>
            </w:pPr>
          </w:p>
        </w:tc>
        <w:tc>
          <w:tcPr>
            <w:tcW w:w="1020" w:type="dxa"/>
            <w:vAlign w:val="bottom"/>
            <w:tcBorders>
              <w:bottom w:val="single" w:sz="8" w:color="C0C0C0"/>
            </w:tcBorders>
          </w:tcPr>
          <w:p>
            <w:pPr>
              <w:spacing w:after="0"/>
              <w:rPr>
                <w:sz w:val="22"/>
                <w:szCs w:val="22"/>
                <w:color w:val="auto"/>
              </w:rPr>
            </w:pPr>
          </w:p>
        </w:tc>
        <w:tc>
          <w:tcPr>
            <w:tcW w:w="1060" w:type="dxa"/>
            <w:vAlign w:val="bottom"/>
            <w:tcBorders>
              <w:bottom w:val="single" w:sz="8" w:color="C0C0C0"/>
            </w:tcBorders>
          </w:tcPr>
          <w:p>
            <w:pPr>
              <w:spacing w:after="0"/>
              <w:rPr>
                <w:sz w:val="22"/>
                <w:szCs w:val="22"/>
                <w:color w:val="auto"/>
              </w:rPr>
            </w:pPr>
          </w:p>
        </w:tc>
        <w:tc>
          <w:tcPr>
            <w:tcW w:w="860" w:type="dxa"/>
            <w:vAlign w:val="bottom"/>
            <w:tcBorders>
              <w:bottom w:val="single" w:sz="8" w:color="C0C0C0"/>
            </w:tcBorders>
          </w:tcPr>
          <w:p>
            <w:pPr>
              <w:spacing w:after="0"/>
              <w:rPr>
                <w:sz w:val="22"/>
                <w:szCs w:val="22"/>
                <w:color w:val="auto"/>
              </w:rPr>
            </w:pPr>
          </w:p>
        </w:tc>
        <w:tc>
          <w:tcPr>
            <w:tcW w:w="100" w:type="dxa"/>
            <w:vAlign w:val="bottom"/>
            <w:tcBorders>
              <w:bottom w:val="single" w:sz="8" w:color="C0C0C0"/>
            </w:tcBorders>
          </w:tcPr>
          <w:p>
            <w:pPr>
              <w:spacing w:after="0"/>
              <w:rPr>
                <w:sz w:val="22"/>
                <w:szCs w:val="22"/>
                <w:color w:val="auto"/>
              </w:rPr>
            </w:pPr>
          </w:p>
        </w:tc>
        <w:tc>
          <w:tcPr>
            <w:tcW w:w="54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tbl>
      <w:tblPr>
        <w:tblLayout w:type="fixed"/>
        <w:tblInd w:w="540" w:type="dxa"/>
        <w:tblCellMar>
          <w:top w:w="0" w:type="dxa"/>
          <w:left w:w="0" w:type="dxa"/>
          <w:bottom w:w="0" w:type="dxa"/>
          <w:right w:w="0" w:type="dxa"/>
        </w:tblCellMar>
      </w:tblPr>
      <w:tr>
        <w:trPr>
          <w:trHeight w:val="160"/>
        </w:trPr>
        <w:tc>
          <w:tcPr>
            <w:tcW w:w="960" w:type="dxa"/>
            <w:vAlign w:val="bottom"/>
            <w:tcBorders>
              <w:bottom w:val="single" w:sz="8" w:color="2952A4"/>
            </w:tcBorders>
            <w:gridSpan w:val="2"/>
          </w:tcPr>
          <w:p>
            <w:pPr>
              <w:ind w:left="60"/>
              <w:spacing w:after="0"/>
              <w:rPr>
                <w:sz w:val="20"/>
                <w:szCs w:val="20"/>
                <w:color w:val="auto"/>
              </w:rPr>
            </w:pPr>
            <w:r>
              <w:rPr>
                <w:rFonts w:ascii="Arial" w:cs="Arial" w:eastAsia="Arial" w:hAnsi="Arial"/>
                <w:sz w:val="12"/>
                <w:szCs w:val="12"/>
                <w:b w:val="1"/>
                <w:bCs w:val="1"/>
                <w:color w:val="2952A4"/>
              </w:rPr>
              <w:t>A</w:t>
            </w:r>
          </w:p>
        </w:tc>
        <w:tc>
          <w:tcPr>
            <w:tcW w:w="8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rPr>
              <w:t>B</w:t>
            </w:r>
          </w:p>
        </w:tc>
        <w:tc>
          <w:tcPr>
            <w:tcW w:w="1000" w:type="dxa"/>
            <w:vAlign w:val="bottom"/>
            <w:tcBorders>
              <w:bottom w:val="single" w:sz="8" w:color="2952A4"/>
            </w:tcBorders>
          </w:tcPr>
          <w:p>
            <w:pPr>
              <w:jc w:val="center"/>
              <w:ind w:left="98"/>
              <w:spacing w:after="0"/>
              <w:rPr>
                <w:sz w:val="20"/>
                <w:szCs w:val="20"/>
                <w:color w:val="auto"/>
              </w:rPr>
            </w:pPr>
            <w:r>
              <w:rPr>
                <w:rFonts w:ascii="Arial" w:cs="Arial" w:eastAsia="Arial" w:hAnsi="Arial"/>
                <w:sz w:val="12"/>
                <w:szCs w:val="12"/>
                <w:b w:val="1"/>
                <w:bCs w:val="1"/>
                <w:color w:val="2952A4"/>
                <w:w w:val="91"/>
              </w:rPr>
              <w:t>C</w:t>
            </w:r>
          </w:p>
        </w:tc>
        <w:tc>
          <w:tcPr>
            <w:tcW w:w="1040" w:type="dxa"/>
            <w:vAlign w:val="bottom"/>
            <w:tcBorders>
              <w:bottom w:val="single" w:sz="8" w:color="2952A4"/>
            </w:tcBorders>
          </w:tcPr>
          <w:p>
            <w:pPr>
              <w:jc w:val="center"/>
              <w:ind w:left="37"/>
              <w:spacing w:after="0"/>
              <w:rPr>
                <w:sz w:val="20"/>
                <w:szCs w:val="20"/>
                <w:color w:val="auto"/>
              </w:rPr>
            </w:pPr>
            <w:r>
              <w:rPr>
                <w:rFonts w:ascii="Arial" w:cs="Arial" w:eastAsia="Arial" w:hAnsi="Arial"/>
                <w:sz w:val="12"/>
                <w:szCs w:val="12"/>
                <w:b w:val="1"/>
                <w:bCs w:val="1"/>
                <w:color w:val="2952A4"/>
              </w:rPr>
              <w:t>D</w:t>
            </w:r>
          </w:p>
        </w:tc>
        <w:tc>
          <w:tcPr>
            <w:tcW w:w="10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9"/>
              </w:rPr>
              <w:t>E</w:t>
            </w:r>
          </w:p>
        </w:tc>
        <w:tc>
          <w:tcPr>
            <w:tcW w:w="1060" w:type="dxa"/>
            <w:vAlign w:val="bottom"/>
            <w:tcBorders>
              <w:bottom w:val="single" w:sz="8" w:color="2952A4"/>
            </w:tcBorders>
            <w:gridSpan w:val="2"/>
          </w:tcPr>
          <w:p>
            <w:pPr>
              <w:jc w:val="center"/>
              <w:ind w:right="100"/>
              <w:spacing w:after="0"/>
              <w:rPr>
                <w:sz w:val="20"/>
                <w:szCs w:val="20"/>
                <w:color w:val="auto"/>
              </w:rPr>
            </w:pPr>
            <w:r>
              <w:rPr>
                <w:rFonts w:ascii="Arial" w:cs="Arial" w:eastAsia="Arial" w:hAnsi="Arial"/>
                <w:sz w:val="12"/>
                <w:szCs w:val="12"/>
                <w:b w:val="1"/>
                <w:bCs w:val="1"/>
                <w:color w:val="2952A4"/>
              </w:rPr>
              <w:t>F</w:t>
            </w:r>
          </w:p>
        </w:tc>
        <w:tc>
          <w:tcPr>
            <w:tcW w:w="1040" w:type="dxa"/>
            <w:vAlign w:val="bottom"/>
            <w:tcBorders>
              <w:bottom w:val="single" w:sz="8" w:color="2952A4"/>
            </w:tcBorders>
          </w:tcPr>
          <w:p>
            <w:pPr>
              <w:jc w:val="center"/>
              <w:ind w:right="37"/>
              <w:spacing w:after="0"/>
              <w:rPr>
                <w:sz w:val="20"/>
                <w:szCs w:val="20"/>
                <w:color w:val="auto"/>
              </w:rPr>
            </w:pPr>
            <w:r>
              <w:rPr>
                <w:rFonts w:ascii="Arial" w:cs="Arial" w:eastAsia="Arial" w:hAnsi="Arial"/>
                <w:sz w:val="12"/>
                <w:szCs w:val="12"/>
                <w:b w:val="1"/>
                <w:bCs w:val="1"/>
                <w:color w:val="2952A4"/>
              </w:rPr>
              <w:t>G</w:t>
            </w:r>
          </w:p>
        </w:tc>
        <w:tc>
          <w:tcPr>
            <w:tcW w:w="10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1"/>
              </w:rPr>
              <w:t>H</w:t>
            </w:r>
          </w:p>
        </w:tc>
        <w:tc>
          <w:tcPr>
            <w:tcW w:w="108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rPr>
              <w:t>I</w:t>
            </w:r>
          </w:p>
        </w:tc>
        <w:tc>
          <w:tcPr>
            <w:tcW w:w="1000" w:type="dxa"/>
            <w:vAlign w:val="bottom"/>
            <w:tcBorders>
              <w:bottom w:val="single" w:sz="8" w:color="2952A4"/>
            </w:tcBorders>
            <w:gridSpan w:val="2"/>
          </w:tcPr>
          <w:p>
            <w:pPr>
              <w:jc w:val="center"/>
              <w:ind w:left="17"/>
              <w:spacing w:after="0"/>
              <w:rPr>
                <w:sz w:val="20"/>
                <w:szCs w:val="20"/>
                <w:color w:val="auto"/>
              </w:rPr>
            </w:pPr>
            <w:r>
              <w:rPr>
                <w:rFonts w:ascii="Arial" w:cs="Arial" w:eastAsia="Arial" w:hAnsi="Arial"/>
                <w:sz w:val="12"/>
                <w:szCs w:val="12"/>
                <w:b w:val="1"/>
                <w:bCs w:val="1"/>
                <w:color w:val="2952A4"/>
              </w:rPr>
              <w:t>J</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bottom w:val="single" w:sz="8" w:color="2952A4"/>
            </w:tcBorders>
          </w:tcPr>
          <w:p>
            <w:pPr>
              <w:spacing w:after="0"/>
              <w:rPr>
                <w:sz w:val="12"/>
                <w:szCs w:val="12"/>
                <w:color w:val="auto"/>
              </w:rPr>
            </w:pPr>
          </w:p>
        </w:tc>
        <w:tc>
          <w:tcPr>
            <w:tcW w:w="1000" w:type="dxa"/>
            <w:vAlign w:val="bottom"/>
            <w:tcBorders>
              <w:bottom w:val="single" w:sz="8" w:color="2952A4"/>
            </w:tcBorders>
          </w:tcPr>
          <w:p>
            <w:pPr>
              <w:spacing w:after="0"/>
              <w:rPr>
                <w:sz w:val="12"/>
                <w:szCs w:val="12"/>
                <w:color w:val="auto"/>
              </w:rPr>
            </w:pPr>
          </w:p>
        </w:tc>
        <w:tc>
          <w:tcPr>
            <w:tcW w:w="2100" w:type="dxa"/>
            <w:vAlign w:val="bottom"/>
            <w:tcBorders>
              <w:bottom w:val="single" w:sz="8" w:color="2952A4"/>
            </w:tcBorders>
            <w:gridSpan w:val="2"/>
          </w:tcPr>
          <w:p>
            <w:pPr>
              <w:ind w:left="580"/>
              <w:spacing w:after="0"/>
              <w:rPr>
                <w:sz w:val="20"/>
                <w:szCs w:val="20"/>
                <w:color w:val="auto"/>
              </w:rPr>
            </w:pPr>
            <w:r>
              <w:rPr>
                <w:rFonts w:ascii="Arial" w:cs="Arial" w:eastAsia="Arial" w:hAnsi="Arial"/>
                <w:sz w:val="12"/>
                <w:szCs w:val="12"/>
                <w:b w:val="1"/>
                <w:bCs w:val="1"/>
                <w:color w:val="2952A4"/>
              </w:rPr>
              <w:t>Option Awards</w:t>
            </w:r>
          </w:p>
        </w:tc>
        <w:tc>
          <w:tcPr>
            <w:tcW w:w="900" w:type="dxa"/>
            <w:vAlign w:val="bottom"/>
            <w:tcBorders>
              <w:bottom w:val="single" w:sz="8" w:color="2952A4"/>
            </w:tcBorders>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bottom w:val="single" w:sz="8" w:color="2952A4"/>
            </w:tcBorders>
          </w:tcPr>
          <w:p>
            <w:pPr>
              <w:spacing w:after="0"/>
              <w:rPr>
                <w:sz w:val="12"/>
                <w:szCs w:val="12"/>
                <w:color w:val="auto"/>
              </w:rPr>
            </w:pPr>
          </w:p>
        </w:tc>
        <w:tc>
          <w:tcPr>
            <w:tcW w:w="2140" w:type="dxa"/>
            <w:vAlign w:val="bottom"/>
            <w:tcBorders>
              <w:bottom w:val="single" w:sz="8" w:color="2952A4"/>
            </w:tcBorders>
            <w:gridSpan w:val="2"/>
          </w:tcPr>
          <w:p>
            <w:pPr>
              <w:jc w:val="right"/>
              <w:ind w:right="637"/>
              <w:spacing w:after="0"/>
              <w:rPr>
                <w:sz w:val="20"/>
                <w:szCs w:val="20"/>
                <w:color w:val="auto"/>
              </w:rPr>
            </w:pPr>
            <w:r>
              <w:rPr>
                <w:rFonts w:ascii="Arial" w:cs="Arial" w:eastAsia="Arial" w:hAnsi="Arial"/>
                <w:sz w:val="12"/>
                <w:szCs w:val="12"/>
                <w:b w:val="1"/>
                <w:bCs w:val="1"/>
                <w:color w:val="2952A4"/>
              </w:rPr>
              <w:t>Stock Awards</w:t>
            </w:r>
          </w:p>
        </w:tc>
        <w:tc>
          <w:tcPr>
            <w:tcW w:w="900" w:type="dxa"/>
            <w:vAlign w:val="bottom"/>
            <w:tcBorders>
              <w:bottom w:val="single" w:sz="8" w:color="2952A4"/>
            </w:tcBorders>
          </w:tcPr>
          <w:p>
            <w:pPr>
              <w:spacing w:after="0"/>
              <w:rPr>
                <w:sz w:val="12"/>
                <w:szCs w:val="12"/>
                <w:color w:val="auto"/>
              </w:rPr>
            </w:pPr>
          </w:p>
        </w:tc>
        <w:tc>
          <w:tcPr>
            <w:tcW w:w="100" w:type="dxa"/>
            <w:vAlign w:val="bottom"/>
            <w:tcBorders>
              <w:bottom w:val="single" w:sz="8" w:color="2952A4"/>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gridSpan w:val="2"/>
          </w:tcPr>
          <w:p>
            <w:pPr>
              <w:jc w:val="center"/>
              <w:ind w:left="17"/>
              <w:spacing w:after="0" w:line="117" w:lineRule="exact"/>
              <w:rPr>
                <w:sz w:val="20"/>
                <w:szCs w:val="20"/>
                <w:color w:val="auto"/>
              </w:rPr>
            </w:pPr>
            <w:r>
              <w:rPr>
                <w:rFonts w:ascii="Arial" w:cs="Arial" w:eastAsia="Arial" w:hAnsi="Arial"/>
                <w:sz w:val="12"/>
                <w:szCs w:val="12"/>
                <w:b w:val="1"/>
                <w:bCs w:val="1"/>
                <w:color w:val="2952A4"/>
                <w:w w:val="98"/>
              </w:rPr>
              <w:t>Equity</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jc w:val="center"/>
              <w:ind w:left="37"/>
              <w:spacing w:after="0" w:line="135" w:lineRule="exact"/>
              <w:rPr>
                <w:sz w:val="20"/>
                <w:szCs w:val="20"/>
                <w:color w:val="auto"/>
              </w:rPr>
            </w:pPr>
            <w:r>
              <w:rPr>
                <w:rFonts w:ascii="Arial" w:cs="Arial" w:eastAsia="Arial" w:hAnsi="Arial"/>
                <w:sz w:val="12"/>
                <w:szCs w:val="12"/>
                <w:b w:val="1"/>
                <w:bCs w:val="1"/>
                <w:color w:val="2952A4"/>
                <w:w w:val="92"/>
              </w:rPr>
              <w:t>Equity</w:t>
            </w: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Equity</w:t>
            </w:r>
          </w:p>
        </w:tc>
        <w:tc>
          <w:tcPr>
            <w:tcW w:w="1000" w:type="dxa"/>
            <w:vAlign w:val="bottom"/>
            <w:gridSpan w:val="2"/>
          </w:tcPr>
          <w:p>
            <w:pPr>
              <w:jc w:val="center"/>
              <w:ind w:left="17"/>
              <w:spacing w:after="0" w:line="135" w:lineRule="exact"/>
              <w:rPr>
                <w:sz w:val="20"/>
                <w:szCs w:val="20"/>
                <w:color w:val="auto"/>
              </w:rPr>
            </w:pPr>
            <w:r>
              <w:rPr>
                <w:rFonts w:ascii="Arial" w:cs="Arial" w:eastAsia="Arial" w:hAnsi="Arial"/>
                <w:sz w:val="12"/>
                <w:szCs w:val="12"/>
                <w:b w:val="1"/>
                <w:bCs w:val="1"/>
                <w:color w:val="2952A4"/>
                <w:w w:val="99"/>
              </w:rPr>
              <w:t>incentive</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jc w:val="center"/>
              <w:ind w:left="37"/>
              <w:spacing w:after="0" w:line="135" w:lineRule="exact"/>
              <w:rPr>
                <w:sz w:val="20"/>
                <w:szCs w:val="20"/>
                <w:color w:val="auto"/>
              </w:rPr>
            </w:pPr>
            <w:r>
              <w:rPr>
                <w:rFonts w:ascii="Arial" w:cs="Arial" w:eastAsia="Arial" w:hAnsi="Arial"/>
                <w:sz w:val="12"/>
                <w:szCs w:val="12"/>
                <w:b w:val="1"/>
                <w:bCs w:val="1"/>
                <w:color w:val="2952A4"/>
                <w:w w:val="96"/>
              </w:rPr>
              <w:t>incentive</w:t>
            </w: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9"/>
              </w:rPr>
              <w:t>incentive</w:t>
            </w:r>
          </w:p>
        </w:tc>
        <w:tc>
          <w:tcPr>
            <w:tcW w:w="1000" w:type="dxa"/>
            <w:vAlign w:val="bottom"/>
            <w:gridSpan w:val="2"/>
          </w:tcPr>
          <w:p>
            <w:pPr>
              <w:jc w:val="center"/>
              <w:ind w:left="17"/>
              <w:spacing w:after="0" w:line="135" w:lineRule="exact"/>
              <w:rPr>
                <w:sz w:val="20"/>
                <w:szCs w:val="20"/>
                <w:color w:val="auto"/>
              </w:rPr>
            </w:pPr>
            <w:r>
              <w:rPr>
                <w:rFonts w:ascii="Arial" w:cs="Arial" w:eastAsia="Arial" w:hAnsi="Arial"/>
                <w:sz w:val="12"/>
                <w:szCs w:val="12"/>
                <w:b w:val="1"/>
                <w:bCs w:val="1"/>
                <w:color w:val="2952A4"/>
                <w:w w:val="98"/>
              </w:rPr>
              <w:t>plan awards:</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jc w:val="center"/>
              <w:ind w:left="37"/>
              <w:spacing w:after="0" w:line="135" w:lineRule="exact"/>
              <w:rPr>
                <w:sz w:val="20"/>
                <w:szCs w:val="20"/>
                <w:color w:val="auto"/>
              </w:rPr>
            </w:pPr>
            <w:r>
              <w:rPr>
                <w:rFonts w:ascii="Arial" w:cs="Arial" w:eastAsia="Arial" w:hAnsi="Arial"/>
                <w:sz w:val="12"/>
                <w:szCs w:val="12"/>
                <w:b w:val="1"/>
                <w:bCs w:val="1"/>
                <w:color w:val="2952A4"/>
                <w:w w:val="95"/>
              </w:rPr>
              <w:t>plan awards:</w:t>
            </w: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plan awards:</w:t>
            </w:r>
          </w:p>
        </w:tc>
        <w:tc>
          <w:tcPr>
            <w:tcW w:w="1000" w:type="dxa"/>
            <w:vAlign w:val="bottom"/>
            <w:gridSpan w:val="2"/>
          </w:tcPr>
          <w:p>
            <w:pPr>
              <w:jc w:val="center"/>
              <w:ind w:left="17"/>
              <w:spacing w:after="0" w:line="135" w:lineRule="exact"/>
              <w:rPr>
                <w:sz w:val="20"/>
                <w:szCs w:val="20"/>
                <w:color w:val="auto"/>
              </w:rPr>
            </w:pPr>
            <w:r>
              <w:rPr>
                <w:rFonts w:ascii="Arial" w:cs="Arial" w:eastAsia="Arial" w:hAnsi="Arial"/>
                <w:sz w:val="12"/>
                <w:szCs w:val="12"/>
                <w:b w:val="1"/>
                <w:bCs w:val="1"/>
                <w:color w:val="2952A4"/>
                <w:w w:val="95"/>
              </w:rPr>
              <w:t>market or</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Number of</w:t>
            </w:r>
          </w:p>
        </w:tc>
        <w:tc>
          <w:tcPr>
            <w:tcW w:w="1000" w:type="dxa"/>
            <w:vAlign w:val="bottom"/>
          </w:tcPr>
          <w:p>
            <w:pPr>
              <w:ind w:left="280"/>
              <w:spacing w:after="0" w:line="135" w:lineRule="exact"/>
              <w:rPr>
                <w:sz w:val="20"/>
                <w:szCs w:val="20"/>
                <w:color w:val="auto"/>
              </w:rPr>
            </w:pPr>
            <w:r>
              <w:rPr>
                <w:rFonts w:ascii="Arial" w:cs="Arial" w:eastAsia="Arial" w:hAnsi="Arial"/>
                <w:sz w:val="12"/>
                <w:szCs w:val="12"/>
                <w:b w:val="1"/>
                <w:bCs w:val="1"/>
                <w:color w:val="2952A4"/>
              </w:rPr>
              <w:t>Number of</w:t>
            </w:r>
          </w:p>
        </w:tc>
        <w:tc>
          <w:tcPr>
            <w:tcW w:w="1040" w:type="dxa"/>
            <w:vAlign w:val="bottom"/>
          </w:tcPr>
          <w:p>
            <w:pPr>
              <w:jc w:val="center"/>
              <w:ind w:left="37"/>
              <w:spacing w:after="0" w:line="135" w:lineRule="exact"/>
              <w:rPr>
                <w:sz w:val="20"/>
                <w:szCs w:val="20"/>
                <w:color w:val="auto"/>
              </w:rPr>
            </w:pPr>
            <w:r>
              <w:rPr>
                <w:rFonts w:ascii="Arial" w:cs="Arial" w:eastAsia="Arial" w:hAnsi="Arial"/>
                <w:sz w:val="12"/>
                <w:szCs w:val="12"/>
                <w:b w:val="1"/>
                <w:bCs w:val="1"/>
                <w:color w:val="2952A4"/>
                <w:w w:val="98"/>
              </w:rPr>
              <w:t>number of</w:t>
            </w: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5"/>
              </w:rPr>
              <w:t>number of</w:t>
            </w:r>
          </w:p>
        </w:tc>
        <w:tc>
          <w:tcPr>
            <w:tcW w:w="1000" w:type="dxa"/>
            <w:vAlign w:val="bottom"/>
            <w:gridSpan w:val="2"/>
          </w:tcPr>
          <w:p>
            <w:pPr>
              <w:jc w:val="center"/>
              <w:ind w:left="17"/>
              <w:spacing w:after="0" w:line="135" w:lineRule="exact"/>
              <w:rPr>
                <w:sz w:val="20"/>
                <w:szCs w:val="20"/>
                <w:color w:val="auto"/>
              </w:rPr>
            </w:pPr>
            <w:r>
              <w:rPr>
                <w:rFonts w:ascii="Arial" w:cs="Arial" w:eastAsia="Arial" w:hAnsi="Arial"/>
                <w:sz w:val="12"/>
                <w:szCs w:val="12"/>
                <w:b w:val="1"/>
                <w:bCs w:val="1"/>
                <w:color w:val="2952A4"/>
                <w:w w:val="98"/>
              </w:rPr>
              <w:t>payout value</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securities</w:t>
            </w:r>
          </w:p>
        </w:tc>
        <w:tc>
          <w:tcPr>
            <w:tcW w:w="1000" w:type="dxa"/>
            <w:vAlign w:val="bottom"/>
          </w:tcPr>
          <w:p>
            <w:pPr>
              <w:ind w:left="300"/>
              <w:spacing w:after="0" w:line="135" w:lineRule="exact"/>
              <w:rPr>
                <w:sz w:val="20"/>
                <w:szCs w:val="20"/>
                <w:color w:val="auto"/>
              </w:rPr>
            </w:pPr>
            <w:r>
              <w:rPr>
                <w:rFonts w:ascii="Arial" w:cs="Arial" w:eastAsia="Arial" w:hAnsi="Arial"/>
                <w:sz w:val="12"/>
                <w:szCs w:val="12"/>
                <w:b w:val="1"/>
                <w:bCs w:val="1"/>
                <w:color w:val="2952A4"/>
              </w:rPr>
              <w:t>securities</w:t>
            </w:r>
          </w:p>
        </w:tc>
        <w:tc>
          <w:tcPr>
            <w:tcW w:w="1040" w:type="dxa"/>
            <w:vAlign w:val="bottom"/>
          </w:tcPr>
          <w:p>
            <w:pPr>
              <w:jc w:val="center"/>
              <w:ind w:left="37"/>
              <w:spacing w:after="0" w:line="135" w:lineRule="exact"/>
              <w:rPr>
                <w:sz w:val="20"/>
                <w:szCs w:val="20"/>
                <w:color w:val="auto"/>
              </w:rPr>
            </w:pPr>
            <w:r>
              <w:rPr>
                <w:rFonts w:ascii="Arial" w:cs="Arial" w:eastAsia="Arial" w:hAnsi="Arial"/>
                <w:sz w:val="12"/>
                <w:szCs w:val="12"/>
                <w:b w:val="1"/>
                <w:bCs w:val="1"/>
                <w:color w:val="2952A4"/>
                <w:w w:val="96"/>
              </w:rPr>
              <w:t>securities</w:t>
            </w: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2952A4"/>
                <w:w w:val="96"/>
              </w:rPr>
              <w:t>Number of</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Market value</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unearned</w:t>
            </w:r>
          </w:p>
        </w:tc>
        <w:tc>
          <w:tcPr>
            <w:tcW w:w="1000" w:type="dxa"/>
            <w:vAlign w:val="bottom"/>
            <w:gridSpan w:val="2"/>
          </w:tcPr>
          <w:p>
            <w:pPr>
              <w:jc w:val="center"/>
              <w:ind w:left="17"/>
              <w:spacing w:after="0" w:line="135" w:lineRule="exact"/>
              <w:rPr>
                <w:sz w:val="20"/>
                <w:szCs w:val="20"/>
                <w:color w:val="auto"/>
              </w:rPr>
            </w:pPr>
            <w:r>
              <w:rPr>
                <w:rFonts w:ascii="Arial" w:cs="Arial" w:eastAsia="Arial" w:hAnsi="Arial"/>
                <w:sz w:val="12"/>
                <w:szCs w:val="12"/>
                <w:b w:val="1"/>
                <w:bCs w:val="1"/>
                <w:color w:val="2952A4"/>
                <w:w w:val="98"/>
              </w:rPr>
              <w:t>of unearned</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underlying</w:t>
            </w:r>
          </w:p>
        </w:tc>
        <w:tc>
          <w:tcPr>
            <w:tcW w:w="1000" w:type="dxa"/>
            <w:vAlign w:val="bottom"/>
          </w:tcPr>
          <w:p>
            <w:pPr>
              <w:ind w:left="280"/>
              <w:spacing w:after="0" w:line="135" w:lineRule="exact"/>
              <w:rPr>
                <w:sz w:val="20"/>
                <w:szCs w:val="20"/>
                <w:color w:val="auto"/>
              </w:rPr>
            </w:pPr>
            <w:r>
              <w:rPr>
                <w:rFonts w:ascii="Arial" w:cs="Arial" w:eastAsia="Arial" w:hAnsi="Arial"/>
                <w:sz w:val="12"/>
                <w:szCs w:val="12"/>
                <w:b w:val="1"/>
                <w:bCs w:val="1"/>
                <w:color w:val="2952A4"/>
              </w:rPr>
              <w:t>underlying</w:t>
            </w:r>
          </w:p>
        </w:tc>
        <w:tc>
          <w:tcPr>
            <w:tcW w:w="1040" w:type="dxa"/>
            <w:vAlign w:val="bottom"/>
          </w:tcPr>
          <w:p>
            <w:pPr>
              <w:jc w:val="center"/>
              <w:ind w:left="37"/>
              <w:spacing w:after="0" w:line="135" w:lineRule="exact"/>
              <w:rPr>
                <w:sz w:val="20"/>
                <w:szCs w:val="20"/>
                <w:color w:val="auto"/>
              </w:rPr>
            </w:pPr>
            <w:r>
              <w:rPr>
                <w:rFonts w:ascii="Arial" w:cs="Arial" w:eastAsia="Arial" w:hAnsi="Arial"/>
                <w:sz w:val="12"/>
                <w:szCs w:val="12"/>
                <w:b w:val="1"/>
                <w:bCs w:val="1"/>
                <w:color w:val="2952A4"/>
                <w:w w:val="94"/>
              </w:rPr>
              <w:t>underlying</w:t>
            </w: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17"/>
              <w:spacing w:after="0" w:line="135" w:lineRule="exact"/>
              <w:rPr>
                <w:sz w:val="20"/>
                <w:szCs w:val="20"/>
                <w:color w:val="auto"/>
              </w:rPr>
            </w:pPr>
            <w:r>
              <w:rPr>
                <w:rFonts w:ascii="Arial" w:cs="Arial" w:eastAsia="Arial" w:hAnsi="Arial"/>
                <w:sz w:val="12"/>
                <w:szCs w:val="12"/>
                <w:b w:val="1"/>
                <w:bCs w:val="1"/>
                <w:color w:val="2952A4"/>
                <w:w w:val="96"/>
              </w:rPr>
              <w:t>shares or</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of shares or</w:t>
            </w:r>
          </w:p>
        </w:tc>
        <w:tc>
          <w:tcPr>
            <w:tcW w:w="1080" w:type="dxa"/>
            <w:vAlign w:val="bottom"/>
          </w:tcPr>
          <w:p>
            <w:pPr>
              <w:jc w:val="right"/>
              <w:ind w:right="117"/>
              <w:spacing w:after="0" w:line="135" w:lineRule="exact"/>
              <w:rPr>
                <w:sz w:val="20"/>
                <w:szCs w:val="20"/>
                <w:color w:val="auto"/>
              </w:rPr>
            </w:pPr>
            <w:r>
              <w:rPr>
                <w:rFonts w:ascii="Arial" w:cs="Arial" w:eastAsia="Arial" w:hAnsi="Arial"/>
                <w:sz w:val="12"/>
                <w:szCs w:val="12"/>
                <w:b w:val="1"/>
                <w:bCs w:val="1"/>
                <w:color w:val="2952A4"/>
              </w:rPr>
              <w:t>shares, units</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2"/>
                <w:szCs w:val="12"/>
                <w:b w:val="1"/>
                <w:bCs w:val="1"/>
                <w:color w:val="2952A4"/>
              </w:rPr>
              <w:t>shares, units</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unexercised</w:t>
            </w:r>
          </w:p>
        </w:tc>
        <w:tc>
          <w:tcPr>
            <w:tcW w:w="1000" w:type="dxa"/>
            <w:vAlign w:val="bottom"/>
          </w:tcPr>
          <w:p>
            <w:pPr>
              <w:jc w:val="center"/>
              <w:ind w:left="98"/>
              <w:spacing w:after="0" w:line="135" w:lineRule="exact"/>
              <w:rPr>
                <w:sz w:val="20"/>
                <w:szCs w:val="20"/>
                <w:color w:val="auto"/>
              </w:rPr>
            </w:pPr>
            <w:r>
              <w:rPr>
                <w:rFonts w:ascii="Arial" w:cs="Arial" w:eastAsia="Arial" w:hAnsi="Arial"/>
                <w:sz w:val="12"/>
                <w:szCs w:val="12"/>
                <w:b w:val="1"/>
                <w:bCs w:val="1"/>
                <w:color w:val="2952A4"/>
                <w:w w:val="97"/>
              </w:rPr>
              <w:t>unexercised</w:t>
            </w:r>
          </w:p>
        </w:tc>
        <w:tc>
          <w:tcPr>
            <w:tcW w:w="1040" w:type="dxa"/>
            <w:vAlign w:val="bottom"/>
          </w:tcPr>
          <w:p>
            <w:pPr>
              <w:jc w:val="center"/>
              <w:ind w:left="37"/>
              <w:spacing w:after="0" w:line="135" w:lineRule="exact"/>
              <w:rPr>
                <w:sz w:val="20"/>
                <w:szCs w:val="20"/>
                <w:color w:val="auto"/>
              </w:rPr>
            </w:pPr>
            <w:r>
              <w:rPr>
                <w:rFonts w:ascii="Arial" w:cs="Arial" w:eastAsia="Arial" w:hAnsi="Arial"/>
                <w:sz w:val="12"/>
                <w:szCs w:val="12"/>
                <w:b w:val="1"/>
                <w:bCs w:val="1"/>
                <w:color w:val="2952A4"/>
                <w:w w:val="99"/>
              </w:rPr>
              <w:t>unexercised</w:t>
            </w: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17"/>
              <w:spacing w:after="0" w:line="135" w:lineRule="exact"/>
              <w:rPr>
                <w:sz w:val="20"/>
                <w:szCs w:val="20"/>
                <w:color w:val="auto"/>
              </w:rPr>
            </w:pPr>
            <w:r>
              <w:rPr>
                <w:rFonts w:ascii="Arial" w:cs="Arial" w:eastAsia="Arial" w:hAnsi="Arial"/>
                <w:sz w:val="12"/>
                <w:szCs w:val="12"/>
                <w:b w:val="1"/>
                <w:bCs w:val="1"/>
                <w:color w:val="2952A4"/>
                <w:w w:val="97"/>
              </w:rPr>
              <w:t>units of stock</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units of stock</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or other rights</w:t>
            </w:r>
          </w:p>
        </w:tc>
        <w:tc>
          <w:tcPr>
            <w:tcW w:w="1000" w:type="dxa"/>
            <w:vAlign w:val="bottom"/>
            <w:gridSpan w:val="2"/>
          </w:tcPr>
          <w:p>
            <w:pPr>
              <w:jc w:val="center"/>
              <w:ind w:left="17"/>
              <w:spacing w:after="0" w:line="135" w:lineRule="exact"/>
              <w:rPr>
                <w:sz w:val="20"/>
                <w:szCs w:val="20"/>
                <w:color w:val="auto"/>
              </w:rPr>
            </w:pPr>
            <w:r>
              <w:rPr>
                <w:rFonts w:ascii="Arial" w:cs="Arial" w:eastAsia="Arial" w:hAnsi="Arial"/>
                <w:sz w:val="12"/>
                <w:szCs w:val="12"/>
                <w:b w:val="1"/>
                <w:bCs w:val="1"/>
                <w:color w:val="2952A4"/>
                <w:w w:val="97"/>
              </w:rPr>
              <w:t>or other rights</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options</w:t>
            </w:r>
          </w:p>
        </w:tc>
        <w:tc>
          <w:tcPr>
            <w:tcW w:w="1000" w:type="dxa"/>
            <w:vAlign w:val="bottom"/>
          </w:tcPr>
          <w:p>
            <w:pPr>
              <w:jc w:val="center"/>
              <w:ind w:left="78"/>
              <w:spacing w:after="0" w:line="135" w:lineRule="exact"/>
              <w:rPr>
                <w:sz w:val="20"/>
                <w:szCs w:val="20"/>
                <w:color w:val="auto"/>
              </w:rPr>
            </w:pPr>
            <w:r>
              <w:rPr>
                <w:rFonts w:ascii="Arial" w:cs="Arial" w:eastAsia="Arial" w:hAnsi="Arial"/>
                <w:sz w:val="12"/>
                <w:szCs w:val="12"/>
                <w:b w:val="1"/>
                <w:bCs w:val="1"/>
                <w:color w:val="2952A4"/>
                <w:w w:val="96"/>
              </w:rPr>
              <w:t>options</w:t>
            </w:r>
          </w:p>
        </w:tc>
        <w:tc>
          <w:tcPr>
            <w:tcW w:w="1040" w:type="dxa"/>
            <w:vAlign w:val="bottom"/>
          </w:tcPr>
          <w:p>
            <w:pPr>
              <w:jc w:val="center"/>
              <w:ind w:left="37"/>
              <w:spacing w:after="0" w:line="135" w:lineRule="exact"/>
              <w:rPr>
                <w:sz w:val="20"/>
                <w:szCs w:val="20"/>
                <w:color w:val="auto"/>
              </w:rPr>
            </w:pPr>
            <w:r>
              <w:rPr>
                <w:rFonts w:ascii="Arial" w:cs="Arial" w:eastAsia="Arial" w:hAnsi="Arial"/>
                <w:sz w:val="12"/>
                <w:szCs w:val="12"/>
                <w:b w:val="1"/>
                <w:bCs w:val="1"/>
                <w:color w:val="2952A4"/>
                <w:w w:val="99"/>
              </w:rPr>
              <w:t>unearned</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8"/>
              </w:rPr>
              <w:t>Option</w:t>
            </w: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2952A4"/>
                <w:w w:val="92"/>
              </w:rPr>
              <w:t>Option</w:t>
            </w:r>
          </w:p>
        </w:tc>
        <w:tc>
          <w:tcPr>
            <w:tcW w:w="1040" w:type="dxa"/>
            <w:vAlign w:val="bottom"/>
          </w:tcPr>
          <w:p>
            <w:pPr>
              <w:jc w:val="center"/>
              <w:ind w:right="17"/>
              <w:spacing w:after="0" w:line="135" w:lineRule="exact"/>
              <w:rPr>
                <w:sz w:val="20"/>
                <w:szCs w:val="20"/>
                <w:color w:val="auto"/>
              </w:rPr>
            </w:pPr>
            <w:r>
              <w:rPr>
                <w:rFonts w:ascii="Arial" w:cs="Arial" w:eastAsia="Arial" w:hAnsi="Arial"/>
                <w:sz w:val="12"/>
                <w:szCs w:val="12"/>
                <w:b w:val="1"/>
                <w:bCs w:val="1"/>
                <w:color w:val="2952A4"/>
                <w:w w:val="96"/>
              </w:rPr>
              <w:t>that have not</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that have not</w:t>
            </w:r>
          </w:p>
        </w:tc>
        <w:tc>
          <w:tcPr>
            <w:tcW w:w="1080" w:type="dxa"/>
            <w:vAlign w:val="bottom"/>
          </w:tcPr>
          <w:p>
            <w:pPr>
              <w:jc w:val="right"/>
              <w:ind w:right="117"/>
              <w:spacing w:after="0" w:line="135" w:lineRule="exact"/>
              <w:rPr>
                <w:sz w:val="20"/>
                <w:szCs w:val="20"/>
                <w:color w:val="auto"/>
              </w:rPr>
            </w:pPr>
            <w:r>
              <w:rPr>
                <w:rFonts w:ascii="Arial" w:cs="Arial" w:eastAsia="Arial" w:hAnsi="Arial"/>
                <w:sz w:val="12"/>
                <w:szCs w:val="12"/>
                <w:b w:val="1"/>
                <w:bCs w:val="1"/>
                <w:color w:val="2952A4"/>
              </w:rPr>
              <w:t>that have not</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2"/>
                <w:szCs w:val="12"/>
                <w:b w:val="1"/>
                <w:bCs w:val="1"/>
                <w:color w:val="2952A4"/>
              </w:rPr>
              <w:t>that have not</w:t>
            </w:r>
          </w:p>
        </w:tc>
        <w:tc>
          <w:tcPr>
            <w:tcW w:w="0" w:type="dxa"/>
            <w:vAlign w:val="bottom"/>
          </w:tcPr>
          <w:p>
            <w:pPr>
              <w:spacing w:after="0"/>
              <w:rPr>
                <w:sz w:val="1"/>
                <w:szCs w:val="1"/>
                <w:color w:val="auto"/>
              </w:rPr>
            </w:pPr>
          </w:p>
        </w:tc>
      </w:tr>
      <w:tr>
        <w:trPr>
          <w:trHeight w:val="148"/>
        </w:trPr>
        <w:tc>
          <w:tcPr>
            <w:tcW w:w="9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2952A4"/>
              </w:rPr>
              <w:t>Name</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2952A4"/>
                <w:w w:val="97"/>
              </w:rPr>
              <w:t>exercisable</w:t>
            </w:r>
          </w:p>
        </w:tc>
        <w:tc>
          <w:tcPr>
            <w:tcW w:w="1000" w:type="dxa"/>
            <w:vAlign w:val="bottom"/>
          </w:tcPr>
          <w:p>
            <w:pPr>
              <w:jc w:val="center"/>
              <w:ind w:left="78"/>
              <w:spacing w:after="0"/>
              <w:rPr>
                <w:sz w:val="20"/>
                <w:szCs w:val="20"/>
                <w:color w:val="auto"/>
              </w:rPr>
            </w:pPr>
            <w:r>
              <w:rPr>
                <w:rFonts w:ascii="Arial" w:cs="Arial" w:eastAsia="Arial" w:hAnsi="Arial"/>
                <w:sz w:val="12"/>
                <w:szCs w:val="12"/>
                <w:b w:val="1"/>
                <w:bCs w:val="1"/>
                <w:color w:val="2952A4"/>
                <w:w w:val="97"/>
              </w:rPr>
              <w:t>unexercisable</w:t>
            </w:r>
          </w:p>
        </w:tc>
        <w:tc>
          <w:tcPr>
            <w:tcW w:w="1040" w:type="dxa"/>
            <w:vAlign w:val="bottom"/>
          </w:tcPr>
          <w:p>
            <w:pPr>
              <w:jc w:val="center"/>
              <w:ind w:left="37"/>
              <w:spacing w:after="0"/>
              <w:rPr>
                <w:sz w:val="20"/>
                <w:szCs w:val="20"/>
                <w:color w:val="auto"/>
              </w:rPr>
            </w:pPr>
            <w:r>
              <w:rPr>
                <w:rFonts w:ascii="Arial" w:cs="Arial" w:eastAsia="Arial" w:hAnsi="Arial"/>
                <w:sz w:val="12"/>
                <w:szCs w:val="12"/>
                <w:b w:val="1"/>
                <w:bCs w:val="1"/>
                <w:color w:val="2952A4"/>
                <w:w w:val="96"/>
              </w:rPr>
              <w:t>options</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2952A4"/>
                <w:w w:val="97"/>
              </w:rPr>
              <w:t>exercise price</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2952A4"/>
                <w:w w:val="97"/>
              </w:rPr>
              <w:t>expiration</w:t>
            </w:r>
          </w:p>
        </w:tc>
        <w:tc>
          <w:tcPr>
            <w:tcW w:w="1040" w:type="dxa"/>
            <w:vAlign w:val="bottom"/>
          </w:tcPr>
          <w:p>
            <w:pPr>
              <w:jc w:val="center"/>
              <w:ind w:right="37"/>
              <w:spacing w:after="0"/>
              <w:rPr>
                <w:sz w:val="20"/>
                <w:szCs w:val="20"/>
                <w:color w:val="auto"/>
              </w:rPr>
            </w:pPr>
            <w:r>
              <w:rPr>
                <w:rFonts w:ascii="Arial" w:cs="Arial" w:eastAsia="Arial" w:hAnsi="Arial"/>
                <w:sz w:val="12"/>
                <w:szCs w:val="12"/>
                <w:b w:val="1"/>
                <w:bCs w:val="1"/>
                <w:color w:val="2952A4"/>
                <w:w w:val="99"/>
              </w:rPr>
              <w:t>vested</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2952A4"/>
                <w:w w:val="94"/>
              </w:rPr>
              <w:t>vested</w:t>
            </w:r>
          </w:p>
        </w:tc>
        <w:tc>
          <w:tcPr>
            <w:tcW w:w="1080" w:type="dxa"/>
            <w:vAlign w:val="bottom"/>
          </w:tcPr>
          <w:p>
            <w:pPr>
              <w:jc w:val="center"/>
              <w:spacing w:after="0"/>
              <w:rPr>
                <w:sz w:val="20"/>
                <w:szCs w:val="20"/>
                <w:color w:val="auto"/>
              </w:rPr>
            </w:pPr>
            <w:r>
              <w:rPr>
                <w:rFonts w:ascii="Arial" w:cs="Arial" w:eastAsia="Arial" w:hAnsi="Arial"/>
                <w:sz w:val="12"/>
                <w:szCs w:val="12"/>
                <w:b w:val="1"/>
                <w:bCs w:val="1"/>
                <w:color w:val="2952A4"/>
                <w:w w:val="94"/>
              </w:rPr>
              <w:t>vested</w:t>
            </w:r>
          </w:p>
        </w:tc>
        <w:tc>
          <w:tcPr>
            <w:tcW w:w="1000" w:type="dxa"/>
            <w:vAlign w:val="bottom"/>
            <w:gridSpan w:val="2"/>
          </w:tcPr>
          <w:p>
            <w:pPr>
              <w:jc w:val="center"/>
              <w:ind w:left="17"/>
              <w:spacing w:after="0"/>
              <w:rPr>
                <w:sz w:val="20"/>
                <w:szCs w:val="20"/>
                <w:color w:val="auto"/>
              </w:rPr>
            </w:pPr>
            <w:r>
              <w:rPr>
                <w:rFonts w:ascii="Arial" w:cs="Arial" w:eastAsia="Arial" w:hAnsi="Arial"/>
                <w:sz w:val="12"/>
                <w:szCs w:val="12"/>
                <w:b w:val="1"/>
                <w:bCs w:val="1"/>
                <w:color w:val="2952A4"/>
                <w:w w:val="94"/>
              </w:rPr>
              <w:t>vested</w:t>
            </w:r>
          </w:p>
        </w:tc>
        <w:tc>
          <w:tcPr>
            <w:tcW w:w="0" w:type="dxa"/>
            <w:vAlign w:val="bottom"/>
          </w:tcPr>
          <w:p>
            <w:pPr>
              <w:spacing w:after="0"/>
              <w:rPr>
                <w:sz w:val="1"/>
                <w:szCs w:val="1"/>
                <w:color w:val="auto"/>
              </w:rPr>
            </w:pPr>
          </w:p>
        </w:tc>
      </w:tr>
      <w:tr>
        <w:trPr>
          <w:trHeight w:val="154"/>
        </w:trPr>
        <w:tc>
          <w:tcPr>
            <w:tcW w:w="960" w:type="dxa"/>
            <w:vAlign w:val="bottom"/>
            <w:tcBorders>
              <w:bottom w:val="single" w:sz="8" w:color="2952A4"/>
            </w:tcBorders>
            <w:gridSpan w:val="2"/>
            <w:vMerge w:val="continue"/>
          </w:tcPr>
          <w:p>
            <w:pPr>
              <w:spacing w:after="0"/>
              <w:rPr>
                <w:sz w:val="13"/>
                <w:szCs w:val="13"/>
                <w:color w:val="auto"/>
              </w:rPr>
            </w:pPr>
          </w:p>
        </w:tc>
        <w:tc>
          <w:tcPr>
            <w:tcW w:w="8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1000" w:type="dxa"/>
            <w:vAlign w:val="bottom"/>
            <w:tcBorders>
              <w:bottom w:val="single" w:sz="8" w:color="2952A4"/>
            </w:tcBorders>
          </w:tcPr>
          <w:p>
            <w:pPr>
              <w:jc w:val="center"/>
              <w:ind w:left="78"/>
              <w:spacing w:after="0"/>
              <w:rPr>
                <w:sz w:val="20"/>
                <w:szCs w:val="20"/>
                <w:color w:val="auto"/>
              </w:rPr>
            </w:pPr>
            <w:r>
              <w:rPr>
                <w:rFonts w:ascii="Arial" w:cs="Arial" w:eastAsia="Arial" w:hAnsi="Arial"/>
                <w:sz w:val="12"/>
                <w:szCs w:val="12"/>
                <w:b w:val="1"/>
                <w:bCs w:val="1"/>
                <w:color w:val="2952A4"/>
                <w:w w:val="95"/>
              </w:rPr>
              <w:t>(#)</w:t>
            </w:r>
          </w:p>
        </w:tc>
        <w:tc>
          <w:tcPr>
            <w:tcW w:w="1040" w:type="dxa"/>
            <w:vAlign w:val="bottom"/>
            <w:tcBorders>
              <w:bottom w:val="single" w:sz="8" w:color="2952A4"/>
            </w:tcBorders>
          </w:tcPr>
          <w:p>
            <w:pPr>
              <w:jc w:val="center"/>
              <w:ind w:left="37"/>
              <w:spacing w:after="0"/>
              <w:rPr>
                <w:sz w:val="20"/>
                <w:szCs w:val="20"/>
                <w:color w:val="auto"/>
              </w:rPr>
            </w:pPr>
            <w:r>
              <w:rPr>
                <w:rFonts w:ascii="Arial" w:cs="Arial" w:eastAsia="Arial" w:hAnsi="Arial"/>
                <w:sz w:val="12"/>
                <w:szCs w:val="12"/>
                <w:b w:val="1"/>
                <w:bCs w:val="1"/>
                <w:color w:val="2952A4"/>
                <w:w w:val="95"/>
              </w:rPr>
              <w:t>(#)</w:t>
            </w:r>
          </w:p>
        </w:tc>
        <w:tc>
          <w:tcPr>
            <w:tcW w:w="10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w w:val="95"/>
              </w:rPr>
              <w:t>($)</w:t>
            </w:r>
          </w:p>
        </w:tc>
        <w:tc>
          <w:tcPr>
            <w:tcW w:w="1060" w:type="dxa"/>
            <w:vAlign w:val="bottom"/>
            <w:tcBorders>
              <w:bottom w:val="single" w:sz="8" w:color="2952A4"/>
            </w:tcBorders>
            <w:gridSpan w:val="2"/>
          </w:tcPr>
          <w:p>
            <w:pPr>
              <w:jc w:val="center"/>
              <w:ind w:right="100"/>
              <w:spacing w:after="0"/>
              <w:rPr>
                <w:sz w:val="20"/>
                <w:szCs w:val="20"/>
                <w:color w:val="auto"/>
              </w:rPr>
            </w:pPr>
            <w:r>
              <w:rPr>
                <w:rFonts w:ascii="Arial" w:cs="Arial" w:eastAsia="Arial" w:hAnsi="Arial"/>
                <w:sz w:val="12"/>
                <w:szCs w:val="12"/>
                <w:b w:val="1"/>
                <w:bCs w:val="1"/>
                <w:color w:val="2952A4"/>
                <w:w w:val="97"/>
              </w:rPr>
              <w:t>date</w:t>
            </w:r>
          </w:p>
        </w:tc>
        <w:tc>
          <w:tcPr>
            <w:tcW w:w="1040" w:type="dxa"/>
            <w:vAlign w:val="bottom"/>
            <w:tcBorders>
              <w:bottom w:val="single" w:sz="8" w:color="2952A4"/>
            </w:tcBorders>
          </w:tcPr>
          <w:p>
            <w:pPr>
              <w:jc w:val="center"/>
              <w:ind w:right="37"/>
              <w:spacing w:after="0"/>
              <w:rPr>
                <w:sz w:val="20"/>
                <w:szCs w:val="20"/>
                <w:color w:val="auto"/>
              </w:rPr>
            </w:pPr>
            <w:r>
              <w:rPr>
                <w:rFonts w:ascii="Arial" w:cs="Arial" w:eastAsia="Arial" w:hAnsi="Arial"/>
                <w:sz w:val="12"/>
                <w:szCs w:val="12"/>
                <w:b w:val="1"/>
                <w:bCs w:val="1"/>
                <w:color w:val="2952A4"/>
                <w:w w:val="95"/>
              </w:rPr>
              <w:t>(#)</w:t>
            </w:r>
          </w:p>
        </w:tc>
        <w:tc>
          <w:tcPr>
            <w:tcW w:w="106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rPr>
              <w:t>($)</w:t>
            </w:r>
          </w:p>
        </w:tc>
        <w:tc>
          <w:tcPr>
            <w:tcW w:w="1080" w:type="dxa"/>
            <w:vAlign w:val="bottom"/>
            <w:tcBorders>
              <w:bottom w:val="single" w:sz="8" w:color="2952A4"/>
            </w:tcBorders>
          </w:tcPr>
          <w:p>
            <w:pPr>
              <w:jc w:val="center"/>
              <w:spacing w:after="0"/>
              <w:rPr>
                <w:sz w:val="20"/>
                <w:szCs w:val="20"/>
                <w:color w:val="auto"/>
              </w:rPr>
            </w:pPr>
            <w:r>
              <w:rPr>
                <w:rFonts w:ascii="Arial" w:cs="Arial" w:eastAsia="Arial" w:hAnsi="Arial"/>
                <w:sz w:val="12"/>
                <w:szCs w:val="12"/>
                <w:b w:val="1"/>
                <w:bCs w:val="1"/>
                <w:color w:val="2952A4"/>
              </w:rPr>
              <w:t>(#)</w:t>
            </w:r>
          </w:p>
        </w:tc>
        <w:tc>
          <w:tcPr>
            <w:tcW w:w="900" w:type="dxa"/>
            <w:vAlign w:val="bottom"/>
            <w:tcBorders>
              <w:bottom w:val="single" w:sz="8" w:color="2952A4"/>
            </w:tcBorders>
          </w:tcPr>
          <w:p>
            <w:pPr>
              <w:jc w:val="center"/>
              <w:ind w:left="117"/>
              <w:spacing w:after="0"/>
              <w:rPr>
                <w:sz w:val="20"/>
                <w:szCs w:val="20"/>
                <w:color w:val="auto"/>
              </w:rPr>
            </w:pPr>
            <w:r>
              <w:rPr>
                <w:rFonts w:ascii="Arial" w:cs="Arial" w:eastAsia="Arial" w:hAnsi="Arial"/>
                <w:sz w:val="12"/>
                <w:szCs w:val="12"/>
                <w:b w:val="1"/>
                <w:bCs w:val="1"/>
                <w:color w:val="2952A4"/>
              </w:rPr>
              <w:t>($)</w:t>
            </w:r>
          </w:p>
        </w:tc>
        <w:tc>
          <w:tcPr>
            <w:tcW w:w="100" w:type="dxa"/>
            <w:vAlign w:val="bottom"/>
            <w:tcBorders>
              <w:bottom w:val="single" w:sz="8" w:color="2952A4"/>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0" w:type="dxa"/>
            <w:vAlign w:val="bottom"/>
            <w:tcBorders>
              <w:bottom w:val="single" w:sz="8" w:color="EAEAEC"/>
            </w:tcBorders>
            <w:shd w:val="clear" w:color="auto" w:fill="EAEAEC"/>
          </w:tcPr>
          <w:p>
            <w:pPr>
              <w:spacing w:after="0"/>
              <w:rPr>
                <w:sz w:val="14"/>
                <w:szCs w:val="14"/>
                <w:color w:val="auto"/>
              </w:rPr>
            </w:pPr>
          </w:p>
        </w:tc>
        <w:tc>
          <w:tcPr>
            <w:tcW w:w="180" w:type="dxa"/>
            <w:vAlign w:val="bottom"/>
            <w:tcBorders>
              <w:bottom w:val="single" w:sz="8" w:color="EAEAEC"/>
            </w:tcBorders>
            <w:shd w:val="clear" w:color="auto" w:fill="EAEAEC"/>
          </w:tcPr>
          <w:p>
            <w:pPr>
              <w:spacing w:after="0"/>
              <w:rPr>
                <w:sz w:val="14"/>
                <w:szCs w:val="14"/>
                <w:color w:val="auto"/>
              </w:rPr>
            </w:pPr>
          </w:p>
        </w:tc>
        <w:tc>
          <w:tcPr>
            <w:tcW w:w="860" w:type="dxa"/>
            <w:vAlign w:val="bottom"/>
            <w:tcBorders>
              <w:bottom w:val="single" w:sz="8" w:color="auto"/>
            </w:tcBorders>
            <w:shd w:val="clear" w:color="auto" w:fill="EAEAEC"/>
          </w:tcPr>
          <w:p>
            <w:pPr>
              <w:jc w:val="right"/>
              <w:ind w:right="196"/>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shd w:val="clear" w:color="auto" w:fill="EAEAEC"/>
          </w:tcPr>
          <w:p>
            <w:pPr>
              <w:ind w:left="300"/>
              <w:spacing w:after="0" w:line="162" w:lineRule="exact"/>
              <w:rPr>
                <w:sz w:val="20"/>
                <w:szCs w:val="20"/>
                <w:color w:val="auto"/>
              </w:rPr>
            </w:pPr>
            <w:r>
              <w:rPr>
                <w:rFonts w:ascii="Arial" w:cs="Arial" w:eastAsia="Arial" w:hAnsi="Arial"/>
                <w:sz w:val="12"/>
                <w:szCs w:val="12"/>
                <w:color w:val="231F20"/>
              </w:rPr>
              <w:t>19,950</w:t>
            </w:r>
            <w:r>
              <w:rPr>
                <w:rFonts w:ascii="Arial" w:cs="Arial" w:eastAsia="Arial" w:hAnsi="Arial"/>
                <w:sz w:val="18"/>
                <w:szCs w:val="18"/>
                <w:color w:val="231F20"/>
                <w:vertAlign w:val="superscript"/>
              </w:rPr>
              <w:t>1</w:t>
            </w:r>
          </w:p>
        </w:tc>
        <w:tc>
          <w:tcPr>
            <w:tcW w:w="1040" w:type="dxa"/>
            <w:vAlign w:val="bottom"/>
            <w:tcBorders>
              <w:bottom w:val="single" w:sz="8" w:color="auto"/>
            </w:tcBorders>
            <w:shd w:val="clear" w:color="auto" w:fill="EAEAEC"/>
          </w:tcPr>
          <w:p>
            <w:pPr>
              <w:ind w:left="780"/>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356"/>
              <w:spacing w:after="0"/>
              <w:rPr>
                <w:sz w:val="20"/>
                <w:szCs w:val="20"/>
                <w:color w:val="auto"/>
              </w:rPr>
            </w:pPr>
            <w:r>
              <w:rPr>
                <w:rFonts w:ascii="Arial" w:cs="Arial" w:eastAsia="Arial" w:hAnsi="Arial"/>
                <w:sz w:val="13"/>
                <w:szCs w:val="13"/>
                <w:color w:val="231F20"/>
              </w:rPr>
              <w:t>492.00</w:t>
            </w:r>
          </w:p>
        </w:tc>
        <w:tc>
          <w:tcPr>
            <w:tcW w:w="900" w:type="dxa"/>
            <w:vAlign w:val="bottom"/>
            <w:tcBorders>
              <w:bottom w:val="single" w:sz="8" w:color="auto"/>
            </w:tcBorders>
            <w:shd w:val="clear" w:color="auto" w:fill="EAEAEC"/>
          </w:tcPr>
          <w:p>
            <w:pPr>
              <w:jc w:val="right"/>
              <w:ind w:right="56"/>
              <w:spacing w:after="0"/>
              <w:rPr>
                <w:sz w:val="20"/>
                <w:szCs w:val="20"/>
                <w:color w:val="auto"/>
              </w:rPr>
            </w:pPr>
            <w:r>
              <w:rPr>
                <w:rFonts w:ascii="Arial" w:cs="Arial" w:eastAsia="Arial" w:hAnsi="Arial"/>
                <w:sz w:val="13"/>
                <w:szCs w:val="13"/>
                <w:color w:val="231F20"/>
              </w:rPr>
              <w:t>12/09/2030</w:t>
            </w:r>
          </w:p>
        </w:tc>
        <w:tc>
          <w:tcPr>
            <w:tcW w:w="160" w:type="dxa"/>
            <w:vAlign w:val="bottom"/>
            <w:tcBorders>
              <w:bottom w:val="single" w:sz="8" w:color="auto"/>
            </w:tcBorders>
            <w:shd w:val="clear" w:color="auto" w:fill="EAEAEC"/>
          </w:tcPr>
          <w:p>
            <w:pPr>
              <w:spacing w:after="0"/>
              <w:rPr>
                <w:sz w:val="14"/>
                <w:szCs w:val="14"/>
                <w:color w:val="auto"/>
              </w:rPr>
            </w:pPr>
          </w:p>
        </w:tc>
        <w:tc>
          <w:tcPr>
            <w:tcW w:w="1040" w:type="dxa"/>
            <w:vAlign w:val="bottom"/>
            <w:tcBorders>
              <w:bottom w:val="single" w:sz="8" w:color="auto"/>
            </w:tcBorders>
            <w:shd w:val="clear" w:color="auto" w:fill="EAEAEC"/>
          </w:tcPr>
          <w:p>
            <w:pPr>
              <w:jc w:val="right"/>
              <w:ind w:right="19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11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shd w:val="clear" w:color="auto" w:fill="EAEAEC"/>
          </w:tcPr>
          <w:p>
            <w:pPr>
              <w:jc w:val="right"/>
              <w:ind w:right="11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shd w:val="clear" w:color="auto" w:fill="EAEAEC"/>
          </w:tcPr>
          <w:p>
            <w:pPr>
              <w:jc w:val="right"/>
              <w:ind w:right="10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780" w:type="dxa"/>
            <w:vAlign w:val="bottom"/>
            <w:tcBorders>
              <w:bottom w:val="single" w:sz="8" w:color="EAEAEC"/>
            </w:tcBorders>
            <w:shd w:val="clear" w:color="auto" w:fill="EAEAEC"/>
          </w:tcPr>
          <w:p>
            <w:pPr>
              <w:spacing w:after="0"/>
              <w:rPr>
                <w:sz w:val="12"/>
                <w:szCs w:val="12"/>
                <w:color w:val="auto"/>
              </w:rPr>
            </w:pPr>
          </w:p>
        </w:tc>
        <w:tc>
          <w:tcPr>
            <w:tcW w:w="18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6,125</w:t>
            </w:r>
          </w:p>
        </w:tc>
        <w:tc>
          <w:tcPr>
            <w:tcW w:w="1000" w:type="dxa"/>
            <w:vAlign w:val="bottom"/>
            <w:tcBorders>
              <w:bottom w:val="single" w:sz="8" w:color="auto"/>
            </w:tcBorders>
            <w:shd w:val="clear" w:color="auto" w:fill="EAEAEC"/>
          </w:tcPr>
          <w:p>
            <w:pPr>
              <w:ind w:left="300"/>
              <w:spacing w:after="0" w:line="142" w:lineRule="exact"/>
              <w:rPr>
                <w:sz w:val="20"/>
                <w:szCs w:val="20"/>
                <w:color w:val="auto"/>
              </w:rPr>
            </w:pPr>
            <w:r>
              <w:rPr>
                <w:rFonts w:ascii="Arial" w:cs="Arial" w:eastAsia="Arial" w:hAnsi="Arial"/>
                <w:sz w:val="11"/>
                <w:szCs w:val="11"/>
                <w:color w:val="231F20"/>
              </w:rPr>
              <w:t>18,375</w:t>
            </w:r>
            <w:r>
              <w:rPr>
                <w:rFonts w:ascii="Arial" w:cs="Arial" w:eastAsia="Arial" w:hAnsi="Arial"/>
                <w:sz w:val="16"/>
                <w:szCs w:val="16"/>
                <w:color w:val="231F20"/>
                <w:vertAlign w:val="superscript"/>
              </w:rPr>
              <w:t>2</w:t>
            </w:r>
          </w:p>
        </w:tc>
        <w:tc>
          <w:tcPr>
            <w:tcW w:w="1040" w:type="dxa"/>
            <w:vAlign w:val="bottom"/>
            <w:tcBorders>
              <w:bottom w:val="single" w:sz="8" w:color="auto"/>
            </w:tcBorders>
            <w:shd w:val="clear" w:color="auto" w:fill="EAEAEC"/>
          </w:tcPr>
          <w:p>
            <w:pPr>
              <w:ind w:left="780"/>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356"/>
              <w:spacing w:after="0" w:line="142" w:lineRule="exact"/>
              <w:rPr>
                <w:sz w:val="20"/>
                <w:szCs w:val="20"/>
                <w:color w:val="auto"/>
              </w:rPr>
            </w:pPr>
            <w:r>
              <w:rPr>
                <w:rFonts w:ascii="Arial" w:cs="Arial" w:eastAsia="Arial" w:hAnsi="Arial"/>
                <w:sz w:val="13"/>
                <w:szCs w:val="13"/>
                <w:color w:val="231F20"/>
              </w:rPr>
              <w:t>372.46</w:t>
            </w:r>
          </w:p>
        </w:tc>
        <w:tc>
          <w:tcPr>
            <w:tcW w:w="900" w:type="dxa"/>
            <w:vAlign w:val="bottom"/>
            <w:tcBorders>
              <w:bottom w:val="single" w:sz="8" w:color="auto"/>
            </w:tcBorders>
            <w:shd w:val="clear" w:color="auto" w:fill="EAEAEC"/>
          </w:tcPr>
          <w:p>
            <w:pPr>
              <w:jc w:val="right"/>
              <w:ind w:right="56"/>
              <w:spacing w:after="0" w:line="142" w:lineRule="exact"/>
              <w:rPr>
                <w:sz w:val="20"/>
                <w:szCs w:val="20"/>
                <w:color w:val="auto"/>
              </w:rPr>
            </w:pPr>
            <w:r>
              <w:rPr>
                <w:rFonts w:ascii="Arial" w:cs="Arial" w:eastAsia="Arial" w:hAnsi="Arial"/>
                <w:sz w:val="13"/>
                <w:szCs w:val="13"/>
                <w:color w:val="231F20"/>
              </w:rPr>
              <w:t>12/11/2029</w:t>
            </w:r>
          </w:p>
        </w:tc>
        <w:tc>
          <w:tcPr>
            <w:tcW w:w="160" w:type="dxa"/>
            <w:vAlign w:val="bottom"/>
            <w:tcBorders>
              <w:bottom w:val="single" w:sz="8" w:color="auto"/>
            </w:tcBorders>
            <w:shd w:val="clear" w:color="auto" w:fill="EAEAEC"/>
          </w:tcPr>
          <w:p>
            <w:pPr>
              <w:spacing w:after="0"/>
              <w:rPr>
                <w:sz w:val="12"/>
                <w:szCs w:val="12"/>
                <w:color w:val="auto"/>
              </w:rPr>
            </w:pPr>
          </w:p>
        </w:tc>
        <w:tc>
          <w:tcPr>
            <w:tcW w:w="10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shd w:val="clear" w:color="auto" w:fill="EAEAEC"/>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780" w:type="dxa"/>
            <w:vAlign w:val="bottom"/>
            <w:tcBorders>
              <w:bottom w:val="single" w:sz="8" w:color="EAEAEC"/>
            </w:tcBorders>
            <w:shd w:val="clear" w:color="auto" w:fill="EAEAEC"/>
          </w:tcPr>
          <w:p>
            <w:pPr>
              <w:spacing w:after="0"/>
              <w:rPr>
                <w:sz w:val="12"/>
                <w:szCs w:val="12"/>
                <w:color w:val="auto"/>
              </w:rPr>
            </w:pPr>
          </w:p>
        </w:tc>
        <w:tc>
          <w:tcPr>
            <w:tcW w:w="18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23,126</w:t>
            </w:r>
          </w:p>
        </w:tc>
        <w:tc>
          <w:tcPr>
            <w:tcW w:w="1000" w:type="dxa"/>
            <w:vAlign w:val="bottom"/>
            <w:tcBorders>
              <w:bottom w:val="single" w:sz="8" w:color="auto"/>
            </w:tcBorders>
            <w:shd w:val="clear" w:color="auto" w:fill="EAEAEC"/>
          </w:tcPr>
          <w:p>
            <w:pPr>
              <w:ind w:left="300"/>
              <w:spacing w:after="0" w:line="142" w:lineRule="exact"/>
              <w:rPr>
                <w:sz w:val="20"/>
                <w:szCs w:val="20"/>
                <w:color w:val="auto"/>
              </w:rPr>
            </w:pPr>
            <w:r>
              <w:rPr>
                <w:rFonts w:ascii="Arial" w:cs="Arial" w:eastAsia="Arial" w:hAnsi="Arial"/>
                <w:sz w:val="11"/>
                <w:szCs w:val="11"/>
                <w:color w:val="231F20"/>
              </w:rPr>
              <w:t>23,124</w:t>
            </w:r>
            <w:r>
              <w:rPr>
                <w:rFonts w:ascii="Arial" w:cs="Arial" w:eastAsia="Arial" w:hAnsi="Arial"/>
                <w:sz w:val="16"/>
                <w:szCs w:val="16"/>
                <w:color w:val="231F20"/>
                <w:vertAlign w:val="superscript"/>
              </w:rPr>
              <w:t>3</w:t>
            </w:r>
          </w:p>
        </w:tc>
        <w:tc>
          <w:tcPr>
            <w:tcW w:w="1040" w:type="dxa"/>
            <w:vAlign w:val="bottom"/>
            <w:tcBorders>
              <w:bottom w:val="single" w:sz="8" w:color="auto"/>
            </w:tcBorders>
            <w:shd w:val="clear" w:color="auto" w:fill="EAEAEC"/>
          </w:tcPr>
          <w:p>
            <w:pPr>
              <w:ind w:left="780"/>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356"/>
              <w:spacing w:after="0" w:line="142" w:lineRule="exact"/>
              <w:rPr>
                <w:sz w:val="20"/>
                <w:szCs w:val="20"/>
                <w:color w:val="auto"/>
              </w:rPr>
            </w:pPr>
            <w:r>
              <w:rPr>
                <w:rFonts w:ascii="Arial" w:cs="Arial" w:eastAsia="Arial" w:hAnsi="Arial"/>
                <w:sz w:val="13"/>
                <w:szCs w:val="13"/>
                <w:color w:val="231F20"/>
              </w:rPr>
              <w:t>381.40</w:t>
            </w:r>
          </w:p>
        </w:tc>
        <w:tc>
          <w:tcPr>
            <w:tcW w:w="900" w:type="dxa"/>
            <w:vAlign w:val="bottom"/>
            <w:tcBorders>
              <w:bottom w:val="single" w:sz="8" w:color="auto"/>
            </w:tcBorders>
            <w:shd w:val="clear" w:color="auto" w:fill="EAEAEC"/>
          </w:tcPr>
          <w:p>
            <w:pPr>
              <w:jc w:val="right"/>
              <w:ind w:right="56"/>
              <w:spacing w:after="0" w:line="142" w:lineRule="exact"/>
              <w:rPr>
                <w:sz w:val="20"/>
                <w:szCs w:val="20"/>
                <w:color w:val="auto"/>
              </w:rPr>
            </w:pPr>
            <w:r>
              <w:rPr>
                <w:rFonts w:ascii="Arial" w:cs="Arial" w:eastAsia="Arial" w:hAnsi="Arial"/>
                <w:sz w:val="13"/>
                <w:szCs w:val="13"/>
                <w:color w:val="231F20"/>
              </w:rPr>
              <w:t>12/12/2028</w:t>
            </w:r>
          </w:p>
        </w:tc>
        <w:tc>
          <w:tcPr>
            <w:tcW w:w="160" w:type="dxa"/>
            <w:vAlign w:val="bottom"/>
            <w:tcBorders>
              <w:bottom w:val="single" w:sz="8" w:color="auto"/>
            </w:tcBorders>
            <w:shd w:val="clear" w:color="auto" w:fill="EAEAEC"/>
          </w:tcPr>
          <w:p>
            <w:pPr>
              <w:spacing w:after="0"/>
              <w:rPr>
                <w:sz w:val="12"/>
                <w:szCs w:val="12"/>
                <w:color w:val="auto"/>
              </w:rPr>
            </w:pPr>
          </w:p>
        </w:tc>
        <w:tc>
          <w:tcPr>
            <w:tcW w:w="10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shd w:val="clear" w:color="auto" w:fill="EAEAEC"/>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780" w:type="dxa"/>
            <w:vAlign w:val="bottom"/>
            <w:tcBorders>
              <w:bottom w:val="single" w:sz="8" w:color="EAEAEC"/>
            </w:tcBorders>
            <w:shd w:val="clear" w:color="auto" w:fill="EAEAEC"/>
          </w:tcPr>
          <w:p>
            <w:pPr>
              <w:spacing w:after="0"/>
              <w:rPr>
                <w:sz w:val="12"/>
                <w:szCs w:val="12"/>
                <w:color w:val="auto"/>
              </w:rPr>
            </w:pPr>
          </w:p>
        </w:tc>
        <w:tc>
          <w:tcPr>
            <w:tcW w:w="18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37,500</w:t>
            </w:r>
          </w:p>
        </w:tc>
        <w:tc>
          <w:tcPr>
            <w:tcW w:w="1000" w:type="dxa"/>
            <w:vAlign w:val="bottom"/>
            <w:tcBorders>
              <w:bottom w:val="single" w:sz="8" w:color="auto"/>
            </w:tcBorders>
            <w:shd w:val="clear" w:color="auto" w:fill="EAEAEC"/>
          </w:tcPr>
          <w:p>
            <w:pPr>
              <w:ind w:left="300"/>
              <w:spacing w:after="0" w:line="142" w:lineRule="exact"/>
              <w:rPr>
                <w:sz w:val="20"/>
                <w:szCs w:val="20"/>
                <w:color w:val="auto"/>
              </w:rPr>
            </w:pPr>
            <w:r>
              <w:rPr>
                <w:rFonts w:ascii="Arial" w:cs="Arial" w:eastAsia="Arial" w:hAnsi="Arial"/>
                <w:sz w:val="11"/>
                <w:szCs w:val="11"/>
                <w:color w:val="231F20"/>
              </w:rPr>
              <w:t>12,500</w:t>
            </w:r>
            <w:r>
              <w:rPr>
                <w:rFonts w:ascii="Arial" w:cs="Arial" w:eastAsia="Arial" w:hAnsi="Arial"/>
                <w:sz w:val="16"/>
                <w:szCs w:val="16"/>
                <w:color w:val="231F20"/>
                <w:vertAlign w:val="superscript"/>
              </w:rPr>
              <w:t>4</w:t>
            </w:r>
          </w:p>
        </w:tc>
        <w:tc>
          <w:tcPr>
            <w:tcW w:w="1040" w:type="dxa"/>
            <w:vAlign w:val="bottom"/>
            <w:tcBorders>
              <w:bottom w:val="single" w:sz="8" w:color="auto"/>
            </w:tcBorders>
            <w:shd w:val="clear" w:color="auto" w:fill="EAEAEC"/>
          </w:tcPr>
          <w:p>
            <w:pPr>
              <w:ind w:left="780"/>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356"/>
              <w:spacing w:after="0" w:line="142" w:lineRule="exact"/>
              <w:rPr>
                <w:sz w:val="20"/>
                <w:szCs w:val="20"/>
                <w:color w:val="auto"/>
              </w:rPr>
            </w:pPr>
            <w:r>
              <w:rPr>
                <w:rFonts w:ascii="Arial" w:cs="Arial" w:eastAsia="Arial" w:hAnsi="Arial"/>
                <w:sz w:val="13"/>
                <w:szCs w:val="13"/>
                <w:color w:val="231F20"/>
              </w:rPr>
              <w:t>378.98</w:t>
            </w:r>
          </w:p>
        </w:tc>
        <w:tc>
          <w:tcPr>
            <w:tcW w:w="900" w:type="dxa"/>
            <w:vAlign w:val="bottom"/>
            <w:tcBorders>
              <w:bottom w:val="single" w:sz="8" w:color="auto"/>
            </w:tcBorders>
            <w:shd w:val="clear" w:color="auto" w:fill="EAEAEC"/>
          </w:tcPr>
          <w:p>
            <w:pPr>
              <w:jc w:val="right"/>
              <w:ind w:right="56"/>
              <w:spacing w:after="0" w:line="142" w:lineRule="exact"/>
              <w:rPr>
                <w:sz w:val="20"/>
                <w:szCs w:val="20"/>
                <w:color w:val="auto"/>
              </w:rPr>
            </w:pPr>
            <w:r>
              <w:rPr>
                <w:rFonts w:ascii="Arial" w:cs="Arial" w:eastAsia="Arial" w:hAnsi="Arial"/>
                <w:sz w:val="13"/>
                <w:szCs w:val="13"/>
                <w:color w:val="231F20"/>
              </w:rPr>
              <w:t>12/12/2027</w:t>
            </w:r>
          </w:p>
        </w:tc>
        <w:tc>
          <w:tcPr>
            <w:tcW w:w="160" w:type="dxa"/>
            <w:vAlign w:val="bottom"/>
            <w:tcBorders>
              <w:bottom w:val="single" w:sz="8" w:color="auto"/>
            </w:tcBorders>
            <w:shd w:val="clear" w:color="auto" w:fill="EAEAEC"/>
          </w:tcPr>
          <w:p>
            <w:pPr>
              <w:spacing w:after="0"/>
              <w:rPr>
                <w:sz w:val="12"/>
                <w:szCs w:val="12"/>
                <w:color w:val="auto"/>
              </w:rPr>
            </w:pPr>
          </w:p>
        </w:tc>
        <w:tc>
          <w:tcPr>
            <w:tcW w:w="10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shd w:val="clear" w:color="auto" w:fill="EAEAEC"/>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780" w:type="dxa"/>
            <w:vAlign w:val="bottom"/>
            <w:tcBorders>
              <w:bottom w:val="single" w:sz="8" w:color="EAEAEC"/>
            </w:tcBorders>
            <w:shd w:val="clear" w:color="auto" w:fill="EAEAEC"/>
          </w:tcPr>
          <w:p>
            <w:pPr>
              <w:spacing w:after="0"/>
              <w:rPr>
                <w:sz w:val="12"/>
                <w:szCs w:val="12"/>
                <w:color w:val="auto"/>
              </w:rPr>
            </w:pPr>
          </w:p>
        </w:tc>
        <w:tc>
          <w:tcPr>
            <w:tcW w:w="18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34,000</w:t>
            </w:r>
          </w:p>
        </w:tc>
        <w:tc>
          <w:tcPr>
            <w:tcW w:w="1000" w:type="dxa"/>
            <w:vAlign w:val="bottom"/>
            <w:tcBorders>
              <w:bottom w:val="single" w:sz="8" w:color="auto"/>
            </w:tcBorders>
            <w:shd w:val="clear" w:color="auto" w:fill="EAEAEC"/>
          </w:tcPr>
          <w:p>
            <w:pPr>
              <w:jc w:val="right"/>
              <w:ind w:right="238"/>
              <w:spacing w:after="0" w:line="142"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shd w:val="clear" w:color="auto" w:fill="EAEAEC"/>
          </w:tcPr>
          <w:p>
            <w:pPr>
              <w:ind w:left="780"/>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356"/>
              <w:spacing w:after="0" w:line="142" w:lineRule="exact"/>
              <w:rPr>
                <w:sz w:val="20"/>
                <w:szCs w:val="20"/>
                <w:color w:val="auto"/>
              </w:rPr>
            </w:pPr>
            <w:r>
              <w:rPr>
                <w:rFonts w:ascii="Arial" w:cs="Arial" w:eastAsia="Arial" w:hAnsi="Arial"/>
                <w:sz w:val="13"/>
                <w:szCs w:val="13"/>
                <w:color w:val="231F20"/>
              </w:rPr>
              <w:t>381.92</w:t>
            </w:r>
          </w:p>
        </w:tc>
        <w:tc>
          <w:tcPr>
            <w:tcW w:w="900" w:type="dxa"/>
            <w:vAlign w:val="bottom"/>
            <w:tcBorders>
              <w:bottom w:val="single" w:sz="8" w:color="auto"/>
            </w:tcBorders>
            <w:shd w:val="clear" w:color="auto" w:fill="EAEAEC"/>
          </w:tcPr>
          <w:p>
            <w:pPr>
              <w:jc w:val="right"/>
              <w:ind w:right="56"/>
              <w:spacing w:after="0" w:line="142" w:lineRule="exact"/>
              <w:rPr>
                <w:sz w:val="20"/>
                <w:szCs w:val="20"/>
                <w:color w:val="auto"/>
              </w:rPr>
            </w:pPr>
            <w:r>
              <w:rPr>
                <w:rFonts w:ascii="Arial" w:cs="Arial" w:eastAsia="Arial" w:hAnsi="Arial"/>
                <w:sz w:val="13"/>
                <w:szCs w:val="13"/>
                <w:color w:val="231F20"/>
              </w:rPr>
              <w:t>12/16/2026</w:t>
            </w:r>
          </w:p>
        </w:tc>
        <w:tc>
          <w:tcPr>
            <w:tcW w:w="160" w:type="dxa"/>
            <w:vAlign w:val="bottom"/>
            <w:tcBorders>
              <w:bottom w:val="single" w:sz="8" w:color="auto"/>
            </w:tcBorders>
            <w:shd w:val="clear" w:color="auto" w:fill="EAEAEC"/>
          </w:tcPr>
          <w:p>
            <w:pPr>
              <w:spacing w:after="0"/>
              <w:rPr>
                <w:sz w:val="12"/>
                <w:szCs w:val="12"/>
                <w:color w:val="auto"/>
              </w:rPr>
            </w:pPr>
          </w:p>
        </w:tc>
        <w:tc>
          <w:tcPr>
            <w:tcW w:w="10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shd w:val="clear" w:color="auto" w:fill="EAEAEC"/>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780" w:type="dxa"/>
            <w:vAlign w:val="bottom"/>
            <w:tcBorders>
              <w:bottom w:val="single" w:sz="8" w:color="EAEAEC"/>
            </w:tcBorders>
            <w:shd w:val="clear" w:color="auto" w:fill="EAEAEC"/>
          </w:tcPr>
          <w:p>
            <w:pPr>
              <w:spacing w:after="0"/>
              <w:rPr>
                <w:sz w:val="12"/>
                <w:szCs w:val="12"/>
                <w:color w:val="auto"/>
              </w:rPr>
            </w:pPr>
          </w:p>
        </w:tc>
        <w:tc>
          <w:tcPr>
            <w:tcW w:w="18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40,000</w:t>
            </w:r>
          </w:p>
        </w:tc>
        <w:tc>
          <w:tcPr>
            <w:tcW w:w="1000" w:type="dxa"/>
            <w:vAlign w:val="bottom"/>
            <w:tcBorders>
              <w:bottom w:val="single" w:sz="8" w:color="auto"/>
            </w:tcBorders>
            <w:shd w:val="clear" w:color="auto" w:fill="EAEAEC"/>
          </w:tcPr>
          <w:p>
            <w:pPr>
              <w:jc w:val="right"/>
              <w:ind w:right="238"/>
              <w:spacing w:after="0" w:line="142"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shd w:val="clear" w:color="auto" w:fill="EAEAEC"/>
          </w:tcPr>
          <w:p>
            <w:pPr>
              <w:ind w:left="780"/>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356"/>
              <w:spacing w:after="0" w:line="142" w:lineRule="exact"/>
              <w:rPr>
                <w:sz w:val="20"/>
                <w:szCs w:val="20"/>
                <w:color w:val="auto"/>
              </w:rPr>
            </w:pPr>
            <w:r>
              <w:rPr>
                <w:rFonts w:ascii="Arial" w:cs="Arial" w:eastAsia="Arial" w:hAnsi="Arial"/>
                <w:sz w:val="13"/>
                <w:szCs w:val="13"/>
                <w:color w:val="231F20"/>
              </w:rPr>
              <w:t>555.67</w:t>
            </w:r>
          </w:p>
        </w:tc>
        <w:tc>
          <w:tcPr>
            <w:tcW w:w="900" w:type="dxa"/>
            <w:vAlign w:val="bottom"/>
            <w:tcBorders>
              <w:bottom w:val="single" w:sz="8" w:color="auto"/>
            </w:tcBorders>
            <w:shd w:val="clear" w:color="auto" w:fill="EAEAEC"/>
          </w:tcPr>
          <w:p>
            <w:pPr>
              <w:jc w:val="right"/>
              <w:ind w:right="56"/>
              <w:spacing w:after="0" w:line="142" w:lineRule="exact"/>
              <w:rPr>
                <w:sz w:val="20"/>
                <w:szCs w:val="20"/>
                <w:color w:val="auto"/>
              </w:rPr>
            </w:pPr>
            <w:r>
              <w:rPr>
                <w:rFonts w:ascii="Arial" w:cs="Arial" w:eastAsia="Arial" w:hAnsi="Arial"/>
                <w:sz w:val="13"/>
                <w:szCs w:val="13"/>
                <w:color w:val="231F20"/>
              </w:rPr>
              <w:t>12/16/2025</w:t>
            </w:r>
          </w:p>
        </w:tc>
        <w:tc>
          <w:tcPr>
            <w:tcW w:w="160" w:type="dxa"/>
            <w:vAlign w:val="bottom"/>
            <w:tcBorders>
              <w:bottom w:val="single" w:sz="8" w:color="auto"/>
            </w:tcBorders>
            <w:shd w:val="clear" w:color="auto" w:fill="EAEAEC"/>
          </w:tcPr>
          <w:p>
            <w:pPr>
              <w:spacing w:after="0"/>
              <w:rPr>
                <w:sz w:val="12"/>
                <w:szCs w:val="12"/>
                <w:color w:val="auto"/>
              </w:rPr>
            </w:pPr>
          </w:p>
        </w:tc>
        <w:tc>
          <w:tcPr>
            <w:tcW w:w="10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shd w:val="clear" w:color="auto" w:fill="EAEAEC"/>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780" w:type="dxa"/>
            <w:vAlign w:val="bottom"/>
            <w:tcBorders>
              <w:bottom w:val="single" w:sz="8" w:color="EAEAEC"/>
            </w:tcBorders>
            <w:shd w:val="clear" w:color="auto" w:fill="EAEAEC"/>
          </w:tcPr>
          <w:p>
            <w:pPr>
              <w:spacing w:after="0"/>
              <w:rPr>
                <w:sz w:val="12"/>
                <w:szCs w:val="12"/>
                <w:color w:val="auto"/>
              </w:rPr>
            </w:pPr>
          </w:p>
        </w:tc>
        <w:tc>
          <w:tcPr>
            <w:tcW w:w="18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color w:val="231F20"/>
              </w:rPr>
              <w:t>40,000</w:t>
            </w:r>
          </w:p>
        </w:tc>
        <w:tc>
          <w:tcPr>
            <w:tcW w:w="1000" w:type="dxa"/>
            <w:vAlign w:val="bottom"/>
            <w:tcBorders>
              <w:bottom w:val="single" w:sz="8" w:color="auto"/>
            </w:tcBorders>
            <w:shd w:val="clear" w:color="auto" w:fill="EAEAEC"/>
          </w:tcPr>
          <w:p>
            <w:pPr>
              <w:jc w:val="right"/>
              <w:ind w:right="238"/>
              <w:spacing w:after="0" w:line="142"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shd w:val="clear" w:color="auto" w:fill="EAEAEC"/>
          </w:tcPr>
          <w:p>
            <w:pPr>
              <w:ind w:left="780"/>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356"/>
              <w:spacing w:after="0" w:line="142" w:lineRule="exact"/>
              <w:rPr>
                <w:sz w:val="20"/>
                <w:szCs w:val="20"/>
                <w:color w:val="auto"/>
              </w:rPr>
            </w:pPr>
            <w:r>
              <w:rPr>
                <w:rFonts w:ascii="Arial" w:cs="Arial" w:eastAsia="Arial" w:hAnsi="Arial"/>
                <w:sz w:val="13"/>
                <w:szCs w:val="13"/>
                <w:color w:val="231F20"/>
              </w:rPr>
              <w:t>399.66</w:t>
            </w:r>
          </w:p>
        </w:tc>
        <w:tc>
          <w:tcPr>
            <w:tcW w:w="900" w:type="dxa"/>
            <w:vAlign w:val="bottom"/>
            <w:tcBorders>
              <w:bottom w:val="single" w:sz="8" w:color="auto"/>
            </w:tcBorders>
            <w:shd w:val="clear" w:color="auto" w:fill="EAEAEC"/>
          </w:tcPr>
          <w:p>
            <w:pPr>
              <w:jc w:val="right"/>
              <w:ind w:right="56"/>
              <w:spacing w:after="0" w:line="142" w:lineRule="exact"/>
              <w:rPr>
                <w:sz w:val="20"/>
                <w:szCs w:val="20"/>
                <w:color w:val="auto"/>
              </w:rPr>
            </w:pPr>
            <w:r>
              <w:rPr>
                <w:rFonts w:ascii="Arial" w:cs="Arial" w:eastAsia="Arial" w:hAnsi="Arial"/>
                <w:sz w:val="13"/>
                <w:szCs w:val="13"/>
                <w:color w:val="231F20"/>
              </w:rPr>
              <w:t>12/16/2024</w:t>
            </w:r>
          </w:p>
        </w:tc>
        <w:tc>
          <w:tcPr>
            <w:tcW w:w="160" w:type="dxa"/>
            <w:vAlign w:val="bottom"/>
            <w:tcBorders>
              <w:bottom w:val="single" w:sz="8" w:color="auto"/>
            </w:tcBorders>
            <w:shd w:val="clear" w:color="auto" w:fill="EAEAEC"/>
          </w:tcPr>
          <w:p>
            <w:pPr>
              <w:spacing w:after="0"/>
              <w:rPr>
                <w:sz w:val="12"/>
                <w:szCs w:val="12"/>
                <w:color w:val="auto"/>
              </w:rPr>
            </w:pPr>
          </w:p>
        </w:tc>
        <w:tc>
          <w:tcPr>
            <w:tcW w:w="10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shd w:val="clear" w:color="auto" w:fill="EAEAEC"/>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780" w:type="dxa"/>
            <w:vAlign w:val="bottom"/>
            <w:tcBorders>
              <w:bottom w:val="single" w:sz="8" w:color="EAEAEC"/>
            </w:tcBorders>
            <w:shd w:val="clear" w:color="auto" w:fill="EAEAEC"/>
          </w:tcPr>
          <w:p>
            <w:pPr>
              <w:ind w:left="60"/>
              <w:spacing w:after="0" w:line="129" w:lineRule="exact"/>
              <w:rPr>
                <w:sz w:val="20"/>
                <w:szCs w:val="20"/>
                <w:color w:val="auto"/>
              </w:rPr>
            </w:pPr>
            <w:r>
              <w:rPr>
                <w:rFonts w:ascii="Arial" w:cs="Arial" w:eastAsia="Arial" w:hAnsi="Arial"/>
                <w:sz w:val="13"/>
                <w:szCs w:val="13"/>
                <w:b w:val="1"/>
                <w:bCs w:val="1"/>
                <w:color w:val="C04C57"/>
              </w:rPr>
              <w:t>Daniel P.</w:t>
            </w:r>
          </w:p>
        </w:tc>
        <w:tc>
          <w:tcPr>
            <w:tcW w:w="180" w:type="dxa"/>
            <w:vAlign w:val="bottom"/>
            <w:tcBorders>
              <w:bottom w:val="single" w:sz="8" w:color="EAEAEC"/>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29" w:lineRule="exact"/>
              <w:rPr>
                <w:sz w:val="20"/>
                <w:szCs w:val="20"/>
                <w:color w:val="auto"/>
              </w:rPr>
            </w:pPr>
            <w:r>
              <w:rPr>
                <w:rFonts w:ascii="Arial" w:cs="Arial" w:eastAsia="Arial" w:hAnsi="Arial"/>
                <w:sz w:val="13"/>
                <w:szCs w:val="13"/>
                <w:color w:val="231F20"/>
              </w:rPr>
              <w:t>50,000</w:t>
            </w:r>
          </w:p>
        </w:tc>
        <w:tc>
          <w:tcPr>
            <w:tcW w:w="1000" w:type="dxa"/>
            <w:vAlign w:val="bottom"/>
            <w:tcBorders>
              <w:bottom w:val="single" w:sz="8" w:color="auto"/>
            </w:tcBorders>
            <w:shd w:val="clear" w:color="auto" w:fill="EAEAEC"/>
          </w:tcPr>
          <w:p>
            <w:pPr>
              <w:jc w:val="right"/>
              <w:ind w:right="238"/>
              <w:spacing w:after="0" w:line="129"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shd w:val="clear" w:color="auto" w:fill="EAEAEC"/>
          </w:tcPr>
          <w:p>
            <w:pPr>
              <w:ind w:left="780"/>
              <w:spacing w:after="0" w:line="129"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356"/>
              <w:spacing w:after="0" w:line="129" w:lineRule="exact"/>
              <w:rPr>
                <w:sz w:val="20"/>
                <w:szCs w:val="20"/>
                <w:color w:val="auto"/>
              </w:rPr>
            </w:pPr>
            <w:r>
              <w:rPr>
                <w:rFonts w:ascii="Arial" w:cs="Arial" w:eastAsia="Arial" w:hAnsi="Arial"/>
                <w:sz w:val="13"/>
                <w:szCs w:val="13"/>
                <w:color w:val="231F20"/>
              </w:rPr>
              <w:t>270.43</w:t>
            </w:r>
          </w:p>
        </w:tc>
        <w:tc>
          <w:tcPr>
            <w:tcW w:w="900" w:type="dxa"/>
            <w:vAlign w:val="bottom"/>
            <w:tcBorders>
              <w:bottom w:val="single" w:sz="8" w:color="auto"/>
            </w:tcBorders>
            <w:shd w:val="clear" w:color="auto" w:fill="EAEAEC"/>
          </w:tcPr>
          <w:p>
            <w:pPr>
              <w:jc w:val="right"/>
              <w:ind w:right="56"/>
              <w:spacing w:after="0" w:line="129" w:lineRule="exact"/>
              <w:rPr>
                <w:sz w:val="20"/>
                <w:szCs w:val="20"/>
                <w:color w:val="auto"/>
              </w:rPr>
            </w:pPr>
            <w:r>
              <w:rPr>
                <w:rFonts w:ascii="Arial" w:cs="Arial" w:eastAsia="Arial" w:hAnsi="Arial"/>
                <w:sz w:val="13"/>
                <w:szCs w:val="13"/>
                <w:color w:val="231F20"/>
              </w:rPr>
              <w:t>12/13/2023</w:t>
            </w:r>
          </w:p>
        </w:tc>
        <w:tc>
          <w:tcPr>
            <w:tcW w:w="160" w:type="dxa"/>
            <w:vAlign w:val="bottom"/>
            <w:tcBorders>
              <w:bottom w:val="single" w:sz="8" w:color="auto"/>
            </w:tcBorders>
            <w:shd w:val="clear" w:color="auto" w:fill="EAEAEC"/>
          </w:tcPr>
          <w:p>
            <w:pPr>
              <w:spacing w:after="0"/>
              <w:rPr>
                <w:sz w:val="12"/>
                <w:szCs w:val="12"/>
                <w:color w:val="auto"/>
              </w:rPr>
            </w:pPr>
          </w:p>
        </w:tc>
        <w:tc>
          <w:tcPr>
            <w:tcW w:w="1040" w:type="dxa"/>
            <w:vAlign w:val="bottom"/>
            <w:tcBorders>
              <w:bottom w:val="single" w:sz="8" w:color="auto"/>
            </w:tcBorders>
            <w:shd w:val="clear" w:color="auto" w:fill="EAEAEC"/>
          </w:tcPr>
          <w:p>
            <w:pPr>
              <w:jc w:val="right"/>
              <w:ind w:right="197"/>
              <w:spacing w:after="0" w:line="129"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117"/>
              <w:spacing w:after="0" w:line="129" w:lineRule="exact"/>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shd w:val="clear" w:color="auto" w:fill="EAEAEC"/>
          </w:tcPr>
          <w:p>
            <w:pPr>
              <w:jc w:val="right"/>
              <w:ind w:right="117"/>
              <w:spacing w:after="0" w:line="129"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shd w:val="clear" w:color="auto" w:fill="EAEAEC"/>
          </w:tcPr>
          <w:p>
            <w:pPr>
              <w:jc w:val="right"/>
              <w:ind w:right="100"/>
              <w:spacing w:after="0" w:line="129"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69"/>
        </w:trPr>
        <w:tc>
          <w:tcPr>
            <w:tcW w:w="780" w:type="dxa"/>
            <w:vAlign w:val="bottom"/>
            <w:tcBorders>
              <w:bottom w:val="single" w:sz="8" w:color="EAEAEC"/>
            </w:tcBorders>
            <w:shd w:val="clear" w:color="auto" w:fill="EAEAEC"/>
          </w:tcPr>
          <w:p>
            <w:pPr>
              <w:ind w:left="60"/>
              <w:spacing w:after="0"/>
              <w:rPr>
                <w:sz w:val="20"/>
                <w:szCs w:val="20"/>
                <w:color w:val="auto"/>
              </w:rPr>
            </w:pPr>
            <w:r>
              <w:rPr>
                <w:rFonts w:ascii="Arial" w:cs="Arial" w:eastAsia="Arial" w:hAnsi="Arial"/>
                <w:sz w:val="13"/>
                <w:szCs w:val="13"/>
                <w:b w:val="1"/>
                <w:bCs w:val="1"/>
                <w:color w:val="C04C57"/>
              </w:rPr>
              <w:t>Van Plew</w:t>
            </w:r>
          </w:p>
        </w:tc>
        <w:tc>
          <w:tcPr>
            <w:tcW w:w="180" w:type="dxa"/>
            <w:vAlign w:val="bottom"/>
            <w:tcBorders>
              <w:bottom w:val="single" w:sz="8" w:color="EAEAEC"/>
            </w:tcBorders>
            <w:shd w:val="clear" w:color="auto" w:fill="EAEAEC"/>
          </w:tcPr>
          <w:p>
            <w:pPr>
              <w:spacing w:after="0"/>
              <w:rPr>
                <w:sz w:val="14"/>
                <w:szCs w:val="14"/>
                <w:color w:val="auto"/>
              </w:rPr>
            </w:pPr>
          </w:p>
        </w:tc>
        <w:tc>
          <w:tcPr>
            <w:tcW w:w="860" w:type="dxa"/>
            <w:vAlign w:val="bottom"/>
            <w:tcBorders>
              <w:bottom w:val="single" w:sz="8" w:color="auto"/>
            </w:tcBorders>
            <w:shd w:val="clear" w:color="auto" w:fill="EAEAEC"/>
          </w:tcPr>
          <w:p>
            <w:pPr>
              <w:jc w:val="right"/>
              <w:ind w:right="196"/>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shd w:val="clear" w:color="auto" w:fill="EAEAEC"/>
          </w:tcPr>
          <w:p>
            <w:pPr>
              <w:jc w:val="right"/>
              <w:ind w:right="238"/>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shd w:val="clear" w:color="auto" w:fill="EAEAEC"/>
          </w:tcPr>
          <w:p>
            <w:pPr>
              <w:ind w:left="780"/>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356"/>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gridSpan w:val="2"/>
            <w:shd w:val="clear" w:color="auto" w:fill="EAEAEC"/>
          </w:tcPr>
          <w:p>
            <w:pPr>
              <w:jc w:val="right"/>
              <w:ind w:right="280"/>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shd w:val="clear" w:color="auto" w:fill="EAEAEC"/>
          </w:tcPr>
          <w:p>
            <w:pPr>
              <w:ind w:left="460"/>
              <w:spacing w:after="0" w:line="169" w:lineRule="exact"/>
              <w:rPr>
                <w:sz w:val="20"/>
                <w:szCs w:val="20"/>
                <w:color w:val="auto"/>
              </w:rPr>
            </w:pPr>
            <w:r>
              <w:rPr>
                <w:rFonts w:ascii="Arial" w:cs="Arial" w:eastAsia="Arial" w:hAnsi="Arial"/>
                <w:sz w:val="12"/>
                <w:szCs w:val="12"/>
                <w:color w:val="231F20"/>
              </w:rPr>
              <w:t>1,930</w:t>
            </w:r>
            <w:r>
              <w:rPr>
                <w:rFonts w:ascii="Arial" w:cs="Arial" w:eastAsia="Arial" w:hAnsi="Arial"/>
                <w:sz w:val="19"/>
                <w:szCs w:val="19"/>
                <w:color w:val="231F20"/>
                <w:vertAlign w:val="superscript"/>
              </w:rPr>
              <w:t>8</w:t>
            </w:r>
          </w:p>
        </w:tc>
        <w:tc>
          <w:tcPr>
            <w:tcW w:w="1060" w:type="dxa"/>
            <w:vAlign w:val="bottom"/>
            <w:tcBorders>
              <w:bottom w:val="single" w:sz="8" w:color="auto"/>
            </w:tcBorders>
            <w:shd w:val="clear" w:color="auto" w:fill="EAEAEC"/>
          </w:tcPr>
          <w:p>
            <w:pPr>
              <w:jc w:val="right"/>
              <w:ind w:right="57"/>
              <w:spacing w:after="0" w:line="169" w:lineRule="exact"/>
              <w:rPr>
                <w:sz w:val="20"/>
                <w:szCs w:val="20"/>
                <w:color w:val="auto"/>
              </w:rPr>
            </w:pPr>
            <w:r>
              <w:rPr>
                <w:rFonts w:ascii="Arial" w:cs="Arial" w:eastAsia="Arial" w:hAnsi="Arial"/>
                <w:sz w:val="12"/>
                <w:szCs w:val="12"/>
                <w:color w:val="231F20"/>
              </w:rPr>
              <w:t>932,402</w:t>
            </w:r>
            <w:r>
              <w:rPr>
                <w:rFonts w:ascii="Arial" w:cs="Arial" w:eastAsia="Arial" w:hAnsi="Arial"/>
                <w:sz w:val="19"/>
                <w:szCs w:val="19"/>
                <w:color w:val="231F20"/>
                <w:vertAlign w:val="superscript"/>
              </w:rPr>
              <w:t>7</w:t>
            </w:r>
          </w:p>
        </w:tc>
        <w:tc>
          <w:tcPr>
            <w:tcW w:w="1080" w:type="dxa"/>
            <w:vAlign w:val="bottom"/>
            <w:tcBorders>
              <w:bottom w:val="single" w:sz="8" w:color="auto"/>
            </w:tcBorders>
            <w:shd w:val="clear" w:color="auto" w:fill="EAEAEC"/>
          </w:tcPr>
          <w:p>
            <w:pPr>
              <w:jc w:val="right"/>
              <w:ind w:right="11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shd w:val="clear" w:color="auto" w:fill="EAEAEC"/>
          </w:tcPr>
          <w:p>
            <w:pPr>
              <w:jc w:val="right"/>
              <w:ind w:right="10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69"/>
        </w:trPr>
        <w:tc>
          <w:tcPr>
            <w:tcW w:w="780" w:type="dxa"/>
            <w:vAlign w:val="bottom"/>
            <w:tcBorders>
              <w:bottom w:val="single" w:sz="8" w:color="EAEAEC"/>
            </w:tcBorders>
            <w:shd w:val="clear" w:color="auto" w:fill="EAEAEC"/>
          </w:tcPr>
          <w:p>
            <w:pPr>
              <w:spacing w:after="0"/>
              <w:rPr>
                <w:sz w:val="14"/>
                <w:szCs w:val="14"/>
                <w:color w:val="auto"/>
              </w:rPr>
            </w:pPr>
          </w:p>
        </w:tc>
        <w:tc>
          <w:tcPr>
            <w:tcW w:w="180" w:type="dxa"/>
            <w:vAlign w:val="bottom"/>
            <w:tcBorders>
              <w:bottom w:val="single" w:sz="8" w:color="EAEAEC"/>
            </w:tcBorders>
            <w:shd w:val="clear" w:color="auto" w:fill="EAEAEC"/>
          </w:tcPr>
          <w:p>
            <w:pPr>
              <w:spacing w:after="0"/>
              <w:rPr>
                <w:sz w:val="14"/>
                <w:szCs w:val="14"/>
                <w:color w:val="auto"/>
              </w:rPr>
            </w:pPr>
          </w:p>
        </w:tc>
        <w:tc>
          <w:tcPr>
            <w:tcW w:w="860" w:type="dxa"/>
            <w:vAlign w:val="bottom"/>
            <w:tcBorders>
              <w:bottom w:val="single" w:sz="8" w:color="auto"/>
            </w:tcBorders>
            <w:shd w:val="clear" w:color="auto" w:fill="EAEAEC"/>
          </w:tcPr>
          <w:p>
            <w:pPr>
              <w:jc w:val="right"/>
              <w:ind w:right="196"/>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shd w:val="clear" w:color="auto" w:fill="EAEAEC"/>
          </w:tcPr>
          <w:p>
            <w:pPr>
              <w:jc w:val="right"/>
              <w:ind w:right="238"/>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shd w:val="clear" w:color="auto" w:fill="EAEAEC"/>
          </w:tcPr>
          <w:p>
            <w:pPr>
              <w:ind w:left="780"/>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356"/>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gridSpan w:val="2"/>
            <w:shd w:val="clear" w:color="auto" w:fill="EAEAEC"/>
          </w:tcPr>
          <w:p>
            <w:pPr>
              <w:jc w:val="right"/>
              <w:ind w:right="280"/>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shd w:val="clear" w:color="auto" w:fill="EAEAEC"/>
          </w:tcPr>
          <w:p>
            <w:pPr>
              <w:ind w:left="460"/>
              <w:spacing w:after="0" w:line="169" w:lineRule="exact"/>
              <w:rPr>
                <w:sz w:val="20"/>
                <w:szCs w:val="20"/>
                <w:color w:val="auto"/>
              </w:rPr>
            </w:pPr>
            <w:r>
              <w:rPr>
                <w:rFonts w:ascii="Arial" w:cs="Arial" w:eastAsia="Arial" w:hAnsi="Arial"/>
                <w:sz w:val="12"/>
                <w:szCs w:val="12"/>
                <w:color w:val="231F20"/>
              </w:rPr>
              <w:t>5,000</w:t>
            </w:r>
            <w:r>
              <w:rPr>
                <w:rFonts w:ascii="Arial" w:cs="Arial" w:eastAsia="Arial" w:hAnsi="Arial"/>
                <w:sz w:val="19"/>
                <w:szCs w:val="19"/>
                <w:color w:val="231F20"/>
                <w:vertAlign w:val="superscript"/>
              </w:rPr>
              <w:t>9</w:t>
            </w:r>
          </w:p>
        </w:tc>
        <w:tc>
          <w:tcPr>
            <w:tcW w:w="1060" w:type="dxa"/>
            <w:vAlign w:val="bottom"/>
            <w:tcBorders>
              <w:bottom w:val="single" w:sz="8" w:color="auto"/>
            </w:tcBorders>
            <w:shd w:val="clear" w:color="auto" w:fill="EAEAEC"/>
          </w:tcPr>
          <w:p>
            <w:pPr>
              <w:jc w:val="right"/>
              <w:ind w:right="57"/>
              <w:spacing w:after="0" w:line="169" w:lineRule="exact"/>
              <w:rPr>
                <w:sz w:val="20"/>
                <w:szCs w:val="20"/>
                <w:color w:val="auto"/>
              </w:rPr>
            </w:pPr>
            <w:r>
              <w:rPr>
                <w:rFonts w:ascii="Arial" w:cs="Arial" w:eastAsia="Arial" w:hAnsi="Arial"/>
                <w:sz w:val="12"/>
                <w:szCs w:val="12"/>
                <w:color w:val="231F20"/>
              </w:rPr>
              <w:t>2,415,550</w:t>
            </w:r>
            <w:r>
              <w:rPr>
                <w:rFonts w:ascii="Arial" w:cs="Arial" w:eastAsia="Arial" w:hAnsi="Arial"/>
                <w:sz w:val="19"/>
                <w:szCs w:val="19"/>
                <w:color w:val="231F20"/>
                <w:vertAlign w:val="superscript"/>
              </w:rPr>
              <w:t>7</w:t>
            </w:r>
          </w:p>
        </w:tc>
        <w:tc>
          <w:tcPr>
            <w:tcW w:w="1080" w:type="dxa"/>
            <w:vAlign w:val="bottom"/>
            <w:tcBorders>
              <w:bottom w:val="single" w:sz="8" w:color="auto"/>
            </w:tcBorders>
            <w:shd w:val="clear" w:color="auto" w:fill="EAEAEC"/>
          </w:tcPr>
          <w:p>
            <w:pPr>
              <w:jc w:val="right"/>
              <w:ind w:right="11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shd w:val="clear" w:color="auto" w:fill="EAEAEC"/>
          </w:tcPr>
          <w:p>
            <w:pPr>
              <w:jc w:val="right"/>
              <w:ind w:right="10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69"/>
        </w:trPr>
        <w:tc>
          <w:tcPr>
            <w:tcW w:w="780" w:type="dxa"/>
            <w:vAlign w:val="bottom"/>
            <w:tcBorders>
              <w:bottom w:val="single" w:sz="8" w:color="EAEAEC"/>
            </w:tcBorders>
            <w:shd w:val="clear" w:color="auto" w:fill="EAEAEC"/>
          </w:tcPr>
          <w:p>
            <w:pPr>
              <w:spacing w:after="0"/>
              <w:rPr>
                <w:sz w:val="14"/>
                <w:szCs w:val="14"/>
                <w:color w:val="auto"/>
              </w:rPr>
            </w:pPr>
          </w:p>
        </w:tc>
        <w:tc>
          <w:tcPr>
            <w:tcW w:w="180" w:type="dxa"/>
            <w:vAlign w:val="bottom"/>
            <w:tcBorders>
              <w:bottom w:val="single" w:sz="8" w:color="EAEAEC"/>
            </w:tcBorders>
            <w:shd w:val="clear" w:color="auto" w:fill="EAEAEC"/>
          </w:tcPr>
          <w:p>
            <w:pPr>
              <w:spacing w:after="0"/>
              <w:rPr>
                <w:sz w:val="14"/>
                <w:szCs w:val="14"/>
                <w:color w:val="auto"/>
              </w:rPr>
            </w:pPr>
          </w:p>
        </w:tc>
        <w:tc>
          <w:tcPr>
            <w:tcW w:w="860" w:type="dxa"/>
            <w:vAlign w:val="bottom"/>
            <w:tcBorders>
              <w:bottom w:val="single" w:sz="8" w:color="auto"/>
            </w:tcBorders>
            <w:shd w:val="clear" w:color="auto" w:fill="EAEAEC"/>
          </w:tcPr>
          <w:p>
            <w:pPr>
              <w:jc w:val="right"/>
              <w:ind w:right="196"/>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shd w:val="clear" w:color="auto" w:fill="EAEAEC"/>
          </w:tcPr>
          <w:p>
            <w:pPr>
              <w:jc w:val="right"/>
              <w:ind w:right="238"/>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shd w:val="clear" w:color="auto" w:fill="EAEAEC"/>
          </w:tcPr>
          <w:p>
            <w:pPr>
              <w:ind w:left="780"/>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356"/>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gridSpan w:val="2"/>
            <w:shd w:val="clear" w:color="auto" w:fill="EAEAEC"/>
          </w:tcPr>
          <w:p>
            <w:pPr>
              <w:jc w:val="right"/>
              <w:ind w:right="280"/>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shd w:val="clear" w:color="auto" w:fill="EAEAEC"/>
          </w:tcPr>
          <w:p>
            <w:pPr>
              <w:ind w:left="460"/>
              <w:spacing w:after="0" w:line="169" w:lineRule="exact"/>
              <w:rPr>
                <w:sz w:val="20"/>
                <w:szCs w:val="20"/>
                <w:color w:val="auto"/>
              </w:rPr>
            </w:pPr>
            <w:r>
              <w:rPr>
                <w:rFonts w:ascii="Arial" w:cs="Arial" w:eastAsia="Arial" w:hAnsi="Arial"/>
                <w:sz w:val="12"/>
                <w:szCs w:val="12"/>
                <w:color w:val="231F20"/>
              </w:rPr>
              <w:t>2,625</w:t>
            </w:r>
            <w:r>
              <w:rPr>
                <w:rFonts w:ascii="Arial" w:cs="Arial" w:eastAsia="Arial" w:hAnsi="Arial"/>
                <w:sz w:val="19"/>
                <w:szCs w:val="19"/>
                <w:color w:val="231F20"/>
                <w:vertAlign w:val="superscript"/>
              </w:rPr>
              <w:t>10</w:t>
            </w:r>
          </w:p>
        </w:tc>
        <w:tc>
          <w:tcPr>
            <w:tcW w:w="1060" w:type="dxa"/>
            <w:vAlign w:val="bottom"/>
            <w:tcBorders>
              <w:bottom w:val="single" w:sz="8" w:color="auto"/>
            </w:tcBorders>
            <w:shd w:val="clear" w:color="auto" w:fill="EAEAEC"/>
          </w:tcPr>
          <w:p>
            <w:pPr>
              <w:jc w:val="right"/>
              <w:ind w:right="57"/>
              <w:spacing w:after="0" w:line="169" w:lineRule="exact"/>
              <w:rPr>
                <w:sz w:val="20"/>
                <w:szCs w:val="20"/>
                <w:color w:val="auto"/>
              </w:rPr>
            </w:pPr>
            <w:r>
              <w:rPr>
                <w:rFonts w:ascii="Arial" w:cs="Arial" w:eastAsia="Arial" w:hAnsi="Arial"/>
                <w:sz w:val="12"/>
                <w:szCs w:val="12"/>
                <w:color w:val="231F20"/>
              </w:rPr>
              <w:t>1,268,164</w:t>
            </w:r>
            <w:r>
              <w:rPr>
                <w:rFonts w:ascii="Arial" w:cs="Arial" w:eastAsia="Arial" w:hAnsi="Arial"/>
                <w:sz w:val="19"/>
                <w:szCs w:val="19"/>
                <w:color w:val="231F20"/>
                <w:vertAlign w:val="superscript"/>
              </w:rPr>
              <w:t>7</w:t>
            </w:r>
          </w:p>
        </w:tc>
        <w:tc>
          <w:tcPr>
            <w:tcW w:w="1080" w:type="dxa"/>
            <w:vAlign w:val="bottom"/>
            <w:tcBorders>
              <w:bottom w:val="single" w:sz="8" w:color="auto"/>
            </w:tcBorders>
            <w:shd w:val="clear" w:color="auto" w:fill="EAEAEC"/>
          </w:tcPr>
          <w:p>
            <w:pPr>
              <w:jc w:val="right"/>
              <w:ind w:right="11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shd w:val="clear" w:color="auto" w:fill="EAEAEC"/>
          </w:tcPr>
          <w:p>
            <w:pPr>
              <w:jc w:val="right"/>
              <w:ind w:right="10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69"/>
        </w:trPr>
        <w:tc>
          <w:tcPr>
            <w:tcW w:w="780" w:type="dxa"/>
            <w:vAlign w:val="bottom"/>
            <w:tcBorders>
              <w:bottom w:val="single" w:sz="8" w:color="EAEAEC"/>
            </w:tcBorders>
            <w:vMerge w:val="restart"/>
            <w:shd w:val="clear" w:color="auto" w:fill="EAEAEC"/>
          </w:tcPr>
          <w:p>
            <w:pPr>
              <w:ind w:left="360"/>
              <w:spacing w:after="0"/>
              <w:rPr>
                <w:sz w:val="20"/>
                <w:szCs w:val="20"/>
                <w:color w:val="auto"/>
              </w:rPr>
            </w:pPr>
            <w:r>
              <w:rPr>
                <w:rFonts w:ascii="Arial" w:cs="Arial" w:eastAsia="Arial" w:hAnsi="Arial"/>
                <w:sz w:val="13"/>
                <w:szCs w:val="13"/>
                <w:b w:val="1"/>
                <w:bCs w:val="1"/>
                <w:color w:val="231F20"/>
                <w:w w:val="92"/>
              </w:rPr>
              <w:t>TOTAL</w:t>
            </w:r>
          </w:p>
        </w:tc>
        <w:tc>
          <w:tcPr>
            <w:tcW w:w="180" w:type="dxa"/>
            <w:vAlign w:val="bottom"/>
            <w:tcBorders>
              <w:bottom w:val="single" w:sz="8" w:color="EAEAEC"/>
            </w:tcBorders>
            <w:shd w:val="clear" w:color="auto" w:fill="EAEAEC"/>
          </w:tcPr>
          <w:p>
            <w:pPr>
              <w:spacing w:after="0"/>
              <w:rPr>
                <w:sz w:val="14"/>
                <w:szCs w:val="14"/>
                <w:color w:val="auto"/>
              </w:rPr>
            </w:pPr>
          </w:p>
        </w:tc>
        <w:tc>
          <w:tcPr>
            <w:tcW w:w="860" w:type="dxa"/>
            <w:vAlign w:val="bottom"/>
            <w:tcBorders>
              <w:bottom w:val="single" w:sz="8" w:color="auto"/>
            </w:tcBorders>
            <w:shd w:val="clear" w:color="auto" w:fill="EAEAEC"/>
          </w:tcPr>
          <w:p>
            <w:pPr>
              <w:jc w:val="right"/>
              <w:ind w:right="196"/>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shd w:val="clear" w:color="auto" w:fill="EAEAEC"/>
          </w:tcPr>
          <w:p>
            <w:pPr>
              <w:jc w:val="right"/>
              <w:ind w:right="238"/>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shd w:val="clear" w:color="auto" w:fill="EAEAEC"/>
          </w:tcPr>
          <w:p>
            <w:pPr>
              <w:ind w:left="780"/>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shd w:val="clear" w:color="auto" w:fill="EAEAEC"/>
          </w:tcPr>
          <w:p>
            <w:pPr>
              <w:jc w:val="right"/>
              <w:ind w:right="356"/>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gridSpan w:val="2"/>
            <w:shd w:val="clear" w:color="auto" w:fill="EAEAEC"/>
          </w:tcPr>
          <w:p>
            <w:pPr>
              <w:jc w:val="right"/>
              <w:ind w:right="280"/>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shd w:val="clear" w:color="auto" w:fill="EAEAEC"/>
          </w:tcPr>
          <w:p>
            <w:pPr>
              <w:ind w:left="460"/>
              <w:spacing w:after="0" w:line="169" w:lineRule="exact"/>
              <w:rPr>
                <w:sz w:val="20"/>
                <w:szCs w:val="20"/>
                <w:color w:val="auto"/>
              </w:rPr>
            </w:pPr>
            <w:r>
              <w:rPr>
                <w:rFonts w:ascii="Arial" w:cs="Arial" w:eastAsia="Arial" w:hAnsi="Arial"/>
                <w:sz w:val="12"/>
                <w:szCs w:val="12"/>
                <w:color w:val="231F20"/>
              </w:rPr>
              <w:t>5,000</w:t>
            </w:r>
            <w:r>
              <w:rPr>
                <w:rFonts w:ascii="Arial" w:cs="Arial" w:eastAsia="Arial" w:hAnsi="Arial"/>
                <w:sz w:val="19"/>
                <w:szCs w:val="19"/>
                <w:color w:val="231F20"/>
                <w:vertAlign w:val="superscript"/>
              </w:rPr>
              <w:t>11</w:t>
            </w:r>
          </w:p>
        </w:tc>
        <w:tc>
          <w:tcPr>
            <w:tcW w:w="1060" w:type="dxa"/>
            <w:vAlign w:val="bottom"/>
            <w:tcBorders>
              <w:bottom w:val="single" w:sz="8" w:color="auto"/>
            </w:tcBorders>
            <w:shd w:val="clear" w:color="auto" w:fill="EAEAEC"/>
          </w:tcPr>
          <w:p>
            <w:pPr>
              <w:jc w:val="right"/>
              <w:ind w:right="57"/>
              <w:spacing w:after="0" w:line="169" w:lineRule="exact"/>
              <w:rPr>
                <w:sz w:val="20"/>
                <w:szCs w:val="20"/>
                <w:color w:val="auto"/>
              </w:rPr>
            </w:pPr>
            <w:r>
              <w:rPr>
                <w:rFonts w:ascii="Arial" w:cs="Arial" w:eastAsia="Arial" w:hAnsi="Arial"/>
                <w:sz w:val="12"/>
                <w:szCs w:val="12"/>
                <w:color w:val="231F20"/>
              </w:rPr>
              <w:t>2,415,550</w:t>
            </w:r>
            <w:r>
              <w:rPr>
                <w:rFonts w:ascii="Arial" w:cs="Arial" w:eastAsia="Arial" w:hAnsi="Arial"/>
                <w:sz w:val="19"/>
                <w:szCs w:val="19"/>
                <w:color w:val="231F20"/>
                <w:vertAlign w:val="superscript"/>
              </w:rPr>
              <w:t>7</w:t>
            </w:r>
          </w:p>
        </w:tc>
        <w:tc>
          <w:tcPr>
            <w:tcW w:w="1080" w:type="dxa"/>
            <w:vAlign w:val="bottom"/>
            <w:tcBorders>
              <w:bottom w:val="single" w:sz="8" w:color="auto"/>
            </w:tcBorders>
            <w:shd w:val="clear" w:color="auto" w:fill="EAEAEC"/>
          </w:tcPr>
          <w:p>
            <w:pPr>
              <w:jc w:val="right"/>
              <w:ind w:right="11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shd w:val="clear" w:color="auto" w:fill="EAEAEC"/>
          </w:tcPr>
          <w:p>
            <w:pPr>
              <w:jc w:val="right"/>
              <w:ind w:right="10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780" w:type="dxa"/>
            <w:vAlign w:val="bottom"/>
            <w:tcBorders>
              <w:bottom w:val="single" w:sz="8" w:color="auto"/>
            </w:tcBorders>
            <w:vMerge w:val="continue"/>
            <w:shd w:val="clear" w:color="auto" w:fill="EAEAEC"/>
          </w:tcPr>
          <w:p>
            <w:pPr>
              <w:spacing w:after="0"/>
              <w:rPr>
                <w:sz w:val="12"/>
                <w:szCs w:val="12"/>
                <w:color w:val="auto"/>
              </w:rPr>
            </w:pPr>
          </w:p>
        </w:tc>
        <w:tc>
          <w:tcPr>
            <w:tcW w:w="180" w:type="dxa"/>
            <w:vAlign w:val="bottom"/>
            <w:tcBorders>
              <w:bottom w:val="single" w:sz="8" w:color="auto"/>
            </w:tcBorders>
            <w:shd w:val="clear" w:color="auto" w:fill="EAEAEC"/>
          </w:tcPr>
          <w:p>
            <w:pPr>
              <w:spacing w:after="0"/>
              <w:rPr>
                <w:sz w:val="12"/>
                <w:szCs w:val="12"/>
                <w:color w:val="auto"/>
              </w:rPr>
            </w:pPr>
          </w:p>
        </w:tc>
        <w:tc>
          <w:tcPr>
            <w:tcW w:w="860" w:type="dxa"/>
            <w:vAlign w:val="bottom"/>
            <w:tcBorders>
              <w:bottom w:val="single" w:sz="8" w:color="auto"/>
            </w:tcBorders>
            <w:shd w:val="clear" w:color="auto" w:fill="EAEAEC"/>
          </w:tcPr>
          <w:p>
            <w:pPr>
              <w:jc w:val="right"/>
              <w:ind w:right="196"/>
              <w:spacing w:after="0" w:line="142" w:lineRule="exact"/>
              <w:rPr>
                <w:sz w:val="20"/>
                <w:szCs w:val="20"/>
                <w:color w:val="auto"/>
              </w:rPr>
            </w:pPr>
            <w:r>
              <w:rPr>
                <w:rFonts w:ascii="Arial" w:cs="Arial" w:eastAsia="Arial" w:hAnsi="Arial"/>
                <w:sz w:val="13"/>
                <w:szCs w:val="13"/>
                <w:b w:val="1"/>
                <w:bCs w:val="1"/>
                <w:color w:val="231F20"/>
              </w:rPr>
              <w:t>230,751</w:t>
            </w:r>
          </w:p>
        </w:tc>
        <w:tc>
          <w:tcPr>
            <w:tcW w:w="1000" w:type="dxa"/>
            <w:vAlign w:val="bottom"/>
            <w:tcBorders>
              <w:bottom w:val="single" w:sz="8" w:color="auto"/>
            </w:tcBorders>
            <w:shd w:val="clear" w:color="auto" w:fill="EAEAEC"/>
          </w:tcPr>
          <w:p>
            <w:pPr>
              <w:jc w:val="right"/>
              <w:ind w:right="238"/>
              <w:spacing w:after="0" w:line="142" w:lineRule="exact"/>
              <w:rPr>
                <w:sz w:val="20"/>
                <w:szCs w:val="20"/>
                <w:color w:val="auto"/>
              </w:rPr>
            </w:pPr>
            <w:r>
              <w:rPr>
                <w:rFonts w:ascii="Arial" w:cs="Arial" w:eastAsia="Arial" w:hAnsi="Arial"/>
                <w:sz w:val="13"/>
                <w:szCs w:val="13"/>
                <w:b w:val="1"/>
                <w:bCs w:val="1"/>
                <w:color w:val="231F20"/>
              </w:rPr>
              <w:t>73,949</w:t>
            </w:r>
          </w:p>
        </w:tc>
        <w:tc>
          <w:tcPr>
            <w:tcW w:w="1040" w:type="dxa"/>
            <w:vAlign w:val="bottom"/>
            <w:tcBorders>
              <w:bottom w:val="single" w:sz="8" w:color="auto"/>
            </w:tcBorders>
            <w:shd w:val="clear" w:color="auto" w:fill="EAEAEC"/>
          </w:tcPr>
          <w:p>
            <w:pPr>
              <w:spacing w:after="0"/>
              <w:rPr>
                <w:sz w:val="12"/>
                <w:szCs w:val="12"/>
                <w:color w:val="auto"/>
              </w:rPr>
            </w:pPr>
          </w:p>
        </w:tc>
        <w:tc>
          <w:tcPr>
            <w:tcW w:w="1060" w:type="dxa"/>
            <w:vAlign w:val="bottom"/>
            <w:tcBorders>
              <w:bottom w:val="single" w:sz="8" w:color="auto"/>
            </w:tcBorders>
            <w:shd w:val="clear" w:color="auto" w:fill="EAEAEC"/>
          </w:tcPr>
          <w:p>
            <w:pPr>
              <w:spacing w:after="0"/>
              <w:rPr>
                <w:sz w:val="12"/>
                <w:szCs w:val="12"/>
                <w:color w:val="auto"/>
              </w:rPr>
            </w:pPr>
          </w:p>
        </w:tc>
        <w:tc>
          <w:tcPr>
            <w:tcW w:w="900" w:type="dxa"/>
            <w:vAlign w:val="bottom"/>
            <w:tcBorders>
              <w:bottom w:val="single" w:sz="8" w:color="auto"/>
            </w:tcBorders>
            <w:shd w:val="clear" w:color="auto" w:fill="EAEAEC"/>
          </w:tcPr>
          <w:p>
            <w:pPr>
              <w:spacing w:after="0"/>
              <w:rPr>
                <w:sz w:val="12"/>
                <w:szCs w:val="12"/>
                <w:color w:val="auto"/>
              </w:rPr>
            </w:pPr>
          </w:p>
        </w:tc>
        <w:tc>
          <w:tcPr>
            <w:tcW w:w="160" w:type="dxa"/>
            <w:vAlign w:val="bottom"/>
            <w:tcBorders>
              <w:bottom w:val="single" w:sz="8" w:color="auto"/>
            </w:tcBorders>
            <w:shd w:val="clear" w:color="auto" w:fill="EAEAEC"/>
          </w:tcPr>
          <w:p>
            <w:pPr>
              <w:spacing w:after="0"/>
              <w:rPr>
                <w:sz w:val="12"/>
                <w:szCs w:val="12"/>
                <w:color w:val="auto"/>
              </w:rPr>
            </w:pPr>
          </w:p>
        </w:tc>
        <w:tc>
          <w:tcPr>
            <w:tcW w:w="1040" w:type="dxa"/>
            <w:vAlign w:val="bottom"/>
            <w:tcBorders>
              <w:bottom w:val="single" w:sz="8" w:color="auto"/>
            </w:tcBorders>
            <w:shd w:val="clear" w:color="auto" w:fill="EAEAEC"/>
          </w:tcPr>
          <w:p>
            <w:pPr>
              <w:jc w:val="right"/>
              <w:ind w:right="197"/>
              <w:spacing w:after="0" w:line="142" w:lineRule="exact"/>
              <w:rPr>
                <w:sz w:val="20"/>
                <w:szCs w:val="20"/>
                <w:color w:val="auto"/>
              </w:rPr>
            </w:pPr>
            <w:r>
              <w:rPr>
                <w:rFonts w:ascii="Arial" w:cs="Arial" w:eastAsia="Arial" w:hAnsi="Arial"/>
                <w:sz w:val="13"/>
                <w:szCs w:val="13"/>
                <w:b w:val="1"/>
                <w:bCs w:val="1"/>
                <w:color w:val="231F20"/>
              </w:rPr>
              <w:t>14,555</w:t>
            </w:r>
          </w:p>
        </w:tc>
        <w:tc>
          <w:tcPr>
            <w:tcW w:w="1060" w:type="dxa"/>
            <w:vAlign w:val="bottom"/>
            <w:tcBorders>
              <w:bottom w:val="single" w:sz="8" w:color="auto"/>
            </w:tcBorders>
            <w:shd w:val="clear" w:color="auto" w:fill="EAEAEC"/>
          </w:tcPr>
          <w:p>
            <w:pPr>
              <w:jc w:val="right"/>
              <w:ind w:right="117"/>
              <w:spacing w:after="0" w:line="142" w:lineRule="exact"/>
              <w:rPr>
                <w:sz w:val="20"/>
                <w:szCs w:val="20"/>
                <w:color w:val="auto"/>
              </w:rPr>
            </w:pPr>
            <w:r>
              <w:rPr>
                <w:rFonts w:ascii="Arial" w:cs="Arial" w:eastAsia="Arial" w:hAnsi="Arial"/>
                <w:sz w:val="13"/>
                <w:szCs w:val="13"/>
                <w:b w:val="1"/>
                <w:bCs w:val="1"/>
                <w:color w:val="auto"/>
              </w:rPr>
              <w:t>7,031,66</w:t>
            </w:r>
          </w:p>
        </w:tc>
        <w:tc>
          <w:tcPr>
            <w:tcW w:w="1080" w:type="dxa"/>
            <w:vAlign w:val="bottom"/>
            <w:tcBorders>
              <w:bottom w:val="single" w:sz="8" w:color="auto"/>
            </w:tcBorders>
            <w:shd w:val="clear" w:color="auto" w:fill="EAEAEC"/>
          </w:tcPr>
          <w:p>
            <w:pPr>
              <w:spacing w:after="0"/>
              <w:rPr>
                <w:sz w:val="12"/>
                <w:szCs w:val="12"/>
                <w:color w:val="auto"/>
              </w:rPr>
            </w:pPr>
          </w:p>
        </w:tc>
        <w:tc>
          <w:tcPr>
            <w:tcW w:w="900" w:type="dxa"/>
            <w:vAlign w:val="bottom"/>
            <w:tcBorders>
              <w:bottom w:val="single" w:sz="8" w:color="auto"/>
            </w:tcBorders>
            <w:shd w:val="clear" w:color="auto" w:fill="EAEAEC"/>
          </w:tcPr>
          <w:p>
            <w:pPr>
              <w:spacing w:after="0"/>
              <w:rPr>
                <w:sz w:val="12"/>
                <w:szCs w:val="12"/>
                <w:color w:val="auto"/>
              </w:rPr>
            </w:pPr>
          </w:p>
        </w:tc>
        <w:tc>
          <w:tcPr>
            <w:tcW w:w="100" w:type="dxa"/>
            <w:vAlign w:val="bottom"/>
            <w:tcBorders>
              <w:bottom w:val="single" w:sz="8" w:color="auto"/>
            </w:tcBorders>
            <w:shd w:val="clear" w:color="auto" w:fill="EAEAEC"/>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ind w:left="300"/>
              <w:spacing w:after="0" w:line="169" w:lineRule="exact"/>
              <w:rPr>
                <w:sz w:val="20"/>
                <w:szCs w:val="20"/>
                <w:color w:val="auto"/>
              </w:rPr>
            </w:pPr>
            <w:r>
              <w:rPr>
                <w:rFonts w:ascii="Arial" w:cs="Arial" w:eastAsia="Arial" w:hAnsi="Arial"/>
                <w:sz w:val="12"/>
                <w:szCs w:val="12"/>
                <w:color w:val="231F20"/>
              </w:rPr>
              <w:t>25,000</w:t>
            </w:r>
            <w:r>
              <w:rPr>
                <w:rFonts w:ascii="Arial" w:cs="Arial" w:eastAsia="Arial" w:hAnsi="Arial"/>
                <w:sz w:val="19"/>
                <w:szCs w:val="19"/>
                <w:color w:val="231F20"/>
                <w:vertAlign w:val="superscript"/>
              </w:rPr>
              <w:t>1</w:t>
            </w: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231F20"/>
              </w:rPr>
              <w:t>492.00</w:t>
            </w: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231F20"/>
              </w:rPr>
              <w:t>12/09/2030</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231F20"/>
              </w:rPr>
              <w:t>6,125</w:t>
            </w:r>
          </w:p>
        </w:tc>
        <w:tc>
          <w:tcPr>
            <w:tcW w:w="1000" w:type="dxa"/>
            <w:vAlign w:val="bottom"/>
            <w:tcBorders>
              <w:bottom w:val="single" w:sz="8" w:color="auto"/>
            </w:tcBorders>
          </w:tcPr>
          <w:p>
            <w:pPr>
              <w:ind w:left="300"/>
              <w:spacing w:after="0" w:line="169" w:lineRule="exact"/>
              <w:rPr>
                <w:sz w:val="20"/>
                <w:szCs w:val="20"/>
                <w:color w:val="auto"/>
              </w:rPr>
            </w:pPr>
            <w:r>
              <w:rPr>
                <w:rFonts w:ascii="Arial" w:cs="Arial" w:eastAsia="Arial" w:hAnsi="Arial"/>
                <w:sz w:val="12"/>
                <w:szCs w:val="12"/>
                <w:color w:val="231F20"/>
              </w:rPr>
              <w:t>18,375</w:t>
            </w:r>
            <w:r>
              <w:rPr>
                <w:rFonts w:ascii="Arial" w:cs="Arial" w:eastAsia="Arial" w:hAnsi="Arial"/>
                <w:sz w:val="19"/>
                <w:szCs w:val="19"/>
                <w:color w:val="231F20"/>
                <w:vertAlign w:val="superscript"/>
              </w:rPr>
              <w:t>2</w:t>
            </w: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231F20"/>
              </w:rPr>
              <w:t>372.46</w:t>
            </w: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231F20"/>
              </w:rPr>
              <w:t>12/11/2029</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231F20"/>
              </w:rPr>
              <w:t>12,500</w:t>
            </w:r>
          </w:p>
        </w:tc>
        <w:tc>
          <w:tcPr>
            <w:tcW w:w="1000" w:type="dxa"/>
            <w:vAlign w:val="bottom"/>
            <w:tcBorders>
              <w:bottom w:val="single" w:sz="8" w:color="auto"/>
            </w:tcBorders>
          </w:tcPr>
          <w:p>
            <w:pPr>
              <w:ind w:left="300"/>
              <w:spacing w:after="0" w:line="169" w:lineRule="exact"/>
              <w:rPr>
                <w:sz w:val="20"/>
                <w:szCs w:val="20"/>
                <w:color w:val="auto"/>
              </w:rPr>
            </w:pPr>
            <w:r>
              <w:rPr>
                <w:rFonts w:ascii="Arial" w:cs="Arial" w:eastAsia="Arial" w:hAnsi="Arial"/>
                <w:sz w:val="12"/>
                <w:szCs w:val="12"/>
                <w:color w:val="231F20"/>
              </w:rPr>
              <w:t>12,500</w:t>
            </w:r>
            <w:r>
              <w:rPr>
                <w:rFonts w:ascii="Arial" w:cs="Arial" w:eastAsia="Arial" w:hAnsi="Arial"/>
                <w:sz w:val="19"/>
                <w:szCs w:val="19"/>
                <w:color w:val="231F20"/>
                <w:vertAlign w:val="superscript"/>
              </w:rPr>
              <w:t>3</w:t>
            </w: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231F20"/>
              </w:rPr>
              <w:t>381.40</w:t>
            </w: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231F20"/>
              </w:rPr>
              <w:t>12/12/2028</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231F20"/>
              </w:rPr>
              <w:t>37,500</w:t>
            </w:r>
          </w:p>
        </w:tc>
        <w:tc>
          <w:tcPr>
            <w:tcW w:w="1000" w:type="dxa"/>
            <w:vAlign w:val="bottom"/>
            <w:tcBorders>
              <w:bottom w:val="single" w:sz="8" w:color="auto"/>
            </w:tcBorders>
          </w:tcPr>
          <w:p>
            <w:pPr>
              <w:ind w:left="300"/>
              <w:spacing w:after="0" w:line="169" w:lineRule="exact"/>
              <w:rPr>
                <w:sz w:val="20"/>
                <w:szCs w:val="20"/>
                <w:color w:val="auto"/>
              </w:rPr>
            </w:pPr>
            <w:r>
              <w:rPr>
                <w:rFonts w:ascii="Arial" w:cs="Arial" w:eastAsia="Arial" w:hAnsi="Arial"/>
                <w:sz w:val="12"/>
                <w:szCs w:val="12"/>
                <w:color w:val="231F20"/>
              </w:rPr>
              <w:t>12,500</w:t>
            </w:r>
            <w:r>
              <w:rPr>
                <w:rFonts w:ascii="Arial" w:cs="Arial" w:eastAsia="Arial" w:hAnsi="Arial"/>
                <w:sz w:val="19"/>
                <w:szCs w:val="19"/>
                <w:color w:val="231F20"/>
                <w:vertAlign w:val="superscript"/>
              </w:rPr>
              <w:t>4</w:t>
            </w: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231F20"/>
              </w:rPr>
              <w:t>378.98</w:t>
            </w: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231F20"/>
              </w:rPr>
              <w:t>12/12/2027</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color w:val="231F20"/>
              </w:rPr>
              <w:t>34,000</w:t>
            </w:r>
          </w:p>
        </w:tc>
        <w:tc>
          <w:tcPr>
            <w:tcW w:w="100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tcPr>
          <w:p>
            <w:pPr>
              <w:ind w:left="780"/>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3"/>
                <w:szCs w:val="13"/>
                <w:color w:val="231F20"/>
              </w:rPr>
              <w:t>381.92</w:t>
            </w:r>
          </w:p>
        </w:tc>
        <w:tc>
          <w:tcPr>
            <w:tcW w:w="9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231F20"/>
              </w:rPr>
              <w:t>12/16/2026</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color w:val="231F20"/>
              </w:rPr>
              <w:t>35,000</w:t>
            </w:r>
          </w:p>
        </w:tc>
        <w:tc>
          <w:tcPr>
            <w:tcW w:w="100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tcPr>
          <w:p>
            <w:pPr>
              <w:ind w:left="780"/>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3"/>
                <w:szCs w:val="13"/>
                <w:color w:val="231F20"/>
              </w:rPr>
              <w:t>555.67</w:t>
            </w:r>
          </w:p>
        </w:tc>
        <w:tc>
          <w:tcPr>
            <w:tcW w:w="9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231F20"/>
              </w:rPr>
              <w:t>12/16/2025</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color w:val="231F20"/>
              </w:rPr>
              <w:t>40,000</w:t>
            </w:r>
          </w:p>
        </w:tc>
        <w:tc>
          <w:tcPr>
            <w:tcW w:w="100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tcPr>
          <w:p>
            <w:pPr>
              <w:ind w:left="780"/>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3"/>
                <w:szCs w:val="13"/>
                <w:color w:val="231F20"/>
              </w:rPr>
              <w:t>399.66</w:t>
            </w:r>
          </w:p>
        </w:tc>
        <w:tc>
          <w:tcPr>
            <w:tcW w:w="9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231F20"/>
              </w:rPr>
              <w:t>12/16/2024</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color w:val="231F20"/>
              </w:rPr>
              <w:t>40,000</w:t>
            </w:r>
          </w:p>
        </w:tc>
        <w:tc>
          <w:tcPr>
            <w:tcW w:w="100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tcPr>
          <w:p>
            <w:pPr>
              <w:ind w:left="780"/>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3"/>
                <w:szCs w:val="13"/>
                <w:color w:val="231F20"/>
              </w:rPr>
              <w:t>270.43</w:t>
            </w:r>
          </w:p>
        </w:tc>
        <w:tc>
          <w:tcPr>
            <w:tcW w:w="9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color w:val="231F20"/>
              </w:rPr>
              <w:t>12/13/2023</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96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C04C57"/>
              </w:rPr>
              <w:t>Andrew J.</w:t>
            </w:r>
          </w:p>
        </w:tc>
        <w:tc>
          <w:tcPr>
            <w:tcW w:w="860" w:type="dxa"/>
            <w:vAlign w:val="bottom"/>
            <w:tcBorders>
              <w:bottom w:val="single" w:sz="8" w:color="auto"/>
            </w:tcBorders>
          </w:tcPr>
          <w:p>
            <w:pPr>
              <w:jc w:val="right"/>
              <w:ind w:right="196"/>
              <w:spacing w:after="0" w:line="129" w:lineRule="exact"/>
              <w:rPr>
                <w:sz w:val="20"/>
                <w:szCs w:val="20"/>
                <w:color w:val="auto"/>
              </w:rPr>
            </w:pPr>
            <w:r>
              <w:rPr>
                <w:rFonts w:ascii="Arial" w:cs="Arial" w:eastAsia="Arial" w:hAnsi="Arial"/>
                <w:sz w:val="13"/>
                <w:szCs w:val="13"/>
                <w:color w:val="231F20"/>
              </w:rPr>
              <w:t>40,000</w:t>
            </w:r>
          </w:p>
        </w:tc>
        <w:tc>
          <w:tcPr>
            <w:tcW w:w="1000" w:type="dxa"/>
            <w:vAlign w:val="bottom"/>
            <w:tcBorders>
              <w:bottom w:val="single" w:sz="8" w:color="auto"/>
            </w:tcBorders>
          </w:tcPr>
          <w:p>
            <w:pPr>
              <w:jc w:val="right"/>
              <w:ind w:right="238"/>
              <w:spacing w:after="0" w:line="129"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tcPr>
          <w:p>
            <w:pPr>
              <w:ind w:left="780"/>
              <w:spacing w:after="0" w:line="129"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356"/>
              <w:spacing w:after="0" w:line="129" w:lineRule="exact"/>
              <w:rPr>
                <w:sz w:val="20"/>
                <w:szCs w:val="20"/>
                <w:color w:val="auto"/>
              </w:rPr>
            </w:pPr>
            <w:r>
              <w:rPr>
                <w:rFonts w:ascii="Arial" w:cs="Arial" w:eastAsia="Arial" w:hAnsi="Arial"/>
                <w:sz w:val="13"/>
                <w:szCs w:val="13"/>
                <w:color w:val="231F20"/>
              </w:rPr>
              <w:t>179.13</w:t>
            </w:r>
          </w:p>
        </w:tc>
        <w:tc>
          <w:tcPr>
            <w:tcW w:w="900" w:type="dxa"/>
            <w:vAlign w:val="bottom"/>
            <w:tcBorders>
              <w:bottom w:val="single" w:sz="8" w:color="auto"/>
            </w:tcBorders>
          </w:tcPr>
          <w:p>
            <w:pPr>
              <w:jc w:val="right"/>
              <w:ind w:right="56"/>
              <w:spacing w:after="0" w:line="129" w:lineRule="exact"/>
              <w:rPr>
                <w:sz w:val="20"/>
                <w:szCs w:val="20"/>
                <w:color w:val="auto"/>
              </w:rPr>
            </w:pPr>
            <w:r>
              <w:rPr>
                <w:rFonts w:ascii="Arial" w:cs="Arial" w:eastAsia="Arial" w:hAnsi="Arial"/>
                <w:sz w:val="13"/>
                <w:szCs w:val="13"/>
                <w:color w:val="231F20"/>
              </w:rPr>
              <w:t>12/14/2022</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97"/>
              <w:spacing w:after="0" w:line="129"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96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C04C57"/>
              </w:rPr>
              <w:t>Murphy,</w:t>
            </w:r>
          </w:p>
        </w:tc>
        <w:tc>
          <w:tcPr>
            <w:tcW w:w="860" w:type="dxa"/>
            <w:vAlign w:val="bottom"/>
            <w:tcBorders>
              <w:bottom w:val="single" w:sz="8" w:color="auto"/>
            </w:tcBorders>
          </w:tcPr>
          <w:p>
            <w:pPr>
              <w:jc w:val="right"/>
              <w:ind w:right="196"/>
              <w:spacing w:after="0" w:line="129" w:lineRule="exact"/>
              <w:rPr>
                <w:sz w:val="20"/>
                <w:szCs w:val="20"/>
                <w:color w:val="auto"/>
              </w:rPr>
            </w:pPr>
            <w:r>
              <w:rPr>
                <w:rFonts w:ascii="Arial" w:cs="Arial" w:eastAsia="Arial" w:hAnsi="Arial"/>
                <w:sz w:val="13"/>
                <w:szCs w:val="13"/>
                <w:color w:val="231F20"/>
              </w:rPr>
              <w:t>33,079</w:t>
            </w:r>
          </w:p>
        </w:tc>
        <w:tc>
          <w:tcPr>
            <w:tcW w:w="1000" w:type="dxa"/>
            <w:vAlign w:val="bottom"/>
            <w:tcBorders>
              <w:bottom w:val="single" w:sz="8" w:color="auto"/>
            </w:tcBorders>
          </w:tcPr>
          <w:p>
            <w:pPr>
              <w:jc w:val="right"/>
              <w:ind w:right="238"/>
              <w:spacing w:after="0" w:line="129" w:lineRule="exact"/>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tcPr>
          <w:p>
            <w:pPr>
              <w:ind w:left="780"/>
              <w:spacing w:after="0" w:line="129"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356"/>
              <w:spacing w:after="0" w:line="129" w:lineRule="exact"/>
              <w:rPr>
                <w:sz w:val="20"/>
                <w:szCs w:val="20"/>
                <w:color w:val="auto"/>
              </w:rPr>
            </w:pPr>
            <w:r>
              <w:rPr>
                <w:rFonts w:ascii="Arial" w:cs="Arial" w:eastAsia="Arial" w:hAnsi="Arial"/>
                <w:sz w:val="13"/>
                <w:szCs w:val="13"/>
                <w:color w:val="231F20"/>
              </w:rPr>
              <w:t>52.03</w:t>
            </w:r>
          </w:p>
        </w:tc>
        <w:tc>
          <w:tcPr>
            <w:tcW w:w="900" w:type="dxa"/>
            <w:vAlign w:val="bottom"/>
            <w:tcBorders>
              <w:bottom w:val="single" w:sz="8" w:color="auto"/>
            </w:tcBorders>
          </w:tcPr>
          <w:p>
            <w:pPr>
              <w:jc w:val="right"/>
              <w:ind w:right="56"/>
              <w:spacing w:after="0" w:line="129" w:lineRule="exact"/>
              <w:rPr>
                <w:sz w:val="20"/>
                <w:szCs w:val="20"/>
                <w:color w:val="auto"/>
              </w:rPr>
            </w:pPr>
            <w:r>
              <w:rPr>
                <w:rFonts w:ascii="Arial" w:cs="Arial" w:eastAsia="Arial" w:hAnsi="Arial"/>
                <w:sz w:val="13"/>
                <w:szCs w:val="13"/>
                <w:color w:val="231F20"/>
              </w:rPr>
              <w:t>12/16/2021</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97"/>
              <w:spacing w:after="0" w:line="129" w:lineRule="exact"/>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69"/>
        </w:trPr>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C04C57"/>
              </w:rPr>
              <w:t>Ph.D.</w:t>
            </w: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tcPr>
          <w:p>
            <w:pPr>
              <w:ind w:left="460"/>
              <w:spacing w:after="0" w:line="169" w:lineRule="exact"/>
              <w:rPr>
                <w:sz w:val="20"/>
                <w:szCs w:val="20"/>
                <w:color w:val="auto"/>
              </w:rPr>
            </w:pPr>
            <w:r>
              <w:rPr>
                <w:rFonts w:ascii="Arial" w:cs="Arial" w:eastAsia="Arial" w:hAnsi="Arial"/>
                <w:sz w:val="12"/>
                <w:szCs w:val="12"/>
                <w:color w:val="231F20"/>
              </w:rPr>
              <w:t>1,929</w:t>
            </w:r>
            <w:r>
              <w:rPr>
                <w:rFonts w:ascii="Arial" w:cs="Arial" w:eastAsia="Arial" w:hAnsi="Arial"/>
                <w:sz w:val="19"/>
                <w:szCs w:val="19"/>
                <w:color w:val="231F20"/>
                <w:vertAlign w:val="superscript"/>
              </w:rPr>
              <w:t>8</w:t>
            </w:r>
          </w:p>
        </w:tc>
        <w:tc>
          <w:tcPr>
            <w:tcW w:w="1060" w:type="dxa"/>
            <w:vAlign w:val="bottom"/>
            <w:tcBorders>
              <w:bottom w:val="single" w:sz="8" w:color="auto"/>
            </w:tcBorders>
          </w:tcPr>
          <w:p>
            <w:pPr>
              <w:jc w:val="right"/>
              <w:ind w:right="57"/>
              <w:spacing w:after="0" w:line="169" w:lineRule="exact"/>
              <w:rPr>
                <w:sz w:val="20"/>
                <w:szCs w:val="20"/>
                <w:color w:val="auto"/>
              </w:rPr>
            </w:pPr>
            <w:r>
              <w:rPr>
                <w:rFonts w:ascii="Arial" w:cs="Arial" w:eastAsia="Arial" w:hAnsi="Arial"/>
                <w:sz w:val="12"/>
                <w:szCs w:val="12"/>
                <w:color w:val="231F20"/>
              </w:rPr>
              <w:t>931,919</w:t>
            </w:r>
            <w:r>
              <w:rPr>
                <w:rFonts w:ascii="Arial" w:cs="Arial" w:eastAsia="Arial" w:hAnsi="Arial"/>
                <w:sz w:val="19"/>
                <w:szCs w:val="19"/>
                <w:color w:val="231F20"/>
                <w:vertAlign w:val="superscript"/>
              </w:rPr>
              <w:t>7</w:t>
            </w: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tcPr>
          <w:p>
            <w:pPr>
              <w:ind w:left="460"/>
              <w:spacing w:after="0" w:line="169" w:lineRule="exact"/>
              <w:rPr>
                <w:sz w:val="20"/>
                <w:szCs w:val="20"/>
                <w:color w:val="auto"/>
              </w:rPr>
            </w:pPr>
            <w:r>
              <w:rPr>
                <w:rFonts w:ascii="Arial" w:cs="Arial" w:eastAsia="Arial" w:hAnsi="Arial"/>
                <w:sz w:val="12"/>
                <w:szCs w:val="12"/>
                <w:color w:val="231F20"/>
              </w:rPr>
              <w:t>8,285</w:t>
            </w:r>
            <w:r>
              <w:rPr>
                <w:rFonts w:ascii="Arial" w:cs="Arial" w:eastAsia="Arial" w:hAnsi="Arial"/>
                <w:sz w:val="19"/>
                <w:szCs w:val="19"/>
                <w:color w:val="231F20"/>
                <w:vertAlign w:val="superscript"/>
              </w:rPr>
              <w:t>9</w:t>
            </w:r>
          </w:p>
        </w:tc>
        <w:tc>
          <w:tcPr>
            <w:tcW w:w="1060" w:type="dxa"/>
            <w:vAlign w:val="bottom"/>
            <w:tcBorders>
              <w:bottom w:val="single" w:sz="8" w:color="auto"/>
            </w:tcBorders>
          </w:tcPr>
          <w:p>
            <w:pPr>
              <w:jc w:val="right"/>
              <w:ind w:right="57"/>
              <w:spacing w:after="0" w:line="169" w:lineRule="exact"/>
              <w:rPr>
                <w:sz w:val="20"/>
                <w:szCs w:val="20"/>
                <w:color w:val="auto"/>
              </w:rPr>
            </w:pPr>
            <w:r>
              <w:rPr>
                <w:rFonts w:ascii="Arial" w:cs="Arial" w:eastAsia="Arial" w:hAnsi="Arial"/>
                <w:sz w:val="12"/>
                <w:szCs w:val="12"/>
                <w:color w:val="231F20"/>
              </w:rPr>
              <w:t>4,002,566</w:t>
            </w:r>
            <w:r>
              <w:rPr>
                <w:rFonts w:ascii="Arial" w:cs="Arial" w:eastAsia="Arial" w:hAnsi="Arial"/>
                <w:sz w:val="19"/>
                <w:szCs w:val="19"/>
                <w:color w:val="231F20"/>
                <w:vertAlign w:val="superscript"/>
              </w:rPr>
              <w:t>7</w:t>
            </w:r>
          </w:p>
        </w:tc>
        <w:tc>
          <w:tcPr>
            <w:tcW w:w="10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tcPr>
          <w:p>
            <w:pPr>
              <w:ind w:left="460"/>
              <w:spacing w:after="0" w:line="169" w:lineRule="exact"/>
              <w:rPr>
                <w:sz w:val="20"/>
                <w:szCs w:val="20"/>
                <w:color w:val="auto"/>
              </w:rPr>
            </w:pPr>
            <w:r>
              <w:rPr>
                <w:rFonts w:ascii="Arial" w:cs="Arial" w:eastAsia="Arial" w:hAnsi="Arial"/>
                <w:sz w:val="12"/>
                <w:szCs w:val="12"/>
                <w:color w:val="231F20"/>
              </w:rPr>
              <w:t>2,625</w:t>
            </w:r>
            <w:r>
              <w:rPr>
                <w:rFonts w:ascii="Arial" w:cs="Arial" w:eastAsia="Arial" w:hAnsi="Arial"/>
                <w:sz w:val="19"/>
                <w:szCs w:val="19"/>
                <w:color w:val="231F20"/>
                <w:vertAlign w:val="superscript"/>
              </w:rPr>
              <w:t>10</w:t>
            </w:r>
          </w:p>
        </w:tc>
        <w:tc>
          <w:tcPr>
            <w:tcW w:w="1060" w:type="dxa"/>
            <w:vAlign w:val="bottom"/>
            <w:tcBorders>
              <w:bottom w:val="single" w:sz="8" w:color="auto"/>
            </w:tcBorders>
          </w:tcPr>
          <w:p>
            <w:pPr>
              <w:jc w:val="right"/>
              <w:ind w:right="57"/>
              <w:spacing w:after="0" w:line="169" w:lineRule="exact"/>
              <w:rPr>
                <w:sz w:val="20"/>
                <w:szCs w:val="20"/>
                <w:color w:val="auto"/>
              </w:rPr>
            </w:pPr>
            <w:r>
              <w:rPr>
                <w:rFonts w:ascii="Arial" w:cs="Arial" w:eastAsia="Arial" w:hAnsi="Arial"/>
                <w:sz w:val="12"/>
                <w:szCs w:val="12"/>
                <w:color w:val="231F20"/>
              </w:rPr>
              <w:t>1,268,164</w:t>
            </w:r>
            <w:r>
              <w:rPr>
                <w:rFonts w:ascii="Arial" w:cs="Arial" w:eastAsia="Arial" w:hAnsi="Arial"/>
                <w:sz w:val="19"/>
                <w:szCs w:val="19"/>
                <w:color w:val="231F20"/>
                <w:vertAlign w:val="superscript"/>
              </w:rPr>
              <w:t>7</w:t>
            </w: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tcPr>
          <w:p>
            <w:pPr>
              <w:jc w:val="right"/>
              <w:ind w:right="77"/>
              <w:spacing w:after="0" w:line="169" w:lineRule="exact"/>
              <w:rPr>
                <w:sz w:val="20"/>
                <w:szCs w:val="20"/>
                <w:color w:val="auto"/>
              </w:rPr>
            </w:pPr>
            <w:r>
              <w:rPr>
                <w:rFonts w:ascii="Arial" w:cs="Arial" w:eastAsia="Arial" w:hAnsi="Arial"/>
                <w:sz w:val="12"/>
                <w:szCs w:val="12"/>
                <w:color w:val="231F20"/>
              </w:rPr>
              <w:t>10,000</w:t>
            </w:r>
            <w:r>
              <w:rPr>
                <w:rFonts w:ascii="Arial" w:cs="Arial" w:eastAsia="Arial" w:hAnsi="Arial"/>
                <w:sz w:val="19"/>
                <w:szCs w:val="19"/>
                <w:color w:val="231F20"/>
                <w:vertAlign w:val="superscript"/>
              </w:rPr>
              <w:t>11</w:t>
            </w:r>
          </w:p>
        </w:tc>
        <w:tc>
          <w:tcPr>
            <w:tcW w:w="1060" w:type="dxa"/>
            <w:vAlign w:val="bottom"/>
            <w:tcBorders>
              <w:bottom w:val="single" w:sz="8" w:color="auto"/>
            </w:tcBorders>
          </w:tcPr>
          <w:p>
            <w:pPr>
              <w:jc w:val="right"/>
              <w:ind w:right="57"/>
              <w:spacing w:after="0" w:line="169" w:lineRule="exact"/>
              <w:rPr>
                <w:sz w:val="20"/>
                <w:szCs w:val="20"/>
                <w:color w:val="auto"/>
              </w:rPr>
            </w:pPr>
            <w:r>
              <w:rPr>
                <w:rFonts w:ascii="Arial" w:cs="Arial" w:eastAsia="Arial" w:hAnsi="Arial"/>
                <w:sz w:val="12"/>
                <w:szCs w:val="12"/>
                <w:color w:val="231F20"/>
              </w:rPr>
              <w:t>4,831,100</w:t>
            </w:r>
            <w:r>
              <w:rPr>
                <w:rFonts w:ascii="Arial" w:cs="Arial" w:eastAsia="Arial" w:hAnsi="Arial"/>
                <w:sz w:val="19"/>
                <w:szCs w:val="19"/>
                <w:color w:val="231F20"/>
                <w:vertAlign w:val="superscript"/>
              </w:rPr>
              <w:t>7</w:t>
            </w: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69"/>
        </w:trPr>
        <w:tc>
          <w:tcPr>
            <w:tcW w:w="96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231F20"/>
              </w:rPr>
              <w:t>TOTAL</w:t>
            </w: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231F20"/>
              </w:rPr>
              <w:t>—</w:t>
            </w:r>
          </w:p>
        </w:tc>
        <w:tc>
          <w:tcPr>
            <w:tcW w:w="1040" w:type="dxa"/>
            <w:vAlign w:val="bottom"/>
            <w:tcBorders>
              <w:bottom w:val="single" w:sz="8" w:color="auto"/>
            </w:tcBorders>
          </w:tcPr>
          <w:p>
            <w:pPr>
              <w:jc w:val="right"/>
              <w:ind w:right="77"/>
              <w:spacing w:after="0" w:line="169" w:lineRule="exact"/>
              <w:rPr>
                <w:sz w:val="20"/>
                <w:szCs w:val="20"/>
                <w:color w:val="auto"/>
              </w:rPr>
            </w:pPr>
            <w:r>
              <w:rPr>
                <w:rFonts w:ascii="Arial" w:cs="Arial" w:eastAsia="Arial" w:hAnsi="Arial"/>
                <w:sz w:val="12"/>
                <w:szCs w:val="12"/>
                <w:color w:val="231F20"/>
              </w:rPr>
              <w:t>15,000</w:t>
            </w:r>
            <w:r>
              <w:rPr>
                <w:rFonts w:ascii="Arial" w:cs="Arial" w:eastAsia="Arial" w:hAnsi="Arial"/>
                <w:sz w:val="19"/>
                <w:szCs w:val="19"/>
                <w:color w:val="231F20"/>
                <w:vertAlign w:val="superscript"/>
              </w:rPr>
              <w:t>12</w:t>
            </w:r>
          </w:p>
        </w:tc>
        <w:tc>
          <w:tcPr>
            <w:tcW w:w="1060" w:type="dxa"/>
            <w:vAlign w:val="bottom"/>
            <w:tcBorders>
              <w:bottom w:val="single" w:sz="8" w:color="auto"/>
            </w:tcBorders>
          </w:tcPr>
          <w:p>
            <w:pPr>
              <w:jc w:val="right"/>
              <w:ind w:right="57"/>
              <w:spacing w:after="0" w:line="169" w:lineRule="exact"/>
              <w:rPr>
                <w:sz w:val="20"/>
                <w:szCs w:val="20"/>
                <w:color w:val="auto"/>
              </w:rPr>
            </w:pPr>
            <w:r>
              <w:rPr>
                <w:rFonts w:ascii="Arial" w:cs="Arial" w:eastAsia="Arial" w:hAnsi="Arial"/>
                <w:sz w:val="12"/>
                <w:szCs w:val="12"/>
                <w:color w:val="231F20"/>
              </w:rPr>
              <w:t>7,246,650</w:t>
            </w:r>
            <w:r>
              <w:rPr>
                <w:rFonts w:ascii="Arial" w:cs="Arial" w:eastAsia="Arial" w:hAnsi="Arial"/>
                <w:sz w:val="19"/>
                <w:szCs w:val="19"/>
                <w:color w:val="231F20"/>
                <w:vertAlign w:val="superscript"/>
              </w:rPr>
              <w:t>7</w:t>
            </w: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231F20"/>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42"/>
        </w:trPr>
        <w:tc>
          <w:tcPr>
            <w:tcW w:w="960" w:type="dxa"/>
            <w:vAlign w:val="bottom"/>
            <w:tcBorders>
              <w:bottom w:val="single" w:sz="8" w:color="auto"/>
            </w:tcBorders>
            <w:gridSpan w:val="2"/>
            <w:vMerge w:val="continue"/>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3"/>
                <w:szCs w:val="13"/>
                <w:b w:val="1"/>
                <w:bCs w:val="1"/>
                <w:color w:val="231F20"/>
              </w:rPr>
              <w:t>278,204</w:t>
            </w:r>
          </w:p>
        </w:tc>
        <w:tc>
          <w:tcPr>
            <w:tcW w:w="100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3"/>
                <w:szCs w:val="13"/>
                <w:b w:val="1"/>
                <w:bCs w:val="1"/>
                <w:color w:val="231F20"/>
              </w:rPr>
              <w:t>68,375</w:t>
            </w:r>
          </w:p>
        </w:tc>
        <w:tc>
          <w:tcPr>
            <w:tcW w:w="10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231F20"/>
              </w:rPr>
              <w:t>37,839</w:t>
            </w:r>
          </w:p>
        </w:tc>
        <w:tc>
          <w:tcPr>
            <w:tcW w:w="10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18,280,399</w:t>
            </w:r>
          </w:p>
        </w:tc>
        <w:tc>
          <w:tcPr>
            <w:tcW w:w="10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880" w:right="660" w:hanging="332"/>
        <w:spacing w:after="0" w:line="242" w:lineRule="auto"/>
        <w:tabs>
          <w:tab w:leader="none" w:pos="880" w:val="left"/>
        </w:tabs>
        <w:numPr>
          <w:ilvl w:val="0"/>
          <w:numId w:val="133"/>
        </w:numPr>
        <w:rPr>
          <w:rFonts w:ascii="Arial" w:cs="Arial" w:eastAsia="Arial" w:hAnsi="Arial"/>
          <w:sz w:val="15"/>
          <w:szCs w:val="15"/>
          <w:b w:val="1"/>
          <w:bCs w:val="1"/>
          <w:color w:val="205BA8"/>
        </w:rPr>
      </w:pPr>
      <w:r>
        <w:rPr>
          <w:rFonts w:ascii="Arial" w:cs="Arial" w:eastAsia="Arial" w:hAnsi="Arial"/>
          <w:sz w:val="15"/>
          <w:szCs w:val="15"/>
          <w:color w:val="auto"/>
        </w:rPr>
        <w:t>This stock option award was granted to the NEO on December 9, 2020 and vests at a rate of 25% per year over the first four years of the option term.</w:t>
      </w:r>
    </w:p>
    <w:p>
      <w:pPr>
        <w:spacing w:after="0" w:line="71" w:lineRule="exact"/>
        <w:rPr>
          <w:sz w:val="20"/>
          <w:szCs w:val="20"/>
          <w:color w:val="auto"/>
        </w:rPr>
      </w:pPr>
    </w:p>
    <w:p>
      <w:pPr>
        <w:ind w:left="880" w:right="580" w:hanging="332"/>
        <w:spacing w:after="0" w:line="242" w:lineRule="auto"/>
        <w:tabs>
          <w:tab w:leader="none" w:pos="880" w:val="left"/>
        </w:tabs>
        <w:numPr>
          <w:ilvl w:val="0"/>
          <w:numId w:val="134"/>
        </w:numPr>
        <w:rPr>
          <w:rFonts w:ascii="Arial" w:cs="Arial" w:eastAsia="Arial" w:hAnsi="Arial"/>
          <w:sz w:val="15"/>
          <w:szCs w:val="15"/>
          <w:b w:val="1"/>
          <w:bCs w:val="1"/>
          <w:color w:val="205BA8"/>
        </w:rPr>
      </w:pPr>
      <w:r>
        <w:rPr>
          <w:rFonts w:ascii="Arial" w:cs="Arial" w:eastAsia="Arial" w:hAnsi="Arial"/>
          <w:sz w:val="15"/>
          <w:szCs w:val="15"/>
          <w:color w:val="auto"/>
        </w:rPr>
        <w:t>This stock option award was granted to the NEO on December 11, 2019 and vests at a rate of 25% per year over the first four years of the option term.</w:t>
      </w:r>
    </w:p>
    <w:p>
      <w:pPr>
        <w:spacing w:after="0" w:line="71" w:lineRule="exact"/>
        <w:rPr>
          <w:sz w:val="20"/>
          <w:szCs w:val="20"/>
          <w:color w:val="auto"/>
        </w:rPr>
      </w:pPr>
    </w:p>
    <w:p>
      <w:pPr>
        <w:ind w:left="880" w:right="580" w:hanging="332"/>
        <w:spacing w:after="0" w:line="242" w:lineRule="auto"/>
        <w:tabs>
          <w:tab w:leader="none" w:pos="880" w:val="left"/>
        </w:tabs>
        <w:numPr>
          <w:ilvl w:val="0"/>
          <w:numId w:val="135"/>
        </w:numPr>
        <w:rPr>
          <w:rFonts w:ascii="Arial" w:cs="Arial" w:eastAsia="Arial" w:hAnsi="Arial"/>
          <w:sz w:val="15"/>
          <w:szCs w:val="15"/>
          <w:b w:val="1"/>
          <w:bCs w:val="1"/>
          <w:color w:val="205BA8"/>
        </w:rPr>
      </w:pPr>
      <w:r>
        <w:rPr>
          <w:rFonts w:ascii="Arial" w:cs="Arial" w:eastAsia="Arial" w:hAnsi="Arial"/>
          <w:sz w:val="15"/>
          <w:szCs w:val="15"/>
          <w:color w:val="auto"/>
        </w:rPr>
        <w:t>This stock option award was granted to the NEO on December 12, 2018 and vests at a rate of 25% per year over the first four years of the option term.</w:t>
      </w:r>
    </w:p>
    <w:p>
      <w:pPr>
        <w:spacing w:after="0" w:line="71" w:lineRule="exact"/>
        <w:rPr>
          <w:sz w:val="20"/>
          <w:szCs w:val="20"/>
          <w:color w:val="auto"/>
        </w:rPr>
      </w:pPr>
    </w:p>
    <w:p>
      <w:pPr>
        <w:ind w:left="880" w:right="580" w:hanging="332"/>
        <w:spacing w:after="0" w:line="242" w:lineRule="auto"/>
        <w:tabs>
          <w:tab w:leader="none" w:pos="880" w:val="left"/>
        </w:tabs>
        <w:numPr>
          <w:ilvl w:val="0"/>
          <w:numId w:val="136"/>
        </w:numPr>
        <w:rPr>
          <w:rFonts w:ascii="Arial" w:cs="Arial" w:eastAsia="Arial" w:hAnsi="Arial"/>
          <w:sz w:val="15"/>
          <w:szCs w:val="15"/>
          <w:b w:val="1"/>
          <w:bCs w:val="1"/>
          <w:color w:val="205BA8"/>
        </w:rPr>
      </w:pPr>
      <w:r>
        <w:rPr>
          <w:rFonts w:ascii="Arial" w:cs="Arial" w:eastAsia="Arial" w:hAnsi="Arial"/>
          <w:sz w:val="15"/>
          <w:szCs w:val="15"/>
          <w:color w:val="auto"/>
        </w:rPr>
        <w:t>This stock option award was granted to the NEO on December 12, 2017 and vests at a rate of 25% per year over the first four years of the option term.</w:t>
      </w:r>
    </w:p>
    <w:p>
      <w:pPr>
        <w:spacing w:after="0" w:line="71" w:lineRule="exact"/>
        <w:rPr>
          <w:sz w:val="20"/>
          <w:szCs w:val="20"/>
          <w:color w:val="auto"/>
        </w:rPr>
      </w:pPr>
    </w:p>
    <w:p>
      <w:pPr>
        <w:ind w:left="880" w:right="960" w:hanging="332"/>
        <w:spacing w:after="0" w:line="235" w:lineRule="auto"/>
        <w:tabs>
          <w:tab w:leader="none" w:pos="880" w:val="left"/>
        </w:tabs>
        <w:numPr>
          <w:ilvl w:val="0"/>
          <w:numId w:val="137"/>
        </w:numPr>
        <w:rPr>
          <w:rFonts w:ascii="Arial" w:cs="Arial" w:eastAsia="Arial" w:hAnsi="Arial"/>
          <w:sz w:val="15"/>
          <w:szCs w:val="15"/>
          <w:b w:val="1"/>
          <w:bCs w:val="1"/>
          <w:color w:val="205BA8"/>
        </w:rPr>
      </w:pPr>
      <w:r>
        <w:rPr>
          <w:rFonts w:ascii="Arial" w:cs="Arial" w:eastAsia="Arial" w:hAnsi="Arial"/>
          <w:sz w:val="15"/>
          <w:szCs w:val="15"/>
          <w:color w:val="auto"/>
        </w:rPr>
        <w:t>This PSU award was granted to the NEO on December 31, 2020 and has a five-year performance period from the date of grant. Based on performance as of December 31, 2020 in accordance with SEC rules, the number of PSUs shown in this table assumes a threshold level of payout.</w:t>
      </w:r>
    </w:p>
    <w:p>
      <w:pPr>
        <w:spacing w:after="0" w:line="74" w:lineRule="exact"/>
        <w:rPr>
          <w:sz w:val="20"/>
          <w:szCs w:val="20"/>
          <w:color w:val="auto"/>
        </w:rPr>
      </w:pPr>
    </w:p>
    <w:p>
      <w:pPr>
        <w:ind w:left="880" w:right="940" w:hanging="332"/>
        <w:spacing w:after="0" w:line="235" w:lineRule="auto"/>
        <w:tabs>
          <w:tab w:leader="none" w:pos="880" w:val="left"/>
        </w:tabs>
        <w:numPr>
          <w:ilvl w:val="0"/>
          <w:numId w:val="138"/>
        </w:numPr>
        <w:rPr>
          <w:rFonts w:ascii="Arial" w:cs="Arial" w:eastAsia="Arial" w:hAnsi="Arial"/>
          <w:sz w:val="15"/>
          <w:szCs w:val="15"/>
          <w:b w:val="1"/>
          <w:bCs w:val="1"/>
          <w:color w:val="205BA8"/>
        </w:rPr>
      </w:pPr>
      <w:r>
        <w:rPr>
          <w:rFonts w:ascii="Arial" w:cs="Arial" w:eastAsia="Arial" w:hAnsi="Arial"/>
          <w:sz w:val="15"/>
          <w:szCs w:val="15"/>
          <w:color w:val="auto"/>
        </w:rPr>
        <w:t>This PSU award was granted to the NEO on December 11, 2019 and has a five-year performance period from the date of grant. Based on performance as of December 31, 2020 in accordance with SEC rules, the number of PSUs shown in this table assumes a maximum level of payout.</w:t>
      </w:r>
    </w:p>
    <w:p>
      <w:pPr>
        <w:spacing w:after="0" w:line="74" w:lineRule="exact"/>
        <w:rPr>
          <w:sz w:val="20"/>
          <w:szCs w:val="20"/>
          <w:color w:val="auto"/>
        </w:rPr>
      </w:pPr>
    </w:p>
    <w:p>
      <w:pPr>
        <w:ind w:left="880" w:hanging="332"/>
        <w:spacing w:after="0"/>
        <w:tabs>
          <w:tab w:leader="none" w:pos="880" w:val="left"/>
        </w:tabs>
        <w:numPr>
          <w:ilvl w:val="0"/>
          <w:numId w:val="139"/>
        </w:numPr>
        <w:rPr>
          <w:rFonts w:ascii="Arial" w:cs="Arial" w:eastAsia="Arial" w:hAnsi="Arial"/>
          <w:sz w:val="15"/>
          <w:szCs w:val="15"/>
          <w:b w:val="1"/>
          <w:bCs w:val="1"/>
          <w:color w:val="205BA8"/>
        </w:rPr>
      </w:pPr>
      <w:r>
        <w:rPr>
          <w:rFonts w:ascii="Arial" w:cs="Arial" w:eastAsia="Arial" w:hAnsi="Arial"/>
          <w:sz w:val="15"/>
          <w:szCs w:val="15"/>
          <w:color w:val="auto"/>
        </w:rPr>
        <w:t>Reflects the closing price of $483.11 per share of the Company’s common stock on the Nasdaq Global Select Market on December 31, 2020.</w:t>
      </w:r>
    </w:p>
    <w:p>
      <w:pPr>
        <w:spacing w:after="0" w:line="84" w:lineRule="exact"/>
        <w:rPr>
          <w:sz w:val="20"/>
          <w:szCs w:val="20"/>
          <w:color w:val="auto"/>
        </w:rPr>
      </w:pPr>
    </w:p>
    <w:p>
      <w:pPr>
        <w:ind w:left="880" w:right="780" w:hanging="332"/>
        <w:spacing w:after="0" w:line="242" w:lineRule="auto"/>
        <w:tabs>
          <w:tab w:leader="none" w:pos="880" w:val="left"/>
        </w:tabs>
        <w:numPr>
          <w:ilvl w:val="0"/>
          <w:numId w:val="140"/>
        </w:numPr>
        <w:rPr>
          <w:rFonts w:ascii="Arial" w:cs="Arial" w:eastAsia="Arial" w:hAnsi="Arial"/>
          <w:sz w:val="15"/>
          <w:szCs w:val="15"/>
          <w:b w:val="1"/>
          <w:bCs w:val="1"/>
          <w:color w:val="205BA8"/>
        </w:rPr>
      </w:pPr>
      <w:r>
        <w:rPr>
          <w:rFonts w:ascii="Arial" w:cs="Arial" w:eastAsia="Arial" w:hAnsi="Arial"/>
          <w:sz w:val="15"/>
          <w:szCs w:val="15"/>
          <w:color w:val="auto"/>
        </w:rPr>
        <w:t>This RSA was granted to the NEO on December 9, 2020 and vests 50% on the second anniversary of the date of grant and 50% on the fourth anniversary of the date of grant, subject to the NEO’s continued employment.</w:t>
      </w:r>
    </w:p>
    <w:p>
      <w:pPr>
        <w:spacing w:after="0" w:line="71" w:lineRule="exact"/>
        <w:rPr>
          <w:sz w:val="20"/>
          <w:szCs w:val="20"/>
          <w:color w:val="auto"/>
        </w:rPr>
      </w:pPr>
    </w:p>
    <w:p>
      <w:pPr>
        <w:ind w:left="880" w:right="1020" w:hanging="332"/>
        <w:spacing w:after="0" w:line="242" w:lineRule="auto"/>
        <w:tabs>
          <w:tab w:leader="none" w:pos="880" w:val="left"/>
        </w:tabs>
        <w:numPr>
          <w:ilvl w:val="0"/>
          <w:numId w:val="141"/>
        </w:numPr>
        <w:rPr>
          <w:rFonts w:ascii="Arial" w:cs="Arial" w:eastAsia="Arial" w:hAnsi="Arial"/>
          <w:sz w:val="15"/>
          <w:szCs w:val="15"/>
          <w:b w:val="1"/>
          <w:bCs w:val="1"/>
          <w:color w:val="205BA8"/>
        </w:rPr>
      </w:pPr>
      <w:r>
        <w:rPr>
          <w:rFonts w:ascii="Arial" w:cs="Arial" w:eastAsia="Arial" w:hAnsi="Arial"/>
          <w:sz w:val="15"/>
          <w:szCs w:val="15"/>
          <w:color w:val="auto"/>
        </w:rPr>
        <w:t>This RSA was granted to the NEO on December 9, 2020 and vests 100% on the fifth anniversary of the date of grant, subject to the NEO’s continued employment.</w:t>
      </w:r>
    </w:p>
    <w:p>
      <w:pPr>
        <w:spacing w:after="0" w:line="71" w:lineRule="exact"/>
        <w:rPr>
          <w:sz w:val="20"/>
          <w:szCs w:val="20"/>
          <w:color w:val="auto"/>
        </w:rPr>
      </w:pPr>
    </w:p>
    <w:p>
      <w:pPr>
        <w:ind w:left="880" w:right="700" w:hanging="332"/>
        <w:spacing w:after="0" w:line="242" w:lineRule="auto"/>
        <w:tabs>
          <w:tab w:leader="none" w:pos="880" w:val="left"/>
        </w:tabs>
        <w:numPr>
          <w:ilvl w:val="0"/>
          <w:numId w:val="142"/>
        </w:numPr>
        <w:rPr>
          <w:rFonts w:ascii="Arial" w:cs="Arial" w:eastAsia="Arial" w:hAnsi="Arial"/>
          <w:sz w:val="15"/>
          <w:szCs w:val="15"/>
          <w:b w:val="1"/>
          <w:bCs w:val="1"/>
          <w:color w:val="205BA8"/>
        </w:rPr>
      </w:pPr>
      <w:r>
        <w:rPr>
          <w:rFonts w:ascii="Arial" w:cs="Arial" w:eastAsia="Arial" w:hAnsi="Arial"/>
          <w:sz w:val="15"/>
          <w:szCs w:val="15"/>
          <w:color w:val="auto"/>
        </w:rPr>
        <w:t>This RSA was granted to the NEO on December 11, 2019 and vests 50% on the second anniversary of the date of grant and 50% on the fourth anniversary of the date of grant, subject to the NEO’s continued employment.</w:t>
      </w:r>
    </w:p>
    <w:p>
      <w:pPr>
        <w:spacing w:after="0" w:line="70" w:lineRule="exact"/>
        <w:rPr>
          <w:rFonts w:ascii="Arial" w:cs="Arial" w:eastAsia="Arial" w:hAnsi="Arial"/>
          <w:sz w:val="15"/>
          <w:szCs w:val="15"/>
          <w:b w:val="1"/>
          <w:bCs w:val="1"/>
          <w:color w:val="205BA8"/>
        </w:rPr>
      </w:pPr>
    </w:p>
    <w:p>
      <w:pPr>
        <w:ind w:left="880" w:right="780" w:hanging="332"/>
        <w:spacing w:after="0" w:line="242" w:lineRule="auto"/>
        <w:tabs>
          <w:tab w:leader="none" w:pos="880" w:val="left"/>
        </w:tabs>
        <w:numPr>
          <w:ilvl w:val="0"/>
          <w:numId w:val="142"/>
        </w:numPr>
        <w:rPr>
          <w:rFonts w:ascii="Arial" w:cs="Arial" w:eastAsia="Arial" w:hAnsi="Arial"/>
          <w:sz w:val="15"/>
          <w:szCs w:val="15"/>
          <w:b w:val="1"/>
          <w:bCs w:val="1"/>
          <w:color w:val="205BA8"/>
        </w:rPr>
      </w:pPr>
      <w:r>
        <w:rPr>
          <w:rFonts w:ascii="Arial" w:cs="Arial" w:eastAsia="Arial" w:hAnsi="Arial"/>
          <w:sz w:val="15"/>
          <w:szCs w:val="15"/>
          <w:color w:val="auto"/>
        </w:rPr>
        <w:t>This RSA was granted to the NEO on December 11, 2019 and vests 100% on the fourth anniversary of the date of grant, subject to the NEO’s continued employment.</w:t>
      </w:r>
    </w:p>
    <w:p>
      <w:pPr>
        <w:spacing w:after="0" w:line="70" w:lineRule="exact"/>
        <w:rPr>
          <w:rFonts w:ascii="Arial" w:cs="Arial" w:eastAsia="Arial" w:hAnsi="Arial"/>
          <w:sz w:val="15"/>
          <w:szCs w:val="15"/>
          <w:b w:val="1"/>
          <w:bCs w:val="1"/>
          <w:color w:val="205BA8"/>
        </w:rPr>
      </w:pPr>
    </w:p>
    <w:p>
      <w:pPr>
        <w:ind w:left="880" w:right="920" w:hanging="332"/>
        <w:spacing w:after="0" w:line="242" w:lineRule="auto"/>
        <w:tabs>
          <w:tab w:leader="none" w:pos="880" w:val="left"/>
        </w:tabs>
        <w:numPr>
          <w:ilvl w:val="0"/>
          <w:numId w:val="142"/>
        </w:numPr>
        <w:rPr>
          <w:rFonts w:ascii="Arial" w:cs="Arial" w:eastAsia="Arial" w:hAnsi="Arial"/>
          <w:sz w:val="15"/>
          <w:szCs w:val="15"/>
          <w:b w:val="1"/>
          <w:bCs w:val="1"/>
          <w:color w:val="205BA8"/>
        </w:rPr>
      </w:pPr>
      <w:r>
        <w:rPr>
          <w:rFonts w:ascii="Arial" w:cs="Arial" w:eastAsia="Arial" w:hAnsi="Arial"/>
          <w:sz w:val="15"/>
          <w:szCs w:val="15"/>
          <w:color w:val="auto"/>
        </w:rPr>
        <w:t>This RSA was granted to the NEO on December 12, 2018 and vests 100% on the fifth anniversary of the date of grant, subject to the NEO’s continued employment.</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40" w:type="dxa"/>
            <w:vAlign w:val="bottom"/>
          </w:tcPr>
          <w:p>
            <w:pPr>
              <w:spacing w:after="0"/>
              <w:rPr>
                <w:sz w:val="20"/>
                <w:szCs w:val="20"/>
                <w:color w:val="auto"/>
              </w:rPr>
            </w:pPr>
            <w:r>
              <w:rPr>
                <w:rFonts w:ascii="Arial" w:cs="Arial" w:eastAsia="Arial" w:hAnsi="Arial"/>
                <w:sz w:val="13"/>
                <w:szCs w:val="13"/>
                <w:b w:val="1"/>
                <w:bCs w:val="1"/>
                <w:color w:val="205BA8"/>
              </w:rPr>
              <w:t>2021 PROXY STATEMENT AND NOTICE OF ANNUAL SHAREHOLDER MEETING</w:t>
            </w:r>
          </w:p>
        </w:tc>
        <w:tc>
          <w:tcPr>
            <w:tcW w:w="3400" w:type="dxa"/>
            <w:vAlign w:val="bottom"/>
          </w:tcPr>
          <w:p>
            <w:pPr>
              <w:jc w:val="right"/>
              <w:spacing w:after="0"/>
              <w:rPr>
                <w:sz w:val="20"/>
                <w:szCs w:val="20"/>
                <w:color w:val="auto"/>
              </w:rPr>
            </w:pPr>
            <w:r>
              <w:rPr>
                <w:rFonts w:ascii="Arial" w:cs="Arial" w:eastAsia="Arial" w:hAnsi="Arial"/>
                <w:sz w:val="14"/>
                <w:szCs w:val="14"/>
                <w:color w:val="00AEEF"/>
              </w:rPr>
              <w:t>/  87</w:t>
            </w:r>
          </w:p>
        </w:tc>
      </w:tr>
      <w:tr>
        <w:trPr>
          <w:trHeight w:val="262"/>
        </w:trPr>
        <w:tc>
          <w:tcPr>
            <w:tcW w:w="7840" w:type="dxa"/>
            <w:vAlign w:val="bottom"/>
            <w:tcBorders>
              <w:bottom w:val="single" w:sz="8" w:color="C0C0C0"/>
            </w:tcBorders>
          </w:tcPr>
          <w:p>
            <w:pPr>
              <w:spacing w:after="0"/>
              <w:rPr>
                <w:sz w:val="22"/>
                <w:szCs w:val="22"/>
                <w:color w:val="auto"/>
              </w:rPr>
            </w:pPr>
          </w:p>
        </w:tc>
        <w:tc>
          <w:tcPr>
            <w:tcW w:w="34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98" w:name="page99"/>
    <w:bookmarkEnd w:id="98"/>
    <w:p>
      <w:pPr>
        <w:ind w:left="3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85800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C44E5E"/>
        </w:rPr>
        <w:t>2020 Option Exercises and Stock Vested</w:t>
      </w:r>
    </w:p>
    <w:p>
      <w:pPr>
        <w:spacing w:after="0" w:line="177" w:lineRule="exact"/>
        <w:rPr>
          <w:sz w:val="20"/>
          <w:szCs w:val="20"/>
          <w:color w:val="auto"/>
        </w:rPr>
      </w:pPr>
    </w:p>
    <w:p>
      <w:pPr>
        <w:ind w:left="540" w:right="720"/>
        <w:spacing w:after="0" w:line="242" w:lineRule="auto"/>
        <w:rPr>
          <w:sz w:val="20"/>
          <w:szCs w:val="20"/>
          <w:color w:val="auto"/>
        </w:rPr>
      </w:pPr>
      <w:r>
        <w:rPr>
          <w:rFonts w:ascii="Arial" w:cs="Arial" w:eastAsia="Arial" w:hAnsi="Arial"/>
          <w:sz w:val="15"/>
          <w:szCs w:val="15"/>
          <w:color w:val="auto"/>
        </w:rPr>
        <w:t>The following table and explanatory footnotes provide information with regard to amounts realized by our NEOs during 2020 as a result of the exercise of stock options or the vesting of RSAs.</w:t>
      </w:r>
    </w:p>
    <w:p>
      <w:pPr>
        <w:spacing w:after="0" w:line="122"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2740" w:type="dxa"/>
            <w:vAlign w:val="bottom"/>
            <w:tcBorders>
              <w:top w:val="single" w:sz="8" w:color="2952A4"/>
              <w:bottom w:val="single" w:sz="8" w:color="2952A4"/>
            </w:tcBorders>
          </w:tcPr>
          <w:p>
            <w:pPr>
              <w:ind w:left="60"/>
              <w:spacing w:after="0"/>
              <w:rPr>
                <w:sz w:val="20"/>
                <w:szCs w:val="20"/>
                <w:color w:val="auto"/>
              </w:rPr>
            </w:pPr>
            <w:r>
              <w:rPr>
                <w:rFonts w:ascii="Arial" w:cs="Arial" w:eastAsia="Arial" w:hAnsi="Arial"/>
                <w:sz w:val="12"/>
                <w:szCs w:val="12"/>
                <w:b w:val="1"/>
                <w:bCs w:val="1"/>
                <w:color w:val="2952A4"/>
              </w:rPr>
              <w:t>A</w:t>
            </w:r>
          </w:p>
        </w:tc>
        <w:tc>
          <w:tcPr>
            <w:tcW w:w="2380" w:type="dxa"/>
            <w:vAlign w:val="bottom"/>
            <w:tcBorders>
              <w:top w:val="single" w:sz="8" w:color="2952A4"/>
              <w:bottom w:val="single" w:sz="8" w:color="2952A4"/>
            </w:tcBorders>
          </w:tcPr>
          <w:p>
            <w:pPr>
              <w:jc w:val="center"/>
              <w:ind w:right="358"/>
              <w:spacing w:after="0"/>
              <w:rPr>
                <w:sz w:val="20"/>
                <w:szCs w:val="20"/>
                <w:color w:val="auto"/>
              </w:rPr>
            </w:pPr>
            <w:r>
              <w:rPr>
                <w:rFonts w:ascii="Arial" w:cs="Arial" w:eastAsia="Arial" w:hAnsi="Arial"/>
                <w:sz w:val="12"/>
                <w:szCs w:val="12"/>
                <w:b w:val="1"/>
                <w:bCs w:val="1"/>
                <w:color w:val="2952A4"/>
                <w:w w:val="91"/>
              </w:rPr>
              <w:t>B</w:t>
            </w:r>
          </w:p>
        </w:tc>
        <w:tc>
          <w:tcPr>
            <w:tcW w:w="1620" w:type="dxa"/>
            <w:vAlign w:val="bottom"/>
            <w:tcBorders>
              <w:top w:val="single" w:sz="8" w:color="2952A4"/>
              <w:bottom w:val="single" w:sz="8" w:color="2952A4"/>
            </w:tcBorders>
            <w:gridSpan w:val="2"/>
          </w:tcPr>
          <w:p>
            <w:pPr>
              <w:jc w:val="center"/>
              <w:ind w:right="700"/>
              <w:spacing w:after="0"/>
              <w:rPr>
                <w:sz w:val="20"/>
                <w:szCs w:val="20"/>
                <w:color w:val="auto"/>
              </w:rPr>
            </w:pPr>
            <w:r>
              <w:rPr>
                <w:rFonts w:ascii="Arial" w:cs="Arial" w:eastAsia="Arial" w:hAnsi="Arial"/>
                <w:sz w:val="12"/>
                <w:szCs w:val="12"/>
                <w:b w:val="1"/>
                <w:bCs w:val="1"/>
                <w:color w:val="2952A4"/>
                <w:w w:val="91"/>
              </w:rPr>
              <w:t>C</w:t>
            </w:r>
          </w:p>
        </w:tc>
        <w:tc>
          <w:tcPr>
            <w:tcW w:w="1900" w:type="dxa"/>
            <w:vAlign w:val="bottom"/>
            <w:tcBorders>
              <w:top w:val="single" w:sz="8" w:color="2952A4"/>
              <w:bottom w:val="single" w:sz="8" w:color="2952A4"/>
            </w:tcBorders>
          </w:tcPr>
          <w:p>
            <w:pPr>
              <w:jc w:val="center"/>
              <w:ind w:right="478"/>
              <w:spacing w:after="0"/>
              <w:rPr>
                <w:sz w:val="20"/>
                <w:szCs w:val="20"/>
                <w:color w:val="auto"/>
              </w:rPr>
            </w:pPr>
            <w:r>
              <w:rPr>
                <w:rFonts w:ascii="Arial" w:cs="Arial" w:eastAsia="Arial" w:hAnsi="Arial"/>
                <w:sz w:val="12"/>
                <w:szCs w:val="12"/>
                <w:b w:val="1"/>
                <w:bCs w:val="1"/>
                <w:color w:val="2952A4"/>
                <w:w w:val="91"/>
              </w:rPr>
              <w:t>D</w:t>
            </w:r>
          </w:p>
        </w:tc>
        <w:tc>
          <w:tcPr>
            <w:tcW w:w="1080" w:type="dxa"/>
            <w:vAlign w:val="bottom"/>
            <w:tcBorders>
              <w:top w:val="single" w:sz="8" w:color="2952A4"/>
              <w:bottom w:val="single" w:sz="8" w:color="2952A4"/>
            </w:tcBorders>
          </w:tcPr>
          <w:p>
            <w:pPr>
              <w:jc w:val="center"/>
              <w:ind w:right="198"/>
              <w:spacing w:after="0"/>
              <w:rPr>
                <w:sz w:val="20"/>
                <w:szCs w:val="20"/>
                <w:color w:val="auto"/>
              </w:rPr>
            </w:pPr>
            <w:r>
              <w:rPr>
                <w:rFonts w:ascii="Arial" w:cs="Arial" w:eastAsia="Arial" w:hAnsi="Arial"/>
                <w:sz w:val="12"/>
                <w:szCs w:val="12"/>
                <w:b w:val="1"/>
                <w:bCs w:val="1"/>
                <w:color w:val="2952A4"/>
                <w:w w:val="74"/>
              </w:rPr>
              <w:t>E</w:t>
            </w:r>
          </w:p>
        </w:tc>
      </w:tr>
      <w:tr>
        <w:trPr>
          <w:trHeight w:val="142"/>
        </w:trPr>
        <w:tc>
          <w:tcPr>
            <w:tcW w:w="2740" w:type="dxa"/>
            <w:vAlign w:val="bottom"/>
          </w:tcPr>
          <w:p>
            <w:pPr>
              <w:spacing w:after="0"/>
              <w:rPr>
                <w:sz w:val="12"/>
                <w:szCs w:val="12"/>
                <w:color w:val="auto"/>
              </w:rPr>
            </w:pPr>
          </w:p>
        </w:tc>
        <w:tc>
          <w:tcPr>
            <w:tcW w:w="2380" w:type="dxa"/>
            <w:vAlign w:val="bottom"/>
            <w:tcBorders>
              <w:bottom w:val="single" w:sz="8" w:color="2952A4"/>
            </w:tcBorders>
          </w:tcPr>
          <w:p>
            <w:pPr>
              <w:jc w:val="right"/>
              <w:ind w:right="18"/>
              <w:spacing w:after="0"/>
              <w:rPr>
                <w:sz w:val="20"/>
                <w:szCs w:val="20"/>
                <w:color w:val="auto"/>
              </w:rPr>
            </w:pPr>
            <w:r>
              <w:rPr>
                <w:rFonts w:ascii="Arial" w:cs="Arial" w:eastAsia="Arial" w:hAnsi="Arial"/>
                <w:sz w:val="12"/>
                <w:szCs w:val="12"/>
                <w:b w:val="1"/>
                <w:bCs w:val="1"/>
                <w:color w:val="2952A4"/>
              </w:rPr>
              <w:t>Option awards</w:t>
            </w:r>
          </w:p>
        </w:tc>
        <w:tc>
          <w:tcPr>
            <w:tcW w:w="1140" w:type="dxa"/>
            <w:vAlign w:val="bottom"/>
            <w:tcBorders>
              <w:bottom w:val="single" w:sz="8" w:color="2952A4"/>
            </w:tcBorders>
          </w:tcPr>
          <w:p>
            <w:pPr>
              <w:spacing w:after="0"/>
              <w:rPr>
                <w:sz w:val="12"/>
                <w:szCs w:val="12"/>
                <w:color w:val="auto"/>
              </w:rPr>
            </w:pPr>
          </w:p>
        </w:tc>
        <w:tc>
          <w:tcPr>
            <w:tcW w:w="480" w:type="dxa"/>
            <w:vAlign w:val="bottom"/>
          </w:tcPr>
          <w:p>
            <w:pPr>
              <w:spacing w:after="0"/>
              <w:rPr>
                <w:sz w:val="12"/>
                <w:szCs w:val="12"/>
                <w:color w:val="auto"/>
              </w:rPr>
            </w:pPr>
          </w:p>
        </w:tc>
        <w:tc>
          <w:tcPr>
            <w:tcW w:w="1900" w:type="dxa"/>
            <w:vAlign w:val="bottom"/>
            <w:tcBorders>
              <w:bottom w:val="single" w:sz="8" w:color="2952A4"/>
            </w:tcBorders>
          </w:tcPr>
          <w:p>
            <w:pPr>
              <w:ind w:left="1120"/>
              <w:spacing w:after="0"/>
              <w:rPr>
                <w:sz w:val="20"/>
                <w:szCs w:val="20"/>
                <w:color w:val="auto"/>
              </w:rPr>
            </w:pPr>
            <w:r>
              <w:rPr>
                <w:rFonts w:ascii="Arial" w:cs="Arial" w:eastAsia="Arial" w:hAnsi="Arial"/>
                <w:sz w:val="12"/>
                <w:szCs w:val="12"/>
                <w:b w:val="1"/>
                <w:bCs w:val="1"/>
                <w:color w:val="2952A4"/>
                <w:w w:val="98"/>
              </w:rPr>
              <w:t>Stock awards</w:t>
            </w:r>
          </w:p>
        </w:tc>
        <w:tc>
          <w:tcPr>
            <w:tcW w:w="1080" w:type="dxa"/>
            <w:vAlign w:val="bottom"/>
            <w:tcBorders>
              <w:bottom w:val="single" w:sz="8" w:color="2952A4"/>
            </w:tcBorders>
          </w:tcPr>
          <w:p>
            <w:pPr>
              <w:spacing w:after="0"/>
              <w:rPr>
                <w:sz w:val="12"/>
                <w:szCs w:val="12"/>
                <w:color w:val="auto"/>
              </w:rPr>
            </w:pPr>
          </w:p>
        </w:tc>
      </w:tr>
      <w:tr>
        <w:trPr>
          <w:trHeight w:val="117"/>
        </w:trPr>
        <w:tc>
          <w:tcPr>
            <w:tcW w:w="2740" w:type="dxa"/>
            <w:vAlign w:val="bottom"/>
          </w:tcPr>
          <w:p>
            <w:pPr>
              <w:spacing w:after="0"/>
              <w:rPr>
                <w:sz w:val="10"/>
                <w:szCs w:val="10"/>
                <w:color w:val="auto"/>
              </w:rPr>
            </w:pPr>
          </w:p>
        </w:tc>
        <w:tc>
          <w:tcPr>
            <w:tcW w:w="2380" w:type="dxa"/>
            <w:vAlign w:val="bottom"/>
          </w:tcPr>
          <w:p>
            <w:pPr>
              <w:jc w:val="center"/>
              <w:ind w:right="358"/>
              <w:spacing w:after="0" w:line="117" w:lineRule="exact"/>
              <w:rPr>
                <w:sz w:val="20"/>
                <w:szCs w:val="20"/>
                <w:color w:val="auto"/>
              </w:rPr>
            </w:pPr>
            <w:r>
              <w:rPr>
                <w:rFonts w:ascii="Arial" w:cs="Arial" w:eastAsia="Arial" w:hAnsi="Arial"/>
                <w:sz w:val="12"/>
                <w:szCs w:val="12"/>
                <w:b w:val="1"/>
                <w:bCs w:val="1"/>
                <w:color w:val="2952A4"/>
                <w:w w:val="97"/>
              </w:rPr>
              <w:t>Number of shares</w:t>
            </w:r>
          </w:p>
        </w:tc>
        <w:tc>
          <w:tcPr>
            <w:tcW w:w="1140" w:type="dxa"/>
            <w:vAlign w:val="bottom"/>
          </w:tcPr>
          <w:p>
            <w:pPr>
              <w:jc w:val="center"/>
              <w:ind w:right="158"/>
              <w:spacing w:after="0" w:line="117" w:lineRule="exact"/>
              <w:rPr>
                <w:sz w:val="20"/>
                <w:szCs w:val="20"/>
                <w:color w:val="auto"/>
              </w:rPr>
            </w:pPr>
            <w:r>
              <w:rPr>
                <w:rFonts w:ascii="Arial" w:cs="Arial" w:eastAsia="Arial" w:hAnsi="Arial"/>
                <w:sz w:val="12"/>
                <w:szCs w:val="12"/>
                <w:b w:val="1"/>
                <w:bCs w:val="1"/>
                <w:color w:val="2952A4"/>
                <w:w w:val="94"/>
              </w:rPr>
              <w:t>Value realized</w:t>
            </w:r>
          </w:p>
        </w:tc>
        <w:tc>
          <w:tcPr>
            <w:tcW w:w="480" w:type="dxa"/>
            <w:vAlign w:val="bottom"/>
          </w:tcPr>
          <w:p>
            <w:pPr>
              <w:spacing w:after="0"/>
              <w:rPr>
                <w:sz w:val="10"/>
                <w:szCs w:val="10"/>
                <w:color w:val="auto"/>
              </w:rPr>
            </w:pPr>
          </w:p>
        </w:tc>
        <w:tc>
          <w:tcPr>
            <w:tcW w:w="1900" w:type="dxa"/>
            <w:vAlign w:val="bottom"/>
          </w:tcPr>
          <w:p>
            <w:pPr>
              <w:jc w:val="center"/>
              <w:ind w:right="478"/>
              <w:spacing w:after="0" w:line="117" w:lineRule="exact"/>
              <w:rPr>
                <w:sz w:val="20"/>
                <w:szCs w:val="20"/>
                <w:color w:val="auto"/>
              </w:rPr>
            </w:pPr>
            <w:r>
              <w:rPr>
                <w:rFonts w:ascii="Arial" w:cs="Arial" w:eastAsia="Arial" w:hAnsi="Arial"/>
                <w:sz w:val="12"/>
                <w:szCs w:val="12"/>
                <w:b w:val="1"/>
                <w:bCs w:val="1"/>
                <w:color w:val="2952A4"/>
                <w:w w:val="97"/>
              </w:rPr>
              <w:t>Number of shares</w:t>
            </w:r>
          </w:p>
        </w:tc>
        <w:tc>
          <w:tcPr>
            <w:tcW w:w="1080" w:type="dxa"/>
            <w:vAlign w:val="bottom"/>
          </w:tcPr>
          <w:p>
            <w:pPr>
              <w:jc w:val="center"/>
              <w:ind w:right="198"/>
              <w:spacing w:after="0" w:line="117" w:lineRule="exact"/>
              <w:rPr>
                <w:sz w:val="20"/>
                <w:szCs w:val="20"/>
                <w:color w:val="auto"/>
              </w:rPr>
            </w:pPr>
            <w:r>
              <w:rPr>
                <w:rFonts w:ascii="Arial" w:cs="Arial" w:eastAsia="Arial" w:hAnsi="Arial"/>
                <w:sz w:val="12"/>
                <w:szCs w:val="12"/>
                <w:b w:val="1"/>
                <w:bCs w:val="1"/>
                <w:color w:val="2952A4"/>
                <w:w w:val="97"/>
              </w:rPr>
              <w:t>Value realized</w:t>
            </w:r>
          </w:p>
        </w:tc>
      </w:tr>
      <w:tr>
        <w:trPr>
          <w:trHeight w:val="141"/>
        </w:trPr>
        <w:tc>
          <w:tcPr>
            <w:tcW w:w="2740" w:type="dxa"/>
            <w:vAlign w:val="bottom"/>
          </w:tcPr>
          <w:p>
            <w:pPr>
              <w:spacing w:after="0"/>
              <w:rPr>
                <w:sz w:val="12"/>
                <w:szCs w:val="12"/>
                <w:color w:val="auto"/>
              </w:rPr>
            </w:pPr>
          </w:p>
        </w:tc>
        <w:tc>
          <w:tcPr>
            <w:tcW w:w="2380" w:type="dxa"/>
            <w:vAlign w:val="bottom"/>
          </w:tcPr>
          <w:p>
            <w:pPr>
              <w:jc w:val="center"/>
              <w:ind w:right="358"/>
              <w:spacing w:after="0"/>
              <w:rPr>
                <w:sz w:val="20"/>
                <w:szCs w:val="20"/>
                <w:color w:val="auto"/>
              </w:rPr>
            </w:pPr>
            <w:r>
              <w:rPr>
                <w:rFonts w:ascii="Arial" w:cs="Arial" w:eastAsia="Arial" w:hAnsi="Arial"/>
                <w:sz w:val="12"/>
                <w:szCs w:val="12"/>
                <w:b w:val="1"/>
                <w:bCs w:val="1"/>
                <w:color w:val="2952A4"/>
                <w:w w:val="97"/>
              </w:rPr>
              <w:t>acquired on exercise</w:t>
            </w:r>
          </w:p>
        </w:tc>
        <w:tc>
          <w:tcPr>
            <w:tcW w:w="1620" w:type="dxa"/>
            <w:vAlign w:val="bottom"/>
            <w:gridSpan w:val="2"/>
          </w:tcPr>
          <w:p>
            <w:pPr>
              <w:jc w:val="center"/>
              <w:ind w:right="700"/>
              <w:spacing w:after="0"/>
              <w:rPr>
                <w:sz w:val="20"/>
                <w:szCs w:val="20"/>
                <w:color w:val="auto"/>
              </w:rPr>
            </w:pPr>
            <w:r>
              <w:rPr>
                <w:rFonts w:ascii="Arial" w:cs="Arial" w:eastAsia="Arial" w:hAnsi="Arial"/>
                <w:sz w:val="12"/>
                <w:szCs w:val="12"/>
                <w:b w:val="1"/>
                <w:bCs w:val="1"/>
                <w:color w:val="2952A4"/>
                <w:w w:val="96"/>
              </w:rPr>
              <w:t>on exercise</w:t>
            </w:r>
          </w:p>
        </w:tc>
        <w:tc>
          <w:tcPr>
            <w:tcW w:w="1900" w:type="dxa"/>
            <w:vAlign w:val="bottom"/>
          </w:tcPr>
          <w:p>
            <w:pPr>
              <w:jc w:val="center"/>
              <w:ind w:right="498"/>
              <w:spacing w:after="0"/>
              <w:rPr>
                <w:sz w:val="20"/>
                <w:szCs w:val="20"/>
                <w:color w:val="auto"/>
              </w:rPr>
            </w:pPr>
            <w:r>
              <w:rPr>
                <w:rFonts w:ascii="Arial" w:cs="Arial" w:eastAsia="Arial" w:hAnsi="Arial"/>
                <w:sz w:val="12"/>
                <w:szCs w:val="12"/>
                <w:b w:val="1"/>
                <w:bCs w:val="1"/>
                <w:color w:val="2952A4"/>
                <w:w w:val="96"/>
              </w:rPr>
              <w:t>acquired on vesting</w:t>
            </w:r>
          </w:p>
        </w:tc>
        <w:tc>
          <w:tcPr>
            <w:tcW w:w="1080" w:type="dxa"/>
            <w:vAlign w:val="bottom"/>
          </w:tcPr>
          <w:p>
            <w:pPr>
              <w:jc w:val="center"/>
              <w:ind w:right="198"/>
              <w:spacing w:after="0"/>
              <w:rPr>
                <w:sz w:val="20"/>
                <w:szCs w:val="20"/>
                <w:color w:val="auto"/>
              </w:rPr>
            </w:pPr>
            <w:r>
              <w:rPr>
                <w:rFonts w:ascii="Arial" w:cs="Arial" w:eastAsia="Arial" w:hAnsi="Arial"/>
                <w:sz w:val="12"/>
                <w:szCs w:val="12"/>
                <w:b w:val="1"/>
                <w:bCs w:val="1"/>
                <w:color w:val="2952A4"/>
                <w:w w:val="96"/>
              </w:rPr>
              <w:t>on vesting</w:t>
            </w:r>
          </w:p>
        </w:tc>
      </w:tr>
      <w:tr>
        <w:trPr>
          <w:trHeight w:val="188"/>
        </w:trPr>
        <w:tc>
          <w:tcPr>
            <w:tcW w:w="2740" w:type="dxa"/>
            <w:vAlign w:val="bottom"/>
            <w:tcBorders>
              <w:bottom w:val="single" w:sz="8" w:color="2952A4"/>
            </w:tcBorders>
          </w:tcPr>
          <w:p>
            <w:pPr>
              <w:ind w:left="60"/>
              <w:spacing w:after="0"/>
              <w:rPr>
                <w:sz w:val="20"/>
                <w:szCs w:val="20"/>
                <w:color w:val="auto"/>
              </w:rPr>
            </w:pPr>
            <w:r>
              <w:rPr>
                <w:rFonts w:ascii="Arial" w:cs="Arial" w:eastAsia="Arial" w:hAnsi="Arial"/>
                <w:sz w:val="12"/>
                <w:szCs w:val="12"/>
                <w:b w:val="1"/>
                <w:bCs w:val="1"/>
                <w:color w:val="2952A4"/>
              </w:rPr>
              <w:t>Name</w:t>
            </w:r>
          </w:p>
        </w:tc>
        <w:tc>
          <w:tcPr>
            <w:tcW w:w="2380" w:type="dxa"/>
            <w:vAlign w:val="bottom"/>
            <w:tcBorders>
              <w:bottom w:val="single" w:sz="8" w:color="2952A4"/>
            </w:tcBorders>
          </w:tcPr>
          <w:p>
            <w:pPr>
              <w:jc w:val="center"/>
              <w:ind w:right="338"/>
              <w:spacing w:after="0"/>
              <w:rPr>
                <w:sz w:val="20"/>
                <w:szCs w:val="20"/>
                <w:color w:val="auto"/>
              </w:rPr>
            </w:pPr>
            <w:r>
              <w:rPr>
                <w:rFonts w:ascii="Arial" w:cs="Arial" w:eastAsia="Arial" w:hAnsi="Arial"/>
                <w:sz w:val="12"/>
                <w:szCs w:val="12"/>
                <w:b w:val="1"/>
                <w:bCs w:val="1"/>
                <w:color w:val="2952A4"/>
                <w:w w:val="95"/>
              </w:rPr>
              <w:t>(#)</w:t>
            </w:r>
          </w:p>
        </w:tc>
        <w:tc>
          <w:tcPr>
            <w:tcW w:w="1140" w:type="dxa"/>
            <w:vAlign w:val="bottom"/>
            <w:tcBorders>
              <w:bottom w:val="single" w:sz="8" w:color="2952A4"/>
            </w:tcBorders>
          </w:tcPr>
          <w:p>
            <w:pPr>
              <w:jc w:val="center"/>
              <w:ind w:right="158"/>
              <w:spacing w:after="0" w:line="182" w:lineRule="exact"/>
              <w:rPr>
                <w:sz w:val="20"/>
                <w:szCs w:val="20"/>
                <w:color w:val="auto"/>
              </w:rPr>
            </w:pPr>
            <w:r>
              <w:rPr>
                <w:rFonts w:ascii="Arial" w:cs="Arial" w:eastAsia="Arial" w:hAnsi="Arial"/>
                <w:sz w:val="12"/>
                <w:szCs w:val="12"/>
                <w:b w:val="1"/>
                <w:bCs w:val="1"/>
                <w:color w:val="2952A4"/>
                <w:w w:val="91"/>
              </w:rPr>
              <w:t>($)</w:t>
            </w:r>
            <w:r>
              <w:rPr>
                <w:rFonts w:ascii="Arial" w:cs="Arial" w:eastAsia="Arial" w:hAnsi="Arial"/>
                <w:sz w:val="19"/>
                <w:szCs w:val="19"/>
                <w:b w:val="1"/>
                <w:bCs w:val="1"/>
                <w:color w:val="2952A4"/>
                <w:w w:val="91"/>
                <w:vertAlign w:val="superscript"/>
              </w:rPr>
              <w:t>1</w:t>
            </w:r>
          </w:p>
        </w:tc>
        <w:tc>
          <w:tcPr>
            <w:tcW w:w="480" w:type="dxa"/>
            <w:vAlign w:val="bottom"/>
            <w:tcBorders>
              <w:bottom w:val="single" w:sz="8" w:color="2952A4"/>
            </w:tcBorders>
          </w:tcPr>
          <w:p>
            <w:pPr>
              <w:spacing w:after="0"/>
              <w:rPr>
                <w:sz w:val="16"/>
                <w:szCs w:val="16"/>
                <w:color w:val="auto"/>
              </w:rPr>
            </w:pPr>
          </w:p>
        </w:tc>
        <w:tc>
          <w:tcPr>
            <w:tcW w:w="1900" w:type="dxa"/>
            <w:vAlign w:val="bottom"/>
            <w:tcBorders>
              <w:bottom w:val="single" w:sz="8" w:color="2952A4"/>
            </w:tcBorders>
          </w:tcPr>
          <w:p>
            <w:pPr>
              <w:jc w:val="center"/>
              <w:ind w:right="498"/>
              <w:spacing w:after="0"/>
              <w:rPr>
                <w:sz w:val="20"/>
                <w:szCs w:val="20"/>
                <w:color w:val="auto"/>
              </w:rPr>
            </w:pPr>
            <w:r>
              <w:rPr>
                <w:rFonts w:ascii="Arial" w:cs="Arial" w:eastAsia="Arial" w:hAnsi="Arial"/>
                <w:sz w:val="12"/>
                <w:szCs w:val="12"/>
                <w:b w:val="1"/>
                <w:bCs w:val="1"/>
                <w:color w:val="2952A4"/>
                <w:w w:val="95"/>
              </w:rPr>
              <w:t>(#)</w:t>
            </w:r>
          </w:p>
        </w:tc>
        <w:tc>
          <w:tcPr>
            <w:tcW w:w="1080" w:type="dxa"/>
            <w:vAlign w:val="bottom"/>
            <w:tcBorders>
              <w:bottom w:val="single" w:sz="8" w:color="2952A4"/>
            </w:tcBorders>
          </w:tcPr>
          <w:p>
            <w:pPr>
              <w:jc w:val="center"/>
              <w:ind w:right="198"/>
              <w:spacing w:after="0"/>
              <w:rPr>
                <w:sz w:val="20"/>
                <w:szCs w:val="20"/>
                <w:color w:val="auto"/>
              </w:rPr>
            </w:pPr>
            <w:r>
              <w:rPr>
                <w:rFonts w:ascii="Arial" w:cs="Arial" w:eastAsia="Arial" w:hAnsi="Arial"/>
                <w:sz w:val="12"/>
                <w:szCs w:val="12"/>
                <w:b w:val="1"/>
                <w:bCs w:val="1"/>
                <w:color w:val="2952A4"/>
                <w:w w:val="95"/>
              </w:rPr>
              <w:t>($)</w:t>
            </w:r>
          </w:p>
        </w:tc>
      </w:tr>
      <w:tr>
        <w:trPr>
          <w:trHeight w:val="148"/>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C04C57"/>
              </w:rPr>
              <w:t>Leonard S. Schleifer, M.D., Ph.D.</w:t>
            </w:r>
          </w:p>
        </w:tc>
        <w:tc>
          <w:tcPr>
            <w:tcW w:w="2380" w:type="dxa"/>
            <w:vAlign w:val="bottom"/>
            <w:tcBorders>
              <w:bottom w:val="single" w:sz="8" w:color="auto"/>
            </w:tcBorders>
          </w:tcPr>
          <w:p>
            <w:pPr>
              <w:jc w:val="right"/>
              <w:ind w:right="938"/>
              <w:spacing w:after="0"/>
              <w:rPr>
                <w:sz w:val="20"/>
                <w:szCs w:val="20"/>
                <w:color w:val="auto"/>
              </w:rPr>
            </w:pPr>
            <w:r>
              <w:rPr>
                <w:rFonts w:ascii="Arial" w:cs="Arial" w:eastAsia="Arial" w:hAnsi="Arial"/>
                <w:sz w:val="13"/>
                <w:szCs w:val="13"/>
                <w:color w:val="231F20"/>
              </w:rPr>
              <w:t>312,500</w:t>
            </w: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231F20"/>
              </w:rPr>
              <w:t>169,000,000</w:t>
            </w:r>
          </w:p>
        </w:tc>
        <w:tc>
          <w:tcPr>
            <w:tcW w:w="4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ind w:left="940"/>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231F20"/>
              </w:rPr>
              <w:t>—</w:t>
            </w:r>
          </w:p>
        </w:tc>
      </w:tr>
      <w:tr>
        <w:trPr>
          <w:trHeight w:val="142"/>
        </w:trPr>
        <w:tc>
          <w:tcPr>
            <w:tcW w:w="2740" w:type="dxa"/>
            <w:vAlign w:val="bottom"/>
            <w:tcBorders>
              <w:bottom w:val="single" w:sz="8" w:color="auto"/>
            </w:tcBorders>
            <w:shd w:val="clear" w:color="auto" w:fill="EAEAEC"/>
          </w:tcPr>
          <w:p>
            <w:pPr>
              <w:ind w:left="60"/>
              <w:spacing w:after="0" w:line="142" w:lineRule="exact"/>
              <w:rPr>
                <w:sz w:val="20"/>
                <w:szCs w:val="20"/>
                <w:color w:val="auto"/>
              </w:rPr>
            </w:pPr>
            <w:r>
              <w:rPr>
                <w:rFonts w:ascii="Arial" w:cs="Arial" w:eastAsia="Arial" w:hAnsi="Arial"/>
                <w:sz w:val="13"/>
                <w:szCs w:val="13"/>
                <w:b w:val="1"/>
                <w:bCs w:val="1"/>
                <w:color w:val="C04C57"/>
              </w:rPr>
              <w:t>George D. Yancopoulos, M.D., Ph.D.</w:t>
            </w:r>
          </w:p>
        </w:tc>
        <w:tc>
          <w:tcPr>
            <w:tcW w:w="2380" w:type="dxa"/>
            <w:vAlign w:val="bottom"/>
            <w:tcBorders>
              <w:bottom w:val="single" w:sz="8" w:color="auto"/>
            </w:tcBorders>
            <w:shd w:val="clear" w:color="auto" w:fill="EAEAEC"/>
          </w:tcPr>
          <w:p>
            <w:pPr>
              <w:jc w:val="right"/>
              <w:ind w:right="938"/>
              <w:spacing w:after="0" w:line="142" w:lineRule="exact"/>
              <w:rPr>
                <w:sz w:val="20"/>
                <w:szCs w:val="20"/>
                <w:color w:val="auto"/>
              </w:rPr>
            </w:pPr>
            <w:r>
              <w:rPr>
                <w:rFonts w:ascii="Arial" w:cs="Arial" w:eastAsia="Arial" w:hAnsi="Arial"/>
                <w:sz w:val="13"/>
                <w:szCs w:val="13"/>
                <w:color w:val="231F20"/>
              </w:rPr>
              <w:t>644,815</w:t>
            </w:r>
          </w:p>
        </w:tc>
        <w:tc>
          <w:tcPr>
            <w:tcW w:w="1140" w:type="dxa"/>
            <w:vAlign w:val="bottom"/>
            <w:tcBorders>
              <w:bottom w:val="single" w:sz="8" w:color="auto"/>
            </w:tcBorders>
            <w:shd w:val="clear" w:color="auto" w:fill="EAEAEC"/>
          </w:tcPr>
          <w:p>
            <w:pPr>
              <w:jc w:val="right"/>
              <w:ind w:right="38"/>
              <w:spacing w:after="0" w:line="142" w:lineRule="exact"/>
              <w:rPr>
                <w:sz w:val="20"/>
                <w:szCs w:val="20"/>
                <w:color w:val="auto"/>
              </w:rPr>
            </w:pPr>
            <w:r>
              <w:rPr>
                <w:rFonts w:ascii="Arial" w:cs="Arial" w:eastAsia="Arial" w:hAnsi="Arial"/>
                <w:sz w:val="13"/>
                <w:szCs w:val="13"/>
                <w:color w:val="231F20"/>
              </w:rPr>
              <w:t>281,652,068</w:t>
            </w:r>
          </w:p>
        </w:tc>
        <w:tc>
          <w:tcPr>
            <w:tcW w:w="480" w:type="dxa"/>
            <w:vAlign w:val="bottom"/>
            <w:tcBorders>
              <w:bottom w:val="single" w:sz="8" w:color="auto"/>
            </w:tcBorders>
            <w:shd w:val="clear" w:color="auto" w:fill="EAEAEC"/>
          </w:tcPr>
          <w:p>
            <w:pPr>
              <w:spacing w:after="0"/>
              <w:rPr>
                <w:sz w:val="12"/>
                <w:szCs w:val="12"/>
                <w:color w:val="auto"/>
              </w:rPr>
            </w:pPr>
          </w:p>
        </w:tc>
        <w:tc>
          <w:tcPr>
            <w:tcW w:w="1900" w:type="dxa"/>
            <w:vAlign w:val="bottom"/>
            <w:tcBorders>
              <w:bottom w:val="single" w:sz="8" w:color="auto"/>
            </w:tcBorders>
            <w:shd w:val="clear" w:color="auto" w:fill="EAEAEC"/>
          </w:tcPr>
          <w:p>
            <w:pPr>
              <w:ind w:left="940"/>
              <w:spacing w:after="0" w:line="142" w:lineRule="exact"/>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shd w:val="clear" w:color="auto" w:fill="EAEAEC"/>
          </w:tcPr>
          <w:p>
            <w:pPr>
              <w:ind w:left="860"/>
              <w:spacing w:after="0" w:line="142" w:lineRule="exact"/>
              <w:rPr>
                <w:sz w:val="20"/>
                <w:szCs w:val="20"/>
                <w:color w:val="auto"/>
              </w:rPr>
            </w:pPr>
            <w:r>
              <w:rPr>
                <w:rFonts w:ascii="Arial" w:cs="Arial" w:eastAsia="Arial" w:hAnsi="Arial"/>
                <w:sz w:val="13"/>
                <w:szCs w:val="13"/>
                <w:color w:val="231F20"/>
              </w:rPr>
              <w:t>—</w:t>
            </w:r>
          </w:p>
        </w:tc>
      </w:tr>
      <w:tr>
        <w:trPr>
          <w:trHeight w:val="142"/>
        </w:trPr>
        <w:tc>
          <w:tcPr>
            <w:tcW w:w="2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C04C57"/>
              </w:rPr>
              <w:t>Robert E. Landry</w:t>
            </w:r>
          </w:p>
        </w:tc>
        <w:tc>
          <w:tcPr>
            <w:tcW w:w="2380" w:type="dxa"/>
            <w:vAlign w:val="bottom"/>
            <w:tcBorders>
              <w:bottom w:val="single" w:sz="8" w:color="auto"/>
            </w:tcBorders>
          </w:tcPr>
          <w:p>
            <w:pPr>
              <w:jc w:val="right"/>
              <w:ind w:right="938"/>
              <w:spacing w:after="0" w:line="142" w:lineRule="exact"/>
              <w:rPr>
                <w:sz w:val="20"/>
                <w:szCs w:val="20"/>
                <w:color w:val="auto"/>
              </w:rPr>
            </w:pPr>
            <w:r>
              <w:rPr>
                <w:rFonts w:ascii="Arial" w:cs="Arial" w:eastAsia="Arial" w:hAnsi="Arial"/>
                <w:sz w:val="13"/>
                <w:szCs w:val="13"/>
                <w:color w:val="231F20"/>
              </w:rPr>
              <w:t>89,900</w:t>
            </w:r>
          </w:p>
        </w:tc>
        <w:tc>
          <w:tcPr>
            <w:tcW w:w="114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3"/>
                <w:szCs w:val="13"/>
                <w:color w:val="231F20"/>
              </w:rPr>
              <w:t>19,611,893</w:t>
            </w:r>
          </w:p>
        </w:tc>
        <w:tc>
          <w:tcPr>
            <w:tcW w:w="4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ind w:left="940"/>
              <w:spacing w:after="0" w:line="142" w:lineRule="exact"/>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tcPr>
          <w:p>
            <w:pPr>
              <w:ind w:left="860"/>
              <w:spacing w:after="0" w:line="142" w:lineRule="exact"/>
              <w:rPr>
                <w:sz w:val="20"/>
                <w:szCs w:val="20"/>
                <w:color w:val="auto"/>
              </w:rPr>
            </w:pPr>
            <w:r>
              <w:rPr>
                <w:rFonts w:ascii="Arial" w:cs="Arial" w:eastAsia="Arial" w:hAnsi="Arial"/>
                <w:sz w:val="13"/>
                <w:szCs w:val="13"/>
                <w:color w:val="231F20"/>
              </w:rPr>
              <w:t>—</w:t>
            </w:r>
          </w:p>
        </w:tc>
      </w:tr>
      <w:tr>
        <w:trPr>
          <w:trHeight w:val="142"/>
        </w:trPr>
        <w:tc>
          <w:tcPr>
            <w:tcW w:w="2740" w:type="dxa"/>
            <w:vAlign w:val="bottom"/>
            <w:tcBorders>
              <w:bottom w:val="single" w:sz="8" w:color="auto"/>
            </w:tcBorders>
            <w:shd w:val="clear" w:color="auto" w:fill="EAEAEC"/>
          </w:tcPr>
          <w:p>
            <w:pPr>
              <w:ind w:left="60"/>
              <w:spacing w:after="0" w:line="142" w:lineRule="exact"/>
              <w:rPr>
                <w:sz w:val="20"/>
                <w:szCs w:val="20"/>
                <w:color w:val="auto"/>
              </w:rPr>
            </w:pPr>
            <w:r>
              <w:rPr>
                <w:rFonts w:ascii="Arial" w:cs="Arial" w:eastAsia="Arial" w:hAnsi="Arial"/>
                <w:sz w:val="13"/>
                <w:szCs w:val="13"/>
                <w:b w:val="1"/>
                <w:bCs w:val="1"/>
                <w:color w:val="C04C57"/>
              </w:rPr>
              <w:t>Daniel P. Van Plew</w:t>
            </w:r>
          </w:p>
        </w:tc>
        <w:tc>
          <w:tcPr>
            <w:tcW w:w="2380" w:type="dxa"/>
            <w:vAlign w:val="bottom"/>
            <w:tcBorders>
              <w:bottom w:val="single" w:sz="8" w:color="auto"/>
            </w:tcBorders>
            <w:shd w:val="clear" w:color="auto" w:fill="EAEAEC"/>
          </w:tcPr>
          <w:p>
            <w:pPr>
              <w:jc w:val="right"/>
              <w:ind w:right="938"/>
              <w:spacing w:after="0" w:line="142" w:lineRule="exact"/>
              <w:rPr>
                <w:sz w:val="20"/>
                <w:szCs w:val="20"/>
                <w:color w:val="auto"/>
              </w:rPr>
            </w:pPr>
            <w:r>
              <w:rPr>
                <w:rFonts w:ascii="Arial" w:cs="Arial" w:eastAsia="Arial" w:hAnsi="Arial"/>
                <w:sz w:val="13"/>
                <w:szCs w:val="13"/>
                <w:color w:val="231F20"/>
              </w:rPr>
              <w:t>193,314</w:t>
            </w:r>
          </w:p>
        </w:tc>
        <w:tc>
          <w:tcPr>
            <w:tcW w:w="1140" w:type="dxa"/>
            <w:vAlign w:val="bottom"/>
            <w:tcBorders>
              <w:bottom w:val="single" w:sz="8" w:color="auto"/>
            </w:tcBorders>
            <w:shd w:val="clear" w:color="auto" w:fill="EAEAEC"/>
          </w:tcPr>
          <w:p>
            <w:pPr>
              <w:jc w:val="right"/>
              <w:ind w:right="38"/>
              <w:spacing w:after="0" w:line="142" w:lineRule="exact"/>
              <w:rPr>
                <w:sz w:val="20"/>
                <w:szCs w:val="20"/>
                <w:color w:val="auto"/>
              </w:rPr>
            </w:pPr>
            <w:r>
              <w:rPr>
                <w:rFonts w:ascii="Arial" w:cs="Arial" w:eastAsia="Arial" w:hAnsi="Arial"/>
                <w:sz w:val="13"/>
                <w:szCs w:val="13"/>
                <w:color w:val="231F20"/>
              </w:rPr>
              <w:t>89,371,258</w:t>
            </w:r>
          </w:p>
        </w:tc>
        <w:tc>
          <w:tcPr>
            <w:tcW w:w="480" w:type="dxa"/>
            <w:vAlign w:val="bottom"/>
            <w:tcBorders>
              <w:bottom w:val="single" w:sz="8" w:color="auto"/>
            </w:tcBorders>
            <w:shd w:val="clear" w:color="auto" w:fill="EAEAEC"/>
          </w:tcPr>
          <w:p>
            <w:pPr>
              <w:spacing w:after="0"/>
              <w:rPr>
                <w:sz w:val="12"/>
                <w:szCs w:val="12"/>
                <w:color w:val="auto"/>
              </w:rPr>
            </w:pPr>
          </w:p>
        </w:tc>
        <w:tc>
          <w:tcPr>
            <w:tcW w:w="1900" w:type="dxa"/>
            <w:vAlign w:val="bottom"/>
            <w:tcBorders>
              <w:bottom w:val="single" w:sz="8" w:color="auto"/>
            </w:tcBorders>
            <w:shd w:val="clear" w:color="auto" w:fill="EAEAEC"/>
          </w:tcPr>
          <w:p>
            <w:pPr>
              <w:ind w:left="940"/>
              <w:spacing w:after="0" w:line="142" w:lineRule="exact"/>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shd w:val="clear" w:color="auto" w:fill="EAEAEC"/>
          </w:tcPr>
          <w:p>
            <w:pPr>
              <w:ind w:left="860"/>
              <w:spacing w:after="0" w:line="142" w:lineRule="exact"/>
              <w:rPr>
                <w:sz w:val="20"/>
                <w:szCs w:val="20"/>
                <w:color w:val="auto"/>
              </w:rPr>
            </w:pPr>
            <w:r>
              <w:rPr>
                <w:rFonts w:ascii="Arial" w:cs="Arial" w:eastAsia="Arial" w:hAnsi="Arial"/>
                <w:sz w:val="13"/>
                <w:szCs w:val="13"/>
                <w:color w:val="231F20"/>
              </w:rPr>
              <w:t>—</w:t>
            </w:r>
          </w:p>
        </w:tc>
      </w:tr>
      <w:tr>
        <w:trPr>
          <w:trHeight w:val="142"/>
        </w:trPr>
        <w:tc>
          <w:tcPr>
            <w:tcW w:w="27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C04C57"/>
              </w:rPr>
              <w:t>Andrew J. Murphy, Ph.D.</w:t>
            </w:r>
          </w:p>
        </w:tc>
        <w:tc>
          <w:tcPr>
            <w:tcW w:w="2380" w:type="dxa"/>
            <w:vAlign w:val="bottom"/>
            <w:tcBorders>
              <w:bottom w:val="single" w:sz="8" w:color="auto"/>
            </w:tcBorders>
          </w:tcPr>
          <w:p>
            <w:pPr>
              <w:jc w:val="right"/>
              <w:ind w:right="938"/>
              <w:spacing w:after="0" w:line="142" w:lineRule="exact"/>
              <w:rPr>
                <w:sz w:val="20"/>
                <w:szCs w:val="20"/>
                <w:color w:val="auto"/>
              </w:rPr>
            </w:pPr>
            <w:r>
              <w:rPr>
                <w:rFonts w:ascii="Arial" w:cs="Arial" w:eastAsia="Arial" w:hAnsi="Arial"/>
                <w:sz w:val="13"/>
                <w:szCs w:val="13"/>
                <w:color w:val="231F20"/>
              </w:rPr>
              <w:t>31,921</w:t>
            </w:r>
          </w:p>
        </w:tc>
        <w:tc>
          <w:tcPr>
            <w:tcW w:w="114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3"/>
                <w:szCs w:val="13"/>
                <w:color w:val="231F20"/>
              </w:rPr>
              <w:t>15,004,069</w:t>
            </w:r>
          </w:p>
        </w:tc>
        <w:tc>
          <w:tcPr>
            <w:tcW w:w="4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ind w:left="940"/>
              <w:spacing w:after="0" w:line="142" w:lineRule="exact"/>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tcPr>
          <w:p>
            <w:pPr>
              <w:ind w:left="860"/>
              <w:spacing w:after="0" w:line="142" w:lineRule="exact"/>
              <w:rPr>
                <w:sz w:val="20"/>
                <w:szCs w:val="20"/>
                <w:color w:val="auto"/>
              </w:rPr>
            </w:pPr>
            <w:r>
              <w:rPr>
                <w:rFonts w:ascii="Arial" w:cs="Arial" w:eastAsia="Arial" w:hAnsi="Arial"/>
                <w:sz w:val="13"/>
                <w:szCs w:val="13"/>
                <w:color w:val="231F20"/>
              </w:rPr>
              <w:t>—</w:t>
            </w:r>
          </w:p>
        </w:tc>
      </w:tr>
    </w:tbl>
    <w:p>
      <w:pPr>
        <w:spacing w:after="0" w:line="167" w:lineRule="exact"/>
        <w:rPr>
          <w:sz w:val="20"/>
          <w:szCs w:val="20"/>
          <w:color w:val="auto"/>
        </w:rPr>
      </w:pPr>
    </w:p>
    <w:p>
      <w:pPr>
        <w:ind w:left="860" w:right="1180" w:hanging="316"/>
        <w:spacing w:after="0" w:line="258" w:lineRule="auto"/>
        <w:tabs>
          <w:tab w:leader="none" w:pos="860" w:val="left"/>
        </w:tabs>
        <w:numPr>
          <w:ilvl w:val="0"/>
          <w:numId w:val="143"/>
        </w:numPr>
        <w:rPr>
          <w:rFonts w:ascii="Arial" w:cs="Arial" w:eastAsia="Arial" w:hAnsi="Arial"/>
          <w:sz w:val="14"/>
          <w:szCs w:val="14"/>
          <w:b w:val="1"/>
          <w:bCs w:val="1"/>
          <w:color w:val="205BA8"/>
        </w:rPr>
      </w:pPr>
      <w:r>
        <w:rPr>
          <w:rFonts w:ascii="Arial" w:cs="Arial" w:eastAsia="Arial" w:hAnsi="Arial"/>
          <w:sz w:val="14"/>
          <w:szCs w:val="14"/>
          <w:color w:val="auto"/>
        </w:rPr>
        <w:t>Amounts reflect the difference between the exercise price of the option(s) and the average of the high and low sales price per share of the Company’s common stock on the Nasdaq Global Select Market on the exercise date(s).</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C44E5E"/>
        </w:rPr>
        <w:t>POST-EMPLOYMENT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27940</wp:posOffset>
            </wp:positionV>
            <wp:extent cx="617220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96" w:lineRule="exact"/>
        <w:rPr>
          <w:sz w:val="20"/>
          <w:szCs w:val="20"/>
          <w:color w:val="auto"/>
        </w:rPr>
      </w:pPr>
    </w:p>
    <w:p>
      <w:pPr>
        <w:ind w:left="540" w:right="640"/>
        <w:spacing w:after="0" w:line="230" w:lineRule="auto"/>
        <w:rPr>
          <w:sz w:val="20"/>
          <w:szCs w:val="20"/>
          <w:color w:val="auto"/>
        </w:rPr>
      </w:pPr>
      <w:r>
        <w:rPr>
          <w:rFonts w:ascii="Arial" w:cs="Arial" w:eastAsia="Arial" w:hAnsi="Arial"/>
          <w:sz w:val="15"/>
          <w:szCs w:val="15"/>
          <w:color w:val="auto"/>
        </w:rPr>
        <w:t>As discussed in “Compensation Dashboard—Additional Compensation Information—Potential Severance Payments,” our NEOs are entitled to certain severance benefits upon the voluntary or involuntary termination of their employment. We provide additional information regarding the severance benefits available to our NEOs in the tables set out below in this subsection. For our CEO, the table shows the amounts payable under his employment agreement upon his involuntary or not-for-cause termination, termination in connection with a corporate change of control, and in the event of his disability or death. For the other NEOs, the table shows their post-termination compensation arrangements under our change in control severance plan upon an involuntary or not-for-cause termination in connection with a corporate change of control.</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05BA8"/>
        </w:rPr>
        <w:t>Leonard S. Schleifer, M.D., Ph.D., Employment Agreement</w:t>
      </w:r>
    </w:p>
    <w:p>
      <w:pPr>
        <w:spacing w:after="0" w:line="177" w:lineRule="exact"/>
        <w:rPr>
          <w:sz w:val="20"/>
          <w:szCs w:val="20"/>
          <w:color w:val="auto"/>
        </w:rPr>
      </w:pPr>
    </w:p>
    <w:p>
      <w:pPr>
        <w:ind w:left="540" w:right="600"/>
        <w:spacing w:after="0"/>
        <w:rPr>
          <w:sz w:val="20"/>
          <w:szCs w:val="20"/>
          <w:color w:val="auto"/>
        </w:rPr>
      </w:pPr>
      <w:r>
        <w:rPr>
          <w:rFonts w:ascii="Arial" w:cs="Arial" w:eastAsia="Arial" w:hAnsi="Arial"/>
          <w:sz w:val="15"/>
          <w:szCs w:val="15"/>
          <w:color w:val="auto"/>
        </w:rPr>
        <w:t>We entered into an employment agreement with our CEO,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 Internal Revenue Code. Pursuant to this agreement, we agreed that in the event that Dr. Schleifer’s employment is terminated by us other than for cause (as defined in the agreement) or is terminated by Dr. Schleifer for good reason (as defined in the agreement to include specified acts of constructive termination, together called an “involuntary termination”), we will pay Dr. Schleifer an amount equal to 125% of the sum of his base salary plus his average cash incentive paid over the prior three years. This amount will be paid in a lump-sum severance payment. In addition, we will continue to provide Dr. Schleifer and his dependents medical, dental, and life insurance benefits for 18 months. Subject to the discussion in the following paragraph, in the event that Dr. Schleifer’s employment terminates for any reason other than for cause, (i) all of his unvested stock options will continue to vest in accordance with the terms of the applicable award grant and he will be entitled to exercise the stock options throughout their original term, which is generally ten years from the date of grant, and (ii) all of his unvested PSUs from the 2019 grant will remain outstanding, and vesting and forfeiture shall be determined in the manner set forth in the applicable award agreement, without regard to such termination of employment. For a discussion of the treatment of Dr. Schleifer’s unvested PSUs from the 2020 grant upon certain termination events, see “Compensation-Related Matters—Compensation Discussion and Analysis—Components of Executive Pay: What We Pay and Why We Pay It—Annual Equity Awards.”</w:t>
      </w:r>
    </w:p>
    <w:p>
      <w:pPr>
        <w:spacing w:after="0" w:line="161" w:lineRule="exact"/>
        <w:rPr>
          <w:sz w:val="20"/>
          <w:szCs w:val="20"/>
          <w:color w:val="auto"/>
        </w:rPr>
      </w:pPr>
    </w:p>
    <w:p>
      <w:pPr>
        <w:ind w:left="540" w:right="540"/>
        <w:spacing w:after="0" w:line="232" w:lineRule="auto"/>
        <w:rPr>
          <w:sz w:val="20"/>
          <w:szCs w:val="20"/>
          <w:color w:val="auto"/>
        </w:rPr>
      </w:pPr>
      <w:r>
        <w:rPr>
          <w:rFonts w:ascii="Arial" w:cs="Arial" w:eastAsia="Arial" w:hAnsi="Arial"/>
          <w:sz w:val="15"/>
          <w:szCs w:val="15"/>
          <w:color w:val="auto"/>
        </w:rPr>
        <w:t>Upon an involuntary termination (</w:t>
      </w:r>
      <w:r>
        <w:rPr>
          <w:rFonts w:ascii="Arial" w:cs="Arial" w:eastAsia="Arial" w:hAnsi="Arial"/>
          <w:sz w:val="15"/>
          <w:szCs w:val="15"/>
          <w:i w:val="1"/>
          <w:iCs w:val="1"/>
          <w:color w:val="auto"/>
        </w:rPr>
        <w:t>i.e.</w:t>
      </w:r>
      <w:r>
        <w:rPr>
          <w:rFonts w:ascii="Arial" w:cs="Arial" w:eastAsia="Arial" w:hAnsi="Arial"/>
          <w:sz w:val="15"/>
          <w:szCs w:val="15"/>
          <w:color w:val="auto"/>
        </w:rPr>
        <w:t>, a termination by the Company without cause or by Dr. Schleifer for good reason, each as defined in the agreement) within three years after a change of control of the Company or within three months prior to such a change of control, we will pay Dr. Schleifer an amount equal to three times the sum of his annual base salary plus his average cash incentive over the prior three years. This amount will be paid in a lump-sum severance payment. In addition, we will continue to provide Dr. Schleifer and his dependents medical, dental, and life insurance benefits for 36 months. Upon such an involuntary termination in connection with a change of control, Dr. Schleifer’s outstanding stock options will vest immediately and remain exercisable throughout their original term, which is generally ten years from the date of grant. In addition, pursuant to the terms of his 2019 PSU award agreement, any such PSUs that vest upon a change of control (as a result of performance exceeding the relevant TSR goal for the</w:t>
      </w:r>
    </w:p>
    <w:p>
      <w:pPr>
        <w:spacing w:after="0" w:line="115" w:lineRule="exact"/>
        <w:rPr>
          <w:sz w:val="20"/>
          <w:szCs w:val="20"/>
          <w:color w:val="auto"/>
        </w:rPr>
      </w:pPr>
    </w:p>
    <w:p>
      <w:pPr>
        <w:spacing w:after="0"/>
        <w:tabs>
          <w:tab w:leader="none" w:pos="300" w:val="left"/>
          <w:tab w:leader="none" w:pos="6040" w:val="left"/>
        </w:tabs>
        <w:rPr>
          <w:sz w:val="20"/>
          <w:szCs w:val="20"/>
          <w:color w:val="auto"/>
        </w:rPr>
      </w:pPr>
      <w:r>
        <w:rPr>
          <w:rFonts w:ascii="Arial" w:cs="Arial" w:eastAsia="Arial" w:hAnsi="Arial"/>
          <w:sz w:val="28"/>
          <w:szCs w:val="28"/>
          <w:color w:val="00AEEF"/>
          <w:vertAlign w:val="subscript"/>
        </w:rPr>
        <w:t>88</w:t>
      </w:r>
      <w:r>
        <w:rPr>
          <w:sz w:val="20"/>
          <w:szCs w:val="20"/>
          <w:color w:val="auto"/>
        </w:rPr>
        <w:tab/>
      </w:r>
      <w:r>
        <w:rPr>
          <w:rFonts w:ascii="Arial" w:cs="Arial" w:eastAsia="Arial" w:hAnsi="Arial"/>
          <w:sz w:val="29"/>
          <w:szCs w:val="29"/>
          <w:color w:val="00AEEF"/>
          <w:vertAlign w:val="subscript"/>
        </w:rPr>
        <w:t>/</w:t>
      </w:r>
      <w:r>
        <w:rPr>
          <w:sz w:val="20"/>
          <w:szCs w:val="20"/>
          <w:color w:val="auto"/>
        </w:rPr>
        <w:tab/>
      </w:r>
      <w:r>
        <w:rPr>
          <w:rFonts w:ascii="Arial" w:cs="Arial" w:eastAsia="Arial" w:hAnsi="Arial"/>
          <w:sz w:val="12"/>
          <w:szCs w:val="12"/>
          <w:b w:val="1"/>
          <w:bCs w:val="1"/>
          <w:color w:val="205BA8"/>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166370</wp:posOffset>
            </wp:positionV>
            <wp:extent cx="713232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540" w:top="405" w:right="559" w:bottom="1440" w:gutter="0" w:footer="0" w:header="0"/>
        </w:sectPr>
      </w:pPr>
    </w:p>
    <w:bookmarkStart w:id="99" w:name="page100"/>
    <w:bookmarkEnd w:id="99"/>
    <w:p>
      <w:pPr>
        <w:ind w:left="554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68580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175" w:lineRule="exact"/>
        <w:rPr>
          <w:sz w:val="20"/>
          <w:szCs w:val="20"/>
          <w:color w:val="auto"/>
        </w:rPr>
      </w:pPr>
    </w:p>
    <w:p>
      <w:pPr>
        <w:ind w:left="760" w:right="820"/>
        <w:spacing w:after="0"/>
        <w:rPr>
          <w:sz w:val="20"/>
          <w:szCs w:val="20"/>
          <w:color w:val="auto"/>
        </w:rPr>
      </w:pPr>
      <w:r>
        <w:rPr>
          <w:rFonts w:ascii="Arial" w:cs="Arial" w:eastAsia="Arial" w:hAnsi="Arial"/>
          <w:sz w:val="15"/>
          <w:szCs w:val="15"/>
          <w:color w:val="auto"/>
        </w:rPr>
        <w:t>period from the grant date to the date of the change of control) will become deliverable to Dr. Schleifer upon the earlier of (x) the five-year anniversary of the grant date or (y) a termination of Dr. Schleifer’s employment by the Company without cause or by Dr. Schleifer for good reason, in each case within two years after such a change of control. Pursuant to the terms of his 2020 PSU award agreement, any such PSUs that vest upon a change of control will be immediately deliverable to Dr. Schleifer (with no Holding Period).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10%, in which case such benefits and payments will be reduced accordingly.</w:t>
      </w:r>
    </w:p>
    <w:p>
      <w:pPr>
        <w:spacing w:after="0" w:line="251" w:lineRule="exact"/>
        <w:rPr>
          <w:sz w:val="20"/>
          <w:szCs w:val="20"/>
          <w:color w:val="auto"/>
        </w:rPr>
      </w:pPr>
    </w:p>
    <w:p>
      <w:pPr>
        <w:ind w:left="760" w:right="980"/>
        <w:spacing w:after="0" w:line="235" w:lineRule="auto"/>
        <w:rPr>
          <w:sz w:val="20"/>
          <w:szCs w:val="20"/>
          <w:color w:val="auto"/>
        </w:rPr>
      </w:pPr>
      <w:r>
        <w:rPr>
          <w:rFonts w:ascii="Arial" w:cs="Arial" w:eastAsia="Arial" w:hAnsi="Arial"/>
          <w:sz w:val="15"/>
          <w:szCs w:val="15"/>
          <w:color w:val="auto"/>
        </w:rPr>
        <w:t>The following table reflects the potential payments to our CEO under his employment agreement assuming a termination effective December 31, 2020 under different scenarios (including following a change of control), as well as upon death or disability. The information in the table below is based on the assumptions set forth in the footnotes to the table; actual values and amounts may differ from those presented below.</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C44E5E"/>
        </w:rPr>
        <w:t>Potential Severance Payments under Dr. Schleifer’s Employment Agreement</w:t>
      </w:r>
    </w:p>
    <w:p>
      <w:pPr>
        <w:spacing w:after="0" w:line="166" w:lineRule="exact"/>
        <w:rPr>
          <w:sz w:val="20"/>
          <w:szCs w:val="20"/>
          <w:color w:val="auto"/>
        </w:rPr>
      </w:pPr>
    </w:p>
    <w:tbl>
      <w:tblPr>
        <w:tblLayout w:type="fixed"/>
        <w:tblInd w:w="760" w:type="dxa"/>
        <w:tblCellMar>
          <w:top w:w="0" w:type="dxa"/>
          <w:left w:w="0" w:type="dxa"/>
          <w:bottom w:w="0" w:type="dxa"/>
          <w:right w:w="0" w:type="dxa"/>
        </w:tblCellMar>
      </w:tblPr>
      <w:tr>
        <w:trPr>
          <w:trHeight w:val="138"/>
        </w:trPr>
        <w:tc>
          <w:tcPr>
            <w:tcW w:w="2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jc w:val="center"/>
              <w:ind w:right="1"/>
              <w:spacing w:after="0"/>
              <w:rPr>
                <w:sz w:val="20"/>
                <w:szCs w:val="20"/>
                <w:color w:val="auto"/>
              </w:rPr>
            </w:pPr>
            <w:r>
              <w:rPr>
                <w:rFonts w:ascii="Arial" w:cs="Arial" w:eastAsia="Arial" w:hAnsi="Arial"/>
                <w:sz w:val="12"/>
                <w:szCs w:val="12"/>
                <w:b w:val="1"/>
                <w:bCs w:val="1"/>
                <w:color w:val="2952A4"/>
                <w:w w:val="94"/>
              </w:rPr>
              <w:t>Value of</w:t>
            </w: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5"/>
        </w:trPr>
        <w:tc>
          <w:tcPr>
            <w:tcW w:w="2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6"/>
              </w:rPr>
              <w:t>Accelerated</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1"/>
        </w:trPr>
        <w:tc>
          <w:tcPr>
            <w:tcW w:w="2000" w:type="dxa"/>
            <w:vAlign w:val="bottom"/>
          </w:tcPr>
          <w:p>
            <w:pPr>
              <w:spacing w:after="0"/>
              <w:rPr>
                <w:sz w:val="12"/>
                <w:szCs w:val="12"/>
                <w:color w:val="auto"/>
              </w:rPr>
            </w:pPr>
          </w:p>
        </w:tc>
        <w:tc>
          <w:tcPr>
            <w:tcW w:w="1100" w:type="dxa"/>
            <w:vAlign w:val="bottom"/>
          </w:tcPr>
          <w:p>
            <w:pPr>
              <w:jc w:val="right"/>
              <w:ind w:right="339"/>
              <w:spacing w:after="0"/>
              <w:rPr>
                <w:sz w:val="20"/>
                <w:szCs w:val="20"/>
                <w:color w:val="auto"/>
              </w:rPr>
            </w:pPr>
            <w:r>
              <w:rPr>
                <w:rFonts w:ascii="Arial" w:cs="Arial" w:eastAsia="Arial" w:hAnsi="Arial"/>
                <w:sz w:val="12"/>
                <w:szCs w:val="12"/>
                <w:b w:val="1"/>
                <w:bCs w:val="1"/>
                <w:color w:val="2952A4"/>
              </w:rPr>
              <w:t>Cash</w:t>
            </w:r>
          </w:p>
        </w:tc>
        <w:tc>
          <w:tcPr>
            <w:tcW w:w="1080" w:type="dxa"/>
            <w:vAlign w:val="bottom"/>
          </w:tcPr>
          <w:p>
            <w:pPr>
              <w:jc w:val="right"/>
              <w:ind w:right="260"/>
              <w:spacing w:after="0"/>
              <w:rPr>
                <w:sz w:val="20"/>
                <w:szCs w:val="20"/>
                <w:color w:val="auto"/>
              </w:rPr>
            </w:pPr>
            <w:r>
              <w:rPr>
                <w:rFonts w:ascii="Arial" w:cs="Arial" w:eastAsia="Arial" w:hAnsi="Arial"/>
                <w:sz w:val="12"/>
                <w:szCs w:val="12"/>
                <w:b w:val="1"/>
                <w:bCs w:val="1"/>
                <w:color w:val="2952A4"/>
              </w:rPr>
              <w:t>Benefits</w:t>
            </w:r>
          </w:p>
        </w:tc>
        <w:tc>
          <w:tcPr>
            <w:tcW w:w="880" w:type="dxa"/>
            <w:vAlign w:val="bottom"/>
          </w:tcPr>
          <w:p>
            <w:pPr>
              <w:ind w:left="280"/>
              <w:spacing w:after="0"/>
              <w:rPr>
                <w:sz w:val="20"/>
                <w:szCs w:val="20"/>
                <w:color w:val="auto"/>
              </w:rPr>
            </w:pPr>
            <w:r>
              <w:rPr>
                <w:rFonts w:ascii="Arial" w:cs="Arial" w:eastAsia="Arial" w:hAnsi="Arial"/>
                <w:sz w:val="12"/>
                <w:szCs w:val="12"/>
                <w:b w:val="1"/>
                <w:bCs w:val="1"/>
                <w:color w:val="2952A4"/>
              </w:rPr>
              <w:t>Death</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2952A4"/>
                <w:w w:val="97"/>
              </w:rPr>
              <w:t>Disability</w:t>
            </w:r>
          </w:p>
        </w:tc>
        <w:tc>
          <w:tcPr>
            <w:tcW w:w="1380" w:type="dxa"/>
            <w:vAlign w:val="bottom"/>
          </w:tcPr>
          <w:p>
            <w:pPr>
              <w:jc w:val="center"/>
              <w:ind w:right="1"/>
              <w:spacing w:after="0"/>
              <w:rPr>
                <w:sz w:val="20"/>
                <w:szCs w:val="20"/>
                <w:color w:val="auto"/>
              </w:rPr>
            </w:pPr>
            <w:r>
              <w:rPr>
                <w:rFonts w:ascii="Arial" w:cs="Arial" w:eastAsia="Arial" w:hAnsi="Arial"/>
                <w:sz w:val="12"/>
                <w:szCs w:val="12"/>
                <w:b w:val="1"/>
                <w:bCs w:val="1"/>
                <w:color w:val="2952A4"/>
                <w:w w:val="99"/>
              </w:rPr>
              <w:t>Stock Options/</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2952A4"/>
                <w:w w:val="94"/>
              </w:rPr>
              <w:t>Cutback/</w:t>
            </w:r>
          </w:p>
        </w:tc>
        <w:tc>
          <w:tcPr>
            <w:tcW w:w="1140" w:type="dxa"/>
            <w:vAlign w:val="bottom"/>
          </w:tcPr>
          <w:p>
            <w:pPr>
              <w:jc w:val="right"/>
              <w:ind w:right="278"/>
              <w:spacing w:after="0"/>
              <w:rPr>
                <w:sz w:val="20"/>
                <w:szCs w:val="20"/>
                <w:color w:val="auto"/>
              </w:rPr>
            </w:pPr>
            <w:r>
              <w:rPr>
                <w:rFonts w:ascii="Arial" w:cs="Arial" w:eastAsia="Arial" w:hAnsi="Arial"/>
                <w:sz w:val="12"/>
                <w:szCs w:val="12"/>
                <w:b w:val="1"/>
                <w:bCs w:val="1"/>
                <w:color w:val="2952A4"/>
              </w:rPr>
              <w:t>Total</w:t>
            </w:r>
          </w:p>
        </w:tc>
      </w:tr>
      <w:tr>
        <w:trPr>
          <w:trHeight w:val="181"/>
        </w:trPr>
        <w:tc>
          <w:tcPr>
            <w:tcW w:w="20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2952A4"/>
              </w:rPr>
              <w:t>Severance</w:t>
            </w: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2952A4"/>
              </w:rPr>
              <w:t>Continuation</w:t>
            </w:r>
          </w:p>
        </w:tc>
        <w:tc>
          <w:tcPr>
            <w:tcW w:w="880" w:type="dxa"/>
            <w:vAlign w:val="bottom"/>
            <w:tcBorders>
              <w:bottom w:val="single" w:sz="8" w:color="auto"/>
            </w:tcBorders>
          </w:tcPr>
          <w:p>
            <w:pPr>
              <w:ind w:left="200"/>
              <w:spacing w:after="0" w:line="182" w:lineRule="exact"/>
              <w:rPr>
                <w:sz w:val="20"/>
                <w:szCs w:val="20"/>
                <w:color w:val="auto"/>
              </w:rPr>
            </w:pPr>
            <w:r>
              <w:rPr>
                <w:rFonts w:ascii="Arial" w:cs="Arial" w:eastAsia="Arial" w:hAnsi="Arial"/>
                <w:sz w:val="12"/>
                <w:szCs w:val="12"/>
                <w:b w:val="1"/>
                <w:bCs w:val="1"/>
                <w:color w:val="2952A4"/>
              </w:rPr>
              <w:t>Benefits</w:t>
            </w:r>
            <w:r>
              <w:rPr>
                <w:rFonts w:ascii="Arial" w:cs="Arial" w:eastAsia="Arial" w:hAnsi="Arial"/>
                <w:sz w:val="19"/>
                <w:szCs w:val="19"/>
                <w:b w:val="1"/>
                <w:bCs w:val="1"/>
                <w:color w:val="2952A4"/>
                <w:vertAlign w:val="superscript"/>
              </w:rPr>
              <w:t>4</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2952A4"/>
                <w:w w:val="97"/>
              </w:rPr>
              <w:t>Benefits</w:t>
            </w:r>
          </w:p>
        </w:tc>
        <w:tc>
          <w:tcPr>
            <w:tcW w:w="1380" w:type="dxa"/>
            <w:vAlign w:val="bottom"/>
            <w:tcBorders>
              <w:bottom w:val="single" w:sz="8" w:color="auto"/>
            </w:tcBorders>
          </w:tcPr>
          <w:p>
            <w:pPr>
              <w:jc w:val="center"/>
              <w:ind w:right="1"/>
              <w:spacing w:after="0"/>
              <w:rPr>
                <w:sz w:val="20"/>
                <w:szCs w:val="20"/>
                <w:color w:val="auto"/>
              </w:rPr>
            </w:pPr>
            <w:r>
              <w:rPr>
                <w:rFonts w:ascii="Arial" w:cs="Arial" w:eastAsia="Arial" w:hAnsi="Arial"/>
                <w:sz w:val="12"/>
                <w:szCs w:val="12"/>
                <w:b w:val="1"/>
                <w:bCs w:val="1"/>
                <w:color w:val="2952A4"/>
              </w:rPr>
              <w:t>PSUs</w:t>
            </w:r>
          </w:p>
        </w:tc>
        <w:tc>
          <w:tcPr>
            <w:tcW w:w="102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2"/>
                <w:szCs w:val="12"/>
                <w:b w:val="1"/>
                <w:bCs w:val="1"/>
                <w:color w:val="2952A4"/>
                <w:w w:val="92"/>
              </w:rPr>
              <w:t>Gross-up</w:t>
            </w:r>
            <w:r>
              <w:rPr>
                <w:rFonts w:ascii="Arial" w:cs="Arial" w:eastAsia="Arial" w:hAnsi="Arial"/>
                <w:sz w:val="19"/>
                <w:szCs w:val="19"/>
                <w:b w:val="1"/>
                <w:bCs w:val="1"/>
                <w:color w:val="2952A4"/>
                <w:w w:val="92"/>
                <w:vertAlign w:val="superscript"/>
              </w:rPr>
              <w:t>6</w:t>
            </w:r>
          </w:p>
        </w:tc>
        <w:tc>
          <w:tcPr>
            <w:tcW w:w="11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2952A4"/>
              </w:rPr>
              <w:t>Amount</w:t>
            </w:r>
          </w:p>
        </w:tc>
      </w:tr>
      <w:tr>
        <w:trPr>
          <w:trHeight w:val="165"/>
        </w:trPr>
        <w:tc>
          <w:tcPr>
            <w:tcW w:w="2000" w:type="dxa"/>
            <w:vAlign w:val="bottom"/>
          </w:tcPr>
          <w:p>
            <w:pPr>
              <w:ind w:left="60"/>
              <w:spacing w:after="0"/>
              <w:rPr>
                <w:sz w:val="20"/>
                <w:szCs w:val="20"/>
                <w:color w:val="auto"/>
              </w:rPr>
            </w:pPr>
            <w:r>
              <w:rPr>
                <w:rFonts w:ascii="Arial" w:cs="Arial" w:eastAsia="Arial" w:hAnsi="Arial"/>
                <w:sz w:val="13"/>
                <w:szCs w:val="13"/>
                <w:color w:val="231F20"/>
              </w:rPr>
              <w:t>Involuntary Termination</w:t>
            </w:r>
          </w:p>
        </w:tc>
        <w:tc>
          <w:tcPr>
            <w:tcW w:w="1100" w:type="dxa"/>
            <w:vAlign w:val="bottom"/>
          </w:tcPr>
          <w:p>
            <w:pPr>
              <w:jc w:val="right"/>
              <w:ind w:right="79"/>
              <w:spacing w:after="0" w:line="165" w:lineRule="exact"/>
              <w:rPr>
                <w:sz w:val="20"/>
                <w:szCs w:val="20"/>
                <w:color w:val="auto"/>
              </w:rPr>
            </w:pPr>
            <w:r>
              <w:rPr>
                <w:rFonts w:ascii="Arial" w:cs="Arial" w:eastAsia="Arial" w:hAnsi="Arial"/>
                <w:sz w:val="12"/>
                <w:szCs w:val="12"/>
                <w:color w:val="231F20"/>
              </w:rPr>
              <w:t>$ 12,754,932</w:t>
            </w:r>
            <w:r>
              <w:rPr>
                <w:rFonts w:ascii="Arial" w:cs="Arial" w:eastAsia="Arial" w:hAnsi="Arial"/>
                <w:sz w:val="19"/>
                <w:szCs w:val="19"/>
                <w:color w:val="231F20"/>
                <w:vertAlign w:val="superscript"/>
              </w:rPr>
              <w:t>2</w:t>
            </w:r>
          </w:p>
        </w:tc>
        <w:tc>
          <w:tcPr>
            <w:tcW w:w="1080" w:type="dxa"/>
            <w:vAlign w:val="bottom"/>
          </w:tcPr>
          <w:p>
            <w:pPr>
              <w:jc w:val="right"/>
              <w:ind w:right="160"/>
              <w:spacing w:after="0" w:line="165" w:lineRule="exact"/>
              <w:rPr>
                <w:sz w:val="20"/>
                <w:szCs w:val="20"/>
                <w:color w:val="auto"/>
              </w:rPr>
            </w:pPr>
            <w:r>
              <w:rPr>
                <w:rFonts w:ascii="Arial" w:cs="Arial" w:eastAsia="Arial" w:hAnsi="Arial"/>
                <w:sz w:val="12"/>
                <w:szCs w:val="12"/>
                <w:color w:val="231F20"/>
              </w:rPr>
              <w:t>$  268,779</w:t>
            </w:r>
            <w:r>
              <w:rPr>
                <w:rFonts w:ascii="Arial" w:cs="Arial" w:eastAsia="Arial" w:hAnsi="Arial"/>
                <w:sz w:val="19"/>
                <w:szCs w:val="19"/>
                <w:color w:val="231F20"/>
                <w:vertAlign w:val="superscript"/>
              </w:rPr>
              <w:t>3</w:t>
            </w:r>
          </w:p>
        </w:tc>
        <w:tc>
          <w:tcPr>
            <w:tcW w:w="880" w:type="dxa"/>
            <w:vAlign w:val="bottom"/>
          </w:tcPr>
          <w:p>
            <w:pPr>
              <w:ind w:left="420"/>
              <w:spacing w:after="0"/>
              <w:rPr>
                <w:sz w:val="20"/>
                <w:szCs w:val="20"/>
                <w:color w:val="auto"/>
              </w:rPr>
            </w:pPr>
            <w:r>
              <w:rPr>
                <w:rFonts w:ascii="Arial" w:cs="Arial" w:eastAsia="Arial" w:hAnsi="Arial"/>
                <w:sz w:val="13"/>
                <w:szCs w:val="13"/>
                <w:color w:val="231F20"/>
              </w:rPr>
              <w:t>—</w:t>
            </w:r>
          </w:p>
        </w:tc>
        <w:tc>
          <w:tcPr>
            <w:tcW w:w="1120" w:type="dxa"/>
            <w:vAlign w:val="bottom"/>
          </w:tcPr>
          <w:p>
            <w:pPr>
              <w:ind w:left="620"/>
              <w:spacing w:after="0"/>
              <w:rPr>
                <w:sz w:val="20"/>
                <w:szCs w:val="20"/>
                <w:color w:val="auto"/>
              </w:rPr>
            </w:pPr>
            <w:r>
              <w:rPr>
                <w:rFonts w:ascii="Arial" w:cs="Arial" w:eastAsia="Arial" w:hAnsi="Arial"/>
                <w:sz w:val="13"/>
                <w:szCs w:val="13"/>
                <w:color w:val="231F20"/>
              </w:rPr>
              <w:t>—</w:t>
            </w:r>
          </w:p>
        </w:tc>
        <w:tc>
          <w:tcPr>
            <w:tcW w:w="1380" w:type="dxa"/>
            <w:vAlign w:val="bottom"/>
          </w:tcPr>
          <w:p>
            <w:pPr>
              <w:jc w:val="center"/>
              <w:spacing w:after="0" w:line="165" w:lineRule="exact"/>
              <w:rPr>
                <w:sz w:val="20"/>
                <w:szCs w:val="20"/>
                <w:color w:val="auto"/>
              </w:rPr>
            </w:pPr>
            <w:r>
              <w:rPr>
                <w:rFonts w:ascii="Arial" w:cs="Arial" w:eastAsia="Arial" w:hAnsi="Arial"/>
                <w:sz w:val="12"/>
                <w:szCs w:val="12"/>
                <w:color w:val="231F20"/>
              </w:rPr>
              <w:t>$29,089,345</w:t>
            </w:r>
            <w:r>
              <w:rPr>
                <w:rFonts w:ascii="Arial" w:cs="Arial" w:eastAsia="Arial" w:hAnsi="Arial"/>
                <w:sz w:val="19"/>
                <w:szCs w:val="19"/>
                <w:color w:val="231F20"/>
                <w:vertAlign w:val="superscript"/>
              </w:rPr>
              <w:t>5</w:t>
            </w:r>
          </w:p>
        </w:tc>
        <w:tc>
          <w:tcPr>
            <w:tcW w:w="1020" w:type="dxa"/>
            <w:vAlign w:val="bottom"/>
          </w:tcPr>
          <w:p>
            <w:pPr>
              <w:jc w:val="center"/>
              <w:spacing w:after="0"/>
              <w:rPr>
                <w:sz w:val="20"/>
                <w:szCs w:val="20"/>
                <w:color w:val="auto"/>
              </w:rPr>
            </w:pPr>
            <w:r>
              <w:rPr>
                <w:rFonts w:ascii="Arial" w:cs="Arial" w:eastAsia="Arial" w:hAnsi="Arial"/>
                <w:sz w:val="13"/>
                <w:szCs w:val="13"/>
                <w:color w:val="231F20"/>
                <w:w w:val="91"/>
              </w:rPr>
              <w:t>—</w:t>
            </w:r>
          </w:p>
        </w:tc>
        <w:tc>
          <w:tcPr>
            <w:tcW w:w="1140" w:type="dxa"/>
            <w:vAlign w:val="bottom"/>
          </w:tcPr>
          <w:p>
            <w:pPr>
              <w:jc w:val="right"/>
              <w:ind w:right="138"/>
              <w:spacing w:after="0"/>
              <w:rPr>
                <w:sz w:val="20"/>
                <w:szCs w:val="20"/>
                <w:color w:val="auto"/>
              </w:rPr>
            </w:pPr>
            <w:r>
              <w:rPr>
                <w:rFonts w:ascii="Arial" w:cs="Arial" w:eastAsia="Arial" w:hAnsi="Arial"/>
                <w:sz w:val="13"/>
                <w:szCs w:val="13"/>
                <w:color w:val="231F20"/>
              </w:rPr>
              <w:t>$42,113,056</w:t>
            </w:r>
          </w:p>
        </w:tc>
      </w:tr>
      <w:tr>
        <w:trPr>
          <w:trHeight w:val="179"/>
        </w:trPr>
        <w:tc>
          <w:tcPr>
            <w:tcW w:w="2000" w:type="dxa"/>
            <w:vAlign w:val="bottom"/>
            <w:tcBorders>
              <w:bottom w:val="single" w:sz="8" w:color="auto"/>
            </w:tcBorders>
          </w:tcPr>
          <w:p>
            <w:pPr>
              <w:ind w:left="60"/>
              <w:spacing w:after="0" w:line="180" w:lineRule="exact"/>
              <w:rPr>
                <w:sz w:val="20"/>
                <w:szCs w:val="20"/>
                <w:color w:val="auto"/>
              </w:rPr>
            </w:pPr>
            <w:r>
              <w:rPr>
                <w:rFonts w:ascii="Arial" w:cs="Arial" w:eastAsia="Arial" w:hAnsi="Arial"/>
                <w:sz w:val="13"/>
                <w:szCs w:val="13"/>
                <w:color w:val="231F20"/>
              </w:rPr>
              <w:t>Following a Change of Control</w:t>
            </w:r>
            <w:r>
              <w:rPr>
                <w:rFonts w:ascii="Arial" w:cs="Arial" w:eastAsia="Arial" w:hAnsi="Arial"/>
                <w:sz w:val="20"/>
                <w:szCs w:val="20"/>
                <w:color w:val="231F20"/>
                <w:vertAlign w:val="superscript"/>
              </w:rPr>
              <w:t>1</w:t>
            </w:r>
          </w:p>
        </w:tc>
        <w:tc>
          <w:tcPr>
            <w:tcW w:w="1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2000" w:type="dxa"/>
            <w:vAlign w:val="bottom"/>
            <w:tcBorders>
              <w:bottom w:val="single" w:sz="8" w:color="auto"/>
            </w:tcBorders>
            <w:shd w:val="clear" w:color="auto" w:fill="EAEAEC"/>
          </w:tcPr>
          <w:p>
            <w:pPr>
              <w:ind w:left="60"/>
              <w:spacing w:after="0"/>
              <w:rPr>
                <w:sz w:val="20"/>
                <w:szCs w:val="20"/>
                <w:color w:val="auto"/>
              </w:rPr>
            </w:pPr>
            <w:r>
              <w:rPr>
                <w:rFonts w:ascii="Arial" w:cs="Arial" w:eastAsia="Arial" w:hAnsi="Arial"/>
                <w:sz w:val="13"/>
                <w:szCs w:val="13"/>
                <w:color w:val="231F20"/>
              </w:rPr>
              <w:t>Involuntary Termination</w:t>
            </w:r>
          </w:p>
        </w:tc>
        <w:tc>
          <w:tcPr>
            <w:tcW w:w="1100" w:type="dxa"/>
            <w:vAlign w:val="bottom"/>
            <w:tcBorders>
              <w:bottom w:val="single" w:sz="8" w:color="auto"/>
            </w:tcBorders>
            <w:shd w:val="clear" w:color="auto" w:fill="EAEAEC"/>
          </w:tcPr>
          <w:p>
            <w:pPr>
              <w:jc w:val="right"/>
              <w:ind w:right="79"/>
              <w:spacing w:after="0" w:line="169" w:lineRule="exact"/>
              <w:rPr>
                <w:sz w:val="20"/>
                <w:szCs w:val="20"/>
                <w:color w:val="auto"/>
              </w:rPr>
            </w:pPr>
            <w:r>
              <w:rPr>
                <w:rFonts w:ascii="Arial" w:cs="Arial" w:eastAsia="Arial" w:hAnsi="Arial"/>
                <w:sz w:val="12"/>
                <w:szCs w:val="12"/>
                <w:color w:val="231F20"/>
              </w:rPr>
              <w:t>$5,314,555</w:t>
            </w:r>
            <w:r>
              <w:rPr>
                <w:rFonts w:ascii="Arial" w:cs="Arial" w:eastAsia="Arial" w:hAnsi="Arial"/>
                <w:sz w:val="19"/>
                <w:szCs w:val="19"/>
                <w:color w:val="231F20"/>
                <w:vertAlign w:val="superscript"/>
              </w:rPr>
              <w:t>7</w:t>
            </w:r>
          </w:p>
        </w:tc>
        <w:tc>
          <w:tcPr>
            <w:tcW w:w="1080" w:type="dxa"/>
            <w:vAlign w:val="bottom"/>
            <w:tcBorders>
              <w:bottom w:val="single" w:sz="8" w:color="auto"/>
            </w:tcBorders>
            <w:shd w:val="clear" w:color="auto" w:fill="EAEAEC"/>
          </w:tcPr>
          <w:p>
            <w:pPr>
              <w:jc w:val="right"/>
              <w:ind w:right="160"/>
              <w:spacing w:after="0" w:line="169" w:lineRule="exact"/>
              <w:rPr>
                <w:sz w:val="20"/>
                <w:szCs w:val="20"/>
                <w:color w:val="auto"/>
              </w:rPr>
            </w:pPr>
            <w:r>
              <w:rPr>
                <w:rFonts w:ascii="Arial" w:cs="Arial" w:eastAsia="Arial" w:hAnsi="Arial"/>
                <w:sz w:val="12"/>
                <w:szCs w:val="12"/>
                <w:color w:val="231F20"/>
              </w:rPr>
              <w:t>$130,223</w:t>
            </w:r>
            <w:r>
              <w:rPr>
                <w:rFonts w:ascii="Arial" w:cs="Arial" w:eastAsia="Arial" w:hAnsi="Arial"/>
                <w:sz w:val="19"/>
                <w:szCs w:val="19"/>
                <w:color w:val="231F20"/>
                <w:vertAlign w:val="superscript"/>
              </w:rPr>
              <w:t>8</w:t>
            </w:r>
          </w:p>
        </w:tc>
        <w:tc>
          <w:tcPr>
            <w:tcW w:w="880" w:type="dxa"/>
            <w:vAlign w:val="bottom"/>
            <w:tcBorders>
              <w:bottom w:val="single" w:sz="8" w:color="auto"/>
            </w:tcBorders>
            <w:shd w:val="clear" w:color="auto" w:fill="EAEAEC"/>
          </w:tcPr>
          <w:p>
            <w:pPr>
              <w:ind w:left="420"/>
              <w:spacing w:after="0"/>
              <w:rPr>
                <w:sz w:val="20"/>
                <w:szCs w:val="20"/>
                <w:color w:val="auto"/>
              </w:rPr>
            </w:pPr>
            <w:r>
              <w:rPr>
                <w:rFonts w:ascii="Arial" w:cs="Arial" w:eastAsia="Arial" w:hAnsi="Arial"/>
                <w:sz w:val="13"/>
                <w:szCs w:val="13"/>
                <w:color w:val="231F20"/>
              </w:rPr>
              <w:t>—</w:t>
            </w:r>
          </w:p>
        </w:tc>
        <w:tc>
          <w:tcPr>
            <w:tcW w:w="1120" w:type="dxa"/>
            <w:vAlign w:val="bottom"/>
            <w:tcBorders>
              <w:bottom w:val="single" w:sz="8" w:color="auto"/>
            </w:tcBorders>
            <w:shd w:val="clear" w:color="auto" w:fill="EAEAEC"/>
          </w:tcPr>
          <w:p>
            <w:pPr>
              <w:ind w:left="620"/>
              <w:spacing w:after="0"/>
              <w:rPr>
                <w:sz w:val="20"/>
                <w:szCs w:val="20"/>
                <w:color w:val="auto"/>
              </w:rPr>
            </w:pPr>
            <w:r>
              <w:rPr>
                <w:rFonts w:ascii="Arial" w:cs="Arial" w:eastAsia="Arial" w:hAnsi="Arial"/>
                <w:sz w:val="13"/>
                <w:szCs w:val="13"/>
                <w:color w:val="231F20"/>
              </w:rPr>
              <w:t>—</w:t>
            </w:r>
          </w:p>
        </w:tc>
        <w:tc>
          <w:tcPr>
            <w:tcW w:w="1380" w:type="dxa"/>
            <w:vAlign w:val="bottom"/>
            <w:tcBorders>
              <w:bottom w:val="single" w:sz="8" w:color="auto"/>
            </w:tcBorders>
            <w:shd w:val="clear" w:color="auto" w:fill="EAEAEC"/>
          </w:tcPr>
          <w:p>
            <w:pPr>
              <w:ind w:left="880"/>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1140" w:type="dxa"/>
            <w:vAlign w:val="bottom"/>
            <w:tcBorders>
              <w:bottom w:val="single" w:sz="8" w:color="auto"/>
            </w:tcBorders>
            <w:shd w:val="clear" w:color="auto" w:fill="EAEAEC"/>
          </w:tcPr>
          <w:p>
            <w:pPr>
              <w:jc w:val="right"/>
              <w:ind w:right="138"/>
              <w:spacing w:after="0"/>
              <w:rPr>
                <w:sz w:val="20"/>
                <w:szCs w:val="20"/>
                <w:color w:val="auto"/>
              </w:rPr>
            </w:pPr>
            <w:r>
              <w:rPr>
                <w:rFonts w:ascii="Arial" w:cs="Arial" w:eastAsia="Arial" w:hAnsi="Arial"/>
                <w:sz w:val="13"/>
                <w:szCs w:val="13"/>
                <w:color w:val="231F20"/>
              </w:rPr>
              <w:t>$5,444,778</w:t>
            </w:r>
          </w:p>
        </w:tc>
      </w:tr>
      <w:tr>
        <w:trPr>
          <w:trHeight w:val="169"/>
        </w:trPr>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231F20"/>
              </w:rPr>
              <w:t>Death</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tcPr>
          <w:p>
            <w:pPr>
              <w:jc w:val="right"/>
              <w:ind w:right="160"/>
              <w:spacing w:after="0" w:line="169" w:lineRule="exact"/>
              <w:rPr>
                <w:sz w:val="20"/>
                <w:szCs w:val="20"/>
                <w:color w:val="auto"/>
              </w:rPr>
            </w:pPr>
            <w:r>
              <w:rPr>
                <w:rFonts w:ascii="Arial" w:cs="Arial" w:eastAsia="Arial" w:hAnsi="Arial"/>
                <w:sz w:val="12"/>
                <w:szCs w:val="12"/>
                <w:color w:val="231F20"/>
              </w:rPr>
              <w:t>$99,137</w:t>
            </w:r>
            <w:r>
              <w:rPr>
                <w:rFonts w:ascii="Arial" w:cs="Arial" w:eastAsia="Arial" w:hAnsi="Arial"/>
                <w:sz w:val="19"/>
                <w:szCs w:val="19"/>
                <w:color w:val="231F20"/>
                <w:vertAlign w:val="superscript"/>
              </w:rPr>
              <w:t>9</w:t>
            </w:r>
          </w:p>
        </w:tc>
        <w:tc>
          <w:tcPr>
            <w:tcW w:w="88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231F20"/>
              </w:rPr>
              <w:t>—</w:t>
            </w:r>
          </w:p>
        </w:tc>
        <w:tc>
          <w:tcPr>
            <w:tcW w:w="112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231F20"/>
              </w:rPr>
              <w:t>—</w:t>
            </w:r>
          </w:p>
        </w:tc>
        <w:tc>
          <w:tcPr>
            <w:tcW w:w="1380" w:type="dxa"/>
            <w:vAlign w:val="bottom"/>
            <w:tcBorders>
              <w:bottom w:val="single" w:sz="8" w:color="auto"/>
            </w:tcBorders>
          </w:tcPr>
          <w:p>
            <w:pPr>
              <w:ind w:left="880"/>
              <w:spacing w:after="0" w:line="169" w:lineRule="exact"/>
              <w:rPr>
                <w:sz w:val="20"/>
                <w:szCs w:val="20"/>
                <w:color w:val="auto"/>
              </w:rPr>
            </w:pPr>
            <w:r>
              <w:rPr>
                <w:rFonts w:ascii="Arial" w:cs="Arial" w:eastAsia="Arial" w:hAnsi="Arial"/>
                <w:sz w:val="19"/>
                <w:szCs w:val="19"/>
                <w:color w:val="231F20"/>
                <w:vertAlign w:val="subscript"/>
              </w:rPr>
              <w:t>—</w:t>
            </w:r>
            <w:r>
              <w:rPr>
                <w:rFonts w:ascii="Arial" w:cs="Arial" w:eastAsia="Arial" w:hAnsi="Arial"/>
                <w:sz w:val="9"/>
                <w:szCs w:val="9"/>
                <w:color w:val="231F20"/>
              </w:rPr>
              <w:t>10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231F20"/>
                <w:w w:val="91"/>
              </w:rPr>
              <w:t>—</w:t>
            </w:r>
          </w:p>
        </w:tc>
        <w:tc>
          <w:tcPr>
            <w:tcW w:w="1140" w:type="dxa"/>
            <w:vAlign w:val="bottom"/>
            <w:tcBorders>
              <w:bottom w:val="single" w:sz="8" w:color="auto"/>
            </w:tcBorders>
          </w:tcPr>
          <w:p>
            <w:pPr>
              <w:jc w:val="right"/>
              <w:ind w:right="18"/>
              <w:spacing w:after="0" w:line="169" w:lineRule="exact"/>
              <w:rPr>
                <w:sz w:val="20"/>
                <w:szCs w:val="20"/>
                <w:color w:val="auto"/>
              </w:rPr>
            </w:pPr>
            <w:r>
              <w:rPr>
                <w:rFonts w:ascii="Arial" w:cs="Arial" w:eastAsia="Arial" w:hAnsi="Arial"/>
                <w:sz w:val="12"/>
                <w:szCs w:val="12"/>
                <w:color w:val="231F20"/>
              </w:rPr>
              <w:t>$99,137</w:t>
            </w:r>
            <w:r>
              <w:rPr>
                <w:rFonts w:ascii="Arial" w:cs="Arial" w:eastAsia="Arial" w:hAnsi="Arial"/>
                <w:sz w:val="19"/>
                <w:szCs w:val="19"/>
                <w:color w:val="231F20"/>
                <w:vertAlign w:val="superscript"/>
              </w:rPr>
              <w:t>10</w:t>
            </w:r>
          </w:p>
        </w:tc>
      </w:tr>
      <w:tr>
        <w:trPr>
          <w:trHeight w:val="169"/>
        </w:trPr>
        <w:tc>
          <w:tcPr>
            <w:tcW w:w="2000" w:type="dxa"/>
            <w:vAlign w:val="bottom"/>
            <w:tcBorders>
              <w:bottom w:val="single" w:sz="8" w:color="auto"/>
            </w:tcBorders>
            <w:shd w:val="clear" w:color="auto" w:fill="EAEAEC"/>
          </w:tcPr>
          <w:p>
            <w:pPr>
              <w:ind w:left="60"/>
              <w:spacing w:after="0"/>
              <w:rPr>
                <w:sz w:val="20"/>
                <w:szCs w:val="20"/>
                <w:color w:val="auto"/>
              </w:rPr>
            </w:pPr>
            <w:r>
              <w:rPr>
                <w:rFonts w:ascii="Arial" w:cs="Arial" w:eastAsia="Arial" w:hAnsi="Arial"/>
                <w:sz w:val="13"/>
                <w:szCs w:val="13"/>
                <w:color w:val="231F20"/>
              </w:rPr>
              <w:t>Disability</w:t>
            </w:r>
          </w:p>
        </w:tc>
        <w:tc>
          <w:tcPr>
            <w:tcW w:w="1100" w:type="dxa"/>
            <w:vAlign w:val="bottom"/>
            <w:tcBorders>
              <w:bottom w:val="single" w:sz="8" w:color="auto"/>
            </w:tcBorders>
            <w:shd w:val="clear" w:color="auto" w:fill="EAEAEC"/>
          </w:tcPr>
          <w:p>
            <w:pPr>
              <w:jc w:val="right"/>
              <w:ind w:right="139"/>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auto"/>
            </w:tcBorders>
            <w:shd w:val="clear" w:color="auto" w:fill="EAEAEC"/>
          </w:tcPr>
          <w:p>
            <w:pPr>
              <w:jc w:val="right"/>
              <w:ind w:right="160"/>
              <w:spacing w:after="0" w:line="169" w:lineRule="exact"/>
              <w:rPr>
                <w:sz w:val="20"/>
                <w:szCs w:val="20"/>
                <w:color w:val="auto"/>
              </w:rPr>
            </w:pPr>
            <w:r>
              <w:rPr>
                <w:rFonts w:ascii="Arial" w:cs="Arial" w:eastAsia="Arial" w:hAnsi="Arial"/>
                <w:sz w:val="12"/>
                <w:szCs w:val="12"/>
                <w:color w:val="231F20"/>
              </w:rPr>
              <w:t>$130,223</w:t>
            </w:r>
            <w:r>
              <w:rPr>
                <w:rFonts w:ascii="Arial" w:cs="Arial" w:eastAsia="Arial" w:hAnsi="Arial"/>
                <w:sz w:val="19"/>
                <w:szCs w:val="19"/>
                <w:color w:val="231F20"/>
                <w:vertAlign w:val="superscript"/>
              </w:rPr>
              <w:t>8</w:t>
            </w:r>
          </w:p>
        </w:tc>
        <w:tc>
          <w:tcPr>
            <w:tcW w:w="880" w:type="dxa"/>
            <w:vAlign w:val="bottom"/>
            <w:tcBorders>
              <w:bottom w:val="single" w:sz="8" w:color="auto"/>
            </w:tcBorders>
            <w:shd w:val="clear" w:color="auto" w:fill="EAEAEC"/>
          </w:tcPr>
          <w:p>
            <w:pPr>
              <w:ind w:left="420"/>
              <w:spacing w:after="0"/>
              <w:rPr>
                <w:sz w:val="20"/>
                <w:szCs w:val="20"/>
                <w:color w:val="auto"/>
              </w:rPr>
            </w:pPr>
            <w:r>
              <w:rPr>
                <w:rFonts w:ascii="Arial" w:cs="Arial" w:eastAsia="Arial" w:hAnsi="Arial"/>
                <w:sz w:val="13"/>
                <w:szCs w:val="13"/>
                <w:color w:val="231F20"/>
              </w:rPr>
              <w:t>—</w:t>
            </w:r>
          </w:p>
        </w:tc>
        <w:tc>
          <w:tcPr>
            <w:tcW w:w="1120" w:type="dxa"/>
            <w:vAlign w:val="bottom"/>
            <w:tcBorders>
              <w:bottom w:val="single" w:sz="8" w:color="auto"/>
            </w:tcBorders>
            <w:shd w:val="clear" w:color="auto" w:fill="EAEAEC"/>
          </w:tcPr>
          <w:p>
            <w:pPr>
              <w:jc w:val="right"/>
              <w:ind w:right="198"/>
              <w:spacing w:after="0" w:line="169" w:lineRule="exact"/>
              <w:rPr>
                <w:sz w:val="20"/>
                <w:szCs w:val="20"/>
                <w:color w:val="auto"/>
              </w:rPr>
            </w:pPr>
            <w:r>
              <w:rPr>
                <w:rFonts w:ascii="Arial" w:cs="Arial" w:eastAsia="Arial" w:hAnsi="Arial"/>
                <w:sz w:val="12"/>
                <w:szCs w:val="12"/>
                <w:color w:val="231F20"/>
              </w:rPr>
              <w:t>$ 748,283</w:t>
            </w:r>
            <w:r>
              <w:rPr>
                <w:rFonts w:ascii="Arial" w:cs="Arial" w:eastAsia="Arial" w:hAnsi="Arial"/>
                <w:sz w:val="19"/>
                <w:szCs w:val="19"/>
                <w:color w:val="231F20"/>
                <w:vertAlign w:val="superscript"/>
              </w:rPr>
              <w:t>11</w:t>
            </w:r>
          </w:p>
        </w:tc>
        <w:tc>
          <w:tcPr>
            <w:tcW w:w="1380" w:type="dxa"/>
            <w:vAlign w:val="bottom"/>
            <w:tcBorders>
              <w:bottom w:val="single" w:sz="8" w:color="auto"/>
            </w:tcBorders>
            <w:shd w:val="clear" w:color="auto" w:fill="EAEAEC"/>
          </w:tcPr>
          <w:p>
            <w:pPr>
              <w:ind w:left="880"/>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auto"/>
            </w:tcBorders>
            <w:shd w:val="clear" w:color="auto" w:fill="EAEAEC"/>
          </w:tcPr>
          <w:p>
            <w:pPr>
              <w:jc w:val="center"/>
              <w:spacing w:after="0"/>
              <w:rPr>
                <w:sz w:val="20"/>
                <w:szCs w:val="20"/>
                <w:color w:val="auto"/>
              </w:rPr>
            </w:pPr>
            <w:r>
              <w:rPr>
                <w:rFonts w:ascii="Arial" w:cs="Arial" w:eastAsia="Arial" w:hAnsi="Arial"/>
                <w:sz w:val="13"/>
                <w:szCs w:val="13"/>
                <w:color w:val="231F20"/>
                <w:w w:val="91"/>
              </w:rPr>
              <w:t>—</w:t>
            </w:r>
          </w:p>
        </w:tc>
        <w:tc>
          <w:tcPr>
            <w:tcW w:w="1140" w:type="dxa"/>
            <w:vAlign w:val="bottom"/>
            <w:tcBorders>
              <w:bottom w:val="single" w:sz="8" w:color="auto"/>
            </w:tcBorders>
            <w:shd w:val="clear" w:color="auto" w:fill="EAEAEC"/>
          </w:tcPr>
          <w:p>
            <w:pPr>
              <w:jc w:val="right"/>
              <w:ind w:right="138"/>
              <w:spacing w:after="0"/>
              <w:rPr>
                <w:sz w:val="20"/>
                <w:szCs w:val="20"/>
                <w:color w:val="auto"/>
              </w:rPr>
            </w:pPr>
            <w:r>
              <w:rPr>
                <w:rFonts w:ascii="Arial" w:cs="Arial" w:eastAsia="Arial" w:hAnsi="Arial"/>
                <w:sz w:val="13"/>
                <w:szCs w:val="13"/>
                <w:color w:val="231F20"/>
              </w:rPr>
              <w:t>$878,506</w:t>
            </w:r>
          </w:p>
        </w:tc>
      </w:tr>
    </w:tbl>
    <w:p>
      <w:pPr>
        <w:spacing w:after="0" w:line="167" w:lineRule="exact"/>
        <w:rPr>
          <w:sz w:val="20"/>
          <w:szCs w:val="20"/>
          <w:color w:val="auto"/>
        </w:rPr>
      </w:pPr>
    </w:p>
    <w:p>
      <w:pPr>
        <w:ind w:left="1080" w:right="820" w:hanging="316"/>
        <w:spacing w:after="0" w:line="243" w:lineRule="auto"/>
        <w:tabs>
          <w:tab w:leader="none" w:pos="1080" w:val="left"/>
        </w:tabs>
        <w:numPr>
          <w:ilvl w:val="0"/>
          <w:numId w:val="144"/>
        </w:numPr>
        <w:rPr>
          <w:rFonts w:ascii="Arial" w:cs="Arial" w:eastAsia="Arial" w:hAnsi="Arial"/>
          <w:sz w:val="14"/>
          <w:szCs w:val="14"/>
          <w:b w:val="1"/>
          <w:bCs w:val="1"/>
          <w:color w:val="205BA8"/>
        </w:rPr>
      </w:pPr>
      <w:r>
        <w:rPr>
          <w:rFonts w:ascii="Arial" w:cs="Arial" w:eastAsia="Arial" w:hAnsi="Arial"/>
          <w:sz w:val="14"/>
          <w:szCs w:val="14"/>
          <w:color w:val="auto"/>
        </w:rPr>
        <w:t>For purposes of these calculations, (i) we used Dr. Schleifer’s 2020 base salary and the annual cash incentives paid to Dr. Schleifer for performance in 2017, 2018, and 2019, respectively; (ii) we assumed that Dr. Schleifer received his annual cash incentive that was earned in 2020 and paid in 2021 (described in the Summary Compensation Table above); (iii) we took into consideration, for purposes of determining whether Dr. Schleifer was entitled to receive a gross-up payment under the terms of his employment agreement, the fact that Dr. Schleifer’s stock options continue to vest according to their original vesting schedule following a voluntary or involuntary termination (other than in connection with a change of control); (iv) we assumed a 6.4% annual increase in medical premiums, 4% annual increase in dental premiums, and no increase in annual disability or life insurance premiums; (v) we assumed that the medical and dental insurance benefits received in 2021, 2022, and 2023 would be taxable and that Dr. Schleifer would be eligible for a tax gross-up for these benefits under the terms of his employment agreement; (vi) although Dr. Schleifer’s employment agreement provides for restrictive covenants, including a six-month non-compete obligation, no specific value has been ascribed to these covenants solely for purposes of assessing excise tax liabilities and potential cutbacks; and (vii) although certain payments to Dr. Schleifer would be subject to potential delays upon separation of service under Section 409A of the Internal Revenue Code, we did not attempt to determine which, if any, payments would be delayed or revise the values to reflect any such delay.</w:t>
      </w:r>
    </w:p>
    <w:p>
      <w:pPr>
        <w:spacing w:after="0" w:line="82" w:lineRule="exact"/>
        <w:rPr>
          <w:sz w:val="20"/>
          <w:szCs w:val="20"/>
          <w:color w:val="auto"/>
        </w:rPr>
      </w:pPr>
    </w:p>
    <w:p>
      <w:pPr>
        <w:ind w:left="1080" w:right="800" w:hanging="316"/>
        <w:spacing w:after="0" w:line="249" w:lineRule="auto"/>
        <w:tabs>
          <w:tab w:leader="none" w:pos="1080" w:val="left"/>
        </w:tabs>
        <w:numPr>
          <w:ilvl w:val="0"/>
          <w:numId w:val="145"/>
        </w:numPr>
        <w:rPr>
          <w:rFonts w:ascii="Arial" w:cs="Arial" w:eastAsia="Arial" w:hAnsi="Arial"/>
          <w:sz w:val="14"/>
          <w:szCs w:val="14"/>
          <w:b w:val="1"/>
          <w:bCs w:val="1"/>
          <w:color w:val="205BA8"/>
        </w:rPr>
      </w:pPr>
      <w:r>
        <w:rPr>
          <w:rFonts w:ascii="Arial" w:cs="Arial" w:eastAsia="Arial" w:hAnsi="Arial"/>
          <w:sz w:val="14"/>
          <w:szCs w:val="14"/>
          <w:color w:val="auto"/>
        </w:rPr>
        <w:t>Equal to three times the sum of (a) Dr. Schleifer’s 2020 base salary and (b) the average annual cash incentive paid to Dr. Schleifer for performance in the three completed years prior to the termination date. For purposes of this calculation, we used Dr. Schleifer’s annual cash incentives for performance in 2017, 2018, and 2019.</w:t>
      </w:r>
    </w:p>
    <w:p>
      <w:pPr>
        <w:spacing w:after="0" w:line="79" w:lineRule="exact"/>
        <w:rPr>
          <w:sz w:val="20"/>
          <w:szCs w:val="20"/>
          <w:color w:val="auto"/>
        </w:rPr>
      </w:pPr>
    </w:p>
    <w:p>
      <w:pPr>
        <w:ind w:left="1080" w:hanging="316"/>
        <w:spacing w:after="0"/>
        <w:tabs>
          <w:tab w:leader="none" w:pos="1080" w:val="left"/>
        </w:tabs>
        <w:numPr>
          <w:ilvl w:val="0"/>
          <w:numId w:val="146"/>
        </w:numPr>
        <w:rPr>
          <w:rFonts w:ascii="Arial" w:cs="Arial" w:eastAsia="Arial" w:hAnsi="Arial"/>
          <w:sz w:val="14"/>
          <w:szCs w:val="14"/>
          <w:b w:val="1"/>
          <w:bCs w:val="1"/>
          <w:color w:val="205BA8"/>
        </w:rPr>
      </w:pPr>
      <w:r>
        <w:rPr>
          <w:rFonts w:ascii="Arial" w:cs="Arial" w:eastAsia="Arial" w:hAnsi="Arial"/>
          <w:sz w:val="14"/>
          <w:szCs w:val="14"/>
          <w:color w:val="auto"/>
        </w:rPr>
        <w:t>Equal to the estimated cost of providing Dr. Schleifer and his dependents medical, dental, and life insurance benefits for 36 months.</w:t>
      </w:r>
    </w:p>
    <w:p>
      <w:pPr>
        <w:spacing w:after="0" w:line="77" w:lineRule="exact"/>
        <w:rPr>
          <w:rFonts w:ascii="Arial" w:cs="Arial" w:eastAsia="Arial" w:hAnsi="Arial"/>
          <w:sz w:val="14"/>
          <w:szCs w:val="14"/>
          <w:b w:val="1"/>
          <w:bCs w:val="1"/>
          <w:color w:val="205BA8"/>
        </w:rPr>
      </w:pPr>
    </w:p>
    <w:p>
      <w:pPr>
        <w:ind w:left="760"/>
        <w:spacing w:after="0"/>
        <w:rPr>
          <w:rFonts w:ascii="Arial" w:cs="Arial" w:eastAsia="Arial" w:hAnsi="Arial"/>
          <w:sz w:val="14"/>
          <w:szCs w:val="14"/>
          <w:b w:val="1"/>
          <w:bCs w:val="1"/>
          <w:color w:val="205BA8"/>
        </w:rPr>
      </w:pPr>
      <w:r>
        <w:rPr>
          <w:rFonts w:ascii="Arial" w:cs="Arial" w:eastAsia="Arial" w:hAnsi="Arial"/>
          <w:sz w:val="14"/>
          <w:szCs w:val="14"/>
          <w:b w:val="1"/>
          <w:bCs w:val="1"/>
          <w:color w:val="205BA8"/>
        </w:rPr>
        <w:t xml:space="preserve">4   </w:t>
      </w:r>
      <w:r>
        <w:rPr>
          <w:rFonts w:ascii="Arial" w:cs="Arial" w:eastAsia="Arial" w:hAnsi="Arial"/>
          <w:sz w:val="14"/>
          <w:szCs w:val="14"/>
          <w:color w:val="000000"/>
        </w:rPr>
        <w:t>We maintain $1 million of term life insurance covering Dr. Schleifer payable to his designated beneficiary.</w:t>
      </w:r>
    </w:p>
    <w:p>
      <w:pPr>
        <w:spacing w:after="0" w:line="114" w:lineRule="exact"/>
        <w:rPr>
          <w:sz w:val="20"/>
          <w:szCs w:val="20"/>
          <w:color w:val="auto"/>
        </w:rPr>
      </w:pPr>
    </w:p>
    <w:p>
      <w:pPr>
        <w:ind w:left="1080" w:right="760" w:hanging="316"/>
        <w:spacing w:after="0" w:line="244" w:lineRule="auto"/>
        <w:tabs>
          <w:tab w:leader="none" w:pos="1080" w:val="left"/>
        </w:tabs>
        <w:numPr>
          <w:ilvl w:val="0"/>
          <w:numId w:val="147"/>
        </w:numPr>
        <w:rPr>
          <w:rFonts w:ascii="Arial" w:cs="Arial" w:eastAsia="Arial" w:hAnsi="Arial"/>
          <w:sz w:val="14"/>
          <w:szCs w:val="14"/>
          <w:b w:val="1"/>
          <w:bCs w:val="1"/>
          <w:color w:val="205BA8"/>
        </w:rPr>
      </w:pPr>
      <w:r>
        <w:rPr>
          <w:rFonts w:ascii="Arial" w:cs="Arial" w:eastAsia="Arial" w:hAnsi="Arial"/>
          <w:sz w:val="14"/>
          <w:szCs w:val="14"/>
          <w:color w:val="auto"/>
        </w:rPr>
        <w:t>Equal to the sum of (a) the aggregate amount of the differences between the exercise prices of Dr. Schleifer’s accelerated stock options and the closing sales price per share of the Company’s common stock on the Nasdaq Global Select Market on December 31, 2020, the last business day of 2020, of $483.11 and (b) the value of 25,155 outstanding PSUs from his 2019 grant that would have been earned had a vesting determination been made on December 31, 2020 in respect of performance for the period from the date of grant to December 31, 2020. None of Dr. Schleifer’s outstanding PSUs from his 2020 grant would have been earned had a vesting determination been made on December 31, 2020 in respect of performance for the period from the date of grant to December 31, 2020.</w:t>
      </w:r>
    </w:p>
    <w:p>
      <w:pPr>
        <w:spacing w:after="0" w:line="84" w:lineRule="exact"/>
        <w:rPr>
          <w:sz w:val="20"/>
          <w:szCs w:val="20"/>
          <w:color w:val="auto"/>
        </w:rPr>
      </w:pPr>
    </w:p>
    <w:p>
      <w:pPr>
        <w:ind w:left="1080" w:right="840" w:hanging="316"/>
        <w:spacing w:after="0" w:line="245" w:lineRule="auto"/>
        <w:tabs>
          <w:tab w:leader="none" w:pos="1080" w:val="left"/>
        </w:tabs>
        <w:numPr>
          <w:ilvl w:val="0"/>
          <w:numId w:val="148"/>
        </w:numPr>
        <w:rPr>
          <w:rFonts w:ascii="Arial" w:cs="Arial" w:eastAsia="Arial" w:hAnsi="Arial"/>
          <w:sz w:val="14"/>
          <w:szCs w:val="14"/>
          <w:b w:val="1"/>
          <w:bCs w:val="1"/>
          <w:color w:val="205BA8"/>
        </w:rPr>
      </w:pPr>
      <w:r>
        <w:rPr>
          <w:rFonts w:ascii="Arial" w:cs="Arial" w:eastAsia="Arial" w:hAnsi="Arial"/>
          <w:sz w:val="14"/>
          <w:szCs w:val="14"/>
          <w:color w:val="auto"/>
        </w:rPr>
        <w:t>Under Dr. Schleifer’s employment agreement, if payments due in connection with a change of control are subject to excise taxes under Section 280G of the Internal Revenue Code, we will cut back the payments if the excise tax can be eliminated by reducing his cash severance payments and benefits by less than 10%. Otherwise, we will pay him an additional “gross up” amount so that his after-tax benefits are the same as though no excise tax had been applied. We have determined that Dr. Schleifer would not have been subject to excise taxes if he had been terminated on December 31, 2020 as a result of a change of control.</w:t>
      </w:r>
    </w:p>
    <w:p>
      <w:pPr>
        <w:spacing w:after="0" w:line="83" w:lineRule="exact"/>
        <w:rPr>
          <w:sz w:val="20"/>
          <w:szCs w:val="20"/>
          <w:color w:val="auto"/>
        </w:rPr>
      </w:pPr>
    </w:p>
    <w:p>
      <w:pPr>
        <w:jc w:val="both"/>
        <w:ind w:left="1080" w:right="860" w:hanging="316"/>
        <w:spacing w:after="0" w:line="249" w:lineRule="auto"/>
        <w:tabs>
          <w:tab w:leader="none" w:pos="1080" w:val="left"/>
        </w:tabs>
        <w:numPr>
          <w:ilvl w:val="0"/>
          <w:numId w:val="149"/>
        </w:numPr>
        <w:rPr>
          <w:rFonts w:ascii="Arial" w:cs="Arial" w:eastAsia="Arial" w:hAnsi="Arial"/>
          <w:sz w:val="14"/>
          <w:szCs w:val="14"/>
          <w:b w:val="1"/>
          <w:bCs w:val="1"/>
          <w:color w:val="205BA8"/>
        </w:rPr>
      </w:pPr>
      <w:r>
        <w:rPr>
          <w:rFonts w:ascii="Arial" w:cs="Arial" w:eastAsia="Arial" w:hAnsi="Arial"/>
          <w:sz w:val="14"/>
          <w:szCs w:val="14"/>
          <w:color w:val="auto"/>
        </w:rPr>
        <w:t>Equal to 1.25 times the sum of (a) Dr. Schleifer’s 2020 base salary and (b) the average annual cash incentive paid to Dr. Schleifer for performance in the three completed years prior to the termination date. For purposes of this calculation, we used Dr. Schleifer’s year-end cash incentive awards for performance in 2017, 2018, and 2019.</w:t>
      </w:r>
    </w:p>
    <w:p>
      <w:pPr>
        <w:spacing w:after="0" w:line="79" w:lineRule="exact"/>
        <w:rPr>
          <w:sz w:val="20"/>
          <w:szCs w:val="20"/>
          <w:color w:val="auto"/>
        </w:rPr>
      </w:pPr>
    </w:p>
    <w:p>
      <w:pPr>
        <w:ind w:left="1080" w:hanging="316"/>
        <w:spacing w:after="0"/>
        <w:tabs>
          <w:tab w:leader="none" w:pos="1080" w:val="left"/>
        </w:tabs>
        <w:numPr>
          <w:ilvl w:val="0"/>
          <w:numId w:val="150"/>
        </w:numPr>
        <w:rPr>
          <w:rFonts w:ascii="Arial" w:cs="Arial" w:eastAsia="Arial" w:hAnsi="Arial"/>
          <w:sz w:val="14"/>
          <w:szCs w:val="14"/>
          <w:b w:val="1"/>
          <w:bCs w:val="1"/>
          <w:color w:val="205BA8"/>
        </w:rPr>
      </w:pPr>
      <w:r>
        <w:rPr>
          <w:rFonts w:ascii="Arial" w:cs="Arial" w:eastAsia="Arial" w:hAnsi="Arial"/>
          <w:sz w:val="14"/>
          <w:szCs w:val="14"/>
          <w:color w:val="auto"/>
        </w:rPr>
        <w:t>Equal to the estimated cost of providing Dr. Schleifer and his dependents medical, dental, and life insurance benefits for 18 months.</w:t>
      </w:r>
    </w:p>
    <w:p>
      <w:pPr>
        <w:spacing w:after="0" w:line="77" w:lineRule="exact"/>
        <w:rPr>
          <w:rFonts w:ascii="Arial" w:cs="Arial" w:eastAsia="Arial" w:hAnsi="Arial"/>
          <w:sz w:val="14"/>
          <w:szCs w:val="14"/>
          <w:b w:val="1"/>
          <w:bCs w:val="1"/>
          <w:color w:val="205BA8"/>
        </w:rPr>
      </w:pPr>
    </w:p>
    <w:p>
      <w:pPr>
        <w:ind w:left="760"/>
        <w:spacing w:after="0"/>
        <w:rPr>
          <w:rFonts w:ascii="Arial" w:cs="Arial" w:eastAsia="Arial" w:hAnsi="Arial"/>
          <w:sz w:val="14"/>
          <w:szCs w:val="14"/>
          <w:b w:val="1"/>
          <w:bCs w:val="1"/>
          <w:color w:val="205BA8"/>
        </w:rPr>
      </w:pPr>
      <w:r>
        <w:rPr>
          <w:rFonts w:ascii="Arial" w:cs="Arial" w:eastAsia="Arial" w:hAnsi="Arial"/>
          <w:sz w:val="14"/>
          <w:szCs w:val="14"/>
          <w:b w:val="1"/>
          <w:bCs w:val="1"/>
          <w:color w:val="205BA8"/>
        </w:rPr>
        <w:t xml:space="preserve">9   </w:t>
      </w:r>
      <w:r>
        <w:rPr>
          <w:rFonts w:ascii="Arial" w:cs="Arial" w:eastAsia="Arial" w:hAnsi="Arial"/>
          <w:sz w:val="14"/>
          <w:szCs w:val="14"/>
          <w:color w:val="000000"/>
        </w:rPr>
        <w:t>Equal to the estimated cost of providing Dr. Schleifer’s dependents medical and dental benefits for 18 months.</w:t>
      </w:r>
    </w:p>
    <w:p>
      <w:pPr>
        <w:spacing w:after="0" w:line="114" w:lineRule="exact"/>
        <w:rPr>
          <w:sz w:val="20"/>
          <w:szCs w:val="20"/>
          <w:color w:val="auto"/>
        </w:rPr>
      </w:pPr>
    </w:p>
    <w:p>
      <w:pPr>
        <w:ind w:left="1080" w:right="880" w:hanging="316"/>
        <w:spacing w:after="0" w:line="245" w:lineRule="auto"/>
        <w:tabs>
          <w:tab w:leader="none" w:pos="1080" w:val="left"/>
        </w:tabs>
        <w:numPr>
          <w:ilvl w:val="0"/>
          <w:numId w:val="151"/>
        </w:numPr>
        <w:rPr>
          <w:rFonts w:ascii="Arial" w:cs="Arial" w:eastAsia="Arial" w:hAnsi="Arial"/>
          <w:sz w:val="14"/>
          <w:szCs w:val="14"/>
          <w:b w:val="1"/>
          <w:bCs w:val="1"/>
          <w:color w:val="205BA8"/>
        </w:rPr>
      </w:pPr>
      <w:r>
        <w:rPr>
          <w:rFonts w:ascii="Arial" w:cs="Arial" w:eastAsia="Arial" w:hAnsi="Arial"/>
          <w:sz w:val="14"/>
          <w:szCs w:val="14"/>
          <w:color w:val="auto"/>
        </w:rPr>
        <w:t>As discussed in “Compensation Dashboard—Additional Compensation Information—Potential Severance Payments,” unvested stock options held by any employee (including Dr. Schleifer) become immediately exercisable upon his or her death. The value of such acceleration stock options would have been $16,936,713. In addition, any PSUs held by Dr. Schleifer will remain outstanding upon his death, and any vesting or forfeiture of such PSUs will be determined following the completion of the applicable performance period as it otherwise would have been determined if he remained employed by the Company for the duration of such performance period.</w:t>
      </w:r>
    </w:p>
    <w:p>
      <w:pPr>
        <w:spacing w:after="0" w:line="82" w:lineRule="exact"/>
        <w:rPr>
          <w:rFonts w:ascii="Arial" w:cs="Arial" w:eastAsia="Arial" w:hAnsi="Arial"/>
          <w:sz w:val="14"/>
          <w:szCs w:val="14"/>
          <w:b w:val="1"/>
          <w:bCs w:val="1"/>
          <w:color w:val="205BA8"/>
        </w:rPr>
      </w:pPr>
    </w:p>
    <w:p>
      <w:pPr>
        <w:ind w:left="1080" w:right="940" w:hanging="316"/>
        <w:spacing w:after="0" w:line="258" w:lineRule="auto"/>
        <w:tabs>
          <w:tab w:leader="none" w:pos="1080" w:val="left"/>
        </w:tabs>
        <w:numPr>
          <w:ilvl w:val="0"/>
          <w:numId w:val="151"/>
        </w:numPr>
        <w:rPr>
          <w:rFonts w:ascii="Arial" w:cs="Arial" w:eastAsia="Arial" w:hAnsi="Arial"/>
          <w:sz w:val="14"/>
          <w:szCs w:val="14"/>
          <w:b w:val="1"/>
          <w:bCs w:val="1"/>
          <w:color w:val="205BA8"/>
        </w:rPr>
      </w:pPr>
      <w:r>
        <w:rPr>
          <w:rFonts w:ascii="Arial" w:cs="Arial" w:eastAsia="Arial" w:hAnsi="Arial"/>
          <w:sz w:val="14"/>
          <w:szCs w:val="14"/>
          <w:color w:val="auto"/>
        </w:rPr>
        <w:t>Represents 35% of Dr. Schleifer’s 2020 salary over a period of 18 months. We have assumed long-term disability coverage exists pursuant to Dr. Schleifer’s employment agreement for the remaining 65% of Dr. Schleifer’s salary.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40" w:type="dxa"/>
            <w:vAlign w:val="bottom"/>
          </w:tcPr>
          <w:p>
            <w:pPr>
              <w:ind w:left="220"/>
              <w:spacing w:after="0"/>
              <w:rPr>
                <w:sz w:val="20"/>
                <w:szCs w:val="20"/>
                <w:color w:val="auto"/>
              </w:rPr>
            </w:pPr>
            <w:r>
              <w:rPr>
                <w:rFonts w:ascii="Arial" w:cs="Arial" w:eastAsia="Arial" w:hAnsi="Arial"/>
                <w:sz w:val="13"/>
                <w:szCs w:val="13"/>
                <w:b w:val="1"/>
                <w:bCs w:val="1"/>
                <w:color w:val="205BA8"/>
              </w:rPr>
              <w:t>2021 PROXY STATEMENT AND NOTICE OF ANNUAL SHAREHOLDER MEETING</w:t>
            </w:r>
          </w:p>
        </w:tc>
        <w:tc>
          <w:tcPr>
            <w:tcW w:w="3400" w:type="dxa"/>
            <w:vAlign w:val="bottom"/>
          </w:tcPr>
          <w:p>
            <w:pPr>
              <w:jc w:val="right"/>
              <w:ind w:right="148"/>
              <w:spacing w:after="0"/>
              <w:rPr>
                <w:sz w:val="20"/>
                <w:szCs w:val="20"/>
                <w:color w:val="auto"/>
              </w:rPr>
            </w:pPr>
            <w:r>
              <w:rPr>
                <w:rFonts w:ascii="Arial" w:cs="Arial" w:eastAsia="Arial" w:hAnsi="Arial"/>
                <w:sz w:val="14"/>
                <w:szCs w:val="14"/>
                <w:color w:val="00AEEF"/>
              </w:rPr>
              <w:t>/  89</w:t>
            </w:r>
          </w:p>
        </w:tc>
      </w:tr>
      <w:tr>
        <w:trPr>
          <w:trHeight w:val="262"/>
        </w:trPr>
        <w:tc>
          <w:tcPr>
            <w:tcW w:w="7840" w:type="dxa"/>
            <w:vAlign w:val="bottom"/>
            <w:tcBorders>
              <w:bottom w:val="single" w:sz="8" w:color="C0C0C0"/>
            </w:tcBorders>
          </w:tcPr>
          <w:p>
            <w:pPr>
              <w:spacing w:after="0"/>
              <w:rPr>
                <w:sz w:val="22"/>
                <w:szCs w:val="22"/>
                <w:color w:val="auto"/>
              </w:rPr>
            </w:pPr>
          </w:p>
        </w:tc>
        <w:tc>
          <w:tcPr>
            <w:tcW w:w="34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100" w:name="page101"/>
    <w:bookmarkEnd w:id="100"/>
    <w:p>
      <w:pPr>
        <w:ind w:left="360"/>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685800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205BA8"/>
        </w:rPr>
        <w:t>Change in Control Severance Plan</w:t>
      </w:r>
    </w:p>
    <w:p>
      <w:pPr>
        <w:spacing w:after="0" w:line="155" w:lineRule="exact"/>
        <w:rPr>
          <w:sz w:val="20"/>
          <w:szCs w:val="20"/>
          <w:color w:val="auto"/>
        </w:rPr>
      </w:pPr>
    </w:p>
    <w:p>
      <w:pPr>
        <w:ind w:left="540" w:right="540"/>
        <w:spacing w:after="0" w:line="230" w:lineRule="auto"/>
        <w:rPr>
          <w:sz w:val="20"/>
          <w:szCs w:val="20"/>
          <w:color w:val="auto"/>
        </w:rPr>
      </w:pPr>
      <w:r>
        <w:rPr>
          <w:rFonts w:ascii="Arial" w:cs="Arial" w:eastAsia="Arial" w:hAnsi="Arial"/>
          <w:sz w:val="15"/>
          <w:szCs w:val="15"/>
          <w:color w:val="auto"/>
        </w:rPr>
        <w:t>Each of the NEOs, other than our CEO, participates in our change in control severance plan that was adopted by the board of directors on January 20, 2006. The purposes of the plan are (i) 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in control severance plan was amended and restated to bring it into compliance with Section 409A of the Internal Revenue Code (“Section 409A”).</w:t>
      </w:r>
    </w:p>
    <w:p>
      <w:pPr>
        <w:spacing w:after="0" w:line="142" w:lineRule="exact"/>
        <w:rPr>
          <w:sz w:val="20"/>
          <w:szCs w:val="20"/>
          <w:color w:val="auto"/>
        </w:rPr>
      </w:pPr>
    </w:p>
    <w:p>
      <w:pPr>
        <w:ind w:left="540" w:right="600"/>
        <w:spacing w:after="0" w:line="228" w:lineRule="auto"/>
        <w:rPr>
          <w:sz w:val="20"/>
          <w:szCs w:val="20"/>
          <w:color w:val="auto"/>
        </w:rPr>
      </w:pPr>
      <w:r>
        <w:rPr>
          <w:rFonts w:ascii="Arial" w:cs="Arial" w:eastAsia="Arial" w:hAnsi="Arial"/>
          <w:sz w:val="15"/>
          <w:szCs w:val="15"/>
          <w:color w:val="auto"/>
        </w:rPr>
        <w:t>Under the plan, each participant is entitled to receive a cash severance payment in an amount equal to one, or, in designated cases, including with respect to the NEOs other than Dr. Schleifer, two times the sum of the participant’s annual base salary and his or her average annual cash incentive over the prior three years if, within two years after or 180 days before a change in control, either the participant resigns his or her employment for Good Reason (as defined in the plan) or the participant’s employment is terminated by the Company for any reason other than Cause (as defined in the plan). This amount will be paid in a lump-sum severance payment. A participant so terminated is also entitled to receive a pro-rata annual cash incentive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his or her employment with the Company.</w:t>
      </w:r>
    </w:p>
    <w:p>
      <w:pPr>
        <w:spacing w:after="0" w:line="145" w:lineRule="exact"/>
        <w:rPr>
          <w:sz w:val="20"/>
          <w:szCs w:val="20"/>
          <w:color w:val="auto"/>
        </w:rPr>
      </w:pPr>
    </w:p>
    <w:p>
      <w:pPr>
        <w:ind w:left="540" w:right="540"/>
        <w:spacing w:after="0" w:line="228" w:lineRule="auto"/>
        <w:rPr>
          <w:sz w:val="20"/>
          <w:szCs w:val="20"/>
          <w:color w:val="auto"/>
        </w:rPr>
      </w:pPr>
      <w:r>
        <w:rPr>
          <w:rFonts w:ascii="Arial" w:cs="Arial" w:eastAsia="Arial" w:hAnsi="Arial"/>
          <w:sz w:val="15"/>
          <w:szCs w:val="15"/>
          <w:color w:val="auto"/>
        </w:rPr>
        <w:t>In the event that a plan participant resigns his or her employment for Good Reason (which generally conforms to the definition in Section 409A), or the participant’s employment is terminated by the Company for any reason other than Cause, in either case within two years after or 180 days before a change in control, then, unless otherwise provided in an award agreement,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30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145" w:lineRule="exact"/>
        <w:rPr>
          <w:sz w:val="20"/>
          <w:szCs w:val="20"/>
          <w:color w:val="auto"/>
        </w:rPr>
      </w:pPr>
    </w:p>
    <w:p>
      <w:pPr>
        <w:ind w:left="540" w:right="640"/>
        <w:spacing w:after="0" w:line="233" w:lineRule="auto"/>
        <w:rPr>
          <w:sz w:val="20"/>
          <w:szCs w:val="20"/>
          <w:color w:val="auto"/>
        </w:rPr>
      </w:pPr>
      <w:r>
        <w:rPr>
          <w:rFonts w:ascii="Arial" w:cs="Arial" w:eastAsia="Arial" w:hAnsi="Arial"/>
          <w:sz w:val="15"/>
          <w:szCs w:val="15"/>
          <w:color w:val="auto"/>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140" w:lineRule="exact"/>
        <w:rPr>
          <w:sz w:val="20"/>
          <w:szCs w:val="20"/>
          <w:color w:val="auto"/>
        </w:rPr>
      </w:pPr>
    </w:p>
    <w:p>
      <w:pPr>
        <w:ind w:left="540" w:right="540"/>
        <w:spacing w:after="0" w:line="233" w:lineRule="auto"/>
        <w:rPr>
          <w:sz w:val="20"/>
          <w:szCs w:val="20"/>
          <w:color w:val="auto"/>
        </w:rPr>
      </w:pPr>
      <w:r>
        <w:rPr>
          <w:rFonts w:ascii="Arial" w:cs="Arial" w:eastAsia="Arial" w:hAnsi="Arial"/>
          <w:sz w:val="15"/>
          <w:szCs w:val="15"/>
          <w:color w:val="auto"/>
        </w:rPr>
        <w:t>The following table shows the potential payments to our NEOs (other than our CEO), upon their hypothetical termination (other than for Cause) or resignation for Good Reason, in the two years following, or the six months prior to, a change in control. The information in the table below assumes an effective termination or resignation date of December 31, 2020 and is further based on the assumptions set forth in the footnotes to the table; actual values and amounts may differ from those presented below.</w:t>
      </w:r>
    </w:p>
    <w:p>
      <w:pPr>
        <w:spacing w:after="0" w:line="115" w:lineRule="exact"/>
        <w:rPr>
          <w:sz w:val="20"/>
          <w:szCs w:val="20"/>
          <w:color w:val="auto"/>
        </w:rPr>
      </w:pPr>
    </w:p>
    <w:p>
      <w:pPr>
        <w:spacing w:after="0"/>
        <w:tabs>
          <w:tab w:leader="none" w:pos="300" w:val="left"/>
          <w:tab w:leader="none" w:pos="6040" w:val="left"/>
        </w:tabs>
        <w:rPr>
          <w:sz w:val="20"/>
          <w:szCs w:val="20"/>
          <w:color w:val="auto"/>
        </w:rPr>
      </w:pPr>
      <w:r>
        <w:rPr>
          <w:rFonts w:ascii="Arial" w:cs="Arial" w:eastAsia="Arial" w:hAnsi="Arial"/>
          <w:sz w:val="28"/>
          <w:szCs w:val="28"/>
          <w:color w:val="00AEEF"/>
          <w:vertAlign w:val="subscript"/>
        </w:rPr>
        <w:t>90</w:t>
      </w:r>
      <w:r>
        <w:rPr>
          <w:sz w:val="20"/>
          <w:szCs w:val="20"/>
          <w:color w:val="auto"/>
        </w:rPr>
        <w:tab/>
      </w:r>
      <w:r>
        <w:rPr>
          <w:rFonts w:ascii="Arial" w:cs="Arial" w:eastAsia="Arial" w:hAnsi="Arial"/>
          <w:sz w:val="29"/>
          <w:szCs w:val="29"/>
          <w:color w:val="00AEEF"/>
          <w:vertAlign w:val="subscript"/>
        </w:rPr>
        <w:t>/</w:t>
      </w:r>
      <w:r>
        <w:rPr>
          <w:sz w:val="20"/>
          <w:szCs w:val="20"/>
          <w:color w:val="auto"/>
        </w:rPr>
        <w:tab/>
      </w:r>
      <w:r>
        <w:rPr>
          <w:rFonts w:ascii="Arial" w:cs="Arial" w:eastAsia="Arial" w:hAnsi="Arial"/>
          <w:sz w:val="12"/>
          <w:szCs w:val="12"/>
          <w:b w:val="1"/>
          <w:bCs w:val="1"/>
          <w:color w:val="205BA8"/>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166370</wp:posOffset>
            </wp:positionV>
            <wp:extent cx="7132320" cy="342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00"/>
          </w:cols>
          <w:pgMar w:left="540" w:top="405" w:right="55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b w:val="1"/>
          <w:bCs w:val="1"/>
          <w:color w:val="2952A4"/>
        </w:rPr>
        <w:t xml:space="preserve">COMPENSATION-RELATED MATTERS </w:t>
      </w:r>
      <w:r>
        <w:rPr>
          <w:rFonts w:ascii="Arial" w:cs="Arial" w:eastAsia="Arial" w:hAnsi="Arial"/>
          <w:sz w:val="16"/>
          <w:szCs w:val="16"/>
          <w:color w:val="2952A4"/>
        </w:rPr>
        <w:t>/</w:t>
      </w:r>
      <w:r>
        <w:rPr>
          <w:rFonts w:ascii="Arial" w:cs="Arial" w:eastAsia="Arial" w:hAnsi="Arial"/>
          <w:sz w:val="16"/>
          <w:szCs w:val="16"/>
          <w:b w:val="1"/>
          <w:bCs w:val="1"/>
          <w:color w:val="2952A4"/>
        </w:rPr>
        <w:t xml:space="preserve"> </w:t>
      </w:r>
      <w:r>
        <w:rPr>
          <w:rFonts w:ascii="Arial" w:cs="Arial" w:eastAsia="Arial" w:hAnsi="Arial"/>
          <w:sz w:val="16"/>
          <w:szCs w:val="16"/>
          <w:b w:val="1"/>
          <w:bCs w:val="1"/>
          <w:color w:val="C04C57"/>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C44E5E"/>
        </w:rPr>
        <w:t>Potential Payments under Change in Control Severance Plan</w:t>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2"/>
                <w:szCs w:val="12"/>
                <w:b w:val="1"/>
                <w:bCs w:val="1"/>
                <w:color w:val="2952A4"/>
                <w:w w:val="98"/>
              </w:rPr>
              <w:t>Value of</w:t>
            </w: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35"/>
        </w:trPr>
        <w:tc>
          <w:tcPr>
            <w:tcW w:w="30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2"/>
                <w:szCs w:val="12"/>
                <w:b w:val="1"/>
                <w:bCs w:val="1"/>
                <w:color w:val="2952A4"/>
                <w:w w:val="97"/>
              </w:rPr>
              <w:t>Accelerated Stock</w:t>
            </w: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41"/>
        </w:trPr>
        <w:tc>
          <w:tcPr>
            <w:tcW w:w="3060" w:type="dxa"/>
            <w:vAlign w:val="bottom"/>
          </w:tcPr>
          <w:p>
            <w:pPr>
              <w:spacing w:after="0"/>
              <w:rPr>
                <w:sz w:val="12"/>
                <w:szCs w:val="12"/>
                <w:color w:val="auto"/>
              </w:rPr>
            </w:pPr>
          </w:p>
        </w:tc>
        <w:tc>
          <w:tcPr>
            <w:tcW w:w="1820" w:type="dxa"/>
            <w:vAlign w:val="bottom"/>
          </w:tcPr>
          <w:p>
            <w:pPr>
              <w:jc w:val="right"/>
              <w:ind w:right="477"/>
              <w:spacing w:after="0"/>
              <w:rPr>
                <w:sz w:val="20"/>
                <w:szCs w:val="20"/>
                <w:color w:val="auto"/>
              </w:rPr>
            </w:pPr>
            <w:r>
              <w:rPr>
                <w:rFonts w:ascii="Arial" w:cs="Arial" w:eastAsia="Arial" w:hAnsi="Arial"/>
                <w:sz w:val="12"/>
                <w:szCs w:val="12"/>
                <w:b w:val="1"/>
                <w:bCs w:val="1"/>
                <w:color w:val="2952A4"/>
              </w:rPr>
              <w:t>Cash</w:t>
            </w:r>
          </w:p>
        </w:tc>
        <w:tc>
          <w:tcPr>
            <w:tcW w:w="1460" w:type="dxa"/>
            <w:vAlign w:val="bottom"/>
          </w:tcPr>
          <w:p>
            <w:pPr>
              <w:jc w:val="right"/>
              <w:ind w:right="437"/>
              <w:spacing w:after="0"/>
              <w:rPr>
                <w:sz w:val="20"/>
                <w:szCs w:val="20"/>
                <w:color w:val="auto"/>
              </w:rPr>
            </w:pPr>
            <w:r>
              <w:rPr>
                <w:rFonts w:ascii="Arial" w:cs="Arial" w:eastAsia="Arial" w:hAnsi="Arial"/>
                <w:sz w:val="12"/>
                <w:szCs w:val="12"/>
                <w:b w:val="1"/>
                <w:bCs w:val="1"/>
                <w:color w:val="2952A4"/>
              </w:rPr>
              <w:t>Benefits</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2952A4"/>
                <w:w w:val="97"/>
              </w:rPr>
              <w:t>Options/RSAs/</w:t>
            </w:r>
          </w:p>
        </w:tc>
        <w:tc>
          <w:tcPr>
            <w:tcW w:w="1060" w:type="dxa"/>
            <w:vAlign w:val="bottom"/>
          </w:tcPr>
          <w:p>
            <w:pPr>
              <w:spacing w:after="0"/>
              <w:rPr>
                <w:sz w:val="12"/>
                <w:szCs w:val="12"/>
                <w:color w:val="auto"/>
              </w:rPr>
            </w:pPr>
          </w:p>
        </w:tc>
        <w:tc>
          <w:tcPr>
            <w:tcW w:w="1160" w:type="dxa"/>
            <w:vAlign w:val="bottom"/>
          </w:tcPr>
          <w:p>
            <w:pPr>
              <w:jc w:val="center"/>
              <w:ind w:left="37"/>
              <w:spacing w:after="0"/>
              <w:rPr>
                <w:sz w:val="20"/>
                <w:szCs w:val="20"/>
                <w:color w:val="auto"/>
              </w:rPr>
            </w:pPr>
            <w:r>
              <w:rPr>
                <w:rFonts w:ascii="Arial" w:cs="Arial" w:eastAsia="Arial" w:hAnsi="Arial"/>
                <w:sz w:val="12"/>
                <w:szCs w:val="12"/>
                <w:b w:val="1"/>
                <w:bCs w:val="1"/>
                <w:color w:val="2952A4"/>
                <w:w w:val="90"/>
              </w:rPr>
              <w:t>Total</w:t>
            </w:r>
          </w:p>
        </w:tc>
      </w:tr>
      <w:tr>
        <w:trPr>
          <w:trHeight w:val="181"/>
        </w:trPr>
        <w:tc>
          <w:tcPr>
            <w:tcW w:w="30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297"/>
              <w:spacing w:after="0" w:line="182" w:lineRule="exact"/>
              <w:rPr>
                <w:sz w:val="20"/>
                <w:szCs w:val="20"/>
                <w:color w:val="auto"/>
              </w:rPr>
            </w:pPr>
            <w:r>
              <w:rPr>
                <w:rFonts w:ascii="Arial" w:cs="Arial" w:eastAsia="Arial" w:hAnsi="Arial"/>
                <w:sz w:val="12"/>
                <w:szCs w:val="12"/>
                <w:b w:val="1"/>
                <w:bCs w:val="1"/>
                <w:color w:val="2952A4"/>
              </w:rPr>
              <w:t>Severance</w:t>
            </w:r>
            <w:r>
              <w:rPr>
                <w:rFonts w:ascii="Arial" w:cs="Arial" w:eastAsia="Arial" w:hAnsi="Arial"/>
                <w:sz w:val="19"/>
                <w:szCs w:val="19"/>
                <w:b w:val="1"/>
                <w:bCs w:val="1"/>
                <w:color w:val="2952A4"/>
                <w:vertAlign w:val="superscript"/>
              </w:rPr>
              <w:t>1</w:t>
            </w:r>
          </w:p>
        </w:tc>
        <w:tc>
          <w:tcPr>
            <w:tcW w:w="1460" w:type="dxa"/>
            <w:vAlign w:val="bottom"/>
            <w:tcBorders>
              <w:bottom w:val="single" w:sz="8" w:color="auto"/>
            </w:tcBorders>
          </w:tcPr>
          <w:p>
            <w:pPr>
              <w:jc w:val="right"/>
              <w:ind w:right="277"/>
              <w:spacing w:after="0" w:line="182" w:lineRule="exact"/>
              <w:rPr>
                <w:sz w:val="20"/>
                <w:szCs w:val="20"/>
                <w:color w:val="auto"/>
              </w:rPr>
            </w:pPr>
            <w:r>
              <w:rPr>
                <w:rFonts w:ascii="Arial" w:cs="Arial" w:eastAsia="Arial" w:hAnsi="Arial"/>
                <w:sz w:val="12"/>
                <w:szCs w:val="12"/>
                <w:b w:val="1"/>
                <w:bCs w:val="1"/>
                <w:color w:val="2952A4"/>
              </w:rPr>
              <w:t>Continuation</w:t>
            </w:r>
            <w:r>
              <w:rPr>
                <w:rFonts w:ascii="Arial" w:cs="Arial" w:eastAsia="Arial" w:hAnsi="Arial"/>
                <w:sz w:val="19"/>
                <w:szCs w:val="19"/>
                <w:b w:val="1"/>
                <w:bCs w:val="1"/>
                <w:color w:val="2952A4"/>
                <w:vertAlign w:val="superscript"/>
              </w:rPr>
              <w:t>2</w:t>
            </w:r>
          </w:p>
        </w:tc>
        <w:tc>
          <w:tcPr>
            <w:tcW w:w="160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2"/>
                <w:szCs w:val="12"/>
                <w:b w:val="1"/>
                <w:bCs w:val="1"/>
                <w:color w:val="2952A4"/>
                <w:w w:val="88"/>
              </w:rPr>
              <w:t>PSUs</w:t>
            </w:r>
            <w:r>
              <w:rPr>
                <w:rFonts w:ascii="Arial" w:cs="Arial" w:eastAsia="Arial" w:hAnsi="Arial"/>
                <w:sz w:val="19"/>
                <w:szCs w:val="19"/>
                <w:b w:val="1"/>
                <w:bCs w:val="1"/>
                <w:color w:val="2952A4"/>
                <w:w w:val="88"/>
                <w:vertAlign w:val="superscript"/>
              </w:rPr>
              <w:t>3</w:t>
            </w:r>
          </w:p>
        </w:tc>
        <w:tc>
          <w:tcPr>
            <w:tcW w:w="1060" w:type="dxa"/>
            <w:vAlign w:val="bottom"/>
            <w:tcBorders>
              <w:bottom w:val="single" w:sz="8" w:color="auto"/>
            </w:tcBorders>
          </w:tcPr>
          <w:p>
            <w:pPr>
              <w:ind w:left="260"/>
              <w:spacing w:after="0" w:line="182" w:lineRule="exact"/>
              <w:rPr>
                <w:sz w:val="20"/>
                <w:szCs w:val="20"/>
                <w:color w:val="auto"/>
              </w:rPr>
            </w:pPr>
            <w:r>
              <w:rPr>
                <w:rFonts w:ascii="Arial" w:cs="Arial" w:eastAsia="Arial" w:hAnsi="Arial"/>
                <w:sz w:val="12"/>
                <w:szCs w:val="12"/>
                <w:b w:val="1"/>
                <w:bCs w:val="1"/>
                <w:color w:val="2952A4"/>
              </w:rPr>
              <w:t>Cutback</w:t>
            </w:r>
            <w:r>
              <w:rPr>
                <w:rFonts w:ascii="Arial" w:cs="Arial" w:eastAsia="Arial" w:hAnsi="Arial"/>
                <w:sz w:val="19"/>
                <w:szCs w:val="19"/>
                <w:b w:val="1"/>
                <w:bCs w:val="1"/>
                <w:color w:val="2952A4"/>
                <w:vertAlign w:val="superscript"/>
              </w:rPr>
              <w:t>4</w:t>
            </w:r>
          </w:p>
        </w:tc>
        <w:tc>
          <w:tcPr>
            <w:tcW w:w="1160" w:type="dxa"/>
            <w:vAlign w:val="bottom"/>
            <w:tcBorders>
              <w:bottom w:val="single" w:sz="8" w:color="auto"/>
            </w:tcBorders>
          </w:tcPr>
          <w:p>
            <w:pPr>
              <w:jc w:val="center"/>
              <w:ind w:left="37"/>
              <w:spacing w:after="0" w:line="182" w:lineRule="exact"/>
              <w:rPr>
                <w:sz w:val="20"/>
                <w:szCs w:val="20"/>
                <w:color w:val="auto"/>
              </w:rPr>
            </w:pPr>
            <w:r>
              <w:rPr>
                <w:rFonts w:ascii="Arial" w:cs="Arial" w:eastAsia="Arial" w:hAnsi="Arial"/>
                <w:sz w:val="12"/>
                <w:szCs w:val="12"/>
                <w:b w:val="1"/>
                <w:bCs w:val="1"/>
                <w:color w:val="2952A4"/>
                <w:w w:val="95"/>
              </w:rPr>
              <w:t>Amount</w:t>
            </w:r>
            <w:r>
              <w:rPr>
                <w:rFonts w:ascii="Arial" w:cs="Arial" w:eastAsia="Arial" w:hAnsi="Arial"/>
                <w:sz w:val="19"/>
                <w:szCs w:val="19"/>
                <w:b w:val="1"/>
                <w:bCs w:val="1"/>
                <w:color w:val="2952A4"/>
                <w:w w:val="95"/>
                <w:vertAlign w:val="superscript"/>
              </w:rPr>
              <w:t>5</w:t>
            </w:r>
          </w:p>
        </w:tc>
      </w:tr>
      <w:tr>
        <w:trPr>
          <w:trHeight w:val="142"/>
        </w:trPr>
        <w:tc>
          <w:tcPr>
            <w:tcW w:w="3060" w:type="dxa"/>
            <w:vAlign w:val="bottom"/>
            <w:tcBorders>
              <w:bottom w:val="single" w:sz="8" w:color="auto"/>
            </w:tcBorders>
            <w:shd w:val="clear" w:color="auto" w:fill="EAEAEC"/>
          </w:tcPr>
          <w:p>
            <w:pPr>
              <w:ind w:left="60"/>
              <w:spacing w:after="0" w:line="142" w:lineRule="exact"/>
              <w:rPr>
                <w:sz w:val="20"/>
                <w:szCs w:val="20"/>
                <w:color w:val="auto"/>
              </w:rPr>
            </w:pPr>
            <w:r>
              <w:rPr>
                <w:rFonts w:ascii="Arial" w:cs="Arial" w:eastAsia="Arial" w:hAnsi="Arial"/>
                <w:sz w:val="13"/>
                <w:szCs w:val="13"/>
                <w:b w:val="1"/>
                <w:bCs w:val="1"/>
                <w:color w:val="C04C57"/>
              </w:rPr>
              <w:t>George D. Yancopoulos, M.D., Ph.D.</w:t>
            </w:r>
          </w:p>
        </w:tc>
        <w:tc>
          <w:tcPr>
            <w:tcW w:w="1820" w:type="dxa"/>
            <w:vAlign w:val="bottom"/>
            <w:tcBorders>
              <w:bottom w:val="single" w:sz="8" w:color="auto"/>
            </w:tcBorders>
            <w:shd w:val="clear" w:color="auto" w:fill="EAEAEC"/>
          </w:tcPr>
          <w:p>
            <w:pPr>
              <w:jc w:val="right"/>
              <w:ind w:right="317"/>
              <w:spacing w:after="0" w:line="142" w:lineRule="exact"/>
              <w:rPr>
                <w:sz w:val="20"/>
                <w:szCs w:val="20"/>
                <w:color w:val="auto"/>
              </w:rPr>
            </w:pPr>
            <w:r>
              <w:rPr>
                <w:rFonts w:ascii="Arial" w:cs="Arial" w:eastAsia="Arial" w:hAnsi="Arial"/>
                <w:sz w:val="13"/>
                <w:szCs w:val="13"/>
                <w:color w:val="231F20"/>
              </w:rPr>
              <w:t>$7,227,728</w:t>
            </w:r>
          </w:p>
        </w:tc>
        <w:tc>
          <w:tcPr>
            <w:tcW w:w="1460" w:type="dxa"/>
            <w:vAlign w:val="bottom"/>
            <w:tcBorders>
              <w:bottom w:val="single" w:sz="8" w:color="auto"/>
            </w:tcBorders>
            <w:shd w:val="clear" w:color="auto" w:fill="EAEAEC"/>
          </w:tcPr>
          <w:p>
            <w:pPr>
              <w:jc w:val="right"/>
              <w:ind w:right="377"/>
              <w:spacing w:after="0" w:line="142" w:lineRule="exact"/>
              <w:rPr>
                <w:sz w:val="20"/>
                <w:szCs w:val="20"/>
                <w:color w:val="auto"/>
              </w:rPr>
            </w:pPr>
            <w:r>
              <w:rPr>
                <w:rFonts w:ascii="Arial" w:cs="Arial" w:eastAsia="Arial" w:hAnsi="Arial"/>
                <w:sz w:val="13"/>
                <w:szCs w:val="13"/>
                <w:color w:val="231F20"/>
              </w:rPr>
              <w:t>$81,707</w:t>
            </w:r>
          </w:p>
        </w:tc>
        <w:tc>
          <w:tcPr>
            <w:tcW w:w="1600" w:type="dxa"/>
            <w:vAlign w:val="bottom"/>
            <w:tcBorders>
              <w:bottom w:val="single" w:sz="8" w:color="auto"/>
            </w:tcBorders>
            <w:shd w:val="clear" w:color="auto" w:fill="EAEAEC"/>
          </w:tcPr>
          <w:p>
            <w:pPr>
              <w:jc w:val="right"/>
              <w:ind w:right="238"/>
              <w:spacing w:after="0" w:line="142" w:lineRule="exact"/>
              <w:rPr>
                <w:sz w:val="20"/>
                <w:szCs w:val="20"/>
                <w:color w:val="auto"/>
              </w:rPr>
            </w:pPr>
            <w:r>
              <w:rPr>
                <w:rFonts w:ascii="Arial" w:cs="Arial" w:eastAsia="Arial" w:hAnsi="Arial"/>
                <w:sz w:val="13"/>
                <w:szCs w:val="13"/>
                <w:color w:val="231F20"/>
              </w:rPr>
              <w:t>$29,089,345</w:t>
            </w:r>
          </w:p>
        </w:tc>
        <w:tc>
          <w:tcPr>
            <w:tcW w:w="1060" w:type="dxa"/>
            <w:vAlign w:val="bottom"/>
            <w:tcBorders>
              <w:bottom w:val="single" w:sz="8" w:color="auto"/>
            </w:tcBorders>
            <w:shd w:val="clear" w:color="auto" w:fill="EAEAEC"/>
          </w:tcPr>
          <w:p>
            <w:pPr>
              <w:ind w:left="500"/>
              <w:spacing w:after="0" w:line="142" w:lineRule="exact"/>
              <w:rPr>
                <w:sz w:val="20"/>
                <w:szCs w:val="20"/>
                <w:color w:val="auto"/>
              </w:rPr>
            </w:pPr>
            <w:r>
              <w:rPr>
                <w:rFonts w:ascii="Arial" w:cs="Arial" w:eastAsia="Arial" w:hAnsi="Arial"/>
                <w:sz w:val="13"/>
                <w:szCs w:val="13"/>
                <w:color w:val="231F20"/>
              </w:rPr>
              <w:t>—</w:t>
            </w:r>
          </w:p>
        </w:tc>
        <w:tc>
          <w:tcPr>
            <w:tcW w:w="1160" w:type="dxa"/>
            <w:vAlign w:val="bottom"/>
            <w:tcBorders>
              <w:bottom w:val="single" w:sz="8" w:color="auto"/>
            </w:tcBorders>
            <w:shd w:val="clear" w:color="auto" w:fill="EAEAEC"/>
          </w:tcPr>
          <w:p>
            <w:pPr>
              <w:jc w:val="center"/>
              <w:ind w:left="37"/>
              <w:spacing w:after="0" w:line="142" w:lineRule="exact"/>
              <w:rPr>
                <w:sz w:val="20"/>
                <w:szCs w:val="20"/>
                <w:color w:val="auto"/>
              </w:rPr>
            </w:pPr>
            <w:r>
              <w:rPr>
                <w:rFonts w:ascii="Arial" w:cs="Arial" w:eastAsia="Arial" w:hAnsi="Arial"/>
                <w:sz w:val="13"/>
                <w:szCs w:val="13"/>
                <w:color w:val="231F20"/>
              </w:rPr>
              <w:t>$36,398,780</w:t>
            </w:r>
          </w:p>
        </w:tc>
      </w:tr>
      <w:tr>
        <w:trPr>
          <w:trHeight w:val="142"/>
        </w:trPr>
        <w:tc>
          <w:tcPr>
            <w:tcW w:w="30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C04C57"/>
              </w:rPr>
              <w:t>Robert E. Landry</w:t>
            </w:r>
          </w:p>
        </w:tc>
        <w:tc>
          <w:tcPr>
            <w:tcW w:w="182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3"/>
                <w:szCs w:val="13"/>
                <w:color w:val="231F20"/>
              </w:rPr>
              <w:t>$2,839,890</w:t>
            </w:r>
          </w:p>
        </w:tc>
        <w:tc>
          <w:tcPr>
            <w:tcW w:w="1460" w:type="dxa"/>
            <w:vAlign w:val="bottom"/>
            <w:tcBorders>
              <w:bottom w:val="single" w:sz="8" w:color="auto"/>
            </w:tcBorders>
          </w:tcPr>
          <w:p>
            <w:pPr>
              <w:jc w:val="right"/>
              <w:ind w:right="377"/>
              <w:spacing w:after="0" w:line="142" w:lineRule="exact"/>
              <w:rPr>
                <w:sz w:val="20"/>
                <w:szCs w:val="20"/>
                <w:color w:val="auto"/>
              </w:rPr>
            </w:pPr>
            <w:r>
              <w:rPr>
                <w:rFonts w:ascii="Arial" w:cs="Arial" w:eastAsia="Arial" w:hAnsi="Arial"/>
                <w:sz w:val="13"/>
                <w:szCs w:val="13"/>
                <w:color w:val="231F20"/>
              </w:rPr>
              <w:t>$138,984</w:t>
            </w:r>
          </w:p>
        </w:tc>
        <w:tc>
          <w:tcPr>
            <w:tcW w:w="160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3"/>
                <w:szCs w:val="13"/>
                <w:color w:val="231F20"/>
              </w:rPr>
              <w:t>$14,312,779</w:t>
            </w:r>
          </w:p>
        </w:tc>
        <w:tc>
          <w:tcPr>
            <w:tcW w:w="1060" w:type="dxa"/>
            <w:vAlign w:val="bottom"/>
            <w:tcBorders>
              <w:bottom w:val="single" w:sz="8" w:color="auto"/>
            </w:tcBorders>
          </w:tcPr>
          <w:p>
            <w:pPr>
              <w:ind w:left="500"/>
              <w:spacing w:after="0" w:line="142" w:lineRule="exact"/>
              <w:rPr>
                <w:sz w:val="20"/>
                <w:szCs w:val="20"/>
                <w:color w:val="auto"/>
              </w:rPr>
            </w:pPr>
            <w:r>
              <w:rPr>
                <w:rFonts w:ascii="Arial" w:cs="Arial" w:eastAsia="Arial" w:hAnsi="Arial"/>
                <w:sz w:val="13"/>
                <w:szCs w:val="13"/>
                <w:color w:val="231F20"/>
              </w:rPr>
              <w:t>—</w:t>
            </w:r>
          </w:p>
        </w:tc>
        <w:tc>
          <w:tcPr>
            <w:tcW w:w="1160" w:type="dxa"/>
            <w:vAlign w:val="bottom"/>
            <w:tcBorders>
              <w:bottom w:val="single" w:sz="8" w:color="auto"/>
            </w:tcBorders>
          </w:tcPr>
          <w:p>
            <w:pPr>
              <w:jc w:val="center"/>
              <w:ind w:left="37"/>
              <w:spacing w:after="0" w:line="142" w:lineRule="exact"/>
              <w:rPr>
                <w:sz w:val="20"/>
                <w:szCs w:val="20"/>
                <w:color w:val="auto"/>
              </w:rPr>
            </w:pPr>
            <w:r>
              <w:rPr>
                <w:rFonts w:ascii="Arial" w:cs="Arial" w:eastAsia="Arial" w:hAnsi="Arial"/>
                <w:sz w:val="13"/>
                <w:szCs w:val="13"/>
                <w:color w:val="231F20"/>
              </w:rPr>
              <w:t>$17,291,653</w:t>
            </w:r>
          </w:p>
        </w:tc>
      </w:tr>
      <w:tr>
        <w:trPr>
          <w:trHeight w:val="142"/>
        </w:trPr>
        <w:tc>
          <w:tcPr>
            <w:tcW w:w="3060" w:type="dxa"/>
            <w:vAlign w:val="bottom"/>
            <w:tcBorders>
              <w:bottom w:val="single" w:sz="8" w:color="2952A4"/>
            </w:tcBorders>
            <w:shd w:val="clear" w:color="auto" w:fill="EAEAEC"/>
          </w:tcPr>
          <w:p>
            <w:pPr>
              <w:ind w:left="60"/>
              <w:spacing w:after="0" w:line="142" w:lineRule="exact"/>
              <w:rPr>
                <w:sz w:val="20"/>
                <w:szCs w:val="20"/>
                <w:color w:val="auto"/>
              </w:rPr>
            </w:pPr>
            <w:r>
              <w:rPr>
                <w:rFonts w:ascii="Arial" w:cs="Arial" w:eastAsia="Arial" w:hAnsi="Arial"/>
                <w:sz w:val="13"/>
                <w:szCs w:val="13"/>
                <w:b w:val="1"/>
                <w:bCs w:val="1"/>
                <w:color w:val="C04C57"/>
              </w:rPr>
              <w:t>Daniel P. Van Plew</w:t>
            </w:r>
          </w:p>
        </w:tc>
        <w:tc>
          <w:tcPr>
            <w:tcW w:w="1820" w:type="dxa"/>
            <w:vAlign w:val="bottom"/>
            <w:tcBorders>
              <w:bottom w:val="single" w:sz="8" w:color="2952A4"/>
            </w:tcBorders>
            <w:shd w:val="clear" w:color="auto" w:fill="EAEAEC"/>
          </w:tcPr>
          <w:p>
            <w:pPr>
              <w:jc w:val="right"/>
              <w:ind w:right="317"/>
              <w:spacing w:after="0" w:line="142" w:lineRule="exact"/>
              <w:rPr>
                <w:sz w:val="20"/>
                <w:szCs w:val="20"/>
                <w:color w:val="auto"/>
              </w:rPr>
            </w:pPr>
            <w:r>
              <w:rPr>
                <w:rFonts w:ascii="Arial" w:cs="Arial" w:eastAsia="Arial" w:hAnsi="Arial"/>
                <w:sz w:val="13"/>
                <w:szCs w:val="13"/>
                <w:color w:val="231F20"/>
              </w:rPr>
              <w:t>$2,897,057</w:t>
            </w:r>
          </w:p>
        </w:tc>
        <w:tc>
          <w:tcPr>
            <w:tcW w:w="1460" w:type="dxa"/>
            <w:vAlign w:val="bottom"/>
            <w:tcBorders>
              <w:bottom w:val="single" w:sz="8" w:color="2952A4"/>
            </w:tcBorders>
            <w:shd w:val="clear" w:color="auto" w:fill="EAEAEC"/>
          </w:tcPr>
          <w:p>
            <w:pPr>
              <w:jc w:val="right"/>
              <w:ind w:right="377"/>
              <w:spacing w:after="0" w:line="142" w:lineRule="exact"/>
              <w:rPr>
                <w:sz w:val="20"/>
                <w:szCs w:val="20"/>
                <w:color w:val="auto"/>
              </w:rPr>
            </w:pPr>
            <w:r>
              <w:rPr>
                <w:rFonts w:ascii="Arial" w:cs="Arial" w:eastAsia="Arial" w:hAnsi="Arial"/>
                <w:sz w:val="13"/>
                <w:szCs w:val="13"/>
                <w:color w:val="231F20"/>
              </w:rPr>
              <w:t>$108,695</w:t>
            </w:r>
          </w:p>
        </w:tc>
        <w:tc>
          <w:tcPr>
            <w:tcW w:w="1600" w:type="dxa"/>
            <w:vAlign w:val="bottom"/>
            <w:tcBorders>
              <w:bottom w:val="single" w:sz="8" w:color="2952A4"/>
            </w:tcBorders>
            <w:shd w:val="clear" w:color="auto" w:fill="EAEAEC"/>
          </w:tcPr>
          <w:p>
            <w:pPr>
              <w:jc w:val="right"/>
              <w:ind w:right="238"/>
              <w:spacing w:after="0" w:line="142" w:lineRule="exact"/>
              <w:rPr>
                <w:sz w:val="20"/>
                <w:szCs w:val="20"/>
                <w:color w:val="auto"/>
              </w:rPr>
            </w:pPr>
            <w:r>
              <w:rPr>
                <w:rFonts w:ascii="Arial" w:cs="Arial" w:eastAsia="Arial" w:hAnsi="Arial"/>
                <w:sz w:val="13"/>
                <w:szCs w:val="13"/>
                <w:color w:val="231F20"/>
              </w:rPr>
              <w:t>$12,718,427</w:t>
            </w:r>
          </w:p>
        </w:tc>
        <w:tc>
          <w:tcPr>
            <w:tcW w:w="1060" w:type="dxa"/>
            <w:vAlign w:val="bottom"/>
            <w:tcBorders>
              <w:bottom w:val="single" w:sz="8" w:color="2952A4"/>
            </w:tcBorders>
            <w:shd w:val="clear" w:color="auto" w:fill="EAEAEC"/>
          </w:tcPr>
          <w:p>
            <w:pPr>
              <w:ind w:left="500"/>
              <w:spacing w:after="0" w:line="142" w:lineRule="exact"/>
              <w:rPr>
                <w:sz w:val="20"/>
                <w:szCs w:val="20"/>
                <w:color w:val="auto"/>
              </w:rPr>
            </w:pPr>
            <w:r>
              <w:rPr>
                <w:rFonts w:ascii="Arial" w:cs="Arial" w:eastAsia="Arial" w:hAnsi="Arial"/>
                <w:sz w:val="13"/>
                <w:szCs w:val="13"/>
                <w:color w:val="231F20"/>
              </w:rPr>
              <w:t>—</w:t>
            </w:r>
          </w:p>
        </w:tc>
        <w:tc>
          <w:tcPr>
            <w:tcW w:w="1160" w:type="dxa"/>
            <w:vAlign w:val="bottom"/>
            <w:tcBorders>
              <w:bottom w:val="single" w:sz="8" w:color="2952A4"/>
            </w:tcBorders>
            <w:shd w:val="clear" w:color="auto" w:fill="EAEAEC"/>
          </w:tcPr>
          <w:p>
            <w:pPr>
              <w:jc w:val="center"/>
              <w:ind w:left="37"/>
              <w:spacing w:after="0" w:line="142" w:lineRule="exact"/>
              <w:rPr>
                <w:sz w:val="20"/>
                <w:szCs w:val="20"/>
                <w:color w:val="auto"/>
              </w:rPr>
            </w:pPr>
            <w:r>
              <w:rPr>
                <w:rFonts w:ascii="Arial" w:cs="Arial" w:eastAsia="Arial" w:hAnsi="Arial"/>
                <w:sz w:val="13"/>
                <w:szCs w:val="13"/>
                <w:color w:val="231F20"/>
              </w:rPr>
              <w:t>$15,724,179</w:t>
            </w:r>
          </w:p>
        </w:tc>
      </w:tr>
      <w:tr>
        <w:trPr>
          <w:trHeight w:val="142"/>
        </w:trPr>
        <w:tc>
          <w:tcPr>
            <w:tcW w:w="3060" w:type="dxa"/>
            <w:vAlign w:val="bottom"/>
            <w:tcBorders>
              <w:bottom w:val="single" w:sz="8" w:color="2952A4"/>
            </w:tcBorders>
          </w:tcPr>
          <w:p>
            <w:pPr>
              <w:ind w:left="60"/>
              <w:spacing w:after="0" w:line="142" w:lineRule="exact"/>
              <w:rPr>
                <w:sz w:val="20"/>
                <w:szCs w:val="20"/>
                <w:color w:val="auto"/>
              </w:rPr>
            </w:pPr>
            <w:r>
              <w:rPr>
                <w:rFonts w:ascii="Arial" w:cs="Arial" w:eastAsia="Arial" w:hAnsi="Arial"/>
                <w:sz w:val="13"/>
                <w:szCs w:val="13"/>
                <w:b w:val="1"/>
                <w:bCs w:val="1"/>
                <w:color w:val="C04C57"/>
              </w:rPr>
              <w:t>Andrew J. Murphy, Ph.D.</w:t>
            </w:r>
          </w:p>
        </w:tc>
        <w:tc>
          <w:tcPr>
            <w:tcW w:w="1820" w:type="dxa"/>
            <w:vAlign w:val="bottom"/>
            <w:tcBorders>
              <w:bottom w:val="single" w:sz="8" w:color="2952A4"/>
            </w:tcBorders>
          </w:tcPr>
          <w:p>
            <w:pPr>
              <w:jc w:val="right"/>
              <w:ind w:right="317"/>
              <w:spacing w:after="0" w:line="142" w:lineRule="exact"/>
              <w:rPr>
                <w:sz w:val="20"/>
                <w:szCs w:val="20"/>
                <w:color w:val="auto"/>
              </w:rPr>
            </w:pPr>
            <w:r>
              <w:rPr>
                <w:rFonts w:ascii="Arial" w:cs="Arial" w:eastAsia="Arial" w:hAnsi="Arial"/>
                <w:sz w:val="13"/>
                <w:szCs w:val="13"/>
                <w:color w:val="231F20"/>
              </w:rPr>
              <w:t>$2,332,307</w:t>
            </w:r>
          </w:p>
        </w:tc>
        <w:tc>
          <w:tcPr>
            <w:tcW w:w="1460" w:type="dxa"/>
            <w:vAlign w:val="bottom"/>
            <w:tcBorders>
              <w:bottom w:val="single" w:sz="8" w:color="2952A4"/>
            </w:tcBorders>
          </w:tcPr>
          <w:p>
            <w:pPr>
              <w:jc w:val="right"/>
              <w:ind w:right="377"/>
              <w:spacing w:after="0" w:line="142" w:lineRule="exact"/>
              <w:rPr>
                <w:sz w:val="20"/>
                <w:szCs w:val="20"/>
                <w:color w:val="auto"/>
              </w:rPr>
            </w:pPr>
            <w:r>
              <w:rPr>
                <w:rFonts w:ascii="Arial" w:cs="Arial" w:eastAsia="Arial" w:hAnsi="Arial"/>
                <w:sz w:val="13"/>
                <w:szCs w:val="13"/>
                <w:color w:val="231F20"/>
              </w:rPr>
              <w:t>$138,862</w:t>
            </w:r>
          </w:p>
        </w:tc>
        <w:tc>
          <w:tcPr>
            <w:tcW w:w="1600" w:type="dxa"/>
            <w:vAlign w:val="bottom"/>
            <w:tcBorders>
              <w:bottom w:val="single" w:sz="8" w:color="2952A4"/>
            </w:tcBorders>
          </w:tcPr>
          <w:p>
            <w:pPr>
              <w:jc w:val="right"/>
              <w:ind w:right="238"/>
              <w:spacing w:after="0" w:line="142" w:lineRule="exact"/>
              <w:rPr>
                <w:sz w:val="20"/>
                <w:szCs w:val="20"/>
                <w:color w:val="auto"/>
              </w:rPr>
            </w:pPr>
            <w:r>
              <w:rPr>
                <w:rFonts w:ascii="Arial" w:cs="Arial" w:eastAsia="Arial" w:hAnsi="Arial"/>
                <w:sz w:val="13"/>
                <w:szCs w:val="13"/>
                <w:color w:val="231F20"/>
              </w:rPr>
              <w:t>$22,886,593</w:t>
            </w:r>
          </w:p>
        </w:tc>
        <w:tc>
          <w:tcPr>
            <w:tcW w:w="1060" w:type="dxa"/>
            <w:vAlign w:val="bottom"/>
            <w:tcBorders>
              <w:bottom w:val="single" w:sz="8" w:color="2952A4"/>
            </w:tcBorders>
          </w:tcPr>
          <w:p>
            <w:pPr>
              <w:ind w:left="500"/>
              <w:spacing w:after="0" w:line="142" w:lineRule="exact"/>
              <w:rPr>
                <w:sz w:val="20"/>
                <w:szCs w:val="20"/>
                <w:color w:val="auto"/>
              </w:rPr>
            </w:pPr>
            <w:r>
              <w:rPr>
                <w:rFonts w:ascii="Arial" w:cs="Arial" w:eastAsia="Arial" w:hAnsi="Arial"/>
                <w:sz w:val="13"/>
                <w:szCs w:val="13"/>
                <w:color w:val="231F20"/>
              </w:rPr>
              <w:t>—</w:t>
            </w:r>
          </w:p>
        </w:tc>
        <w:tc>
          <w:tcPr>
            <w:tcW w:w="1160" w:type="dxa"/>
            <w:vAlign w:val="bottom"/>
            <w:tcBorders>
              <w:bottom w:val="single" w:sz="8" w:color="2952A4"/>
            </w:tcBorders>
          </w:tcPr>
          <w:p>
            <w:pPr>
              <w:jc w:val="center"/>
              <w:ind w:left="37"/>
              <w:spacing w:after="0" w:line="142" w:lineRule="exact"/>
              <w:rPr>
                <w:sz w:val="20"/>
                <w:szCs w:val="20"/>
                <w:color w:val="auto"/>
              </w:rPr>
            </w:pPr>
            <w:r>
              <w:rPr>
                <w:rFonts w:ascii="Arial" w:cs="Arial" w:eastAsia="Arial" w:hAnsi="Arial"/>
                <w:sz w:val="13"/>
                <w:szCs w:val="13"/>
                <w:color w:val="231F20"/>
              </w:rPr>
              <w:t>$25,357,762</w:t>
            </w:r>
          </w:p>
        </w:tc>
      </w:tr>
    </w:tbl>
    <w:p>
      <w:pPr>
        <w:spacing w:after="0" w:line="167" w:lineRule="exact"/>
        <w:rPr>
          <w:sz w:val="20"/>
          <w:szCs w:val="20"/>
          <w:color w:val="auto"/>
        </w:rPr>
      </w:pPr>
    </w:p>
    <w:p>
      <w:pPr>
        <w:ind w:left="880" w:hanging="332"/>
        <w:spacing w:after="0"/>
        <w:tabs>
          <w:tab w:leader="none" w:pos="880" w:val="left"/>
        </w:tabs>
        <w:numPr>
          <w:ilvl w:val="0"/>
          <w:numId w:val="152"/>
        </w:numPr>
        <w:rPr>
          <w:rFonts w:ascii="Arial" w:cs="Arial" w:eastAsia="Arial" w:hAnsi="Arial"/>
          <w:sz w:val="14"/>
          <w:szCs w:val="14"/>
          <w:b w:val="1"/>
          <w:bCs w:val="1"/>
          <w:color w:val="205BA8"/>
        </w:rPr>
      </w:pPr>
      <w:r>
        <w:rPr>
          <w:rFonts w:ascii="Arial" w:cs="Arial" w:eastAsia="Arial" w:hAnsi="Arial"/>
          <w:sz w:val="14"/>
          <w:szCs w:val="14"/>
          <w:color w:val="auto"/>
        </w:rPr>
        <w:t>Equal to two times the sum of (a) the NEO’s 2020 base salary and (b) the average annual cash incentives paid to the NEO over the prior three years.</w:t>
      </w:r>
    </w:p>
    <w:p>
      <w:pPr>
        <w:spacing w:after="0" w:line="96" w:lineRule="exact"/>
        <w:rPr>
          <w:sz w:val="20"/>
          <w:szCs w:val="20"/>
          <w:color w:val="auto"/>
        </w:rPr>
      </w:pPr>
    </w:p>
    <w:p>
      <w:pPr>
        <w:ind w:left="880" w:right="680" w:hanging="332"/>
        <w:spacing w:after="0" w:line="258" w:lineRule="auto"/>
        <w:tabs>
          <w:tab w:leader="none" w:pos="880" w:val="left"/>
        </w:tabs>
        <w:numPr>
          <w:ilvl w:val="0"/>
          <w:numId w:val="153"/>
        </w:numPr>
        <w:rPr>
          <w:rFonts w:ascii="Arial" w:cs="Arial" w:eastAsia="Arial" w:hAnsi="Arial"/>
          <w:sz w:val="14"/>
          <w:szCs w:val="14"/>
          <w:b w:val="1"/>
          <w:bCs w:val="1"/>
          <w:color w:val="205BA8"/>
        </w:rPr>
      </w:pPr>
      <w:r>
        <w:rPr>
          <w:rFonts w:ascii="Arial" w:cs="Arial" w:eastAsia="Arial" w:hAnsi="Arial"/>
          <w:sz w:val="14"/>
          <w:szCs w:val="14"/>
          <w:color w:val="auto"/>
        </w:rPr>
        <w:t>Equal to the estimated cost of providing each NEO and his dependents medical, dental, vision, disability, and life insurance coverage for 24 months, plus the estimated cost of providing each NEO tax and financial planning advisory services for 24 months.</w:t>
      </w:r>
    </w:p>
    <w:p>
      <w:pPr>
        <w:spacing w:after="0" w:line="72" w:lineRule="exact"/>
        <w:rPr>
          <w:sz w:val="20"/>
          <w:szCs w:val="20"/>
          <w:color w:val="auto"/>
        </w:rPr>
      </w:pPr>
    </w:p>
    <w:p>
      <w:pPr>
        <w:ind w:left="880" w:right="540" w:hanging="332"/>
        <w:spacing w:after="0" w:line="241" w:lineRule="auto"/>
        <w:tabs>
          <w:tab w:leader="none" w:pos="880" w:val="left"/>
        </w:tabs>
        <w:numPr>
          <w:ilvl w:val="0"/>
          <w:numId w:val="154"/>
        </w:numPr>
        <w:rPr>
          <w:rFonts w:ascii="Arial" w:cs="Arial" w:eastAsia="Arial" w:hAnsi="Arial"/>
          <w:sz w:val="14"/>
          <w:szCs w:val="14"/>
          <w:b w:val="1"/>
          <w:bCs w:val="1"/>
          <w:color w:val="205BA8"/>
        </w:rPr>
      </w:pPr>
      <w:r>
        <w:rPr>
          <w:rFonts w:ascii="Arial" w:cs="Arial" w:eastAsia="Arial" w:hAnsi="Arial"/>
          <w:sz w:val="14"/>
          <w:szCs w:val="14"/>
          <w:color w:val="auto"/>
        </w:rPr>
        <w:t>For stock options, equal to the aggregate amount of the differences between the exercise prices of each NEO’s accelerated “in-the-money” stock options and the closing sales price per share of the Company’s common stock on the Nasdaq Global Select Market on December 31, 2020 of $483.11. In the case of Messrs. Landry and Van Plew and Dr. Murphy, the amounts also include the value as of December 31, 2020 of accelerated RSAs. In the case of</w:t>
      </w:r>
    </w:p>
    <w:p>
      <w:pPr>
        <w:spacing w:after="0" w:line="1" w:lineRule="exact"/>
        <w:rPr>
          <w:rFonts w:ascii="Arial" w:cs="Arial" w:eastAsia="Arial" w:hAnsi="Arial"/>
          <w:sz w:val="14"/>
          <w:szCs w:val="14"/>
          <w:b w:val="1"/>
          <w:bCs w:val="1"/>
          <w:color w:val="205BA8"/>
        </w:rPr>
      </w:pPr>
    </w:p>
    <w:p>
      <w:pPr>
        <w:ind w:left="880" w:right="620"/>
        <w:spacing w:after="0" w:line="247" w:lineRule="auto"/>
        <w:rPr>
          <w:rFonts w:ascii="Arial" w:cs="Arial" w:eastAsia="Arial" w:hAnsi="Arial"/>
          <w:sz w:val="14"/>
          <w:szCs w:val="14"/>
          <w:b w:val="1"/>
          <w:bCs w:val="1"/>
          <w:color w:val="205BA8"/>
        </w:rPr>
      </w:pPr>
      <w:r>
        <w:rPr>
          <w:rFonts w:ascii="Arial" w:cs="Arial" w:eastAsia="Arial" w:hAnsi="Arial"/>
          <w:sz w:val="14"/>
          <w:szCs w:val="14"/>
          <w:color w:val="auto"/>
        </w:rPr>
        <w:t>Dr. Yancopoulos, the amount includes the value of 25,155 outstanding PSUs from his 2019 grant that would have been earned had a vesting determination been made on December 31, 2020 in respect of performance for the period from the date of grant to December 31, 2020. None of Dr. Yancopoulos’s outstanding PSUs from his 2020 grant would have been earned had a vesting determination been made on December 31, 2020 in respect of performance for the period from the date of grant to December 31, 2020.</w:t>
      </w:r>
    </w:p>
    <w:p>
      <w:pPr>
        <w:spacing w:after="0" w:line="80" w:lineRule="exact"/>
        <w:rPr>
          <w:sz w:val="20"/>
          <w:szCs w:val="20"/>
          <w:color w:val="auto"/>
        </w:rPr>
      </w:pPr>
    </w:p>
    <w:p>
      <w:pPr>
        <w:ind w:left="880" w:right="720" w:hanging="332"/>
        <w:spacing w:after="0" w:line="258" w:lineRule="auto"/>
        <w:tabs>
          <w:tab w:leader="none" w:pos="880" w:val="left"/>
        </w:tabs>
        <w:numPr>
          <w:ilvl w:val="0"/>
          <w:numId w:val="155"/>
        </w:numPr>
        <w:rPr>
          <w:rFonts w:ascii="Arial" w:cs="Arial" w:eastAsia="Arial" w:hAnsi="Arial"/>
          <w:sz w:val="14"/>
          <w:szCs w:val="14"/>
          <w:b w:val="1"/>
          <w:bCs w:val="1"/>
          <w:color w:val="205BA8"/>
        </w:rPr>
      </w:pPr>
      <w:r>
        <w:rPr>
          <w:rFonts w:ascii="Arial" w:cs="Arial" w:eastAsia="Arial" w:hAnsi="Arial"/>
          <w:sz w:val="14"/>
          <w:szCs w:val="14"/>
          <w:color w:val="auto"/>
        </w:rPr>
        <w:t>We have determined (using the assumptions outlined in footnote 5) that all of the NEOs listed in the table above would have been under their applicable “golden parachute” safe harbor limits and not subject to any cutbacks or excise taxes if terminated on December 31, 2020.</w:t>
      </w:r>
    </w:p>
    <w:p>
      <w:pPr>
        <w:spacing w:after="0" w:line="72" w:lineRule="exact"/>
        <w:rPr>
          <w:sz w:val="20"/>
          <w:szCs w:val="20"/>
          <w:color w:val="auto"/>
        </w:rPr>
      </w:pPr>
    </w:p>
    <w:p>
      <w:pPr>
        <w:ind w:left="880" w:right="640" w:hanging="332"/>
        <w:spacing w:after="0" w:line="242" w:lineRule="auto"/>
        <w:tabs>
          <w:tab w:leader="none" w:pos="880" w:val="left"/>
        </w:tabs>
        <w:numPr>
          <w:ilvl w:val="0"/>
          <w:numId w:val="156"/>
        </w:numPr>
        <w:rPr>
          <w:rFonts w:ascii="Arial" w:cs="Arial" w:eastAsia="Arial" w:hAnsi="Arial"/>
          <w:sz w:val="14"/>
          <w:szCs w:val="14"/>
          <w:b w:val="1"/>
          <w:bCs w:val="1"/>
          <w:color w:val="205BA8"/>
        </w:rPr>
      </w:pPr>
      <w:r>
        <w:rPr>
          <w:rFonts w:ascii="Arial" w:cs="Arial" w:eastAsia="Arial" w:hAnsi="Arial"/>
          <w:sz w:val="14"/>
          <w:szCs w:val="14"/>
          <w:color w:val="auto"/>
        </w:rPr>
        <w:t>For purposes of these calculations, (i) we used base salaries as of December 31, 2020 and annual cash incentives paid to the NEOs for performance in 2017, 2018, and 2019, respectively; (ii) we assumed that each NEO received his annual cash incentive that was earned in 2020 and paid in 2021 (described in the Summary Compensation Table above); (iii) we took into consideration, for purposes of determining whether each NEO was subject to a reduction under the terms of the change in control severance plan, the fact that each NEO’s equity awards may vest in full or in part following a change in control (parachute payments for time vesting stock options and restricted stock were valued using Internal Revenue Code Treas. Reg. Section 1.28G-1 Q&amp;A 24(c)); (iv) we assumed a 6.4% annual increase in medical premiums, 4% annual increase in dental and vision premiums, and no increase in disability or life insurance premiums or employer cost of tax and financial planning advisory services for 2021 and 2022; (v) we assumed that the medical insurance benefits received in 2021 and 2022 would be taxable and that the NEOs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for purposes of assessing excise tax liabilities and potential cutbacks; and (vii) although certain payments to the NEOs would be subject to potential delays upon separation of service under Section 409A of the Internal Revenue Code, we did not attempt to determine which, if any, payments would be delayed or revise the values to reflect any such delay.</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40" w:type="dxa"/>
            <w:vAlign w:val="bottom"/>
          </w:tcPr>
          <w:p>
            <w:pPr>
              <w:spacing w:after="0"/>
              <w:rPr>
                <w:sz w:val="20"/>
                <w:szCs w:val="20"/>
                <w:color w:val="auto"/>
              </w:rPr>
            </w:pPr>
            <w:r>
              <w:rPr>
                <w:rFonts w:ascii="Arial" w:cs="Arial" w:eastAsia="Arial" w:hAnsi="Arial"/>
                <w:sz w:val="13"/>
                <w:szCs w:val="13"/>
                <w:b w:val="1"/>
                <w:bCs w:val="1"/>
                <w:color w:val="205BA8"/>
              </w:rPr>
              <w:t>2021 PROXY STATEMENT AND NOTICE OF ANNUAL SHAREHOLDER MEETING</w:t>
            </w:r>
          </w:p>
        </w:tc>
        <w:tc>
          <w:tcPr>
            <w:tcW w:w="3400" w:type="dxa"/>
            <w:vAlign w:val="bottom"/>
          </w:tcPr>
          <w:p>
            <w:pPr>
              <w:jc w:val="right"/>
              <w:spacing w:after="0"/>
              <w:rPr>
                <w:sz w:val="20"/>
                <w:szCs w:val="20"/>
                <w:color w:val="auto"/>
              </w:rPr>
            </w:pPr>
            <w:r>
              <w:rPr>
                <w:rFonts w:ascii="Arial" w:cs="Arial" w:eastAsia="Arial" w:hAnsi="Arial"/>
                <w:sz w:val="14"/>
                <w:szCs w:val="14"/>
                <w:color w:val="00AEEF"/>
              </w:rPr>
              <w:t>/  91</w:t>
            </w:r>
          </w:p>
        </w:tc>
      </w:tr>
      <w:tr>
        <w:trPr>
          <w:trHeight w:val="262"/>
        </w:trPr>
        <w:tc>
          <w:tcPr>
            <w:tcW w:w="7840" w:type="dxa"/>
            <w:vAlign w:val="bottom"/>
            <w:tcBorders>
              <w:bottom w:val="single" w:sz="8" w:color="C0C0C0"/>
            </w:tcBorders>
          </w:tcPr>
          <w:p>
            <w:pPr>
              <w:spacing w:after="0"/>
              <w:rPr>
                <w:sz w:val="22"/>
                <w:szCs w:val="22"/>
                <w:color w:val="auto"/>
              </w:rPr>
            </w:pPr>
          </w:p>
        </w:tc>
        <w:tc>
          <w:tcPr>
            <w:tcW w:w="34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5" w:right="339" w:bottom="1440" w:gutter="0" w:footer="0" w:header="0"/>
        </w:sectPr>
      </w:pPr>
    </w:p>
    <w:bookmarkStart w:id="102" w:name="page103"/>
    <w:bookmarkEnd w:id="102"/>
    <w:p>
      <w:pPr>
        <w:ind w:left="460"/>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C44E5E"/>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5" w:lineRule="exact"/>
        <w:rPr>
          <w:sz w:val="20"/>
          <w:szCs w:val="20"/>
          <w:color w:val="auto"/>
        </w:rPr>
      </w:pPr>
    </w:p>
    <w:p>
      <w:pPr>
        <w:ind w:left="460" w:right="2140"/>
        <w:spacing w:after="0" w:line="273" w:lineRule="auto"/>
        <w:rPr>
          <w:sz w:val="20"/>
          <w:szCs w:val="20"/>
          <w:color w:val="auto"/>
        </w:rPr>
      </w:pPr>
      <w:r>
        <w:rPr>
          <w:rFonts w:ascii="Arial" w:cs="Arial" w:eastAsia="Arial" w:hAnsi="Arial"/>
          <w:sz w:val="59"/>
          <w:szCs w:val="59"/>
          <w:b w:val="1"/>
          <w:bCs w:val="1"/>
          <w:color w:val="205BA8"/>
        </w:rPr>
        <w:t>ADDITIONAL COMPENSATION INFORMATION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44E5E"/>
        </w:rPr>
        <w:t>ANNUAL CASH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27940</wp:posOffset>
            </wp:positionV>
            <wp:extent cx="65665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96" w:lineRule="exact"/>
        <w:rPr>
          <w:sz w:val="20"/>
          <w:szCs w:val="20"/>
          <w:color w:val="auto"/>
        </w:rPr>
      </w:pPr>
    </w:p>
    <w:p>
      <w:pPr>
        <w:ind w:left="460" w:right="460"/>
        <w:spacing w:after="0"/>
        <w:rPr>
          <w:sz w:val="20"/>
          <w:szCs w:val="20"/>
          <w:color w:val="auto"/>
        </w:rPr>
      </w:pPr>
      <w:r>
        <w:rPr>
          <w:rFonts w:ascii="Arial" w:cs="Arial" w:eastAsia="Arial" w:hAnsi="Arial"/>
          <w:sz w:val="15"/>
          <w:szCs w:val="15"/>
          <w:color w:val="auto"/>
        </w:rPr>
        <w:t>In 2016, we adopted our Cash Incentive Bonus Plan for purposes of allowing our annual cash incentives to qualify as performance-based compensation under Section 162(m) of the Internal Revenue Code and permitting us to deduct cash incentive compensation that might otherwise not be deductible by reason of Section 162(m) (as then in effect). Although the Tax Cuts and Jobs Act eliminated the performance-based compensation exception for compensation paid in 2018 and beyond (as discussed under “Compensation Processes—Tax Implications” above), we have continued to use the Cash Incentive Bonus Plan for annual cash incentives for the reasons discussed under “Compensation Discussion and Analysis—Our Compensation Philosophy and Objectives” above. For 2020 annual cash incentives for the NEOs, in March 2020 the Compensation Committee set up a cash incentive pool under the Cash Incentive Bonus Plan; specified maximum allocations of such pool to the NEOs and certain other senior executives; and established a R&amp;D-related performance goal consisting of (i) the submission of one or more Investigational New Drug Applications, Biologics License Applications, or supplemental Biologics License Applications with the FDA (or its equivalent outside the United States) or (ii) the approval of any regulatory filing of the type described in clause (i) by the FDA or the applicable regulatory authority outside the United States. In November 2020, the Compensation Committee determined that Regeneron’s performance in 2020 exceeded the established goal, thus enabling the funding of the cash incentive pool, and awarded Drs. Schleifer and Yancopoulos and Messrs. Landry and Van Plew their respective maximum allocations of the 2020 cash incentive pool; such allocations were less than the cash incentive amounts that would have resulted from applying the Company performance multiplier for 2020 and applicable personal performance multiplier for 2020 to such NEOs’ respective target cash incentive amounts. In the case of Dr. Murphy, the Compensation Committee exercised “negative discretion” (as permitted under the Plan) to reduce his maximum allocation of the 2020 cash incentive pool to equal an amount determined by applying the Company performance multiplier for 2020 and his personal performance multiplier for 2020 to his target cash incentive amount.</w:t>
      </w:r>
    </w:p>
    <w:p>
      <w:pPr>
        <w:spacing w:after="0" w:line="156" w:lineRule="exact"/>
        <w:rPr>
          <w:sz w:val="20"/>
          <w:szCs w:val="20"/>
          <w:color w:val="auto"/>
        </w:rPr>
      </w:pPr>
    </w:p>
    <w:p>
      <w:pPr>
        <w:ind w:left="460" w:right="520"/>
        <w:spacing w:after="0" w:line="242" w:lineRule="auto"/>
        <w:rPr>
          <w:sz w:val="20"/>
          <w:szCs w:val="20"/>
          <w:color w:val="auto"/>
        </w:rPr>
      </w:pPr>
      <w:r>
        <w:rPr>
          <w:rFonts w:ascii="Arial" w:cs="Arial" w:eastAsia="Arial" w:hAnsi="Arial"/>
          <w:sz w:val="15"/>
          <w:szCs w:val="15"/>
          <w:color w:val="auto"/>
        </w:rPr>
        <w:t>The targets for the 2020 annual cash incentives for the NEOs were set as percentages of their respective base salaries as follows: Dr. Schleifer—120%; Dr. Yancopoulos—120%; Mr. Landry—65%; Mr. Van Plew—65%; and Dr. Murphy—65%.</w:t>
      </w:r>
    </w:p>
    <w:p>
      <w:pPr>
        <w:spacing w:after="0" w:line="138" w:lineRule="exact"/>
        <w:rPr>
          <w:sz w:val="20"/>
          <w:szCs w:val="20"/>
          <w:color w:val="auto"/>
        </w:rPr>
      </w:pPr>
    </w:p>
    <w:p>
      <w:pPr>
        <w:ind w:left="460" w:right="460"/>
        <w:spacing w:after="0" w:line="229" w:lineRule="auto"/>
        <w:rPr>
          <w:sz w:val="20"/>
          <w:szCs w:val="20"/>
          <w:color w:val="auto"/>
        </w:rPr>
      </w:pPr>
      <w:r>
        <w:rPr>
          <w:rFonts w:ascii="Arial" w:cs="Arial" w:eastAsia="Arial" w:hAnsi="Arial"/>
          <w:sz w:val="15"/>
          <w:szCs w:val="15"/>
          <w:color w:val="auto"/>
        </w:rPr>
        <w:t>For 2020, Dr. Schleifer’s target cash compensation was set approximately at the median of the Peer Group. In determining the cash incentive target for Dr. Yancopoulos, the Compensation Committee took into consideration the importance of his scientific leadership as President &amp; CSO and the significant contributions he has made to the success of the Company and, specifically, to the discovery and development of the Company’s commercial products, its pipeline of internally developed product candidates, and its platform technologies. The Compensation Committee determined that there were no meaningful comparative data for Dr. Yancopoulos relating to similarly situated executives and that his base salary and cash incentive for 2020 would be set at 85% of Dr. Schleifer’s. In determining the cash incentive targets for 2020 for Messrs. Landry and Van Plew and Dr. Murphy, the Compensation Committee took into consideration the compensation of similarly situated executive officers at companies in the Peer Group.</w:t>
      </w:r>
    </w:p>
    <w:p>
      <w:pPr>
        <w:spacing w:after="0" w:line="144" w:lineRule="exact"/>
        <w:rPr>
          <w:sz w:val="20"/>
          <w:szCs w:val="20"/>
          <w:color w:val="auto"/>
        </w:rPr>
      </w:pPr>
    </w:p>
    <w:p>
      <w:pPr>
        <w:ind w:left="460" w:right="460"/>
        <w:spacing w:after="0"/>
        <w:rPr>
          <w:sz w:val="20"/>
          <w:szCs w:val="20"/>
          <w:color w:val="auto"/>
        </w:rPr>
      </w:pPr>
      <w:r>
        <w:rPr>
          <w:rFonts w:ascii="Arial" w:cs="Arial" w:eastAsia="Arial" w:hAnsi="Arial"/>
          <w:sz w:val="15"/>
          <w:szCs w:val="15"/>
          <w:color w:val="auto"/>
        </w:rPr>
        <w:t>The cash incentives were determined through the use of both an individual and a Company performance component with a range of 0 to 1.5 for the personal performance multiplier and a range of 0 to 2.0 for the Company performance multiplier (which was increased to 2.25 in 2020 as discussed below), depending upon performance during the year. Both the personal performance multiplier and the Company performance multiplier were determined by the Compensation Committee for each NEO based on the Committee’s assessment of the Company’s performance relative to the general corporate goals described below and, in the case of each of Messrs. Landry and Van Plew and Dr. Murphy, the NEO’s personal performance during the year.</w:t>
      </w:r>
    </w:p>
    <w:p>
      <w:pPr>
        <w:spacing w:after="0" w:line="272" w:lineRule="exact"/>
        <w:rPr>
          <w:sz w:val="20"/>
          <w:szCs w:val="20"/>
          <w:color w:val="auto"/>
        </w:rPr>
      </w:pPr>
    </w:p>
    <w:p>
      <w:pPr>
        <w:ind w:left="460" w:right="520"/>
        <w:spacing w:after="0" w:line="235" w:lineRule="auto"/>
        <w:rPr>
          <w:sz w:val="20"/>
          <w:szCs w:val="20"/>
          <w:color w:val="auto"/>
        </w:rPr>
      </w:pPr>
      <w:r>
        <w:rPr>
          <w:rFonts w:ascii="Arial" w:cs="Arial" w:eastAsia="Arial" w:hAnsi="Arial"/>
          <w:sz w:val="15"/>
          <w:szCs w:val="15"/>
          <w:color w:val="auto"/>
        </w:rPr>
        <w:t>With respect to 2020, the Compensation Committee set the Company performance multiplier at 2.25. In exceeding the range historically used for annual cash incentive awards (0 to 2.0), the Compensation Committee recognized the significant accomplishments in all key areas of Regeneron’s business despite the impact of the COVID-19 pandemic;</w:t>
      </w:r>
    </w:p>
    <w:p>
      <w:pPr>
        <w:spacing w:after="0" w:line="2" w:lineRule="exact"/>
        <w:rPr>
          <w:sz w:val="20"/>
          <w:szCs w:val="20"/>
          <w:color w:val="auto"/>
        </w:rPr>
      </w:pPr>
    </w:p>
    <w:p>
      <w:pPr>
        <w:spacing w:after="0"/>
        <w:tabs>
          <w:tab w:leader="none" w:pos="5440" w:val="left"/>
        </w:tabs>
        <w:rPr>
          <w:sz w:val="20"/>
          <w:szCs w:val="20"/>
          <w:color w:val="auto"/>
        </w:rPr>
      </w:pPr>
      <w:r>
        <w:rPr>
          <w:rFonts w:ascii="Arial" w:cs="Arial" w:eastAsia="Arial" w:hAnsi="Arial"/>
          <w:sz w:val="28"/>
          <w:szCs w:val="28"/>
          <w:b w:val="1"/>
          <w:bCs w:val="1"/>
          <w:color w:val="00A5EC"/>
          <w:vertAlign w:val="subscript"/>
        </w:rPr>
        <w:t>92</w:t>
      </w:r>
      <w:r>
        <w:rPr>
          <w:rFonts w:ascii="Arial" w:cs="Arial" w:eastAsia="Arial" w:hAnsi="Arial"/>
          <w:sz w:val="15"/>
          <w:szCs w:val="15"/>
          <w:b w:val="1"/>
          <w:bCs w:val="1"/>
          <w:color w:val="2952A4"/>
        </w:rPr>
        <w:t xml:space="preserve">  </w:t>
      </w:r>
      <w:r>
        <w:rPr>
          <w:rFonts w:ascii="Arial" w:cs="Arial" w:eastAsia="Arial" w:hAnsi="Arial"/>
          <w:sz w:val="28"/>
          <w:szCs w:val="28"/>
          <w:color w:val="00A5EC"/>
          <w:vertAlign w:val="subscript"/>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03" w:name="page104"/>
    <w:bookmarkEnd w:id="103"/>
    <w:p>
      <w:pPr>
        <w:ind w:left="5620"/>
        <w:spacing w:after="0"/>
        <w:rPr>
          <w:sz w:val="20"/>
          <w:szCs w:val="20"/>
          <w:color w:val="auto"/>
        </w:rPr>
      </w:pPr>
      <w:r>
        <w:rPr>
          <w:rFonts w:ascii="Arial" w:cs="Arial" w:eastAsia="Arial" w:hAnsi="Arial"/>
          <w:sz w:val="15"/>
          <w:szCs w:val="15"/>
          <w:b w:val="1"/>
          <w:bCs w:val="1"/>
          <w:color w:val="205BA8"/>
        </w:rPr>
        <w:t xml:space="preserve">COMPENSATION-RELATED MATTERS </w:t>
      </w:r>
      <w:r>
        <w:rPr>
          <w:rFonts w:ascii="Arial" w:cs="Arial" w:eastAsia="Arial" w:hAnsi="Arial"/>
          <w:sz w:val="15"/>
          <w:szCs w:val="15"/>
          <w:color w:val="205BA8"/>
        </w:rPr>
        <w:t>/</w:t>
      </w:r>
      <w:r>
        <w:rPr>
          <w:rFonts w:ascii="Arial" w:cs="Arial" w:eastAsia="Arial" w:hAnsi="Arial"/>
          <w:sz w:val="15"/>
          <w:szCs w:val="15"/>
          <w:b w:val="1"/>
          <w:bCs w:val="1"/>
          <w:color w:val="205BA8"/>
        </w:rPr>
        <w:t xml:space="preserve"> </w:t>
      </w:r>
      <w:r>
        <w:rPr>
          <w:rFonts w:ascii="Arial" w:cs="Arial" w:eastAsia="Arial" w:hAnsi="Arial"/>
          <w:sz w:val="15"/>
          <w:szCs w:val="15"/>
          <w:b w:val="1"/>
          <w:bCs w:val="1"/>
          <w:color w:val="C44E5E"/>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0"/>
          <w:szCs w:val="20"/>
          <w:color w:val="auto"/>
        </w:rPr>
      </w:pPr>
    </w:p>
    <w:p>
      <w:pPr>
        <w:ind w:left="460" w:right="520"/>
        <w:spacing w:after="0" w:line="233" w:lineRule="auto"/>
        <w:rPr>
          <w:sz w:val="20"/>
          <w:szCs w:val="20"/>
          <w:color w:val="auto"/>
        </w:rPr>
      </w:pPr>
      <w:r>
        <w:rPr>
          <w:rFonts w:ascii="Arial" w:cs="Arial" w:eastAsia="Arial" w:hAnsi="Arial"/>
          <w:sz w:val="15"/>
          <w:szCs w:val="15"/>
          <w:color w:val="auto"/>
        </w:rPr>
        <w:t>the Company’s progress with its novel investigational cocktail REGEN-COV achieved in 2020; and the extraordinary efforts and performance of Company employees in 2020. For more information on these and other factors that contributed most to the Compensation Committee’s determination of the Company performance multiplier in 2020, see the subsection “Compensation Discussion and Analysis—Components of Executive Pay: What We Pay and Why We Pay It—Annual Cash Incentives.”</w:t>
      </w:r>
    </w:p>
    <w:p>
      <w:pPr>
        <w:spacing w:after="0" w:line="140" w:lineRule="exact"/>
        <w:rPr>
          <w:sz w:val="20"/>
          <w:szCs w:val="20"/>
          <w:color w:val="auto"/>
        </w:rPr>
      </w:pPr>
    </w:p>
    <w:p>
      <w:pPr>
        <w:ind w:left="460" w:right="540"/>
        <w:spacing w:after="0" w:line="228" w:lineRule="auto"/>
        <w:rPr>
          <w:sz w:val="20"/>
          <w:szCs w:val="20"/>
          <w:color w:val="auto"/>
        </w:rPr>
      </w:pPr>
      <w:r>
        <w:rPr>
          <w:rFonts w:ascii="Arial" w:cs="Arial" w:eastAsia="Arial" w:hAnsi="Arial"/>
          <w:sz w:val="15"/>
          <w:szCs w:val="15"/>
          <w:color w:val="auto"/>
        </w:rPr>
        <w:t>With respect to 2020, the Compensation Committee approved a personal performance multiplier of 1.5 for each of Messrs. Landry and Van Plew and Dr. Murphy. The personal performance component accounted for 40% of these NEOs’ cash incentives. The Company component was based on a Company performance multiplier that was determined based on the Company’s overall corporate performance (as described above) against 2020 goals that were approved by the board of directors in January 2020. This Company performance component accounted for 60% of the cash incentives awarded to Messrs. Landry and Van Plew and Dr. Murphy. In the case of Drs. Schleifer and Yancopoulos, the Compensation Committee focused exclusively on overall Company performance in 2020 (as described above) when determining their cash incentives and did not utilize a personal performance multiplier. As noted above, in each case where the 2020 annual cash incentive calculation would have resulted in an NEO earning a cash incentive in excess of the maximum amount previously allocated to such executive by the Compensation Committee in March 2020 under our Cash Incentive Bonus Plan, the 2020 cash incentive was capped at such maximum amount.</w:t>
      </w:r>
    </w:p>
    <w:p>
      <w:pPr>
        <w:spacing w:after="0" w:line="145" w:lineRule="exact"/>
        <w:rPr>
          <w:sz w:val="20"/>
          <w:szCs w:val="20"/>
          <w:color w:val="auto"/>
        </w:rPr>
      </w:pPr>
    </w:p>
    <w:p>
      <w:pPr>
        <w:ind w:left="460" w:right="480"/>
        <w:spacing w:after="0" w:line="228" w:lineRule="auto"/>
        <w:rPr>
          <w:sz w:val="20"/>
          <w:szCs w:val="20"/>
          <w:color w:val="auto"/>
        </w:rPr>
      </w:pPr>
      <w:r>
        <w:rPr>
          <w:rFonts w:ascii="Arial" w:cs="Arial" w:eastAsia="Arial" w:hAnsi="Arial"/>
          <w:sz w:val="15"/>
          <w:szCs w:val="15"/>
          <w:color w:val="auto"/>
        </w:rPr>
        <w:t>In determining the personal performance multiplier for Mr. Landry, the Compensation Committee gave special consideration to Mr. Landry’s leadership of and accomplishments in the Company’s accounting, finance, and tax functions and across his other responsibilities, including his leadership of several significant transactions in 2020 that delivered value to shareholders and strengthened the Company’s capital structure. In the case of Mr. Van Plew, the Compensation Committee focused primarily on Mr. Van Plew’s leadership of and accomplishments in the Company’s Industrial Operations and Product Supply organization, including with respect to expanded/relocated manufacturing capacities and preparations for new product launches (including, in each case, with respect to REGEN-COV) as well as the successful completion of all regulatory audits concerning the Company’s manufacturing practices in 2020. In the case of Dr. Murphy, the Compensation Committee considered the progress and continued expansion of the Company’s research and preclinical development pipeline, including the rapid discovery of REGEN-COV, as summarized in the subsection “Compensation Discussion and Analysis—Components of Executive Pay: What We Pay and Why We Pay It—Annual Cash Incentives.”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44E5E"/>
        </w:rPr>
        <w:t>PERQUISITES AND PERSONAL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27940</wp:posOffset>
            </wp:positionV>
            <wp:extent cx="65665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96" w:lineRule="exact"/>
        <w:rPr>
          <w:sz w:val="20"/>
          <w:szCs w:val="20"/>
          <w:color w:val="auto"/>
        </w:rPr>
      </w:pPr>
    </w:p>
    <w:p>
      <w:pPr>
        <w:jc w:val="both"/>
        <w:ind w:left="460" w:right="520"/>
        <w:spacing w:after="0" w:line="225" w:lineRule="auto"/>
        <w:rPr>
          <w:sz w:val="20"/>
          <w:szCs w:val="20"/>
          <w:color w:val="auto"/>
        </w:rPr>
      </w:pPr>
      <w:r>
        <w:rPr>
          <w:rFonts w:ascii="Arial" w:cs="Arial" w:eastAsia="Arial" w:hAnsi="Arial"/>
          <w:sz w:val="15"/>
          <w:szCs w:val="15"/>
          <w:color w:val="auto"/>
        </w:rPr>
        <w:t>All employees who participate in our 401(k) Savings Plan, including the NEOs, are eligible to receive certain matching contributions. In each plan year, we contribute to each participant’s account a matching contribution (in the form of shares of our common stock) equal to 50% of a specified percentage of the participant’s compensation that the participant has contributed to the plan (which was 8% with respect to 2018 and 10% with respect to 2019 and 2020), up to a maximum level established under the Internal Revenue Code. Each of our NEOs participated in our 401(k) Savings Plan during 2020 and received matching contributions in the aggregate amount of $13,000 ($9,750 in the case of Mr. Van Plew) in the form of shares of our common stock.</w:t>
      </w:r>
    </w:p>
    <w:p>
      <w:pPr>
        <w:spacing w:after="0" w:line="1" w:lineRule="exact"/>
        <w:rPr>
          <w:sz w:val="20"/>
          <w:szCs w:val="20"/>
          <w:color w:val="auto"/>
        </w:rPr>
      </w:pPr>
    </w:p>
    <w:p>
      <w:pPr>
        <w:ind w:left="460" w:right="520"/>
        <w:spacing w:after="0" w:line="233" w:lineRule="auto"/>
        <w:rPr>
          <w:sz w:val="20"/>
          <w:szCs w:val="20"/>
          <w:color w:val="auto"/>
        </w:rPr>
      </w:pPr>
      <w:r>
        <w:rPr>
          <w:rFonts w:ascii="Arial" w:cs="Arial" w:eastAsia="Arial" w:hAnsi="Arial"/>
          <w:sz w:val="15"/>
          <w:szCs w:val="15"/>
          <w:color w:val="auto"/>
        </w:rPr>
        <w:t>The contributions were paid quarterly (with the contribution in respect of the fourth quarter of 2020 paid in February 2021) and are included in the compensation amounts reported for each of our NEOs in the Summary Compensation Table included in this proxy statement. As with all employees, the number of shares of common stock that each NEO received on a quarterly basis was determined using the average market price per share of our common stock during the applicable quarter.</w:t>
      </w:r>
    </w:p>
    <w:p>
      <w:pPr>
        <w:spacing w:after="0" w:line="140" w:lineRule="exact"/>
        <w:rPr>
          <w:sz w:val="20"/>
          <w:szCs w:val="20"/>
          <w:color w:val="auto"/>
        </w:rPr>
      </w:pPr>
    </w:p>
    <w:p>
      <w:pPr>
        <w:ind w:left="460" w:right="480"/>
        <w:spacing w:after="0" w:line="229" w:lineRule="auto"/>
        <w:rPr>
          <w:sz w:val="20"/>
          <w:szCs w:val="20"/>
          <w:color w:val="auto"/>
        </w:rPr>
      </w:pPr>
      <w:r>
        <w:rPr>
          <w:rFonts w:ascii="Arial" w:cs="Arial" w:eastAsia="Arial" w:hAnsi="Arial"/>
          <w:sz w:val="15"/>
          <w:szCs w:val="15"/>
          <w:color w:val="auto"/>
        </w:rPr>
        <w:t>To achieve increased efficiencies and a more secure traveling environment, the Company provides air transportation for certain executive and director travel in accordance with guidelines approved by our board of directors. Based on the recommendation of an independent, third-party security study, the guidelines and our security policy require Drs. Schleifer and Yancopoulos (as well as their spouses and children when they accompany them) to use, as much as practicable, Company-provided aircraft for all business and personal air travel. Regeneron covers the cost of any such personal air travel for up to $250,000 in incremental cost (as described below) annually for each of Drs. Schleifer and Yancopoulos. Family members or other guests may accompany our NEOs and directors during Company-provided air business travel, space permitting, so long as they cover any incremental cost related to such guests (other than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93</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2" w:right="339" w:bottom="1440" w:gutter="0" w:footer="0" w:header="0"/>
        </w:sectPr>
      </w:pPr>
    </w:p>
    <w:bookmarkStart w:id="104" w:name="page105"/>
    <w:bookmarkEnd w:id="104"/>
    <w:p>
      <w:pPr>
        <w:ind w:left="460"/>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C44E5E"/>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ind w:left="460" w:right="460"/>
        <w:spacing w:after="0"/>
        <w:rPr>
          <w:sz w:val="20"/>
          <w:szCs w:val="20"/>
          <w:color w:val="auto"/>
        </w:rPr>
      </w:pPr>
      <w:r>
        <w:rPr>
          <w:rFonts w:ascii="Arial" w:cs="Arial" w:eastAsia="Arial" w:hAnsi="Arial"/>
          <w:sz w:val="15"/>
          <w:szCs w:val="15"/>
          <w:color w:val="auto"/>
        </w:rPr>
        <w:t>with respect to the family members of Drs. Schleifer and Yancopoulos as described above). In addition, in limited circumstances personal use of Company-provided air travel by our other NEOs or directors may be permitted if authorized by the Chairman and any incremental cost is paid by the lead passenger. Any required reimbursement or other payment of the incremental cost is made to the extent permitted by applicable Federal Aviation Administration rules.</w:t>
      </w:r>
    </w:p>
    <w:p>
      <w:pPr>
        <w:spacing w:after="0" w:line="293" w:lineRule="exact"/>
        <w:rPr>
          <w:sz w:val="20"/>
          <w:szCs w:val="20"/>
          <w:color w:val="auto"/>
        </w:rPr>
      </w:pPr>
    </w:p>
    <w:p>
      <w:pPr>
        <w:ind w:left="460" w:right="460"/>
        <w:spacing w:after="0" w:line="228" w:lineRule="auto"/>
        <w:rPr>
          <w:sz w:val="20"/>
          <w:szCs w:val="20"/>
          <w:color w:val="auto"/>
        </w:rPr>
      </w:pPr>
      <w:r>
        <w:rPr>
          <w:rFonts w:ascii="Arial" w:cs="Arial" w:eastAsia="Arial" w:hAnsi="Arial"/>
          <w:sz w:val="15"/>
          <w:szCs w:val="15"/>
          <w:color w:val="auto"/>
        </w:rPr>
        <w:t>We determine the incremental cost of any Company-provided personal or guest air travel based on the direct variable operating cost. Items included in the calculation include (as applicable) fuel costs; landing, non-home-base hangar or aircraft parking, and ground handling fees; in-flight catering; travel, lodging, and other expenses for flight crew; and other trip-related variable cost, including the use of our fractional jet interests. Because Company-provided air transportation is used primarily for business travel, incremental costs exclude fixed costs that generally do not change based on usage, such as (as applicable) flight crew salaries; aircraft purchase or lease costs; depreciation; insurance costs; certain maintenance fees based on minimum usage; and home-base hangar costs. When the aircraft is already flying to a destination for business purposes, only the direct variable costs associated with the guest (for example, catering), if any, are included in determining the aggregate incremental cost to Regeneron. If any aircraft flies empty before picking up or after dropping off a passenger for personal reasons, this “deadhead” segment would be included in the aggregate incremental cost based on the methodology described above. The amount of disallowed corporate tax deductions attributable to Company-provided personal and guest air travel is not included in the NEO incremental cost calculation.</w:t>
      </w:r>
    </w:p>
    <w:p>
      <w:pPr>
        <w:spacing w:after="0" w:line="143" w:lineRule="exact"/>
        <w:rPr>
          <w:sz w:val="20"/>
          <w:szCs w:val="20"/>
          <w:color w:val="auto"/>
        </w:rPr>
      </w:pPr>
    </w:p>
    <w:p>
      <w:pPr>
        <w:ind w:left="460" w:right="460"/>
        <w:spacing w:after="0" w:line="228" w:lineRule="auto"/>
        <w:rPr>
          <w:sz w:val="20"/>
          <w:szCs w:val="20"/>
          <w:color w:val="auto"/>
        </w:rPr>
      </w:pPr>
      <w:r>
        <w:rPr>
          <w:rFonts w:ascii="Arial" w:cs="Arial" w:eastAsia="Arial" w:hAnsi="Arial"/>
          <w:sz w:val="15"/>
          <w:szCs w:val="15"/>
          <w:color w:val="auto"/>
        </w:rPr>
        <w:t>The security policy also covers secure car transportation, on-site residential security at the primary residence for each of Drs. Schleifer and Yancopoulos, and, starting in November 2020, 24/7 personal security services for Drs. Schleifer and Yancopoulos. The addition of 24/7 personal security services for these executives was approved by the board of directors and the Compensation Committee in November 2020 based on the recommendation of an independent, third-party security study. For 2020, we calculated the incremental costs of the 24/7 personal security services based on the amounts paid by the Company to the third-party provider of such services; and calculated the incremental costs of the secure car transportation and on-site residential security based on the average fuel cost per mile times total miles traveled in connection with such services plus any overtime employee wages attributable to such services. Because Company-provided car transportation is primarily used for business travel, the incremental costs for 2020 excluded ordinary wages, taxes, and benefits of the drivers, who are full-time employees of the Company, as well as fixed lease costs and routine maintenance that would have been incurred in any event.</w:t>
      </w:r>
    </w:p>
    <w:p>
      <w:pPr>
        <w:spacing w:after="0" w:line="145" w:lineRule="exact"/>
        <w:rPr>
          <w:sz w:val="20"/>
          <w:szCs w:val="20"/>
          <w:color w:val="auto"/>
        </w:rPr>
      </w:pPr>
    </w:p>
    <w:p>
      <w:pPr>
        <w:ind w:left="460" w:right="600"/>
        <w:spacing w:after="0" w:line="235" w:lineRule="auto"/>
        <w:rPr>
          <w:sz w:val="20"/>
          <w:szCs w:val="20"/>
          <w:color w:val="auto"/>
        </w:rPr>
      </w:pPr>
      <w:r>
        <w:rPr>
          <w:rFonts w:ascii="Arial" w:cs="Arial" w:eastAsia="Arial" w:hAnsi="Arial"/>
          <w:sz w:val="15"/>
          <w:szCs w:val="15"/>
          <w:color w:val="auto"/>
        </w:rPr>
        <w:t>Amounts associated with personal or guest Company-provided air and secure car transportation/personal and residential security services are imputed as income to the NEOs to the extent required by applicable tax regulations. The NEOs do not receive a tax gross-up from us to cover their personal income tax obligations in respect of any such imputed income.</w:t>
      </w:r>
    </w:p>
    <w:p>
      <w:pPr>
        <w:spacing w:after="0" w:line="141" w:lineRule="exact"/>
        <w:rPr>
          <w:sz w:val="20"/>
          <w:szCs w:val="20"/>
          <w:color w:val="auto"/>
        </w:rPr>
      </w:pPr>
    </w:p>
    <w:p>
      <w:pPr>
        <w:ind w:left="460" w:right="500"/>
        <w:spacing w:after="0" w:line="235" w:lineRule="auto"/>
        <w:rPr>
          <w:sz w:val="20"/>
          <w:szCs w:val="20"/>
          <w:color w:val="auto"/>
        </w:rPr>
      </w:pPr>
      <w:r>
        <w:rPr>
          <w:rFonts w:ascii="Arial" w:cs="Arial" w:eastAsia="Arial" w:hAnsi="Arial"/>
          <w:sz w:val="15"/>
          <w:szCs w:val="15"/>
          <w:color w:val="auto"/>
        </w:rPr>
        <w:t>The amounts disclosed in the “All other compensation” column of the Summary Compensation Table relating to personal and guest use of Company-provided air transportation, secure car transportation, and personal and residential security services in accordance with our security policy attributable to Drs. Schleifer and Yancopoulos are based on the incremental cost resulting from such transportation/services as described above.</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Corporate Governance and Compliance Committee monitors business and any personal or guest Company-provided air travel on a periodic basis.</w:t>
      </w:r>
    </w:p>
    <w:p>
      <w:pPr>
        <w:spacing w:after="0" w:line="152" w:lineRule="exact"/>
        <w:rPr>
          <w:sz w:val="20"/>
          <w:szCs w:val="20"/>
          <w:color w:val="auto"/>
        </w:rPr>
      </w:pPr>
    </w:p>
    <w:p>
      <w:pPr>
        <w:ind w:left="460" w:right="880"/>
        <w:spacing w:after="0" w:line="241" w:lineRule="auto"/>
        <w:rPr>
          <w:sz w:val="20"/>
          <w:szCs w:val="20"/>
          <w:color w:val="auto"/>
        </w:rPr>
      </w:pPr>
      <w:r>
        <w:rPr>
          <w:rFonts w:ascii="Arial" w:cs="Arial" w:eastAsia="Arial" w:hAnsi="Arial"/>
          <w:sz w:val="15"/>
          <w:szCs w:val="15"/>
          <w:color w:val="auto"/>
        </w:rPr>
        <w:t>Additional information regarding perquisites and other personal benefits provided to our NEOs in, or with respect to, 2020 is given in the applicable footnotes to the Summary Compensation Table included in this proxy statement.</w:t>
      </w:r>
    </w:p>
    <w:p>
      <w:pPr>
        <w:spacing w:after="0"/>
        <w:tabs>
          <w:tab w:leader="none" w:pos="5440" w:val="left"/>
        </w:tabs>
        <w:rPr>
          <w:sz w:val="20"/>
          <w:szCs w:val="20"/>
          <w:color w:val="auto"/>
        </w:rPr>
      </w:pPr>
      <w:r>
        <w:rPr>
          <w:rFonts w:ascii="Arial" w:cs="Arial" w:eastAsia="Arial" w:hAnsi="Arial"/>
          <w:sz w:val="28"/>
          <w:szCs w:val="28"/>
          <w:b w:val="1"/>
          <w:bCs w:val="1"/>
          <w:color w:val="00A5EC"/>
          <w:vertAlign w:val="subscript"/>
        </w:rPr>
        <w:t>94</w:t>
      </w:r>
      <w:r>
        <w:rPr>
          <w:rFonts w:ascii="Arial" w:cs="Arial" w:eastAsia="Arial" w:hAnsi="Arial"/>
          <w:sz w:val="15"/>
          <w:szCs w:val="15"/>
          <w:b w:val="1"/>
          <w:bCs w:val="1"/>
          <w:color w:val="2952A4"/>
        </w:rPr>
        <w:t xml:space="preserve">  </w:t>
      </w:r>
      <w:r>
        <w:rPr>
          <w:rFonts w:ascii="Arial" w:cs="Arial" w:eastAsia="Arial" w:hAnsi="Arial"/>
          <w:sz w:val="28"/>
          <w:szCs w:val="28"/>
          <w:color w:val="00A5EC"/>
          <w:vertAlign w:val="subscript"/>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05" w:name="page106"/>
    <w:bookmarkEnd w:id="105"/>
    <w:p>
      <w:pPr>
        <w:jc w:val="right"/>
        <w:ind w:right="440"/>
        <w:spacing w:after="0"/>
        <w:rPr>
          <w:sz w:val="20"/>
          <w:szCs w:val="20"/>
          <w:color w:val="auto"/>
        </w:rPr>
      </w:pPr>
      <w:r>
        <w:rPr>
          <w:rFonts w:ascii="Arial" w:cs="Arial" w:eastAsia="Arial" w:hAnsi="Arial"/>
          <w:sz w:val="15"/>
          <w:szCs w:val="15"/>
          <w:b w:val="1"/>
          <w:bCs w:val="1"/>
          <w:color w:val="205BA8"/>
        </w:rPr>
        <w:t xml:space="preserve">COMPENSATION-RELATED MATTERS </w:t>
      </w:r>
      <w:r>
        <w:rPr>
          <w:rFonts w:ascii="Arial" w:cs="Arial" w:eastAsia="Arial" w:hAnsi="Arial"/>
          <w:sz w:val="15"/>
          <w:szCs w:val="15"/>
          <w:color w:val="205BA8"/>
        </w:rPr>
        <w:t>/</w:t>
      </w:r>
      <w:r>
        <w:rPr>
          <w:rFonts w:ascii="Arial" w:cs="Arial" w:eastAsia="Arial" w:hAnsi="Arial"/>
          <w:sz w:val="15"/>
          <w:szCs w:val="15"/>
          <w:b w:val="1"/>
          <w:bCs w:val="1"/>
          <w:color w:val="205BA8"/>
        </w:rPr>
        <w:t xml:space="preserve"> </w:t>
      </w:r>
      <w:r>
        <w:rPr>
          <w:rFonts w:ascii="Arial" w:cs="Arial" w:eastAsia="Arial" w:hAnsi="Arial"/>
          <w:sz w:val="15"/>
          <w:szCs w:val="15"/>
          <w:b w:val="1"/>
          <w:bCs w:val="1"/>
          <w:color w:val="C44E5E"/>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44E5E"/>
        </w:rPr>
        <w:t>POTENTIAL SEVERANCE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27940</wp:posOffset>
            </wp:positionV>
            <wp:extent cx="65665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206" w:lineRule="exact"/>
        <w:rPr>
          <w:sz w:val="20"/>
          <w:szCs w:val="20"/>
          <w:color w:val="auto"/>
        </w:rPr>
      </w:pPr>
    </w:p>
    <w:p>
      <w:pPr>
        <w:ind w:left="460" w:right="500"/>
        <w:spacing w:after="0" w:line="211" w:lineRule="auto"/>
        <w:rPr>
          <w:sz w:val="20"/>
          <w:szCs w:val="20"/>
          <w:color w:val="auto"/>
        </w:rPr>
      </w:pPr>
      <w:r>
        <w:rPr>
          <w:rFonts w:ascii="Arial" w:cs="Arial" w:eastAsia="Arial" w:hAnsi="Arial"/>
          <w:sz w:val="15"/>
          <w:szCs w:val="15"/>
          <w:color w:val="auto"/>
        </w:rPr>
        <w:t>Except for equity award agreements for Dr. Vagelos and the 2020 PSU award agreements,</w:t>
      </w:r>
      <w:r>
        <w:rPr>
          <w:rFonts w:ascii="Arial" w:cs="Arial" w:eastAsia="Arial" w:hAnsi="Arial"/>
          <w:sz w:val="25"/>
          <w:szCs w:val="25"/>
          <w:color w:val="auto"/>
          <w:vertAlign w:val="superscript"/>
        </w:rPr>
        <w:t>9</w:t>
      </w:r>
      <w:r>
        <w:rPr>
          <w:rFonts w:ascii="Arial" w:cs="Arial" w:eastAsia="Arial" w:hAnsi="Arial"/>
          <w:sz w:val="15"/>
          <w:szCs w:val="15"/>
          <w:color w:val="auto"/>
        </w:rPr>
        <w:t xml:space="preserve"> outstanding equity award agreements for all employees include a “double trigger” provision for the acceleration of vesting of unvested equity awards upon a termination by the Company without cause or by the employee for good reason within two years following a change in control. Dr. Vagelos’s stock option, PSU, and RSU awards contain change-of-control provisions consistent with those applicable to the non-employee director equity awards, as described under “Corporate Governance – Compensation of Directors” above.</w:t>
      </w:r>
    </w:p>
    <w:p>
      <w:pPr>
        <w:spacing w:after="0" w:line="144" w:lineRule="exact"/>
        <w:rPr>
          <w:sz w:val="20"/>
          <w:szCs w:val="20"/>
          <w:color w:val="auto"/>
        </w:rPr>
      </w:pPr>
    </w:p>
    <w:p>
      <w:pPr>
        <w:ind w:left="460" w:right="460"/>
        <w:spacing w:after="0" w:line="229" w:lineRule="auto"/>
        <w:rPr>
          <w:sz w:val="20"/>
          <w:szCs w:val="20"/>
          <w:color w:val="auto"/>
        </w:rPr>
      </w:pPr>
      <w:r>
        <w:rPr>
          <w:rFonts w:ascii="Arial" w:cs="Arial" w:eastAsia="Arial" w:hAnsi="Arial"/>
          <w:sz w:val="15"/>
          <w:szCs w:val="15"/>
          <w:color w:val="auto"/>
        </w:rPr>
        <w:t>Our CEO has an employment agreement that provides for certain severance benefits following termination, including following death or disability, resignation following defined “good reason” events, or termination in connection with a change in control. The other NEOs are covered by a change in control severance plan, which provides certain benefits to them and other designated officers if they are terminated in connection with a change in control. In addition, in the case of our CSO, stock option, RSA, and PSU award agreements applicable to his awards granted since December 2015 provide that he would have a “good reason” for terminating his employment with Regeneron upon or within two years after the occurrence of a change in control if the employment of our CEO has ended due to our CEO’s involuntary termination (as defined in the CEO’s employment agreement). Information regarding applicable payments under this employment agreement and change in control severance plan is provided in the subsection “2020 Compensation Tables—Post-Employment Compensation.”</w:t>
      </w:r>
    </w:p>
    <w:p>
      <w:pPr>
        <w:spacing w:after="0" w:line="141" w:lineRule="exact"/>
        <w:rPr>
          <w:sz w:val="20"/>
          <w:szCs w:val="20"/>
          <w:color w:val="auto"/>
        </w:rPr>
      </w:pPr>
    </w:p>
    <w:p>
      <w:pPr>
        <w:ind w:left="460" w:right="500"/>
        <w:spacing w:after="0" w:line="228" w:lineRule="auto"/>
        <w:rPr>
          <w:sz w:val="20"/>
          <w:szCs w:val="20"/>
          <w:color w:val="auto"/>
        </w:rPr>
      </w:pPr>
      <w:r>
        <w:rPr>
          <w:rFonts w:ascii="Arial" w:cs="Arial" w:eastAsia="Arial" w:hAnsi="Arial"/>
          <w:sz w:val="15"/>
          <w:szCs w:val="15"/>
          <w:color w:val="auto"/>
        </w:rPr>
        <w:t>Our NEOs will forfeit any unvested stock options or RSAs upon the termination of their employment for any reason (including disability or retirement) other than death, except as provided in our employment agreement with our CEO, in our change in control severance plan, and in certain stock option agreements with our CSO. In the event of the death of an employee, any unvested stock options held by such employee become immediately exercisable, and any shares subject to RSAs/RSUs will become fully vested. In the case of PSU awards to our CEO and CSO (as well as the 2019 PSU award to Dr. Vagelos), upon a termination of employment due to death (or, in the case of 2020 PSU awards, also disability), the PSU award will remain outstanding, and any vesting of the PSUs will be determined following the completion of the applicable performance period. For information regarding the value of accelerated stock options, RSAs, and PSUs held by our CEO and other NEOs (as applicable) as of December 31, 2020, see the subsection “2020 Compensation Tables—Post-Employment Compensation” under “Value of Accelerated Stock Options/PSUs” in the table entitled “Potential Severance Payments under Dr. Schleifer’s Employment Agreement” (for our CEO) and under “Value of Accelerated Stock Options/RSAs/PSUs” in the table entitled “Potential Payments under Change in Control Severance Plan” (for other NEOs).</w:t>
      </w:r>
    </w:p>
    <w:p>
      <w:pPr>
        <w:spacing w:after="0" w:line="143" w:lineRule="exact"/>
        <w:rPr>
          <w:sz w:val="20"/>
          <w:szCs w:val="20"/>
          <w:color w:val="auto"/>
        </w:rPr>
      </w:pPr>
    </w:p>
    <w:p>
      <w:pPr>
        <w:ind w:left="460" w:right="480"/>
        <w:spacing w:after="0" w:line="225" w:lineRule="auto"/>
        <w:rPr>
          <w:sz w:val="20"/>
          <w:szCs w:val="20"/>
          <w:color w:val="auto"/>
        </w:rPr>
      </w:pPr>
      <w:r>
        <w:rPr>
          <w:rFonts w:ascii="Arial" w:cs="Arial" w:eastAsia="Arial" w:hAnsi="Arial"/>
          <w:sz w:val="15"/>
          <w:szCs w:val="15"/>
          <w:color w:val="auto"/>
        </w:rPr>
        <w:t>Except as provided below, when employees retire, they forfeit all unvested stock options, RSAs, and PSUs, including the PSUs granted to our CEO and CSO in 2020. An employee considered “retirement eligible” upon separation under our employee policies as in effect from time to time has the remaining life of the 10-year stock option term to exercise stock options that are vested as of the date of his or her retirement. In addition, in the case of (i) stock option award agreements with our CEO (as provided in his employment agreement) and, commencing in December 2018, our CSO and Dr. Vagelos and</w:t>
      </w:r>
    </w:p>
    <w:p>
      <w:pPr>
        <w:spacing w:after="0" w:line="1" w:lineRule="exact"/>
        <w:rPr>
          <w:sz w:val="20"/>
          <w:szCs w:val="20"/>
          <w:color w:val="auto"/>
        </w:rPr>
      </w:pPr>
    </w:p>
    <w:p>
      <w:pPr>
        <w:ind w:left="460" w:right="680" w:hanging="2"/>
        <w:spacing w:after="0" w:line="242" w:lineRule="auto"/>
        <w:tabs>
          <w:tab w:leader="none" w:pos="672" w:val="left"/>
        </w:tabs>
        <w:numPr>
          <w:ilvl w:val="0"/>
          <w:numId w:val="157"/>
        </w:numPr>
        <w:rPr>
          <w:rFonts w:ascii="Arial" w:cs="Arial" w:eastAsia="Arial" w:hAnsi="Arial"/>
          <w:sz w:val="15"/>
          <w:szCs w:val="15"/>
          <w:color w:val="auto"/>
        </w:rPr>
      </w:pPr>
      <w:r>
        <w:rPr>
          <w:rFonts w:ascii="Arial" w:cs="Arial" w:eastAsia="Arial" w:hAnsi="Arial"/>
          <w:sz w:val="15"/>
          <w:szCs w:val="15"/>
          <w:color w:val="auto"/>
        </w:rPr>
        <w:t>the 2019 PSU award agreements with our CEO and CSO and Dr. Vagelos, awards thereunder will continue to vest in accordance with the terms of the applicable award agreement so long as they are “retirement eligible” upon separation.</w:t>
      </w:r>
    </w:p>
    <w:p>
      <w:pPr>
        <w:spacing w:after="0" w:line="138" w:lineRule="exact"/>
        <w:rPr>
          <w:sz w:val="20"/>
          <w:szCs w:val="20"/>
          <w:color w:val="auto"/>
        </w:rPr>
      </w:pPr>
    </w:p>
    <w:p>
      <w:pPr>
        <w:ind w:left="460" w:right="580"/>
        <w:spacing w:after="0" w:line="231" w:lineRule="auto"/>
        <w:rPr>
          <w:sz w:val="20"/>
          <w:szCs w:val="20"/>
          <w:color w:val="auto"/>
        </w:rPr>
      </w:pPr>
      <w:r>
        <w:rPr>
          <w:rFonts w:ascii="Arial" w:cs="Arial" w:eastAsia="Arial" w:hAnsi="Arial"/>
          <w:sz w:val="15"/>
          <w:szCs w:val="15"/>
          <w:color w:val="auto"/>
        </w:rPr>
        <w:t>The award agreements for the 2020 PSU awards to our CEO and CSO provide that if the recipient’s employment with the Company is terminated without Cause or the recipient leaves his employment with the Company for a Good Reason (each as defined in or incorporated by reference into the Second Amended and Restated Regeneron Pharmaceuticals, Inc. 2014 Long-Term Incentive Plan or the award agreement), earnout is measured as of termination and all PSUs earned as of that date vest and remain subject to the Holding Period. See “Compensation Discussion and Analysis— Components of Executive Pay: What We Pay and Why We Pay It—Annual Equity Awards”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92075</wp:posOffset>
            </wp:positionV>
            <wp:extent cx="641223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25" w:lineRule="exact"/>
        <w:rPr>
          <w:sz w:val="20"/>
          <w:szCs w:val="20"/>
          <w:color w:val="auto"/>
        </w:rPr>
      </w:pPr>
    </w:p>
    <w:p>
      <w:pPr>
        <w:ind w:left="660" w:right="700" w:hanging="202"/>
        <w:spacing w:after="0" w:line="244" w:lineRule="auto"/>
        <w:tabs>
          <w:tab w:leader="none" w:pos="660" w:val="left"/>
        </w:tabs>
        <w:numPr>
          <w:ilvl w:val="0"/>
          <w:numId w:val="158"/>
        </w:numPr>
        <w:rPr>
          <w:rFonts w:ascii="Arial" w:cs="Arial" w:eastAsia="Arial" w:hAnsi="Arial"/>
          <w:sz w:val="14"/>
          <w:szCs w:val="14"/>
          <w:b w:val="1"/>
          <w:bCs w:val="1"/>
          <w:color w:val="205BA8"/>
        </w:rPr>
      </w:pPr>
      <w:r>
        <w:rPr>
          <w:rFonts w:ascii="Arial" w:cs="Arial" w:eastAsia="Arial" w:hAnsi="Arial"/>
          <w:sz w:val="14"/>
          <w:szCs w:val="14"/>
          <w:color w:val="auto"/>
        </w:rPr>
        <w:t>In the case of the PSUs granted to our CEO and CSO in 2020, if there is a change in control, earnout is measured as of the date of the change in control (using the applicable transaction price as the ending stock price), and all PSUs earned as of that date vest with no Holding Period and any unearned PSUs are forfeited immediately. In the case of the PSUs granted to our CEO and CSO in 2019, if any PSUs vest upon a change of control (as a result of performance exceeding the relevant TSR goal for the period from the date of grant to the date of the change of control), the shares earned will be delivered upon the earlier of (a) a termination by the Company without cause or by the employee for good reason (in each case within two years following the change in control) and (b) the fifth year anniversary of the date of grant.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95</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2" w:right="339" w:bottom="1440" w:gutter="0" w:footer="0" w:header="0"/>
        </w:sectPr>
      </w:pPr>
    </w:p>
    <w:bookmarkStart w:id="106" w:name="page107"/>
    <w:bookmarkEnd w:id="106"/>
    <w:p>
      <w:pPr>
        <w:ind w:left="460"/>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C44E5E"/>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ind w:left="460" w:right="520"/>
        <w:spacing w:after="0" w:line="233" w:lineRule="auto"/>
        <w:rPr>
          <w:sz w:val="20"/>
          <w:szCs w:val="20"/>
          <w:color w:val="auto"/>
        </w:rPr>
      </w:pPr>
      <w:r>
        <w:rPr>
          <w:rFonts w:ascii="Arial" w:cs="Arial" w:eastAsia="Arial" w:hAnsi="Arial"/>
          <w:sz w:val="15"/>
          <w:szCs w:val="15"/>
          <w:color w:val="auto"/>
        </w:rPr>
        <w:t>The change-in-control severance benefits provided to our NEOs are designed to promote stability and continuity of our senior management and are intended to preserve employee morale and productivity and encourage retention in the face of the disruptive impact of an actual, threatened, or rumored change in control of the Company. These severance benefits were established following a review of comparable practices at the Company’s peer companies and with the advice of the Compensation Committee’s consultant.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no pension, deferred compensation, or retirement plans applicable to our NEOs, other than our 401(k) Savings Plan described above.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44E5E"/>
        </w:rPr>
        <w:t>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27940</wp:posOffset>
            </wp:positionV>
            <wp:extent cx="65665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96" w:lineRule="exact"/>
        <w:rPr>
          <w:sz w:val="20"/>
          <w:szCs w:val="20"/>
          <w:color w:val="auto"/>
        </w:rPr>
      </w:pPr>
    </w:p>
    <w:p>
      <w:pPr>
        <w:jc w:val="both"/>
        <w:ind w:left="460" w:right="600"/>
        <w:spacing w:after="0" w:line="235" w:lineRule="auto"/>
        <w:rPr>
          <w:sz w:val="20"/>
          <w:szCs w:val="20"/>
          <w:color w:val="auto"/>
        </w:rPr>
      </w:pPr>
      <w:r>
        <w:rPr>
          <w:rFonts w:ascii="Arial" w:cs="Arial" w:eastAsia="Arial" w:hAnsi="Arial"/>
          <w:sz w:val="15"/>
          <w:szCs w:val="15"/>
          <w:color w:val="auto"/>
        </w:rPr>
        <w:t>As required by Section 953(b) of the Dodd-Frank Wall Street Reform and Consumer Protection Act and Item 402(u) of Regulation S-K, we are required to disclose the median of the annual total compensation of our employees (excluding our principal executive officer), the annual total compensation of our principal executive officer, Dr. Schleifer, and the ratio of these two amounts.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determined the total compensation of our median employee (based on the 2020 annual total compensation of our employees, excluding</w:t>
      </w:r>
    </w:p>
    <w:p>
      <w:pPr>
        <w:ind w:left="460" w:right="480"/>
        <w:spacing w:after="0" w:line="230" w:lineRule="auto"/>
        <w:rPr>
          <w:sz w:val="20"/>
          <w:szCs w:val="20"/>
          <w:color w:val="auto"/>
        </w:rPr>
      </w:pPr>
      <w:r>
        <w:rPr>
          <w:rFonts w:ascii="Arial" w:cs="Arial" w:eastAsia="Arial" w:hAnsi="Arial"/>
          <w:sz w:val="15"/>
          <w:szCs w:val="15"/>
          <w:color w:val="auto"/>
        </w:rPr>
        <w:t>Dr. Schleifer) to be $145,019. The total 2020 compensation of Dr. Schleifer, as reported in the Summary Compensation Table above and including the five-year, front-loaded PSU award granted to Dr. Schleifer in 2020 in lieu of five years of annual equity awards (</w:t>
      </w:r>
      <w:r>
        <w:rPr>
          <w:rFonts w:ascii="Arial" w:cs="Arial" w:eastAsia="Arial" w:hAnsi="Arial"/>
          <w:sz w:val="15"/>
          <w:szCs w:val="15"/>
          <w:i w:val="1"/>
          <w:iCs w:val="1"/>
          <w:color w:val="auto"/>
        </w:rPr>
        <w:t>i.e.</w:t>
      </w:r>
      <w:r>
        <w:rPr>
          <w:rFonts w:ascii="Arial" w:cs="Arial" w:eastAsia="Arial" w:hAnsi="Arial"/>
          <w:sz w:val="15"/>
          <w:szCs w:val="15"/>
          <w:color w:val="auto"/>
        </w:rPr>
        <w:t>, until the Company’s regular year-end grant cycle in December 2025), was $135,350,121. Accordingly, the ratio of the 2020 annual total compensation of Dr. Schleifer to the median of the 2020 annual total compensation of our employees was approximately 933 to 1. This ratio would have been approximately 216 to 1 if the 2020 PSU award were annualized. See “Compensation Discussion and Analysis—Components of Executive Pay: What We Pay and Why We Pay It—Annual Equity Awards” for more information regarding this PSU award.</w:t>
      </w:r>
    </w:p>
    <w:p>
      <w:pPr>
        <w:spacing w:after="0" w:line="142" w:lineRule="exact"/>
        <w:rPr>
          <w:sz w:val="20"/>
          <w:szCs w:val="20"/>
          <w:color w:val="auto"/>
        </w:rPr>
      </w:pPr>
    </w:p>
    <w:p>
      <w:pPr>
        <w:ind w:left="460" w:right="520"/>
        <w:spacing w:after="0"/>
        <w:rPr>
          <w:sz w:val="20"/>
          <w:szCs w:val="20"/>
          <w:color w:val="auto"/>
        </w:rPr>
      </w:pPr>
      <w:r>
        <w:rPr>
          <w:rFonts w:ascii="Arial" w:cs="Arial" w:eastAsia="Arial" w:hAnsi="Arial"/>
          <w:sz w:val="15"/>
          <w:szCs w:val="15"/>
          <w:color w:val="auto"/>
        </w:rPr>
        <w:t>For 2020 we identified the median employee as of December 31, 2020 by (i) aggregating for each applicable employee (a) annual base salary for salaried employees (or wages plus overtime, based on annual work schedule, for permanent hourly employees), (b) the target annual cash incentive, and (c) the grant date fair value of any equity awards granted during 2020, and (ii) ranking this compensation measure from lowest to highest. This calculation was performed for all employees, excluding Dr. Schleifer, whether employed on a full-time, part-time, or seasonal basis. For purposes of identifying the median employee, we converted amounts paid in foreign currencies to U.S. dollars based on the applicable 2020 average exchange rate. This process resulted in the identification of an employee whose 2020 compensation was significantly higher than that of adjacent employees. As a result, we substituted an alternate employee, whose compensation was consistent with that of surrounding employees near the median, identified as discussed above.</w:t>
      </w:r>
    </w:p>
    <w:p>
      <w:pPr>
        <w:spacing w:after="0" w:line="251" w:lineRule="exact"/>
        <w:rPr>
          <w:sz w:val="20"/>
          <w:szCs w:val="20"/>
          <w:color w:val="auto"/>
        </w:rPr>
      </w:pPr>
    </w:p>
    <w:p>
      <w:pPr>
        <w:ind w:left="460" w:right="480"/>
        <w:spacing w:after="0" w:line="230" w:lineRule="auto"/>
        <w:rPr>
          <w:sz w:val="20"/>
          <w:szCs w:val="20"/>
          <w:color w:val="auto"/>
        </w:rPr>
      </w:pPr>
      <w:r>
        <w:rPr>
          <w:rFonts w:ascii="Arial" w:cs="Arial" w:eastAsia="Arial" w:hAnsi="Arial"/>
          <w:sz w:val="15"/>
          <w:szCs w:val="15"/>
          <w:color w:val="auto"/>
        </w:rPr>
        <w:t>We believe that 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3" w:lineRule="exact"/>
        <w:rPr>
          <w:sz w:val="20"/>
          <w:szCs w:val="20"/>
          <w:color w:val="auto"/>
        </w:rPr>
      </w:pPr>
    </w:p>
    <w:p>
      <w:pPr>
        <w:spacing w:after="0"/>
        <w:tabs>
          <w:tab w:leader="none" w:pos="5440" w:val="left"/>
        </w:tabs>
        <w:rPr>
          <w:sz w:val="20"/>
          <w:szCs w:val="20"/>
          <w:color w:val="auto"/>
        </w:rPr>
      </w:pPr>
      <w:r>
        <w:rPr>
          <w:rFonts w:ascii="Arial" w:cs="Arial" w:eastAsia="Arial" w:hAnsi="Arial"/>
          <w:sz w:val="28"/>
          <w:szCs w:val="28"/>
          <w:b w:val="1"/>
          <w:bCs w:val="1"/>
          <w:color w:val="00A5EC"/>
          <w:vertAlign w:val="subscript"/>
        </w:rPr>
        <w:t>96</w:t>
      </w:r>
      <w:r>
        <w:rPr>
          <w:rFonts w:ascii="Arial" w:cs="Arial" w:eastAsia="Arial" w:hAnsi="Arial"/>
          <w:sz w:val="15"/>
          <w:szCs w:val="15"/>
          <w:b w:val="1"/>
          <w:bCs w:val="1"/>
          <w:color w:val="2952A4"/>
        </w:rPr>
        <w:t xml:space="preserve">  </w:t>
      </w:r>
      <w:r>
        <w:rPr>
          <w:rFonts w:ascii="Arial" w:cs="Arial" w:eastAsia="Arial" w:hAnsi="Arial"/>
          <w:sz w:val="28"/>
          <w:szCs w:val="28"/>
          <w:color w:val="00A5EC"/>
          <w:vertAlign w:val="subscript"/>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07" w:name="page108"/>
    <w:bookmarkEnd w:id="107"/>
    <w:p>
      <w:pPr>
        <w:ind w:left="5620"/>
        <w:spacing w:after="0"/>
        <w:rPr>
          <w:sz w:val="20"/>
          <w:szCs w:val="20"/>
          <w:color w:val="auto"/>
        </w:rPr>
      </w:pPr>
      <w:r>
        <w:rPr>
          <w:rFonts w:ascii="Arial" w:cs="Arial" w:eastAsia="Arial" w:hAnsi="Arial"/>
          <w:sz w:val="15"/>
          <w:szCs w:val="15"/>
          <w:b w:val="1"/>
          <w:bCs w:val="1"/>
          <w:color w:val="205BA8"/>
        </w:rPr>
        <w:t xml:space="preserve">COMPENSATION-RELATED MATTERS </w:t>
      </w:r>
      <w:r>
        <w:rPr>
          <w:rFonts w:ascii="Arial" w:cs="Arial" w:eastAsia="Arial" w:hAnsi="Arial"/>
          <w:sz w:val="15"/>
          <w:szCs w:val="15"/>
          <w:color w:val="205BA8"/>
        </w:rPr>
        <w:t>/</w:t>
      </w:r>
      <w:r>
        <w:rPr>
          <w:rFonts w:ascii="Arial" w:cs="Arial" w:eastAsia="Arial" w:hAnsi="Arial"/>
          <w:sz w:val="15"/>
          <w:szCs w:val="15"/>
          <w:b w:val="1"/>
          <w:bCs w:val="1"/>
          <w:color w:val="205BA8"/>
        </w:rPr>
        <w:t xml:space="preserve"> </w:t>
      </w:r>
      <w:r>
        <w:rPr>
          <w:rFonts w:ascii="Arial" w:cs="Arial" w:eastAsia="Arial" w:hAnsi="Arial"/>
          <w:sz w:val="15"/>
          <w:szCs w:val="15"/>
          <w:b w:val="1"/>
          <w:bCs w:val="1"/>
          <w:color w:val="C44E5E"/>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C44E5E"/>
        </w:rPr>
        <w:t>EQUITY COMPENSATION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27940</wp:posOffset>
            </wp:positionV>
            <wp:extent cx="65665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77" w:lineRule="exact"/>
        <w:rPr>
          <w:sz w:val="20"/>
          <w:szCs w:val="20"/>
          <w:color w:val="auto"/>
        </w:rPr>
      </w:pPr>
    </w:p>
    <w:p>
      <w:pPr>
        <w:ind w:left="460" w:right="500"/>
        <w:spacing w:after="0" w:line="271" w:lineRule="auto"/>
        <w:rPr>
          <w:sz w:val="20"/>
          <w:szCs w:val="20"/>
          <w:color w:val="auto"/>
        </w:rPr>
      </w:pPr>
      <w:r>
        <w:rPr>
          <w:rFonts w:ascii="Arial" w:cs="Arial" w:eastAsia="Arial" w:hAnsi="Arial"/>
          <w:sz w:val="18"/>
          <w:szCs w:val="18"/>
          <w:b w:val="1"/>
          <w:bCs w:val="1"/>
          <w:color w:val="205BA8"/>
        </w:rPr>
        <w:t>Corporate Governance Aspects of the Second Amended and Restated Regeneron Pharmaceuticals, Inc. 2014 Long-Term Incentive Plan</w:t>
      </w:r>
    </w:p>
    <w:p>
      <w:pPr>
        <w:spacing w:after="0" w:line="119" w:lineRule="exact"/>
        <w:rPr>
          <w:sz w:val="20"/>
          <w:szCs w:val="20"/>
          <w:color w:val="auto"/>
        </w:rPr>
      </w:pPr>
    </w:p>
    <w:p>
      <w:pPr>
        <w:ind w:left="460" w:right="460"/>
        <w:spacing w:after="0" w:line="233" w:lineRule="auto"/>
        <w:rPr>
          <w:sz w:val="20"/>
          <w:szCs w:val="20"/>
          <w:color w:val="auto"/>
        </w:rPr>
      </w:pPr>
      <w:r>
        <w:rPr>
          <w:rFonts w:ascii="Arial" w:cs="Arial" w:eastAsia="Arial" w:hAnsi="Arial"/>
          <w:sz w:val="15"/>
          <w:szCs w:val="15"/>
          <w:color w:val="auto"/>
        </w:rPr>
        <w:t>The Second Amended and Restated Regeneron Pharmaceuticals, Inc. 2014 Long-Term Incentive Plan (referred to in this subsection as the “Plan”) is the only plan currently used by the Company to grant equity awards. The Plan was approved by shareholders and is designed to promote best practices by reinforcing the alignment between equity compensation arrangements for employees and non-employee directors and the interests of shareholders. The provisions that promote such best practices include:</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147"/>
        </w:trPr>
        <w:tc>
          <w:tcPr>
            <w:tcW w:w="2120" w:type="dxa"/>
            <w:vAlign w:val="bottom"/>
            <w:tcBorders>
              <w:bottom w:val="single" w:sz="8" w:color="1F5AA8"/>
            </w:tcBorders>
          </w:tcPr>
          <w:p>
            <w:pPr>
              <w:ind w:left="60"/>
              <w:spacing w:after="0"/>
              <w:rPr>
                <w:sz w:val="20"/>
                <w:szCs w:val="20"/>
                <w:color w:val="auto"/>
              </w:rPr>
            </w:pPr>
            <w:r>
              <w:rPr>
                <w:rFonts w:ascii="Arial" w:cs="Arial" w:eastAsia="Arial" w:hAnsi="Arial"/>
                <w:sz w:val="12"/>
                <w:szCs w:val="12"/>
                <w:b w:val="1"/>
                <w:bCs w:val="1"/>
                <w:color w:val="205BA8"/>
              </w:rPr>
              <w:t>Provision</w:t>
            </w:r>
          </w:p>
        </w:tc>
        <w:tc>
          <w:tcPr>
            <w:tcW w:w="7980" w:type="dxa"/>
            <w:vAlign w:val="bottom"/>
            <w:tcBorders>
              <w:bottom w:val="single" w:sz="8" w:color="1F5AA8"/>
            </w:tcBorders>
          </w:tcPr>
          <w:p>
            <w:pPr>
              <w:ind w:left="60"/>
              <w:spacing w:after="0"/>
              <w:rPr>
                <w:sz w:val="20"/>
                <w:szCs w:val="20"/>
                <w:color w:val="auto"/>
              </w:rPr>
            </w:pPr>
            <w:r>
              <w:rPr>
                <w:rFonts w:ascii="Arial" w:cs="Arial" w:eastAsia="Arial" w:hAnsi="Arial"/>
                <w:sz w:val="12"/>
                <w:szCs w:val="12"/>
                <w:b w:val="1"/>
                <w:bCs w:val="1"/>
                <w:color w:val="205BA8"/>
              </w:rPr>
              <w:t>Description</w:t>
            </w:r>
          </w:p>
        </w:tc>
      </w:tr>
      <w:tr>
        <w:trPr>
          <w:trHeight w:val="129"/>
        </w:trPr>
        <w:tc>
          <w:tcPr>
            <w:tcW w:w="2120" w:type="dxa"/>
            <w:vAlign w:val="bottom"/>
          </w:tcPr>
          <w:p>
            <w:pPr>
              <w:ind w:left="60"/>
              <w:spacing w:after="0" w:line="129" w:lineRule="exact"/>
              <w:rPr>
                <w:sz w:val="20"/>
                <w:szCs w:val="20"/>
                <w:color w:val="auto"/>
              </w:rPr>
            </w:pPr>
            <w:r>
              <w:rPr>
                <w:rFonts w:ascii="Arial" w:cs="Arial" w:eastAsia="Arial" w:hAnsi="Arial"/>
                <w:sz w:val="13"/>
                <w:szCs w:val="13"/>
                <w:b w:val="1"/>
                <w:bCs w:val="1"/>
                <w:color w:val="auto"/>
              </w:rPr>
              <w:t>No Discounted Stock Options or</w:t>
            </w:r>
          </w:p>
        </w:tc>
        <w:tc>
          <w:tcPr>
            <w:tcW w:w="7980" w:type="dxa"/>
            <w:vAlign w:val="bottom"/>
          </w:tcPr>
          <w:p>
            <w:pPr>
              <w:ind w:left="60"/>
              <w:spacing w:after="0" w:line="129" w:lineRule="exact"/>
              <w:rPr>
                <w:sz w:val="20"/>
                <w:szCs w:val="20"/>
                <w:color w:val="auto"/>
              </w:rPr>
            </w:pPr>
            <w:r>
              <w:rPr>
                <w:rFonts w:ascii="Arial" w:cs="Arial" w:eastAsia="Arial" w:hAnsi="Arial"/>
                <w:sz w:val="13"/>
                <w:szCs w:val="13"/>
                <w:color w:val="auto"/>
              </w:rPr>
              <w:t>Stock options and stock appreciation rights are not granted with an exercise or base price less than the fair market value of common</w:t>
            </w:r>
          </w:p>
        </w:tc>
      </w:tr>
      <w:tr>
        <w:trPr>
          <w:trHeight w:val="161"/>
        </w:trPr>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Stock Appreciation Rights</w:t>
            </w:r>
          </w:p>
        </w:tc>
        <w:tc>
          <w:tcPr>
            <w:tcW w:w="79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stock (as defined in the Plan) on the date of grant.</w:t>
            </w:r>
          </w:p>
        </w:tc>
      </w:tr>
      <w:tr>
        <w:trPr>
          <w:trHeight w:val="129"/>
        </w:trPr>
        <w:tc>
          <w:tcPr>
            <w:tcW w:w="2120" w:type="dxa"/>
            <w:vAlign w:val="bottom"/>
            <w:shd w:val="clear" w:color="auto" w:fill="ECEDED"/>
          </w:tcPr>
          <w:p>
            <w:pPr>
              <w:ind w:left="60"/>
              <w:spacing w:after="0" w:line="129" w:lineRule="exact"/>
              <w:rPr>
                <w:sz w:val="20"/>
                <w:szCs w:val="20"/>
                <w:color w:val="auto"/>
              </w:rPr>
            </w:pPr>
            <w:r>
              <w:rPr>
                <w:rFonts w:ascii="Arial" w:cs="Arial" w:eastAsia="Arial" w:hAnsi="Arial"/>
                <w:sz w:val="13"/>
                <w:szCs w:val="13"/>
                <w:b w:val="1"/>
                <w:bCs w:val="1"/>
                <w:color w:val="auto"/>
              </w:rPr>
              <w:t>No Stock Option or Stock</w:t>
            </w:r>
          </w:p>
        </w:tc>
        <w:tc>
          <w:tcPr>
            <w:tcW w:w="7980" w:type="dxa"/>
            <w:vAlign w:val="bottom"/>
            <w:shd w:val="clear" w:color="auto" w:fill="ECEDED"/>
          </w:tcPr>
          <w:p>
            <w:pPr>
              <w:ind w:left="60"/>
              <w:spacing w:after="0" w:line="129" w:lineRule="exact"/>
              <w:rPr>
                <w:sz w:val="20"/>
                <w:szCs w:val="20"/>
                <w:color w:val="auto"/>
              </w:rPr>
            </w:pPr>
            <w:r>
              <w:rPr>
                <w:rFonts w:ascii="Arial" w:cs="Arial" w:eastAsia="Arial" w:hAnsi="Arial"/>
                <w:sz w:val="13"/>
                <w:szCs w:val="13"/>
                <w:color w:val="auto"/>
              </w:rPr>
              <w:t>Except for equitable adjustments in connection with specific corporate transactions (such as stock splits, recapitalizations,</w:t>
            </w:r>
          </w:p>
        </w:tc>
      </w:tr>
      <w:tr>
        <w:trPr>
          <w:trHeight w:val="149"/>
        </w:trPr>
        <w:tc>
          <w:tcPr>
            <w:tcW w:w="2120" w:type="dxa"/>
            <w:vAlign w:val="bottom"/>
            <w:shd w:val="clear" w:color="auto" w:fill="ECEDED"/>
          </w:tcPr>
          <w:p>
            <w:pPr>
              <w:ind w:left="60"/>
              <w:spacing w:after="0"/>
              <w:rPr>
                <w:sz w:val="20"/>
                <w:szCs w:val="20"/>
                <w:color w:val="auto"/>
              </w:rPr>
            </w:pPr>
            <w:r>
              <w:rPr>
                <w:rFonts w:ascii="Arial" w:cs="Arial" w:eastAsia="Arial" w:hAnsi="Arial"/>
                <w:sz w:val="13"/>
                <w:szCs w:val="13"/>
                <w:b w:val="1"/>
                <w:bCs w:val="1"/>
                <w:color w:val="auto"/>
              </w:rPr>
              <w:t>Appreciation Right Re-pricing or</w:t>
            </w:r>
          </w:p>
        </w:tc>
        <w:tc>
          <w:tcPr>
            <w:tcW w:w="7980" w:type="dxa"/>
            <w:vAlign w:val="bottom"/>
            <w:shd w:val="clear" w:color="auto" w:fill="ECEDED"/>
          </w:tcPr>
          <w:p>
            <w:pPr>
              <w:ind w:left="60"/>
              <w:spacing w:after="0"/>
              <w:rPr>
                <w:sz w:val="20"/>
                <w:szCs w:val="20"/>
                <w:color w:val="auto"/>
              </w:rPr>
            </w:pPr>
            <w:r>
              <w:rPr>
                <w:rFonts w:ascii="Arial" w:cs="Arial" w:eastAsia="Arial" w:hAnsi="Arial"/>
                <w:sz w:val="13"/>
                <w:szCs w:val="13"/>
                <w:color w:val="auto"/>
              </w:rPr>
              <w:t>reorganizations, mergers, consolidations, and similar transactions), the Plan does not permit a decrease in the exercise price or base</w:t>
            </w:r>
          </w:p>
        </w:tc>
      </w:tr>
      <w:tr>
        <w:trPr>
          <w:trHeight w:val="164"/>
        </w:trPr>
        <w:tc>
          <w:tcPr>
            <w:tcW w:w="2120" w:type="dxa"/>
            <w:vAlign w:val="bottom"/>
            <w:shd w:val="clear" w:color="auto" w:fill="ECEDED"/>
          </w:tcPr>
          <w:p>
            <w:pPr>
              <w:ind w:left="60"/>
              <w:spacing w:after="0"/>
              <w:rPr>
                <w:sz w:val="20"/>
                <w:szCs w:val="20"/>
                <w:color w:val="auto"/>
              </w:rPr>
            </w:pPr>
            <w:r>
              <w:rPr>
                <w:rFonts w:ascii="Arial" w:cs="Arial" w:eastAsia="Arial" w:hAnsi="Arial"/>
                <w:sz w:val="13"/>
                <w:szCs w:val="13"/>
                <w:b w:val="1"/>
                <w:bCs w:val="1"/>
                <w:color w:val="auto"/>
              </w:rPr>
              <w:t>Exchange</w:t>
            </w:r>
          </w:p>
        </w:tc>
        <w:tc>
          <w:tcPr>
            <w:tcW w:w="7980" w:type="dxa"/>
            <w:vAlign w:val="bottom"/>
            <w:shd w:val="clear" w:color="auto" w:fill="ECEDED"/>
          </w:tcPr>
          <w:p>
            <w:pPr>
              <w:ind w:left="60"/>
              <w:spacing w:after="0"/>
              <w:rPr>
                <w:sz w:val="20"/>
                <w:szCs w:val="20"/>
                <w:color w:val="auto"/>
              </w:rPr>
            </w:pPr>
            <w:r>
              <w:rPr>
                <w:rFonts w:ascii="Arial" w:cs="Arial" w:eastAsia="Arial" w:hAnsi="Arial"/>
                <w:sz w:val="13"/>
                <w:szCs w:val="13"/>
                <w:color w:val="auto"/>
              </w:rPr>
              <w:t>price of a stock option or stock appreciation right granted under the Plan through settlement, cancellation, forfeiture, exchange,</w:t>
            </w:r>
          </w:p>
        </w:tc>
      </w:tr>
      <w:tr>
        <w:trPr>
          <w:trHeight w:val="145"/>
        </w:trPr>
        <w:tc>
          <w:tcPr>
            <w:tcW w:w="2120" w:type="dxa"/>
            <w:vAlign w:val="bottom"/>
            <w:tcBorders>
              <w:bottom w:val="single" w:sz="8" w:color="auto"/>
            </w:tcBorders>
            <w:shd w:val="clear" w:color="auto" w:fill="ECEDED"/>
          </w:tcPr>
          <w:p>
            <w:pPr>
              <w:spacing w:after="0"/>
              <w:rPr>
                <w:sz w:val="12"/>
                <w:szCs w:val="12"/>
                <w:color w:val="auto"/>
              </w:rPr>
            </w:pPr>
          </w:p>
        </w:tc>
        <w:tc>
          <w:tcPr>
            <w:tcW w:w="7980" w:type="dxa"/>
            <w:vAlign w:val="bottom"/>
            <w:tcBorders>
              <w:bottom w:val="single" w:sz="8" w:color="auto"/>
            </w:tcBorders>
            <w:shd w:val="clear" w:color="auto" w:fill="ECEDED"/>
          </w:tcPr>
          <w:p>
            <w:pPr>
              <w:ind w:left="60"/>
              <w:spacing w:after="0" w:line="145" w:lineRule="exact"/>
              <w:rPr>
                <w:sz w:val="20"/>
                <w:szCs w:val="20"/>
                <w:color w:val="auto"/>
              </w:rPr>
            </w:pPr>
            <w:r>
              <w:rPr>
                <w:rFonts w:ascii="Arial" w:cs="Arial" w:eastAsia="Arial" w:hAnsi="Arial"/>
                <w:sz w:val="13"/>
                <w:szCs w:val="13"/>
                <w:color w:val="auto"/>
              </w:rPr>
              <w:t>surrender, or otherwise below the fair market value of common stock (as defined in the Plan) on the date of grant.</w:t>
            </w:r>
          </w:p>
        </w:tc>
      </w:tr>
      <w:tr>
        <w:trPr>
          <w:trHeight w:val="145"/>
        </w:trPr>
        <w:tc>
          <w:tcPr>
            <w:tcW w:w="2120" w:type="dxa"/>
            <w:vAlign w:val="bottom"/>
          </w:tcPr>
          <w:p>
            <w:pPr>
              <w:ind w:left="60"/>
              <w:spacing w:after="0" w:line="146" w:lineRule="exact"/>
              <w:rPr>
                <w:sz w:val="20"/>
                <w:szCs w:val="20"/>
                <w:color w:val="auto"/>
              </w:rPr>
            </w:pPr>
            <w:r>
              <w:rPr>
                <w:rFonts w:ascii="Arial" w:cs="Arial" w:eastAsia="Arial" w:hAnsi="Arial"/>
                <w:sz w:val="13"/>
                <w:szCs w:val="13"/>
                <w:b w:val="1"/>
                <w:bCs w:val="1"/>
                <w:color w:val="auto"/>
              </w:rPr>
              <w:t>Recoupment (Clawback) Policy</w:t>
            </w:r>
          </w:p>
        </w:tc>
        <w:tc>
          <w:tcPr>
            <w:tcW w:w="7980" w:type="dxa"/>
            <w:vAlign w:val="bottom"/>
          </w:tcPr>
          <w:p>
            <w:pPr>
              <w:ind w:left="60"/>
              <w:spacing w:after="0" w:line="146" w:lineRule="exact"/>
              <w:rPr>
                <w:sz w:val="20"/>
                <w:szCs w:val="20"/>
                <w:color w:val="auto"/>
              </w:rPr>
            </w:pPr>
            <w:r>
              <w:rPr>
                <w:rFonts w:ascii="Arial" w:cs="Arial" w:eastAsia="Arial" w:hAnsi="Arial"/>
                <w:sz w:val="13"/>
                <w:szCs w:val="13"/>
                <w:color w:val="auto"/>
              </w:rPr>
              <w:t>Awards granted to our officers and other employees under the Plan are subject to recoupment or reduction in accordance with the terms</w:t>
            </w:r>
          </w:p>
        </w:tc>
      </w:tr>
      <w:tr>
        <w:trPr>
          <w:trHeight w:val="145"/>
        </w:trPr>
        <w:tc>
          <w:tcPr>
            <w:tcW w:w="2120" w:type="dxa"/>
            <w:vAlign w:val="bottom"/>
            <w:tcBorders>
              <w:bottom w:val="single" w:sz="8" w:color="auto"/>
            </w:tcBorders>
          </w:tcPr>
          <w:p>
            <w:pPr>
              <w:spacing w:after="0"/>
              <w:rPr>
                <w:sz w:val="12"/>
                <w:szCs w:val="12"/>
                <w:color w:val="auto"/>
              </w:rPr>
            </w:pPr>
          </w:p>
        </w:tc>
        <w:tc>
          <w:tcPr>
            <w:tcW w:w="7980" w:type="dxa"/>
            <w:vAlign w:val="bottom"/>
            <w:tcBorders>
              <w:bottom w:val="single" w:sz="8" w:color="auto"/>
            </w:tcBorders>
          </w:tcPr>
          <w:p>
            <w:pPr>
              <w:ind w:left="60"/>
              <w:spacing w:after="0" w:line="145" w:lineRule="exact"/>
              <w:rPr>
                <w:sz w:val="20"/>
                <w:szCs w:val="20"/>
                <w:color w:val="auto"/>
              </w:rPr>
            </w:pPr>
            <w:r>
              <w:rPr>
                <w:rFonts w:ascii="Arial" w:cs="Arial" w:eastAsia="Arial" w:hAnsi="Arial"/>
                <w:sz w:val="13"/>
                <w:szCs w:val="13"/>
                <w:color w:val="auto"/>
              </w:rPr>
              <w:t>of our policy regarding recoupment or reduction of incentive compensation (sometimes referred to as our “clawback policy”).</w:t>
            </w:r>
          </w:p>
        </w:tc>
      </w:tr>
      <w:tr>
        <w:trPr>
          <w:trHeight w:val="145"/>
        </w:trPr>
        <w:tc>
          <w:tcPr>
            <w:tcW w:w="2120" w:type="dxa"/>
            <w:vAlign w:val="bottom"/>
            <w:shd w:val="clear" w:color="auto" w:fill="ECEDED"/>
          </w:tcPr>
          <w:p>
            <w:pPr>
              <w:ind w:left="60"/>
              <w:spacing w:after="0" w:line="146" w:lineRule="exact"/>
              <w:rPr>
                <w:sz w:val="20"/>
                <w:szCs w:val="20"/>
                <w:color w:val="auto"/>
              </w:rPr>
            </w:pPr>
            <w:r>
              <w:rPr>
                <w:rFonts w:ascii="Arial" w:cs="Arial" w:eastAsia="Arial" w:hAnsi="Arial"/>
                <w:sz w:val="13"/>
                <w:szCs w:val="13"/>
                <w:b w:val="1"/>
                <w:bCs w:val="1"/>
                <w:color w:val="auto"/>
              </w:rPr>
              <w:t>Independent Administration</w:t>
            </w:r>
          </w:p>
        </w:tc>
        <w:tc>
          <w:tcPr>
            <w:tcW w:w="7980" w:type="dxa"/>
            <w:vAlign w:val="bottom"/>
            <w:shd w:val="clear" w:color="auto" w:fill="ECEDED"/>
          </w:tcPr>
          <w:p>
            <w:pPr>
              <w:ind w:left="60"/>
              <w:spacing w:after="0" w:line="146" w:lineRule="exact"/>
              <w:rPr>
                <w:sz w:val="20"/>
                <w:szCs w:val="20"/>
                <w:color w:val="auto"/>
              </w:rPr>
            </w:pPr>
            <w:r>
              <w:rPr>
                <w:rFonts w:ascii="Arial" w:cs="Arial" w:eastAsia="Arial" w:hAnsi="Arial"/>
                <w:sz w:val="13"/>
                <w:szCs w:val="13"/>
                <w:color w:val="auto"/>
              </w:rPr>
              <w:t>The Plan is administered by the Compensation Committee, which is intended to be comprised solely of non-employee directors each of</w:t>
            </w:r>
          </w:p>
        </w:tc>
      </w:tr>
      <w:tr>
        <w:trPr>
          <w:trHeight w:val="148"/>
        </w:trPr>
        <w:tc>
          <w:tcPr>
            <w:tcW w:w="2120" w:type="dxa"/>
            <w:vAlign w:val="bottom"/>
            <w:shd w:val="clear" w:color="auto" w:fill="ECEDED"/>
          </w:tcPr>
          <w:p>
            <w:pPr>
              <w:spacing w:after="0"/>
              <w:rPr>
                <w:sz w:val="12"/>
                <w:szCs w:val="12"/>
                <w:color w:val="auto"/>
              </w:rPr>
            </w:pPr>
          </w:p>
        </w:tc>
        <w:tc>
          <w:tcPr>
            <w:tcW w:w="7980" w:type="dxa"/>
            <w:vAlign w:val="bottom"/>
            <w:shd w:val="clear" w:color="auto" w:fill="ECEDED"/>
          </w:tcPr>
          <w:p>
            <w:pPr>
              <w:ind w:left="60"/>
              <w:spacing w:after="0"/>
              <w:rPr>
                <w:sz w:val="20"/>
                <w:szCs w:val="20"/>
                <w:color w:val="auto"/>
              </w:rPr>
            </w:pPr>
            <w:r>
              <w:rPr>
                <w:rFonts w:ascii="Arial" w:cs="Arial" w:eastAsia="Arial" w:hAnsi="Arial"/>
                <w:sz w:val="13"/>
                <w:szCs w:val="13"/>
                <w:color w:val="auto"/>
              </w:rPr>
              <w:t>whom meets the additional independence criteria applicable to compensation committee members under the listing standards of The</w:t>
            </w:r>
          </w:p>
        </w:tc>
      </w:tr>
      <w:tr>
        <w:trPr>
          <w:trHeight w:val="145"/>
        </w:trPr>
        <w:tc>
          <w:tcPr>
            <w:tcW w:w="2120" w:type="dxa"/>
            <w:vAlign w:val="bottom"/>
            <w:tcBorders>
              <w:bottom w:val="single" w:sz="8" w:color="auto"/>
            </w:tcBorders>
            <w:shd w:val="clear" w:color="auto" w:fill="ECEDED"/>
          </w:tcPr>
          <w:p>
            <w:pPr>
              <w:spacing w:after="0"/>
              <w:rPr>
                <w:sz w:val="12"/>
                <w:szCs w:val="12"/>
                <w:color w:val="auto"/>
              </w:rPr>
            </w:pPr>
          </w:p>
        </w:tc>
        <w:tc>
          <w:tcPr>
            <w:tcW w:w="7980" w:type="dxa"/>
            <w:vAlign w:val="bottom"/>
            <w:tcBorders>
              <w:bottom w:val="single" w:sz="8" w:color="auto"/>
            </w:tcBorders>
            <w:shd w:val="clear" w:color="auto" w:fill="ECEDED"/>
          </w:tcPr>
          <w:p>
            <w:pPr>
              <w:ind w:left="60"/>
              <w:spacing w:after="0" w:line="145" w:lineRule="exact"/>
              <w:rPr>
                <w:sz w:val="20"/>
                <w:szCs w:val="20"/>
                <w:color w:val="auto"/>
              </w:rPr>
            </w:pPr>
            <w:r>
              <w:rPr>
                <w:rFonts w:ascii="Arial" w:cs="Arial" w:eastAsia="Arial" w:hAnsi="Arial"/>
                <w:sz w:val="13"/>
                <w:szCs w:val="13"/>
                <w:color w:val="auto"/>
              </w:rPr>
              <w:t>NASDAQ Stock Market LLC and qualifies as a “Non-Employee Director” pursuant to Rule 16b-3 under the Exchange Act.</w:t>
            </w:r>
          </w:p>
        </w:tc>
      </w:tr>
      <w:tr>
        <w:trPr>
          <w:trHeight w:val="145"/>
        </w:trPr>
        <w:tc>
          <w:tcPr>
            <w:tcW w:w="2120" w:type="dxa"/>
            <w:vAlign w:val="bottom"/>
          </w:tcPr>
          <w:p>
            <w:pPr>
              <w:ind w:left="60"/>
              <w:spacing w:after="0" w:line="146" w:lineRule="exact"/>
              <w:rPr>
                <w:sz w:val="20"/>
                <w:szCs w:val="20"/>
                <w:color w:val="auto"/>
              </w:rPr>
            </w:pPr>
            <w:r>
              <w:rPr>
                <w:rFonts w:ascii="Arial" w:cs="Arial" w:eastAsia="Arial" w:hAnsi="Arial"/>
                <w:sz w:val="13"/>
                <w:szCs w:val="13"/>
                <w:b w:val="1"/>
                <w:bCs w:val="1"/>
                <w:color w:val="auto"/>
              </w:rPr>
              <w:t>No “Evergreen” Provision</w:t>
            </w:r>
          </w:p>
        </w:tc>
        <w:tc>
          <w:tcPr>
            <w:tcW w:w="7980" w:type="dxa"/>
            <w:vAlign w:val="bottom"/>
          </w:tcPr>
          <w:p>
            <w:pPr>
              <w:ind w:left="60"/>
              <w:spacing w:after="0" w:line="146" w:lineRule="exact"/>
              <w:rPr>
                <w:sz w:val="20"/>
                <w:szCs w:val="20"/>
                <w:color w:val="auto"/>
              </w:rPr>
            </w:pPr>
            <w:r>
              <w:rPr>
                <w:rFonts w:ascii="Arial" w:cs="Arial" w:eastAsia="Arial" w:hAnsi="Arial"/>
                <w:sz w:val="13"/>
                <w:szCs w:val="13"/>
                <w:color w:val="auto"/>
              </w:rPr>
              <w:t>The Plan does not contain an “evergreen” feature pursuant to which the shares authorized for issuance thereunder can be automatically</w:t>
            </w:r>
          </w:p>
        </w:tc>
      </w:tr>
      <w:tr>
        <w:trPr>
          <w:trHeight w:val="145"/>
        </w:trPr>
        <w:tc>
          <w:tcPr>
            <w:tcW w:w="2120" w:type="dxa"/>
            <w:vAlign w:val="bottom"/>
            <w:tcBorders>
              <w:bottom w:val="single" w:sz="8" w:color="auto"/>
            </w:tcBorders>
          </w:tcPr>
          <w:p>
            <w:pPr>
              <w:spacing w:after="0"/>
              <w:rPr>
                <w:sz w:val="12"/>
                <w:szCs w:val="12"/>
                <w:color w:val="auto"/>
              </w:rPr>
            </w:pPr>
          </w:p>
        </w:tc>
        <w:tc>
          <w:tcPr>
            <w:tcW w:w="7980" w:type="dxa"/>
            <w:vAlign w:val="bottom"/>
            <w:tcBorders>
              <w:bottom w:val="single" w:sz="8" w:color="auto"/>
            </w:tcBorders>
          </w:tcPr>
          <w:p>
            <w:pPr>
              <w:ind w:left="60"/>
              <w:spacing w:after="0" w:line="145" w:lineRule="exact"/>
              <w:rPr>
                <w:sz w:val="20"/>
                <w:szCs w:val="20"/>
                <w:color w:val="auto"/>
              </w:rPr>
            </w:pPr>
            <w:r>
              <w:rPr>
                <w:rFonts w:ascii="Arial" w:cs="Arial" w:eastAsia="Arial" w:hAnsi="Arial"/>
                <w:sz w:val="13"/>
                <w:szCs w:val="13"/>
                <w:color w:val="auto"/>
              </w:rPr>
              <w:t>replenished.</w:t>
            </w:r>
          </w:p>
        </w:tc>
      </w:tr>
      <w:tr>
        <w:trPr>
          <w:trHeight w:val="142"/>
        </w:trPr>
        <w:tc>
          <w:tcPr>
            <w:tcW w:w="2120" w:type="dxa"/>
            <w:vAlign w:val="bottom"/>
            <w:tcBorders>
              <w:bottom w:val="single" w:sz="8" w:color="1F5AA8"/>
            </w:tcBorders>
            <w:shd w:val="clear" w:color="auto" w:fill="ECEDED"/>
          </w:tcPr>
          <w:p>
            <w:pPr>
              <w:ind w:left="60"/>
              <w:spacing w:after="0" w:line="142" w:lineRule="exact"/>
              <w:rPr>
                <w:sz w:val="20"/>
                <w:szCs w:val="20"/>
                <w:color w:val="auto"/>
              </w:rPr>
            </w:pPr>
            <w:r>
              <w:rPr>
                <w:rFonts w:ascii="Arial" w:cs="Arial" w:eastAsia="Arial" w:hAnsi="Arial"/>
                <w:sz w:val="13"/>
                <w:szCs w:val="13"/>
                <w:b w:val="1"/>
                <w:bCs w:val="1"/>
                <w:color w:val="auto"/>
              </w:rPr>
              <w:t>No Tax Gross-ups</w:t>
            </w:r>
          </w:p>
        </w:tc>
        <w:tc>
          <w:tcPr>
            <w:tcW w:w="7980" w:type="dxa"/>
            <w:vAlign w:val="bottom"/>
            <w:tcBorders>
              <w:bottom w:val="single" w:sz="8" w:color="1F5AA8"/>
            </w:tcBorders>
            <w:shd w:val="clear" w:color="auto" w:fill="ECEDED"/>
          </w:tcPr>
          <w:p>
            <w:pPr>
              <w:ind w:left="60"/>
              <w:spacing w:after="0" w:line="142" w:lineRule="exact"/>
              <w:rPr>
                <w:sz w:val="20"/>
                <w:szCs w:val="20"/>
                <w:color w:val="auto"/>
              </w:rPr>
            </w:pPr>
            <w:r>
              <w:rPr>
                <w:rFonts w:ascii="Arial" w:cs="Arial" w:eastAsia="Arial" w:hAnsi="Arial"/>
                <w:sz w:val="13"/>
                <w:szCs w:val="13"/>
                <w:color w:val="auto"/>
              </w:rPr>
              <w:t>The Plan does not provide for any tax gross-ups.</w:t>
            </w:r>
          </w:p>
        </w:tc>
      </w:tr>
    </w:tbl>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05BA8"/>
        </w:rPr>
        <w:t>Key Equity Metrics</w:t>
      </w:r>
    </w:p>
    <w:p>
      <w:pPr>
        <w:spacing w:after="0" w:line="177" w:lineRule="exact"/>
        <w:rPr>
          <w:sz w:val="20"/>
          <w:szCs w:val="20"/>
          <w:color w:val="auto"/>
        </w:rPr>
      </w:pPr>
    </w:p>
    <w:p>
      <w:pPr>
        <w:ind w:left="460" w:right="640"/>
        <w:spacing w:after="0" w:line="235" w:lineRule="auto"/>
        <w:rPr>
          <w:sz w:val="20"/>
          <w:szCs w:val="20"/>
          <w:color w:val="auto"/>
        </w:rPr>
      </w:pPr>
      <w:r>
        <w:rPr>
          <w:rFonts w:ascii="Arial" w:cs="Arial" w:eastAsia="Arial" w:hAnsi="Arial"/>
          <w:sz w:val="15"/>
          <w:szCs w:val="15"/>
          <w:color w:val="auto"/>
        </w:rPr>
        <w:t>The following table summarizes some key metrics relating to the equity component of our compensation program. When evaluating the information below, it is important to keep in mind the 46% increase in the number of our employees from 2018 to 2020 and our all-employee equity award strategy encompassing initial equity grants to all new hires as well as a comprehensive annual equity program covering all levels of employees:</w:t>
      </w:r>
    </w:p>
    <w:p>
      <w:pPr>
        <w:spacing w:after="0" w:line="133" w:lineRule="exact"/>
        <w:rPr>
          <w:sz w:val="20"/>
          <w:szCs w:val="20"/>
          <w:color w:val="auto"/>
        </w:rPr>
      </w:pPr>
    </w:p>
    <w:tbl>
      <w:tblPr>
        <w:tblLayout w:type="fixed"/>
        <w:tblInd w:w="460" w:type="dxa"/>
        <w:tblCellMar>
          <w:top w:w="0" w:type="dxa"/>
          <w:left w:w="0" w:type="dxa"/>
          <w:bottom w:w="0" w:type="dxa"/>
          <w:right w:w="0" w:type="dxa"/>
        </w:tblCellMar>
      </w:tblPr>
      <w:tr>
        <w:trPr>
          <w:trHeight w:val="147"/>
        </w:trPr>
        <w:tc>
          <w:tcPr>
            <w:tcW w:w="4060" w:type="dxa"/>
            <w:vAlign w:val="bottom"/>
            <w:tcBorders>
              <w:bottom w:val="single" w:sz="8" w:color="1F5AA8"/>
            </w:tcBorders>
          </w:tcPr>
          <w:p>
            <w:pPr>
              <w:spacing w:after="0"/>
              <w:rPr>
                <w:sz w:val="12"/>
                <w:szCs w:val="12"/>
                <w:color w:val="auto"/>
              </w:rPr>
            </w:pPr>
          </w:p>
        </w:tc>
        <w:tc>
          <w:tcPr>
            <w:tcW w:w="3540" w:type="dxa"/>
            <w:vAlign w:val="bottom"/>
            <w:tcBorders>
              <w:bottom w:val="single" w:sz="8" w:color="1F5AA8"/>
            </w:tcBorders>
          </w:tcPr>
          <w:p>
            <w:pPr>
              <w:jc w:val="right"/>
              <w:ind w:right="456"/>
              <w:spacing w:after="0"/>
              <w:rPr>
                <w:sz w:val="20"/>
                <w:szCs w:val="20"/>
                <w:color w:val="auto"/>
              </w:rPr>
            </w:pPr>
            <w:r>
              <w:rPr>
                <w:rFonts w:ascii="Arial" w:cs="Arial" w:eastAsia="Arial" w:hAnsi="Arial"/>
                <w:sz w:val="12"/>
                <w:szCs w:val="12"/>
                <w:b w:val="1"/>
                <w:bCs w:val="1"/>
                <w:color w:val="205BA8"/>
              </w:rPr>
              <w:t>2020</w:t>
            </w:r>
          </w:p>
        </w:tc>
        <w:tc>
          <w:tcPr>
            <w:tcW w:w="1500" w:type="dxa"/>
            <w:vAlign w:val="bottom"/>
            <w:tcBorders>
              <w:bottom w:val="single" w:sz="8" w:color="1F5AA8"/>
            </w:tcBorders>
          </w:tcPr>
          <w:p>
            <w:pPr>
              <w:jc w:val="right"/>
              <w:ind w:right="456"/>
              <w:spacing w:after="0"/>
              <w:rPr>
                <w:sz w:val="20"/>
                <w:szCs w:val="20"/>
                <w:color w:val="auto"/>
              </w:rPr>
            </w:pPr>
            <w:r>
              <w:rPr>
                <w:rFonts w:ascii="Arial" w:cs="Arial" w:eastAsia="Arial" w:hAnsi="Arial"/>
                <w:sz w:val="12"/>
                <w:szCs w:val="12"/>
                <w:b w:val="1"/>
                <w:bCs w:val="1"/>
                <w:color w:val="205BA8"/>
              </w:rPr>
              <w:t>2019</w:t>
            </w:r>
          </w:p>
        </w:tc>
        <w:tc>
          <w:tcPr>
            <w:tcW w:w="1000" w:type="dxa"/>
            <w:vAlign w:val="bottom"/>
            <w:tcBorders>
              <w:bottom w:val="single" w:sz="8" w:color="1F5AA8"/>
            </w:tcBorders>
          </w:tcPr>
          <w:p>
            <w:pPr>
              <w:jc w:val="right"/>
              <w:spacing w:after="0"/>
              <w:rPr>
                <w:sz w:val="20"/>
                <w:szCs w:val="20"/>
                <w:color w:val="auto"/>
              </w:rPr>
            </w:pPr>
            <w:r>
              <w:rPr>
                <w:rFonts w:ascii="Arial" w:cs="Arial" w:eastAsia="Arial" w:hAnsi="Arial"/>
                <w:sz w:val="12"/>
                <w:szCs w:val="12"/>
                <w:b w:val="1"/>
                <w:bCs w:val="1"/>
                <w:color w:val="205BA8"/>
              </w:rPr>
              <w:t>2018</w:t>
            </w:r>
          </w:p>
        </w:tc>
      </w:tr>
      <w:tr>
        <w:trPr>
          <w:trHeight w:val="153"/>
        </w:trPr>
        <w:tc>
          <w:tcPr>
            <w:tcW w:w="4060" w:type="dxa"/>
            <w:vAlign w:val="bottom"/>
          </w:tcPr>
          <w:p>
            <w:pPr>
              <w:ind w:left="60"/>
              <w:spacing w:after="0" w:line="154" w:lineRule="exact"/>
              <w:rPr>
                <w:sz w:val="20"/>
                <w:szCs w:val="20"/>
                <w:color w:val="auto"/>
              </w:rPr>
            </w:pPr>
            <w:r>
              <w:rPr>
                <w:rFonts w:ascii="Arial" w:cs="Arial" w:eastAsia="Arial" w:hAnsi="Arial"/>
                <w:sz w:val="11"/>
                <w:szCs w:val="11"/>
                <w:b w:val="1"/>
                <w:bCs w:val="1"/>
                <w:color w:val="auto"/>
              </w:rPr>
              <w:t>Unadjusted Burn Rate</w:t>
            </w:r>
            <w:r>
              <w:rPr>
                <w:rFonts w:ascii="Arial" w:cs="Arial" w:eastAsia="Arial" w:hAnsi="Arial"/>
                <w:sz w:val="17"/>
                <w:szCs w:val="17"/>
                <w:b w:val="1"/>
                <w:bCs w:val="1"/>
                <w:color w:val="auto"/>
                <w:vertAlign w:val="superscript"/>
              </w:rPr>
              <w:t>1</w:t>
            </w:r>
          </w:p>
        </w:tc>
        <w:tc>
          <w:tcPr>
            <w:tcW w:w="3540" w:type="dxa"/>
            <w:vAlign w:val="bottom"/>
          </w:tcPr>
          <w:p>
            <w:pPr>
              <w:jc w:val="right"/>
              <w:ind w:right="456"/>
              <w:spacing w:after="0"/>
              <w:rPr>
                <w:sz w:val="20"/>
                <w:szCs w:val="20"/>
                <w:color w:val="auto"/>
              </w:rPr>
            </w:pPr>
            <w:r>
              <w:rPr>
                <w:rFonts w:ascii="Arial" w:cs="Arial" w:eastAsia="Arial" w:hAnsi="Arial"/>
                <w:sz w:val="13"/>
                <w:szCs w:val="13"/>
                <w:color w:val="auto"/>
              </w:rPr>
              <w:t>3.25%</w:t>
            </w:r>
          </w:p>
        </w:tc>
        <w:tc>
          <w:tcPr>
            <w:tcW w:w="1500" w:type="dxa"/>
            <w:vAlign w:val="bottom"/>
          </w:tcPr>
          <w:p>
            <w:pPr>
              <w:jc w:val="right"/>
              <w:ind w:right="456"/>
              <w:spacing w:after="0"/>
              <w:rPr>
                <w:sz w:val="20"/>
                <w:szCs w:val="20"/>
                <w:color w:val="auto"/>
              </w:rPr>
            </w:pPr>
            <w:r>
              <w:rPr>
                <w:rFonts w:ascii="Arial" w:cs="Arial" w:eastAsia="Arial" w:hAnsi="Arial"/>
                <w:sz w:val="13"/>
                <w:szCs w:val="13"/>
                <w:color w:val="auto"/>
              </w:rPr>
              <w:t>3.58%</w:t>
            </w:r>
          </w:p>
        </w:tc>
        <w:tc>
          <w:tcPr>
            <w:tcW w:w="1000" w:type="dxa"/>
            <w:vAlign w:val="bottom"/>
          </w:tcPr>
          <w:p>
            <w:pPr>
              <w:jc w:val="right"/>
              <w:spacing w:after="0"/>
              <w:rPr>
                <w:sz w:val="20"/>
                <w:szCs w:val="20"/>
                <w:color w:val="auto"/>
              </w:rPr>
            </w:pPr>
            <w:r>
              <w:rPr>
                <w:rFonts w:ascii="Arial" w:cs="Arial" w:eastAsia="Arial" w:hAnsi="Arial"/>
                <w:sz w:val="13"/>
                <w:szCs w:val="13"/>
                <w:color w:val="auto"/>
              </w:rPr>
              <w:t>4.68%</w:t>
            </w:r>
          </w:p>
        </w:tc>
      </w:tr>
      <w:tr>
        <w:trPr>
          <w:trHeight w:val="191"/>
        </w:trPr>
        <w:tc>
          <w:tcPr>
            <w:tcW w:w="4060" w:type="dxa"/>
            <w:vAlign w:val="bottom"/>
            <w:tcBorders>
              <w:bottom w:val="single" w:sz="8" w:color="auto"/>
            </w:tcBorders>
          </w:tcPr>
          <w:p>
            <w:pPr>
              <w:ind w:left="60"/>
              <w:spacing w:after="0" w:line="192" w:lineRule="exact"/>
              <w:rPr>
                <w:sz w:val="20"/>
                <w:szCs w:val="20"/>
                <w:color w:val="auto"/>
              </w:rPr>
            </w:pPr>
            <w:r>
              <w:rPr>
                <w:rFonts w:ascii="Arial" w:cs="Arial" w:eastAsia="Arial" w:hAnsi="Arial"/>
                <w:sz w:val="13"/>
                <w:szCs w:val="13"/>
                <w:b w:val="1"/>
                <w:bCs w:val="1"/>
                <w:color w:val="auto"/>
              </w:rPr>
              <w:t>Adjusted Burn Rate</w:t>
            </w:r>
            <w:r>
              <w:rPr>
                <w:rFonts w:ascii="Arial" w:cs="Arial" w:eastAsia="Arial" w:hAnsi="Arial"/>
                <w:sz w:val="21"/>
                <w:szCs w:val="21"/>
                <w:b w:val="1"/>
                <w:bCs w:val="1"/>
                <w:color w:val="auto"/>
                <w:vertAlign w:val="superscript"/>
              </w:rPr>
              <w:t>1</w:t>
            </w:r>
          </w:p>
        </w:tc>
        <w:tc>
          <w:tcPr>
            <w:tcW w:w="354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4.15%</w:t>
            </w:r>
          </w:p>
        </w:tc>
        <w:tc>
          <w:tcPr>
            <w:tcW w:w="15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4.46%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w:t>
            </w:r>
          </w:p>
        </w:tc>
      </w:tr>
      <w:tr>
        <w:trPr>
          <w:trHeight w:val="169"/>
        </w:trPr>
        <w:tc>
          <w:tcPr>
            <w:tcW w:w="4060" w:type="dxa"/>
            <w:vAlign w:val="bottom"/>
            <w:tcBorders>
              <w:bottom w:val="single" w:sz="8" w:color="auto"/>
            </w:tcBorders>
            <w:shd w:val="clear" w:color="auto" w:fill="ECEDED"/>
          </w:tcPr>
          <w:p>
            <w:pPr>
              <w:ind w:left="60"/>
              <w:spacing w:after="0" w:line="169" w:lineRule="exact"/>
              <w:rPr>
                <w:sz w:val="20"/>
                <w:szCs w:val="20"/>
                <w:color w:val="auto"/>
              </w:rPr>
            </w:pPr>
            <w:r>
              <w:rPr>
                <w:rFonts w:ascii="Arial" w:cs="Arial" w:eastAsia="Arial" w:hAnsi="Arial"/>
                <w:sz w:val="12"/>
                <w:szCs w:val="12"/>
                <w:b w:val="1"/>
                <w:bCs w:val="1"/>
                <w:color w:val="auto"/>
              </w:rPr>
              <w:t>Overhang</w:t>
            </w:r>
            <w:r>
              <w:rPr>
                <w:rFonts w:ascii="Arial" w:cs="Arial" w:eastAsia="Arial" w:hAnsi="Arial"/>
                <w:sz w:val="19"/>
                <w:szCs w:val="19"/>
                <w:b w:val="1"/>
                <w:bCs w:val="1"/>
                <w:color w:val="auto"/>
                <w:vertAlign w:val="superscript"/>
              </w:rPr>
              <w:t>2</w:t>
            </w:r>
          </w:p>
        </w:tc>
        <w:tc>
          <w:tcPr>
            <w:tcW w:w="3540" w:type="dxa"/>
            <w:vAlign w:val="bottom"/>
            <w:tcBorders>
              <w:bottom w:val="single" w:sz="8" w:color="auto"/>
            </w:tcBorders>
            <w:shd w:val="clear" w:color="auto" w:fill="ECEDED"/>
          </w:tcPr>
          <w:p>
            <w:pPr>
              <w:jc w:val="right"/>
              <w:ind w:right="456"/>
              <w:spacing w:after="0"/>
              <w:rPr>
                <w:sz w:val="20"/>
                <w:szCs w:val="20"/>
                <w:color w:val="auto"/>
              </w:rPr>
            </w:pPr>
            <w:r>
              <w:rPr>
                <w:rFonts w:ascii="Arial" w:cs="Arial" w:eastAsia="Arial" w:hAnsi="Arial"/>
                <w:sz w:val="13"/>
                <w:szCs w:val="13"/>
                <w:color w:val="auto"/>
              </w:rPr>
              <w:t>29.27%</w:t>
            </w:r>
          </w:p>
        </w:tc>
        <w:tc>
          <w:tcPr>
            <w:tcW w:w="1500" w:type="dxa"/>
            <w:vAlign w:val="bottom"/>
            <w:tcBorders>
              <w:bottom w:val="single" w:sz="8" w:color="auto"/>
            </w:tcBorders>
            <w:shd w:val="clear" w:color="auto" w:fill="ECEDED"/>
          </w:tcPr>
          <w:p>
            <w:pPr>
              <w:jc w:val="right"/>
              <w:ind w:right="456"/>
              <w:spacing w:after="0"/>
              <w:rPr>
                <w:sz w:val="20"/>
                <w:szCs w:val="20"/>
                <w:color w:val="auto"/>
              </w:rPr>
            </w:pPr>
            <w:r>
              <w:rPr>
                <w:rFonts w:ascii="Arial" w:cs="Arial" w:eastAsia="Arial" w:hAnsi="Arial"/>
                <w:sz w:val="13"/>
                <w:szCs w:val="13"/>
                <w:color w:val="auto"/>
              </w:rPr>
              <w:t>26.47%</w:t>
            </w:r>
          </w:p>
        </w:tc>
        <w:tc>
          <w:tcPr>
            <w:tcW w:w="1000" w:type="dxa"/>
            <w:vAlign w:val="bottom"/>
            <w:tcBorders>
              <w:bottom w:val="single" w:sz="8" w:color="auto"/>
            </w:tcBorders>
            <w:shd w:val="clear" w:color="auto" w:fill="ECEDED"/>
          </w:tcPr>
          <w:p>
            <w:pPr>
              <w:jc w:val="right"/>
              <w:spacing w:after="0"/>
              <w:rPr>
                <w:sz w:val="20"/>
                <w:szCs w:val="20"/>
                <w:color w:val="auto"/>
              </w:rPr>
            </w:pPr>
            <w:r>
              <w:rPr>
                <w:rFonts w:ascii="Arial" w:cs="Arial" w:eastAsia="Arial" w:hAnsi="Arial"/>
                <w:sz w:val="13"/>
                <w:szCs w:val="13"/>
                <w:color w:val="auto"/>
              </w:rPr>
              <w:t>27.35%</w:t>
            </w:r>
          </w:p>
        </w:tc>
      </w:tr>
      <w:tr>
        <w:trPr>
          <w:trHeight w:val="169"/>
        </w:trPr>
        <w:tc>
          <w:tcPr>
            <w:tcW w:w="4060" w:type="dxa"/>
            <w:vAlign w:val="bottom"/>
            <w:tcBorders>
              <w:bottom w:val="single" w:sz="8" w:color="1F5AA8"/>
            </w:tcBorders>
          </w:tcPr>
          <w:p>
            <w:pPr>
              <w:ind w:left="60"/>
              <w:spacing w:after="0" w:line="169" w:lineRule="exact"/>
              <w:rPr>
                <w:sz w:val="20"/>
                <w:szCs w:val="20"/>
                <w:color w:val="auto"/>
              </w:rPr>
            </w:pPr>
            <w:r>
              <w:rPr>
                <w:rFonts w:ascii="Arial" w:cs="Arial" w:eastAsia="Arial" w:hAnsi="Arial"/>
                <w:sz w:val="12"/>
                <w:szCs w:val="12"/>
                <w:b w:val="1"/>
                <w:bCs w:val="1"/>
                <w:color w:val="auto"/>
              </w:rPr>
              <w:t>Dilution</w:t>
            </w:r>
            <w:r>
              <w:rPr>
                <w:rFonts w:ascii="Arial" w:cs="Arial" w:eastAsia="Arial" w:hAnsi="Arial"/>
                <w:sz w:val="19"/>
                <w:szCs w:val="19"/>
                <w:b w:val="1"/>
                <w:bCs w:val="1"/>
                <w:color w:val="auto"/>
                <w:vertAlign w:val="superscript"/>
              </w:rPr>
              <w:t>3</w:t>
            </w:r>
          </w:p>
        </w:tc>
        <w:tc>
          <w:tcPr>
            <w:tcW w:w="3540" w:type="dxa"/>
            <w:vAlign w:val="bottom"/>
            <w:tcBorders>
              <w:bottom w:val="single" w:sz="8" w:color="1F5AA8"/>
            </w:tcBorders>
          </w:tcPr>
          <w:p>
            <w:pPr>
              <w:jc w:val="right"/>
              <w:ind w:right="456"/>
              <w:spacing w:after="0"/>
              <w:rPr>
                <w:sz w:val="20"/>
                <w:szCs w:val="20"/>
                <w:color w:val="auto"/>
              </w:rPr>
            </w:pPr>
            <w:r>
              <w:rPr>
                <w:rFonts w:ascii="Arial" w:cs="Arial" w:eastAsia="Arial" w:hAnsi="Arial"/>
                <w:sz w:val="13"/>
                <w:szCs w:val="13"/>
                <w:color w:val="auto"/>
              </w:rPr>
              <w:t>18.98%</w:t>
            </w:r>
          </w:p>
        </w:tc>
        <w:tc>
          <w:tcPr>
            <w:tcW w:w="1500" w:type="dxa"/>
            <w:vAlign w:val="bottom"/>
            <w:tcBorders>
              <w:bottom w:val="single" w:sz="8" w:color="1F5AA8"/>
            </w:tcBorders>
          </w:tcPr>
          <w:p>
            <w:pPr>
              <w:jc w:val="right"/>
              <w:ind w:right="456"/>
              <w:spacing w:after="0"/>
              <w:rPr>
                <w:sz w:val="20"/>
                <w:szCs w:val="20"/>
                <w:color w:val="auto"/>
              </w:rPr>
            </w:pPr>
            <w:r>
              <w:rPr>
                <w:rFonts w:ascii="Arial" w:cs="Arial" w:eastAsia="Arial" w:hAnsi="Arial"/>
                <w:sz w:val="13"/>
                <w:szCs w:val="13"/>
                <w:color w:val="auto"/>
              </w:rPr>
              <w:t>21.42%</w:t>
            </w:r>
          </w:p>
        </w:tc>
        <w:tc>
          <w:tcPr>
            <w:tcW w:w="1000" w:type="dxa"/>
            <w:vAlign w:val="bottom"/>
            <w:tcBorders>
              <w:bottom w:val="single" w:sz="8" w:color="1F5AA8"/>
            </w:tcBorders>
          </w:tcPr>
          <w:p>
            <w:pPr>
              <w:jc w:val="right"/>
              <w:spacing w:after="0"/>
              <w:rPr>
                <w:sz w:val="20"/>
                <w:szCs w:val="20"/>
                <w:color w:val="auto"/>
              </w:rPr>
            </w:pPr>
            <w:r>
              <w:rPr>
                <w:rFonts w:ascii="Arial" w:cs="Arial" w:eastAsia="Arial" w:hAnsi="Arial"/>
                <w:sz w:val="13"/>
                <w:szCs w:val="13"/>
                <w:color w:val="auto"/>
              </w:rPr>
              <w:t>20.94%</w:t>
            </w:r>
          </w:p>
        </w:tc>
      </w:tr>
    </w:tbl>
    <w:p>
      <w:pPr>
        <w:spacing w:after="0" w:line="86" w:lineRule="exact"/>
        <w:rPr>
          <w:sz w:val="20"/>
          <w:szCs w:val="20"/>
          <w:color w:val="auto"/>
        </w:rPr>
      </w:pPr>
    </w:p>
    <w:p>
      <w:pPr>
        <w:ind w:left="660" w:right="700" w:hanging="202"/>
        <w:spacing w:after="0" w:line="249" w:lineRule="auto"/>
        <w:tabs>
          <w:tab w:leader="none" w:pos="660" w:val="left"/>
        </w:tabs>
        <w:numPr>
          <w:ilvl w:val="0"/>
          <w:numId w:val="159"/>
        </w:numPr>
        <w:rPr>
          <w:rFonts w:ascii="Arial" w:cs="Arial" w:eastAsia="Arial" w:hAnsi="Arial"/>
          <w:sz w:val="14"/>
          <w:szCs w:val="14"/>
          <w:b w:val="1"/>
          <w:bCs w:val="1"/>
          <w:color w:val="205BA8"/>
        </w:rPr>
      </w:pPr>
      <w:r>
        <w:rPr>
          <w:rFonts w:ascii="Arial" w:cs="Arial" w:eastAsia="Arial" w:hAnsi="Arial"/>
          <w:sz w:val="14"/>
          <w:szCs w:val="14"/>
          <w:color w:val="auto"/>
        </w:rPr>
        <w:t>Calculated by dividing (a) the sum of the number of shares subject to (i) stock options, RSAs, and RSUs granted during the year and (ii) PSUs earned during the year (if any), by (b) the basic weighted-average number of shares of common stock and Class A stock outstanding during the year. For “Adjusted Burn Rate,” a multiplier of 2.5 is applied to RSAs, RSUs, and PSUs.</w:t>
      </w:r>
    </w:p>
    <w:p>
      <w:pPr>
        <w:spacing w:after="0" w:line="147" w:lineRule="exact"/>
        <w:rPr>
          <w:sz w:val="20"/>
          <w:szCs w:val="20"/>
          <w:color w:val="auto"/>
        </w:rPr>
      </w:pPr>
    </w:p>
    <w:p>
      <w:pPr>
        <w:ind w:left="660" w:right="720" w:hanging="202"/>
        <w:spacing w:after="0" w:line="245" w:lineRule="auto"/>
        <w:tabs>
          <w:tab w:leader="none" w:pos="660" w:val="left"/>
        </w:tabs>
        <w:numPr>
          <w:ilvl w:val="0"/>
          <w:numId w:val="160"/>
        </w:numPr>
        <w:rPr>
          <w:rFonts w:ascii="Arial" w:cs="Arial" w:eastAsia="Arial" w:hAnsi="Arial"/>
          <w:sz w:val="14"/>
          <w:szCs w:val="14"/>
          <w:b w:val="1"/>
          <w:bCs w:val="1"/>
          <w:color w:val="205BA8"/>
        </w:rPr>
      </w:pPr>
      <w:r>
        <w:rPr>
          <w:rFonts w:ascii="Arial" w:cs="Arial" w:eastAsia="Arial" w:hAnsi="Arial"/>
          <w:sz w:val="14"/>
          <w:szCs w:val="14"/>
          <w:color w:val="auto"/>
        </w:rPr>
        <w:t>Calculated by dividing (a) the sum of (i) the number of shares subject to equity awards (stock options and unvested RSAs, RSUs, and PSUs (assuming, in the case of PSUs, maximum payouts earned)) outstanding at the end of the year and (ii) the number of shares available for future grants under the Plan at the end of the year, by (b) the sum of (i) the number of shares of common stock and Class A stock outstanding at the end of the year, (ii) the shares subject to equity awards (stock options and unvested RSAs, RSUs, and PSUs (assuming, in the case of PSUs, maximum payouts earned)) outstanding at the end of the year, and (iii) the number of shares available for future grants under the Plan at the end of the year.</w:t>
      </w:r>
    </w:p>
    <w:p>
      <w:pPr>
        <w:spacing w:after="0" w:line="150" w:lineRule="exact"/>
        <w:rPr>
          <w:sz w:val="20"/>
          <w:szCs w:val="20"/>
          <w:color w:val="auto"/>
        </w:rPr>
      </w:pPr>
    </w:p>
    <w:p>
      <w:pPr>
        <w:ind w:left="660" w:right="680" w:hanging="202"/>
        <w:spacing w:after="0" w:line="247" w:lineRule="auto"/>
        <w:tabs>
          <w:tab w:leader="none" w:pos="660" w:val="left"/>
        </w:tabs>
        <w:numPr>
          <w:ilvl w:val="0"/>
          <w:numId w:val="161"/>
        </w:numPr>
        <w:rPr>
          <w:rFonts w:ascii="Arial" w:cs="Arial" w:eastAsia="Arial" w:hAnsi="Arial"/>
          <w:sz w:val="14"/>
          <w:szCs w:val="14"/>
          <w:b w:val="1"/>
          <w:bCs w:val="1"/>
          <w:color w:val="205BA8"/>
        </w:rPr>
      </w:pPr>
      <w:r>
        <w:rPr>
          <w:rFonts w:ascii="Arial" w:cs="Arial" w:eastAsia="Arial" w:hAnsi="Arial"/>
          <w:sz w:val="14"/>
          <w:szCs w:val="14"/>
          <w:color w:val="auto"/>
        </w:rPr>
        <w:t>Calculated by dividing the number of shares subject to equity awards (stock options and unvested RSAs, RSUs, and PSUs (assuming, in the case of PSUs, maximum payouts earned)) outstanding at the end of the year by the sum of (i) the number of shares of common stock and Class A stock outstanding at the end of the year and (ii) the shares subject to equity awards (stock options and unvested RSAs, RSUs, and PSUs (assuming, in the case of PSUs, maximum payouts earned)) outstanding at the end of the year.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97</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2" w:right="339" w:bottom="1440" w:gutter="0" w:footer="0" w:header="0"/>
        </w:sectPr>
      </w:pPr>
    </w:p>
    <w:bookmarkStart w:id="108" w:name="page109"/>
    <w:bookmarkEnd w:id="108"/>
    <w:p>
      <w:pPr>
        <w:ind w:left="460"/>
        <w:spacing w:after="0"/>
        <w:rPr>
          <w:sz w:val="20"/>
          <w:szCs w:val="20"/>
          <w:color w:val="auto"/>
        </w:rPr>
      </w:pPr>
      <w:r>
        <w:rPr>
          <w:rFonts w:ascii="Arial" w:cs="Arial" w:eastAsia="Arial" w:hAnsi="Arial"/>
          <w:sz w:val="16"/>
          <w:szCs w:val="16"/>
          <w:b w:val="1"/>
          <w:bCs w:val="1"/>
          <w:color w:val="205BA8"/>
        </w:rPr>
        <w:t xml:space="preserve">COMPENSATION-RELATED MATTERS  </w:t>
      </w:r>
      <w:r>
        <w:rPr>
          <w:rFonts w:ascii="Arial" w:cs="Arial" w:eastAsia="Arial" w:hAnsi="Arial"/>
          <w:sz w:val="16"/>
          <w:szCs w:val="16"/>
          <w:color w:val="205BA8"/>
        </w:rPr>
        <w:t>/</w:t>
      </w:r>
      <w:r>
        <w:rPr>
          <w:rFonts w:ascii="Arial" w:cs="Arial" w:eastAsia="Arial" w:hAnsi="Arial"/>
          <w:sz w:val="16"/>
          <w:szCs w:val="16"/>
          <w:b w:val="1"/>
          <w:bCs w:val="1"/>
          <w:color w:val="205BA8"/>
        </w:rPr>
        <w:t xml:space="preserve">  </w:t>
      </w:r>
      <w:r>
        <w:rPr>
          <w:rFonts w:ascii="Arial" w:cs="Arial" w:eastAsia="Arial" w:hAnsi="Arial"/>
          <w:sz w:val="16"/>
          <w:szCs w:val="16"/>
          <w:b w:val="1"/>
          <w:bCs w:val="1"/>
          <w:color w:val="C44E5E"/>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205BA8"/>
        </w:rPr>
        <w:t>Equity Compensation Plan Information</w:t>
      </w:r>
    </w:p>
    <w:p>
      <w:pPr>
        <w:spacing w:after="0" w:line="177" w:lineRule="exact"/>
        <w:rPr>
          <w:sz w:val="20"/>
          <w:szCs w:val="20"/>
          <w:color w:val="auto"/>
        </w:rPr>
      </w:pPr>
    </w:p>
    <w:p>
      <w:pPr>
        <w:ind w:left="460" w:right="1100"/>
        <w:spacing w:after="0" w:line="242" w:lineRule="auto"/>
        <w:rPr>
          <w:sz w:val="20"/>
          <w:szCs w:val="20"/>
          <w:color w:val="auto"/>
        </w:rPr>
      </w:pPr>
      <w:r>
        <w:rPr>
          <w:rFonts w:ascii="Arial" w:cs="Arial" w:eastAsia="Arial" w:hAnsi="Arial"/>
          <w:sz w:val="15"/>
          <w:szCs w:val="15"/>
          <w:color w:val="auto"/>
        </w:rPr>
        <w:t>The following table shows information with respect to securities authorized for issuance under the equity compensation plans maintained by the Company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90170</wp:posOffset>
            </wp:positionV>
            <wp:extent cx="641223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1780" w:type="dxa"/>
            <w:vAlign w:val="bottom"/>
            <w:tcBorders>
              <w:bottom w:val="single" w:sz="8" w:color="1F5AA8"/>
            </w:tcBorders>
          </w:tcPr>
          <w:p>
            <w:pPr>
              <w:spacing w:after="0"/>
              <w:rPr>
                <w:sz w:val="13"/>
                <w:szCs w:val="13"/>
                <w:color w:val="auto"/>
              </w:rPr>
            </w:pPr>
          </w:p>
        </w:tc>
        <w:tc>
          <w:tcPr>
            <w:tcW w:w="2580" w:type="dxa"/>
            <w:vAlign w:val="bottom"/>
            <w:tcBorders>
              <w:bottom w:val="single" w:sz="8" w:color="1F5AA8"/>
            </w:tcBorders>
          </w:tcPr>
          <w:p>
            <w:pPr>
              <w:jc w:val="center"/>
              <w:spacing w:after="0"/>
              <w:rPr>
                <w:sz w:val="20"/>
                <w:szCs w:val="20"/>
                <w:color w:val="auto"/>
              </w:rPr>
            </w:pPr>
            <w:r>
              <w:rPr>
                <w:rFonts w:ascii="Arial" w:cs="Arial" w:eastAsia="Arial" w:hAnsi="Arial"/>
                <w:sz w:val="12"/>
                <w:szCs w:val="12"/>
                <w:color w:val="205BA8"/>
                <w:w w:val="99"/>
              </w:rPr>
              <w:t>A</w:t>
            </w:r>
          </w:p>
        </w:tc>
        <w:tc>
          <w:tcPr>
            <w:tcW w:w="2340" w:type="dxa"/>
            <w:vAlign w:val="bottom"/>
            <w:tcBorders>
              <w:bottom w:val="single" w:sz="8" w:color="1F5AA8"/>
            </w:tcBorders>
          </w:tcPr>
          <w:p>
            <w:pPr>
              <w:jc w:val="center"/>
              <w:spacing w:after="0"/>
              <w:rPr>
                <w:sz w:val="20"/>
                <w:szCs w:val="20"/>
                <w:color w:val="auto"/>
              </w:rPr>
            </w:pPr>
            <w:r>
              <w:rPr>
                <w:rFonts w:ascii="Arial" w:cs="Arial" w:eastAsia="Arial" w:hAnsi="Arial"/>
                <w:sz w:val="12"/>
                <w:szCs w:val="12"/>
                <w:color w:val="205BA8"/>
                <w:w w:val="99"/>
              </w:rPr>
              <w:t>B</w:t>
            </w:r>
          </w:p>
        </w:tc>
        <w:tc>
          <w:tcPr>
            <w:tcW w:w="3400" w:type="dxa"/>
            <w:vAlign w:val="bottom"/>
            <w:tcBorders>
              <w:bottom w:val="single" w:sz="8" w:color="1F5AA8"/>
            </w:tcBorders>
          </w:tcPr>
          <w:p>
            <w:pPr>
              <w:jc w:val="center"/>
              <w:spacing w:after="0"/>
              <w:rPr>
                <w:sz w:val="20"/>
                <w:szCs w:val="20"/>
                <w:color w:val="auto"/>
              </w:rPr>
            </w:pPr>
            <w:r>
              <w:rPr>
                <w:rFonts w:ascii="Arial" w:cs="Arial" w:eastAsia="Arial" w:hAnsi="Arial"/>
                <w:sz w:val="12"/>
                <w:szCs w:val="12"/>
                <w:color w:val="205BA8"/>
                <w:w w:val="91"/>
              </w:rPr>
              <w:t>C</w:t>
            </w:r>
          </w:p>
        </w:tc>
        <w:tc>
          <w:tcPr>
            <w:tcW w:w="0" w:type="dxa"/>
            <w:vAlign w:val="bottom"/>
          </w:tcPr>
          <w:p>
            <w:pPr>
              <w:spacing w:after="0"/>
              <w:rPr>
                <w:sz w:val="1"/>
                <w:szCs w:val="1"/>
                <w:color w:val="auto"/>
              </w:rPr>
            </w:pPr>
          </w:p>
        </w:tc>
      </w:tr>
      <w:tr>
        <w:trPr>
          <w:trHeight w:val="150"/>
        </w:trPr>
        <w:tc>
          <w:tcPr>
            <w:tcW w:w="178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Arial" w:cs="Arial" w:eastAsia="Arial" w:hAnsi="Arial"/>
                <w:sz w:val="12"/>
                <w:szCs w:val="12"/>
                <w:b w:val="1"/>
                <w:bCs w:val="1"/>
                <w:color w:val="205BA8"/>
                <w:w w:val="97"/>
              </w:rPr>
              <w:t>Number of securities to be issued upon</w:t>
            </w:r>
          </w:p>
        </w:tc>
        <w:tc>
          <w:tcPr>
            <w:tcW w:w="2340" w:type="dxa"/>
            <w:vAlign w:val="bottom"/>
          </w:tcPr>
          <w:p>
            <w:pPr>
              <w:jc w:val="center"/>
              <w:spacing w:after="0"/>
              <w:rPr>
                <w:sz w:val="20"/>
                <w:szCs w:val="20"/>
                <w:color w:val="auto"/>
              </w:rPr>
            </w:pPr>
            <w:r>
              <w:rPr>
                <w:rFonts w:ascii="Arial" w:cs="Arial" w:eastAsia="Arial" w:hAnsi="Arial"/>
                <w:sz w:val="12"/>
                <w:szCs w:val="12"/>
                <w:b w:val="1"/>
                <w:bCs w:val="1"/>
                <w:color w:val="205BA8"/>
                <w:w w:val="97"/>
              </w:rPr>
              <w:t>Weighted-average exercise price</w:t>
            </w:r>
          </w:p>
        </w:tc>
        <w:tc>
          <w:tcPr>
            <w:tcW w:w="3400" w:type="dxa"/>
            <w:vAlign w:val="bottom"/>
          </w:tcPr>
          <w:p>
            <w:pPr>
              <w:jc w:val="center"/>
              <w:spacing w:after="0"/>
              <w:rPr>
                <w:sz w:val="20"/>
                <w:szCs w:val="20"/>
                <w:color w:val="auto"/>
              </w:rPr>
            </w:pPr>
            <w:r>
              <w:rPr>
                <w:rFonts w:ascii="Arial" w:cs="Arial" w:eastAsia="Arial" w:hAnsi="Arial"/>
                <w:sz w:val="12"/>
                <w:szCs w:val="12"/>
                <w:b w:val="1"/>
                <w:bCs w:val="1"/>
                <w:color w:val="205BA8"/>
                <w:w w:val="97"/>
              </w:rPr>
              <w:t>Number of securities remaining available for</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258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7"/>
              </w:rPr>
              <w:t>exercise of outstanding options,</w:t>
            </w:r>
          </w:p>
        </w:tc>
        <w:tc>
          <w:tcPr>
            <w:tcW w:w="234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7"/>
              </w:rPr>
              <w:t>of outstanding options,</w:t>
            </w:r>
          </w:p>
        </w:tc>
        <w:tc>
          <w:tcPr>
            <w:tcW w:w="340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7"/>
              </w:rPr>
              <w:t>future issuance under equity compensation plans</w:t>
            </w:r>
          </w:p>
        </w:tc>
        <w:tc>
          <w:tcPr>
            <w:tcW w:w="0" w:type="dxa"/>
            <w:vAlign w:val="bottom"/>
          </w:tcPr>
          <w:p>
            <w:pPr>
              <w:spacing w:after="0"/>
              <w:rPr>
                <w:sz w:val="1"/>
                <w:szCs w:val="1"/>
                <w:color w:val="auto"/>
              </w:rPr>
            </w:pPr>
          </w:p>
        </w:tc>
      </w:tr>
      <w:tr>
        <w:trPr>
          <w:trHeight w:val="167"/>
        </w:trPr>
        <w:tc>
          <w:tcPr>
            <w:tcW w:w="1780" w:type="dxa"/>
            <w:vAlign w:val="bottom"/>
            <w:tcBorders>
              <w:bottom w:val="single" w:sz="8" w:color="1F5AA8"/>
            </w:tcBorders>
          </w:tcPr>
          <w:p>
            <w:pPr>
              <w:ind w:left="60"/>
              <w:spacing w:after="0"/>
              <w:rPr>
                <w:sz w:val="20"/>
                <w:szCs w:val="20"/>
                <w:color w:val="auto"/>
              </w:rPr>
            </w:pPr>
            <w:r>
              <w:rPr>
                <w:rFonts w:ascii="Arial" w:cs="Arial" w:eastAsia="Arial" w:hAnsi="Arial"/>
                <w:sz w:val="12"/>
                <w:szCs w:val="12"/>
                <w:b w:val="1"/>
                <w:bCs w:val="1"/>
                <w:color w:val="205BA8"/>
              </w:rPr>
              <w:t>Plan Category</w:t>
            </w:r>
          </w:p>
        </w:tc>
        <w:tc>
          <w:tcPr>
            <w:tcW w:w="258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205BA8"/>
                <w:w w:val="97"/>
              </w:rPr>
              <w:t>warrants, and rights</w:t>
            </w:r>
          </w:p>
        </w:tc>
        <w:tc>
          <w:tcPr>
            <w:tcW w:w="234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205BA8"/>
                <w:w w:val="97"/>
              </w:rPr>
              <w:t>warrants, and rights</w:t>
            </w:r>
          </w:p>
        </w:tc>
        <w:tc>
          <w:tcPr>
            <w:tcW w:w="3400" w:type="dxa"/>
            <w:vAlign w:val="bottom"/>
            <w:tcBorders>
              <w:bottom w:val="single" w:sz="8" w:color="1F5AA8"/>
            </w:tcBorders>
          </w:tcPr>
          <w:p>
            <w:pPr>
              <w:jc w:val="center"/>
              <w:spacing w:after="0"/>
              <w:rPr>
                <w:sz w:val="20"/>
                <w:szCs w:val="20"/>
                <w:color w:val="auto"/>
              </w:rPr>
            </w:pPr>
            <w:r>
              <w:rPr>
                <w:rFonts w:ascii="Arial" w:cs="Arial" w:eastAsia="Arial" w:hAnsi="Arial"/>
                <w:sz w:val="12"/>
                <w:szCs w:val="12"/>
                <w:b w:val="1"/>
                <w:bCs w:val="1"/>
                <w:color w:val="205BA8"/>
                <w:w w:val="97"/>
              </w:rPr>
              <w:t>(excluding securities reflected in column (a))</w:t>
            </w:r>
          </w:p>
        </w:tc>
        <w:tc>
          <w:tcPr>
            <w:tcW w:w="0" w:type="dxa"/>
            <w:vAlign w:val="bottom"/>
          </w:tcPr>
          <w:p>
            <w:pPr>
              <w:spacing w:after="0"/>
              <w:rPr>
                <w:sz w:val="1"/>
                <w:szCs w:val="1"/>
                <w:color w:val="auto"/>
              </w:rPr>
            </w:pPr>
          </w:p>
        </w:tc>
      </w:tr>
      <w:tr>
        <w:trPr>
          <w:trHeight w:val="179"/>
        </w:trPr>
        <w:tc>
          <w:tcPr>
            <w:tcW w:w="1780" w:type="dxa"/>
            <w:vAlign w:val="bottom"/>
            <w:shd w:val="clear" w:color="auto" w:fill="ECEDED"/>
          </w:tcPr>
          <w:p>
            <w:pPr>
              <w:ind w:left="60"/>
              <w:spacing w:after="0"/>
              <w:rPr>
                <w:sz w:val="20"/>
                <w:szCs w:val="20"/>
                <w:color w:val="auto"/>
              </w:rPr>
            </w:pPr>
            <w:r>
              <w:rPr>
                <w:rFonts w:ascii="Arial" w:cs="Arial" w:eastAsia="Arial" w:hAnsi="Arial"/>
                <w:sz w:val="13"/>
                <w:szCs w:val="13"/>
                <w:color w:val="auto"/>
              </w:rPr>
              <w:t>Equity compensation plans</w:t>
            </w:r>
          </w:p>
        </w:tc>
        <w:tc>
          <w:tcPr>
            <w:tcW w:w="2580" w:type="dxa"/>
            <w:vAlign w:val="bottom"/>
            <w:vMerge w:val="restart"/>
            <w:shd w:val="clear" w:color="auto" w:fill="ECEDED"/>
          </w:tcPr>
          <w:p>
            <w:pPr>
              <w:jc w:val="center"/>
              <w:spacing w:after="0"/>
              <w:rPr>
                <w:sz w:val="20"/>
                <w:szCs w:val="20"/>
                <w:color w:val="auto"/>
              </w:rPr>
            </w:pPr>
            <w:r>
              <w:rPr>
                <w:rFonts w:ascii="Arial" w:cs="Arial" w:eastAsia="Arial" w:hAnsi="Arial"/>
                <w:sz w:val="13"/>
                <w:szCs w:val="13"/>
                <w:color w:val="auto"/>
                <w:w w:val="98"/>
              </w:rPr>
              <w:t>23,117,356</w:t>
            </w:r>
            <w:r>
              <w:rPr>
                <w:rFonts w:ascii="Arial" w:cs="Arial" w:eastAsia="Arial" w:hAnsi="Arial"/>
                <w:sz w:val="21"/>
                <w:szCs w:val="21"/>
                <w:color w:val="auto"/>
                <w:w w:val="98"/>
                <w:vertAlign w:val="superscript"/>
              </w:rPr>
              <w:t>3</w:t>
            </w:r>
          </w:p>
        </w:tc>
        <w:tc>
          <w:tcPr>
            <w:tcW w:w="2340" w:type="dxa"/>
            <w:vAlign w:val="bottom"/>
            <w:vMerge w:val="restart"/>
            <w:shd w:val="clear" w:color="auto" w:fill="ECEDED"/>
          </w:tcPr>
          <w:p>
            <w:pPr>
              <w:jc w:val="right"/>
              <w:ind w:right="860"/>
              <w:spacing w:after="0"/>
              <w:rPr>
                <w:sz w:val="20"/>
                <w:szCs w:val="20"/>
                <w:color w:val="auto"/>
              </w:rPr>
            </w:pPr>
            <w:r>
              <w:rPr>
                <w:rFonts w:ascii="Arial" w:cs="Arial" w:eastAsia="Arial" w:hAnsi="Arial"/>
                <w:sz w:val="11"/>
                <w:szCs w:val="11"/>
                <w:color w:val="auto"/>
              </w:rPr>
              <w:t>4</w:t>
            </w:r>
          </w:p>
        </w:tc>
        <w:tc>
          <w:tcPr>
            <w:tcW w:w="3400" w:type="dxa"/>
            <w:vAlign w:val="bottom"/>
            <w:vMerge w:val="restart"/>
            <w:shd w:val="clear" w:color="auto" w:fill="ECEDED"/>
          </w:tcPr>
          <w:p>
            <w:pPr>
              <w:jc w:val="center"/>
              <w:spacing w:after="0"/>
              <w:rPr>
                <w:sz w:val="20"/>
                <w:szCs w:val="20"/>
                <w:color w:val="auto"/>
              </w:rPr>
            </w:pPr>
            <w:r>
              <w:rPr>
                <w:rFonts w:ascii="Arial" w:cs="Arial" w:eastAsia="Arial" w:hAnsi="Arial"/>
                <w:sz w:val="13"/>
                <w:szCs w:val="13"/>
                <w:color w:val="auto"/>
                <w:w w:val="98"/>
              </w:rPr>
              <w:t>18,916,095</w:t>
            </w:r>
          </w:p>
        </w:tc>
        <w:tc>
          <w:tcPr>
            <w:tcW w:w="0" w:type="dxa"/>
            <w:vAlign w:val="bottom"/>
          </w:tcPr>
          <w:p>
            <w:pPr>
              <w:spacing w:after="0"/>
              <w:rPr>
                <w:sz w:val="1"/>
                <w:szCs w:val="1"/>
                <w:color w:val="auto"/>
              </w:rPr>
            </w:pPr>
          </w:p>
        </w:tc>
      </w:tr>
      <w:tr>
        <w:trPr>
          <w:trHeight w:val="64"/>
        </w:trPr>
        <w:tc>
          <w:tcPr>
            <w:tcW w:w="1780" w:type="dxa"/>
            <w:vAlign w:val="bottom"/>
            <w:vMerge w:val="restart"/>
            <w:shd w:val="clear" w:color="auto" w:fill="ECEDED"/>
          </w:tcPr>
          <w:p>
            <w:pPr>
              <w:ind w:left="60"/>
              <w:spacing w:after="0" w:line="118" w:lineRule="exact"/>
              <w:rPr>
                <w:sz w:val="20"/>
                <w:szCs w:val="20"/>
                <w:color w:val="auto"/>
              </w:rPr>
            </w:pPr>
            <w:r>
              <w:rPr>
                <w:rFonts w:ascii="Arial" w:cs="Arial" w:eastAsia="Arial" w:hAnsi="Arial"/>
                <w:sz w:val="13"/>
                <w:szCs w:val="13"/>
                <w:color w:val="auto"/>
              </w:rPr>
              <w:t>approved by security</w:t>
            </w:r>
          </w:p>
        </w:tc>
        <w:tc>
          <w:tcPr>
            <w:tcW w:w="2580" w:type="dxa"/>
            <w:vAlign w:val="bottom"/>
            <w:vMerge w:val="continue"/>
            <w:shd w:val="clear" w:color="auto" w:fill="ECEDED"/>
          </w:tcPr>
          <w:p>
            <w:pPr>
              <w:spacing w:after="0"/>
              <w:rPr>
                <w:sz w:val="5"/>
                <w:szCs w:val="5"/>
                <w:color w:val="auto"/>
              </w:rPr>
            </w:pPr>
          </w:p>
        </w:tc>
        <w:tc>
          <w:tcPr>
            <w:tcW w:w="2340" w:type="dxa"/>
            <w:vAlign w:val="bottom"/>
            <w:vMerge w:val="continue"/>
            <w:shd w:val="clear" w:color="auto" w:fill="ECEDED"/>
          </w:tcPr>
          <w:p>
            <w:pPr>
              <w:spacing w:after="0"/>
              <w:rPr>
                <w:sz w:val="5"/>
                <w:szCs w:val="5"/>
                <w:color w:val="auto"/>
              </w:rPr>
            </w:pPr>
          </w:p>
        </w:tc>
        <w:tc>
          <w:tcPr>
            <w:tcW w:w="3400" w:type="dxa"/>
            <w:vAlign w:val="bottom"/>
            <w:vMerge w:val="continue"/>
            <w:shd w:val="clear" w:color="auto" w:fill="ECEDED"/>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780" w:type="dxa"/>
            <w:vAlign w:val="bottom"/>
            <w:vMerge w:val="continue"/>
            <w:shd w:val="clear" w:color="auto" w:fill="ECEDED"/>
          </w:tcPr>
          <w:p>
            <w:pPr>
              <w:spacing w:after="0"/>
              <w:rPr>
                <w:sz w:val="4"/>
                <w:szCs w:val="4"/>
                <w:color w:val="auto"/>
              </w:rPr>
            </w:pPr>
          </w:p>
        </w:tc>
        <w:tc>
          <w:tcPr>
            <w:tcW w:w="2580" w:type="dxa"/>
            <w:vAlign w:val="bottom"/>
            <w:vMerge w:val="restart"/>
            <w:shd w:val="clear" w:color="auto" w:fill="ECEDED"/>
          </w:tcPr>
          <w:p>
            <w:pPr>
              <w:jc w:val="center"/>
              <w:ind w:right="18"/>
              <w:spacing w:after="0"/>
              <w:rPr>
                <w:sz w:val="20"/>
                <w:szCs w:val="20"/>
                <w:color w:val="auto"/>
              </w:rPr>
            </w:pPr>
            <w:r>
              <w:rPr>
                <w:rFonts w:ascii="Arial" w:cs="Arial" w:eastAsia="Arial" w:hAnsi="Arial"/>
                <w:sz w:val="13"/>
                <w:szCs w:val="13"/>
                <w:color w:val="auto"/>
              </w:rPr>
              <w:t>shares of common stock</w:t>
            </w:r>
          </w:p>
        </w:tc>
        <w:tc>
          <w:tcPr>
            <w:tcW w:w="2340" w:type="dxa"/>
            <w:vAlign w:val="bottom"/>
            <w:vMerge w:val="continue"/>
            <w:shd w:val="clear" w:color="auto" w:fill="ECEDED"/>
          </w:tcPr>
          <w:p>
            <w:pPr>
              <w:spacing w:after="0"/>
              <w:rPr>
                <w:sz w:val="4"/>
                <w:szCs w:val="4"/>
                <w:color w:val="auto"/>
              </w:rPr>
            </w:pPr>
          </w:p>
        </w:tc>
        <w:tc>
          <w:tcPr>
            <w:tcW w:w="3400" w:type="dxa"/>
            <w:vAlign w:val="bottom"/>
            <w:vMerge w:val="restart"/>
            <w:shd w:val="clear" w:color="auto" w:fill="ECEDED"/>
          </w:tcPr>
          <w:p>
            <w:pPr>
              <w:jc w:val="center"/>
              <w:spacing w:after="0" w:line="230" w:lineRule="exact"/>
              <w:rPr>
                <w:sz w:val="20"/>
                <w:szCs w:val="20"/>
                <w:color w:val="auto"/>
              </w:rPr>
            </w:pPr>
            <w:r>
              <w:rPr>
                <w:rFonts w:ascii="Arial" w:cs="Arial" w:eastAsia="Arial" w:hAnsi="Arial"/>
                <w:sz w:val="13"/>
                <w:szCs w:val="13"/>
                <w:color w:val="auto"/>
                <w:w w:val="99"/>
              </w:rPr>
              <w:t>shares of common stock</w:t>
            </w:r>
            <w:r>
              <w:rPr>
                <w:rFonts w:ascii="Arial" w:cs="Arial" w:eastAsia="Arial" w:hAnsi="Arial"/>
                <w:sz w:val="21"/>
                <w:szCs w:val="21"/>
                <w:color w:val="auto"/>
                <w:w w:val="99"/>
                <w:vertAlign w:val="superscript"/>
              </w:rPr>
              <w:t>5</w:t>
            </w:r>
          </w:p>
        </w:tc>
        <w:tc>
          <w:tcPr>
            <w:tcW w:w="0" w:type="dxa"/>
            <w:vAlign w:val="bottom"/>
          </w:tcPr>
          <w:p>
            <w:pPr>
              <w:spacing w:after="0"/>
              <w:rPr>
                <w:sz w:val="1"/>
                <w:szCs w:val="1"/>
                <w:color w:val="auto"/>
              </w:rPr>
            </w:pPr>
          </w:p>
        </w:tc>
      </w:tr>
      <w:tr>
        <w:trPr>
          <w:trHeight w:val="229"/>
        </w:trPr>
        <w:tc>
          <w:tcPr>
            <w:tcW w:w="1780" w:type="dxa"/>
            <w:vAlign w:val="bottom"/>
            <w:tcBorders>
              <w:bottom w:val="single" w:sz="8" w:color="ECEDED"/>
            </w:tcBorders>
            <w:shd w:val="clear" w:color="auto" w:fill="ECEDED"/>
          </w:tcPr>
          <w:p>
            <w:pPr>
              <w:ind w:left="60"/>
              <w:spacing w:after="0" w:line="230" w:lineRule="exact"/>
              <w:rPr>
                <w:sz w:val="20"/>
                <w:szCs w:val="20"/>
                <w:color w:val="auto"/>
              </w:rPr>
            </w:pPr>
            <w:r>
              <w:rPr>
                <w:rFonts w:ascii="Arial" w:cs="Arial" w:eastAsia="Arial" w:hAnsi="Arial"/>
                <w:sz w:val="13"/>
                <w:szCs w:val="13"/>
                <w:color w:val="auto"/>
              </w:rPr>
              <w:t>holders</w:t>
            </w:r>
            <w:r>
              <w:rPr>
                <w:rFonts w:ascii="Arial" w:cs="Arial" w:eastAsia="Arial" w:hAnsi="Arial"/>
                <w:sz w:val="21"/>
                <w:szCs w:val="21"/>
                <w:color w:val="auto"/>
                <w:vertAlign w:val="superscript"/>
              </w:rPr>
              <w:t>1</w:t>
            </w:r>
          </w:p>
        </w:tc>
        <w:tc>
          <w:tcPr>
            <w:tcW w:w="2580" w:type="dxa"/>
            <w:vAlign w:val="bottom"/>
            <w:tcBorders>
              <w:bottom w:val="single" w:sz="8" w:color="ECEDED"/>
            </w:tcBorders>
            <w:vMerge w:val="continue"/>
            <w:shd w:val="clear" w:color="auto" w:fill="ECEDED"/>
          </w:tcPr>
          <w:p>
            <w:pPr>
              <w:spacing w:after="0"/>
              <w:rPr>
                <w:sz w:val="19"/>
                <w:szCs w:val="19"/>
                <w:color w:val="auto"/>
              </w:rPr>
            </w:pPr>
          </w:p>
        </w:tc>
        <w:tc>
          <w:tcPr>
            <w:tcW w:w="2340" w:type="dxa"/>
            <w:vAlign w:val="bottom"/>
            <w:tcBorders>
              <w:bottom w:val="single" w:sz="8" w:color="ECEDED"/>
            </w:tcBorders>
            <w:shd w:val="clear" w:color="auto" w:fill="ECEDED"/>
          </w:tcPr>
          <w:p>
            <w:pPr>
              <w:jc w:val="right"/>
              <w:ind w:right="920"/>
              <w:spacing w:after="0"/>
              <w:rPr>
                <w:sz w:val="20"/>
                <w:szCs w:val="20"/>
                <w:color w:val="auto"/>
              </w:rPr>
            </w:pPr>
            <w:r>
              <w:rPr>
                <w:rFonts w:ascii="Arial" w:cs="Arial" w:eastAsia="Arial" w:hAnsi="Arial"/>
                <w:sz w:val="13"/>
                <w:szCs w:val="13"/>
                <w:color w:val="auto"/>
              </w:rPr>
              <w:t>$379.51</w:t>
            </w:r>
          </w:p>
        </w:tc>
        <w:tc>
          <w:tcPr>
            <w:tcW w:w="3400" w:type="dxa"/>
            <w:vAlign w:val="bottom"/>
            <w:tcBorders>
              <w:bottom w:val="single" w:sz="8" w:color="ECEDED"/>
            </w:tcBorders>
            <w:vMerge w:val="continue"/>
            <w:shd w:val="clear" w:color="auto" w:fill="ECEDED"/>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78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Equity compensation plans</w:t>
            </w:r>
          </w:p>
        </w:tc>
        <w:tc>
          <w:tcPr>
            <w:tcW w:w="258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tcPr>
          <w:p>
            <w:pPr>
              <w:spacing w:after="0"/>
              <w:rPr>
                <w:sz w:val="14"/>
                <w:szCs w:val="14"/>
                <w:color w:val="auto"/>
              </w:rPr>
            </w:pPr>
          </w:p>
        </w:tc>
        <w:tc>
          <w:tcPr>
            <w:tcW w:w="34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80" w:type="dxa"/>
            <w:vAlign w:val="bottom"/>
          </w:tcPr>
          <w:p>
            <w:pPr>
              <w:ind w:left="60"/>
              <w:spacing w:after="0"/>
              <w:rPr>
                <w:sz w:val="20"/>
                <w:szCs w:val="20"/>
                <w:color w:val="auto"/>
              </w:rPr>
            </w:pPr>
            <w:r>
              <w:rPr>
                <w:rFonts w:ascii="Arial" w:cs="Arial" w:eastAsia="Arial" w:hAnsi="Arial"/>
                <w:sz w:val="13"/>
                <w:szCs w:val="13"/>
                <w:color w:val="auto"/>
              </w:rPr>
              <w:t>not</w:t>
            </w:r>
          </w:p>
        </w:tc>
        <w:tc>
          <w:tcPr>
            <w:tcW w:w="25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2340" w:type="dxa"/>
            <w:vAlign w:val="bottom"/>
            <w:vMerge w:val="restart"/>
          </w:tcPr>
          <w:p>
            <w:pPr>
              <w:jc w:val="center"/>
              <w:spacing w:after="0"/>
              <w:rPr>
                <w:sz w:val="20"/>
                <w:szCs w:val="20"/>
                <w:color w:val="auto"/>
              </w:rPr>
            </w:pPr>
            <w:r>
              <w:rPr>
                <w:rFonts w:ascii="Arial" w:cs="Arial" w:eastAsia="Arial" w:hAnsi="Arial"/>
                <w:sz w:val="13"/>
                <w:szCs w:val="13"/>
                <w:color w:val="auto"/>
              </w:rPr>
              <w:t>$ —</w:t>
            </w:r>
          </w:p>
        </w:tc>
        <w:tc>
          <w:tcPr>
            <w:tcW w:w="3400" w:type="dxa"/>
            <w:vAlign w:val="bottom"/>
            <w:vMerge w:val="restart"/>
          </w:tcPr>
          <w:p>
            <w:pPr>
              <w:jc w:val="center"/>
              <w:spacing w:after="0"/>
              <w:rPr>
                <w:sz w:val="20"/>
                <w:szCs w:val="20"/>
                <w:color w:val="auto"/>
              </w:rPr>
            </w:pPr>
            <w:r>
              <w:rPr>
                <w:rFonts w:ascii="Arial" w:cs="Arial" w:eastAsia="Arial" w:hAnsi="Arial"/>
                <w:sz w:val="13"/>
                <w:szCs w:val="13"/>
                <w:color w:val="auto"/>
              </w:rPr>
              <w:t>44,246 shares of Class A stock</w:t>
            </w:r>
          </w:p>
        </w:tc>
        <w:tc>
          <w:tcPr>
            <w:tcW w:w="0" w:type="dxa"/>
            <w:vAlign w:val="bottom"/>
          </w:tcPr>
          <w:p>
            <w:pPr>
              <w:spacing w:after="0"/>
              <w:rPr>
                <w:sz w:val="1"/>
                <w:szCs w:val="1"/>
                <w:color w:val="auto"/>
              </w:rPr>
            </w:pPr>
          </w:p>
        </w:tc>
      </w:tr>
      <w:tr>
        <w:trPr>
          <w:trHeight w:val="89"/>
        </w:trPr>
        <w:tc>
          <w:tcPr>
            <w:tcW w:w="1780" w:type="dxa"/>
            <w:vAlign w:val="bottom"/>
            <w:vMerge w:val="restart"/>
          </w:tcPr>
          <w:p>
            <w:pPr>
              <w:ind w:left="60"/>
              <w:spacing w:after="0" w:line="141" w:lineRule="exact"/>
              <w:rPr>
                <w:sz w:val="20"/>
                <w:szCs w:val="20"/>
                <w:color w:val="auto"/>
              </w:rPr>
            </w:pPr>
            <w:r>
              <w:rPr>
                <w:rFonts w:ascii="Arial" w:cs="Arial" w:eastAsia="Arial" w:hAnsi="Arial"/>
                <w:sz w:val="13"/>
                <w:szCs w:val="13"/>
                <w:color w:val="auto"/>
              </w:rPr>
              <w:t>approved by security</w:t>
            </w:r>
          </w:p>
        </w:tc>
        <w:tc>
          <w:tcPr>
            <w:tcW w:w="2580" w:type="dxa"/>
            <w:vAlign w:val="bottom"/>
            <w:vMerge w:val="continue"/>
          </w:tcPr>
          <w:p>
            <w:pPr>
              <w:spacing w:after="0"/>
              <w:rPr>
                <w:sz w:val="7"/>
                <w:szCs w:val="7"/>
                <w:color w:val="auto"/>
              </w:rPr>
            </w:pPr>
          </w:p>
        </w:tc>
        <w:tc>
          <w:tcPr>
            <w:tcW w:w="2340" w:type="dxa"/>
            <w:vAlign w:val="bottom"/>
            <w:vMerge w:val="continue"/>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780" w:type="dxa"/>
            <w:vAlign w:val="bottom"/>
            <w:vMerge w:val="continue"/>
          </w:tcPr>
          <w:p>
            <w:pPr>
              <w:spacing w:after="0"/>
              <w:rPr>
                <w:sz w:val="4"/>
                <w:szCs w:val="4"/>
                <w:color w:val="auto"/>
              </w:rPr>
            </w:pPr>
          </w:p>
        </w:tc>
        <w:tc>
          <w:tcPr>
            <w:tcW w:w="25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3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1780" w:type="dxa"/>
            <w:vAlign w:val="bottom"/>
            <w:tcBorders>
              <w:bottom w:val="single" w:sz="8" w:color="auto"/>
            </w:tcBorders>
          </w:tcPr>
          <w:p>
            <w:pPr>
              <w:ind w:left="60"/>
              <w:spacing w:after="0" w:line="207" w:lineRule="exact"/>
              <w:rPr>
                <w:sz w:val="20"/>
                <w:szCs w:val="20"/>
                <w:color w:val="auto"/>
              </w:rPr>
            </w:pPr>
            <w:r>
              <w:rPr>
                <w:rFonts w:ascii="Arial" w:cs="Arial" w:eastAsia="Arial" w:hAnsi="Arial"/>
                <w:sz w:val="13"/>
                <w:szCs w:val="13"/>
                <w:color w:val="auto"/>
              </w:rPr>
              <w:t>holders</w:t>
            </w:r>
            <w:r>
              <w:rPr>
                <w:rFonts w:ascii="Arial" w:cs="Arial" w:eastAsia="Arial" w:hAnsi="Arial"/>
                <w:sz w:val="21"/>
                <w:szCs w:val="21"/>
                <w:color w:val="auto"/>
                <w:vertAlign w:val="superscript"/>
              </w:rPr>
              <w:t>2</w:t>
            </w:r>
          </w:p>
        </w:tc>
        <w:tc>
          <w:tcPr>
            <w:tcW w:w="25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780" w:type="dxa"/>
            <w:vAlign w:val="bottom"/>
            <w:shd w:val="clear" w:color="auto" w:fill="ECEDED"/>
          </w:tcPr>
          <w:p>
            <w:pPr>
              <w:spacing w:after="0"/>
              <w:rPr>
                <w:sz w:val="14"/>
                <w:szCs w:val="14"/>
                <w:color w:val="auto"/>
              </w:rPr>
            </w:pPr>
          </w:p>
        </w:tc>
        <w:tc>
          <w:tcPr>
            <w:tcW w:w="2580" w:type="dxa"/>
            <w:vAlign w:val="bottom"/>
            <w:vMerge w:val="restart"/>
            <w:shd w:val="clear" w:color="auto" w:fill="ECEDED"/>
          </w:tcPr>
          <w:p>
            <w:pPr>
              <w:jc w:val="center"/>
              <w:ind w:right="18"/>
              <w:spacing w:after="0"/>
              <w:rPr>
                <w:sz w:val="20"/>
                <w:szCs w:val="20"/>
                <w:color w:val="auto"/>
              </w:rPr>
            </w:pPr>
            <w:r>
              <w:rPr>
                <w:rFonts w:ascii="Arial" w:cs="Arial" w:eastAsia="Arial" w:hAnsi="Arial"/>
                <w:sz w:val="13"/>
                <w:szCs w:val="13"/>
                <w:color w:val="auto"/>
              </w:rPr>
              <w:t>23,117,356</w:t>
            </w:r>
          </w:p>
        </w:tc>
        <w:tc>
          <w:tcPr>
            <w:tcW w:w="2340" w:type="dxa"/>
            <w:vAlign w:val="bottom"/>
            <w:shd w:val="clear" w:color="auto" w:fill="ECEDED"/>
          </w:tcPr>
          <w:p>
            <w:pPr>
              <w:spacing w:after="0"/>
              <w:rPr>
                <w:sz w:val="14"/>
                <w:szCs w:val="14"/>
                <w:color w:val="auto"/>
              </w:rPr>
            </w:pPr>
          </w:p>
        </w:tc>
        <w:tc>
          <w:tcPr>
            <w:tcW w:w="3400" w:type="dxa"/>
            <w:vAlign w:val="bottom"/>
            <w:shd w:val="clear" w:color="auto" w:fill="ECEDED"/>
          </w:tcPr>
          <w:p>
            <w:pPr>
              <w:jc w:val="center"/>
              <w:spacing w:after="0"/>
              <w:rPr>
                <w:sz w:val="20"/>
                <w:szCs w:val="20"/>
                <w:color w:val="auto"/>
              </w:rPr>
            </w:pPr>
            <w:r>
              <w:rPr>
                <w:rFonts w:ascii="Arial" w:cs="Arial" w:eastAsia="Arial" w:hAnsi="Arial"/>
                <w:sz w:val="13"/>
                <w:szCs w:val="13"/>
                <w:color w:val="auto"/>
                <w:w w:val="98"/>
              </w:rPr>
              <w:t>18,960,341</w:t>
            </w:r>
          </w:p>
        </w:tc>
        <w:tc>
          <w:tcPr>
            <w:tcW w:w="0" w:type="dxa"/>
            <w:vAlign w:val="bottom"/>
          </w:tcPr>
          <w:p>
            <w:pPr>
              <w:spacing w:after="0"/>
              <w:rPr>
                <w:sz w:val="1"/>
                <w:szCs w:val="1"/>
                <w:color w:val="auto"/>
              </w:rPr>
            </w:pPr>
          </w:p>
        </w:tc>
      </w:tr>
      <w:tr>
        <w:trPr>
          <w:trHeight w:val="68"/>
        </w:trPr>
        <w:tc>
          <w:tcPr>
            <w:tcW w:w="1780" w:type="dxa"/>
            <w:vAlign w:val="bottom"/>
            <w:vMerge w:val="restart"/>
            <w:shd w:val="clear" w:color="auto" w:fill="ECEDED"/>
          </w:tcPr>
          <w:p>
            <w:pPr>
              <w:ind w:left="60"/>
              <w:spacing w:after="0"/>
              <w:rPr>
                <w:sz w:val="20"/>
                <w:szCs w:val="20"/>
                <w:color w:val="auto"/>
              </w:rPr>
            </w:pPr>
            <w:r>
              <w:rPr>
                <w:rFonts w:ascii="Arial" w:cs="Arial" w:eastAsia="Arial" w:hAnsi="Arial"/>
                <w:sz w:val="13"/>
                <w:szCs w:val="13"/>
                <w:color w:val="auto"/>
              </w:rPr>
              <w:t>Total</w:t>
            </w:r>
          </w:p>
        </w:tc>
        <w:tc>
          <w:tcPr>
            <w:tcW w:w="2580" w:type="dxa"/>
            <w:vAlign w:val="bottom"/>
            <w:vMerge w:val="continue"/>
            <w:shd w:val="clear" w:color="auto" w:fill="ECEDED"/>
          </w:tcPr>
          <w:p>
            <w:pPr>
              <w:spacing w:after="0"/>
              <w:rPr>
                <w:sz w:val="5"/>
                <w:szCs w:val="5"/>
                <w:color w:val="auto"/>
              </w:rPr>
            </w:pPr>
          </w:p>
        </w:tc>
        <w:tc>
          <w:tcPr>
            <w:tcW w:w="2340" w:type="dxa"/>
            <w:vAlign w:val="bottom"/>
            <w:vMerge w:val="restart"/>
            <w:shd w:val="clear" w:color="auto" w:fill="ECEDED"/>
          </w:tcPr>
          <w:p>
            <w:pPr>
              <w:jc w:val="right"/>
              <w:ind w:right="900"/>
              <w:spacing w:after="0"/>
              <w:rPr>
                <w:sz w:val="20"/>
                <w:szCs w:val="20"/>
                <w:color w:val="auto"/>
              </w:rPr>
            </w:pPr>
            <w:r>
              <w:rPr>
                <w:rFonts w:ascii="Arial" w:cs="Arial" w:eastAsia="Arial" w:hAnsi="Arial"/>
                <w:sz w:val="13"/>
                <w:szCs w:val="13"/>
                <w:color w:val="auto"/>
              </w:rPr>
              <w:t>$379.51</w:t>
            </w:r>
          </w:p>
        </w:tc>
        <w:tc>
          <w:tcPr>
            <w:tcW w:w="3400" w:type="dxa"/>
            <w:vAlign w:val="bottom"/>
            <w:vMerge w:val="restart"/>
            <w:shd w:val="clear" w:color="auto" w:fill="ECEDED"/>
          </w:tcPr>
          <w:p>
            <w:pPr>
              <w:jc w:val="center"/>
              <w:spacing w:after="0"/>
              <w:rPr>
                <w:sz w:val="20"/>
                <w:szCs w:val="20"/>
                <w:color w:val="auto"/>
              </w:rPr>
            </w:pPr>
            <w:r>
              <w:rPr>
                <w:rFonts w:ascii="Arial" w:cs="Arial" w:eastAsia="Arial" w:hAnsi="Arial"/>
                <w:sz w:val="13"/>
                <w:szCs w:val="13"/>
                <w:color w:val="auto"/>
                <w:w w:val="99"/>
              </w:rPr>
              <w:t>shares of common stock</w:t>
            </w:r>
          </w:p>
        </w:tc>
        <w:tc>
          <w:tcPr>
            <w:tcW w:w="0" w:type="dxa"/>
            <w:vAlign w:val="bottom"/>
          </w:tcPr>
          <w:p>
            <w:pPr>
              <w:spacing w:after="0"/>
              <w:rPr>
                <w:sz w:val="1"/>
                <w:szCs w:val="1"/>
                <w:color w:val="auto"/>
              </w:rPr>
            </w:pPr>
          </w:p>
        </w:tc>
      </w:tr>
      <w:tr>
        <w:trPr>
          <w:trHeight w:val="81"/>
        </w:trPr>
        <w:tc>
          <w:tcPr>
            <w:tcW w:w="1780" w:type="dxa"/>
            <w:vAlign w:val="bottom"/>
            <w:vMerge w:val="continue"/>
            <w:shd w:val="clear" w:color="auto" w:fill="ECEDED"/>
          </w:tcPr>
          <w:p>
            <w:pPr>
              <w:spacing w:after="0"/>
              <w:rPr>
                <w:sz w:val="7"/>
                <w:szCs w:val="7"/>
                <w:color w:val="auto"/>
              </w:rPr>
            </w:pPr>
          </w:p>
        </w:tc>
        <w:tc>
          <w:tcPr>
            <w:tcW w:w="2580" w:type="dxa"/>
            <w:vAlign w:val="bottom"/>
            <w:vMerge w:val="restart"/>
            <w:shd w:val="clear" w:color="auto" w:fill="ECEDED"/>
          </w:tcPr>
          <w:p>
            <w:pPr>
              <w:jc w:val="center"/>
              <w:ind w:right="18"/>
              <w:spacing w:after="0"/>
              <w:rPr>
                <w:sz w:val="20"/>
                <w:szCs w:val="20"/>
                <w:color w:val="auto"/>
              </w:rPr>
            </w:pPr>
            <w:r>
              <w:rPr>
                <w:rFonts w:ascii="Arial" w:cs="Arial" w:eastAsia="Arial" w:hAnsi="Arial"/>
                <w:sz w:val="13"/>
                <w:szCs w:val="13"/>
                <w:color w:val="auto"/>
              </w:rPr>
              <w:t>shares of common stock</w:t>
            </w:r>
          </w:p>
        </w:tc>
        <w:tc>
          <w:tcPr>
            <w:tcW w:w="2340" w:type="dxa"/>
            <w:vAlign w:val="bottom"/>
            <w:vMerge w:val="continue"/>
            <w:shd w:val="clear" w:color="auto" w:fill="ECEDED"/>
          </w:tcPr>
          <w:p>
            <w:pPr>
              <w:spacing w:after="0"/>
              <w:rPr>
                <w:sz w:val="7"/>
                <w:szCs w:val="7"/>
                <w:color w:val="auto"/>
              </w:rPr>
            </w:pPr>
          </w:p>
        </w:tc>
        <w:tc>
          <w:tcPr>
            <w:tcW w:w="3400" w:type="dxa"/>
            <w:vAlign w:val="bottom"/>
            <w:vMerge w:val="continue"/>
            <w:shd w:val="clear" w:color="auto" w:fill="ECEDED"/>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780" w:type="dxa"/>
            <w:vAlign w:val="bottom"/>
            <w:shd w:val="clear" w:color="auto" w:fill="ECEDED"/>
          </w:tcPr>
          <w:p>
            <w:pPr>
              <w:spacing w:after="0"/>
              <w:rPr>
                <w:sz w:val="6"/>
                <w:szCs w:val="6"/>
                <w:color w:val="auto"/>
              </w:rPr>
            </w:pPr>
          </w:p>
        </w:tc>
        <w:tc>
          <w:tcPr>
            <w:tcW w:w="2580" w:type="dxa"/>
            <w:vAlign w:val="bottom"/>
            <w:vMerge w:val="continue"/>
            <w:shd w:val="clear" w:color="auto" w:fill="ECEDED"/>
          </w:tcPr>
          <w:p>
            <w:pPr>
              <w:spacing w:after="0"/>
              <w:rPr>
                <w:sz w:val="6"/>
                <w:szCs w:val="6"/>
                <w:color w:val="auto"/>
              </w:rPr>
            </w:pPr>
          </w:p>
        </w:tc>
        <w:tc>
          <w:tcPr>
            <w:tcW w:w="2340" w:type="dxa"/>
            <w:vAlign w:val="bottom"/>
            <w:shd w:val="clear" w:color="auto" w:fill="ECEDED"/>
          </w:tcPr>
          <w:p>
            <w:pPr>
              <w:spacing w:after="0"/>
              <w:rPr>
                <w:sz w:val="6"/>
                <w:szCs w:val="6"/>
                <w:color w:val="auto"/>
              </w:rPr>
            </w:pPr>
          </w:p>
        </w:tc>
        <w:tc>
          <w:tcPr>
            <w:tcW w:w="3400" w:type="dxa"/>
            <w:vAlign w:val="bottom"/>
            <w:vMerge w:val="restart"/>
            <w:shd w:val="clear" w:color="auto" w:fill="ECEDED"/>
          </w:tcPr>
          <w:p>
            <w:pPr>
              <w:jc w:val="center"/>
              <w:spacing w:after="0"/>
              <w:rPr>
                <w:sz w:val="20"/>
                <w:szCs w:val="20"/>
                <w:color w:val="auto"/>
              </w:rPr>
            </w:pPr>
            <w:r>
              <w:rPr>
                <w:rFonts w:ascii="Arial" w:cs="Arial" w:eastAsia="Arial" w:hAnsi="Arial"/>
                <w:sz w:val="13"/>
                <w:szCs w:val="13"/>
                <w:color w:val="auto"/>
                <w:w w:val="99"/>
              </w:rPr>
              <w:t>and Class A stock</w:t>
            </w:r>
          </w:p>
        </w:tc>
        <w:tc>
          <w:tcPr>
            <w:tcW w:w="0" w:type="dxa"/>
            <w:vAlign w:val="bottom"/>
          </w:tcPr>
          <w:p>
            <w:pPr>
              <w:spacing w:after="0"/>
              <w:rPr>
                <w:sz w:val="1"/>
                <w:szCs w:val="1"/>
                <w:color w:val="auto"/>
              </w:rPr>
            </w:pPr>
          </w:p>
        </w:tc>
      </w:tr>
      <w:tr>
        <w:trPr>
          <w:trHeight w:val="90"/>
        </w:trPr>
        <w:tc>
          <w:tcPr>
            <w:tcW w:w="1780" w:type="dxa"/>
            <w:vAlign w:val="bottom"/>
            <w:tcBorders>
              <w:bottom w:val="single" w:sz="8" w:color="1F5AA8"/>
            </w:tcBorders>
            <w:shd w:val="clear" w:color="auto" w:fill="ECEDED"/>
          </w:tcPr>
          <w:p>
            <w:pPr>
              <w:spacing w:after="0"/>
              <w:rPr>
                <w:sz w:val="7"/>
                <w:szCs w:val="7"/>
                <w:color w:val="auto"/>
              </w:rPr>
            </w:pPr>
          </w:p>
        </w:tc>
        <w:tc>
          <w:tcPr>
            <w:tcW w:w="2580" w:type="dxa"/>
            <w:vAlign w:val="bottom"/>
            <w:tcBorders>
              <w:bottom w:val="single" w:sz="8" w:color="1F5AA8"/>
            </w:tcBorders>
            <w:shd w:val="clear" w:color="auto" w:fill="ECEDED"/>
          </w:tcPr>
          <w:p>
            <w:pPr>
              <w:spacing w:after="0"/>
              <w:rPr>
                <w:sz w:val="7"/>
                <w:szCs w:val="7"/>
                <w:color w:val="auto"/>
              </w:rPr>
            </w:pPr>
          </w:p>
        </w:tc>
        <w:tc>
          <w:tcPr>
            <w:tcW w:w="2340" w:type="dxa"/>
            <w:vAlign w:val="bottom"/>
            <w:tcBorders>
              <w:bottom w:val="single" w:sz="8" w:color="1F5AA8"/>
            </w:tcBorders>
            <w:shd w:val="clear" w:color="auto" w:fill="ECEDED"/>
          </w:tcPr>
          <w:p>
            <w:pPr>
              <w:spacing w:after="0"/>
              <w:rPr>
                <w:sz w:val="7"/>
                <w:szCs w:val="7"/>
                <w:color w:val="auto"/>
              </w:rPr>
            </w:pPr>
          </w:p>
        </w:tc>
        <w:tc>
          <w:tcPr>
            <w:tcW w:w="3400" w:type="dxa"/>
            <w:vAlign w:val="bottom"/>
            <w:tcBorders>
              <w:bottom w:val="single" w:sz="8" w:color="1F5AA8"/>
            </w:tcBorders>
            <w:vMerge w:val="continue"/>
            <w:shd w:val="clear" w:color="auto" w:fill="ECEDED"/>
          </w:tcPr>
          <w:p>
            <w:pPr>
              <w:spacing w:after="0"/>
              <w:rPr>
                <w:sz w:val="7"/>
                <w:szCs w:val="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60" w:right="840" w:hanging="202"/>
        <w:spacing w:after="0" w:line="245" w:lineRule="auto"/>
        <w:tabs>
          <w:tab w:leader="none" w:pos="660" w:val="left"/>
        </w:tabs>
        <w:numPr>
          <w:ilvl w:val="0"/>
          <w:numId w:val="162"/>
        </w:numPr>
        <w:rPr>
          <w:rFonts w:ascii="Arial" w:cs="Arial" w:eastAsia="Arial" w:hAnsi="Arial"/>
          <w:sz w:val="14"/>
          <w:szCs w:val="14"/>
          <w:b w:val="1"/>
          <w:bCs w:val="1"/>
          <w:color w:val="205BA8"/>
        </w:rPr>
      </w:pPr>
      <w:r>
        <w:rPr>
          <w:rFonts w:ascii="Arial" w:cs="Arial" w:eastAsia="Arial" w:hAnsi="Arial"/>
          <w:sz w:val="14"/>
          <w:szCs w:val="14"/>
          <w:color w:val="auto"/>
        </w:rPr>
        <w:t>The equity compensation plans approved by the security holders are the Regeneron Pharmaceuticals, Inc. Second Amended and Restated 2000 Long-Term Incentive Plan; the Regeneron Pharmaceuticals, Inc. 2014 Long-Term Incentive Plan; the Amended and Restated Regeneron Pharmaceuticals, Inc. 2014 Long-Term Incentive Plan; and the Second Amended and Restated Regeneron Pharmaceuticals, Inc. 2014 Long-Term Incentive Plan. The Second Amended and Restated Regeneron Pharmaceuticals, Inc. 2014 Long-Term Incentive Plan is the only plan currently used by the Company to grant equity awards.</w:t>
      </w:r>
    </w:p>
    <w:p>
      <w:pPr>
        <w:spacing w:after="0" w:line="150" w:lineRule="exact"/>
        <w:rPr>
          <w:sz w:val="20"/>
          <w:szCs w:val="20"/>
          <w:color w:val="auto"/>
        </w:rPr>
      </w:pPr>
    </w:p>
    <w:p>
      <w:pPr>
        <w:ind w:left="660" w:right="880" w:hanging="202"/>
        <w:spacing w:after="0" w:line="244" w:lineRule="auto"/>
        <w:tabs>
          <w:tab w:leader="none" w:pos="660" w:val="left"/>
        </w:tabs>
        <w:numPr>
          <w:ilvl w:val="0"/>
          <w:numId w:val="163"/>
        </w:numPr>
        <w:rPr>
          <w:rFonts w:ascii="Arial" w:cs="Arial" w:eastAsia="Arial" w:hAnsi="Arial"/>
          <w:sz w:val="14"/>
          <w:szCs w:val="14"/>
          <w:b w:val="1"/>
          <w:bCs w:val="1"/>
          <w:color w:val="205BA8"/>
        </w:rPr>
      </w:pPr>
      <w:r>
        <w:rPr>
          <w:rFonts w:ascii="Arial" w:cs="Arial" w:eastAsia="Arial" w:hAnsi="Arial"/>
          <w:sz w:val="14"/>
          <w:szCs w:val="14"/>
          <w:color w:val="auto"/>
        </w:rPr>
        <w:t>The equity compensation plan not approved by the security holders is the Executive Stock Purchase Plan. It was adopted in 1989 and provides for the Compensation Committee of the board of directors to award employees, directors, consultants, and other individuals who render service to the Company the right to purchase Class A stock at a price set by the Compensation Committee. The Plan provides for the vesting of shares as determined by the Compensation Committee; should the Company's relationship with a Plan participant terminate before all shares are vested, unvested shares will be repurchased by the Company at a price per share equal to the original amount paid by the Plan participant. As of December 31, 2020, there were no unvested shares and 44,246 shares of Class A stock available for future grants under the Plan.</w:t>
      </w:r>
    </w:p>
    <w:p>
      <w:pPr>
        <w:spacing w:after="0" w:line="152" w:lineRule="exact"/>
        <w:rPr>
          <w:sz w:val="20"/>
          <w:szCs w:val="20"/>
          <w:color w:val="auto"/>
        </w:rPr>
      </w:pPr>
    </w:p>
    <w:p>
      <w:pPr>
        <w:ind w:left="660" w:right="740" w:hanging="202"/>
        <w:spacing w:after="0" w:line="258" w:lineRule="auto"/>
        <w:tabs>
          <w:tab w:leader="none" w:pos="660" w:val="left"/>
        </w:tabs>
        <w:numPr>
          <w:ilvl w:val="0"/>
          <w:numId w:val="164"/>
        </w:numPr>
        <w:rPr>
          <w:rFonts w:ascii="Arial" w:cs="Arial" w:eastAsia="Arial" w:hAnsi="Arial"/>
          <w:sz w:val="14"/>
          <w:szCs w:val="14"/>
          <w:b w:val="1"/>
          <w:bCs w:val="1"/>
          <w:color w:val="205BA8"/>
        </w:rPr>
      </w:pPr>
      <w:r>
        <w:rPr>
          <w:rFonts w:ascii="Arial" w:cs="Arial" w:eastAsia="Arial" w:hAnsi="Arial"/>
          <w:sz w:val="14"/>
          <w:szCs w:val="14"/>
          <w:color w:val="auto"/>
        </w:rPr>
        <w:t>This amount includes (i) 21,701,669 shares to be issued upon exercise of outstanding options, (ii) 115,751 shares to be issued upon vesting of outstanding RSUs, and (iii) 1,299,936 shares to be issued upon vesting of outstanding PSUs (assuming, in the case of PSUs, maximum payouts earned) .</w:t>
      </w:r>
    </w:p>
    <w:p>
      <w:pPr>
        <w:spacing w:after="0" w:line="140" w:lineRule="exact"/>
        <w:rPr>
          <w:sz w:val="20"/>
          <w:szCs w:val="20"/>
          <w:color w:val="auto"/>
        </w:rPr>
      </w:pPr>
    </w:p>
    <w:p>
      <w:pPr>
        <w:ind w:left="660" w:right="780" w:hanging="202"/>
        <w:spacing w:after="0" w:line="258" w:lineRule="auto"/>
        <w:tabs>
          <w:tab w:leader="none" w:pos="660" w:val="left"/>
        </w:tabs>
        <w:numPr>
          <w:ilvl w:val="0"/>
          <w:numId w:val="165"/>
        </w:numPr>
        <w:rPr>
          <w:rFonts w:ascii="Arial" w:cs="Arial" w:eastAsia="Arial" w:hAnsi="Arial"/>
          <w:sz w:val="14"/>
          <w:szCs w:val="14"/>
          <w:b w:val="1"/>
          <w:bCs w:val="1"/>
          <w:color w:val="205BA8"/>
        </w:rPr>
      </w:pPr>
      <w:r>
        <w:rPr>
          <w:rFonts w:ascii="Arial" w:cs="Arial" w:eastAsia="Arial" w:hAnsi="Arial"/>
          <w:sz w:val="14"/>
          <w:szCs w:val="14"/>
          <w:color w:val="auto"/>
        </w:rPr>
        <w:t>The calculation of the weighted-average exercise price does not include the 115,751 shares to be issued upon vesting of RSUs or the 1,299,936 shares to be issued upon vesting of PSUs (assuming, in the case of PSUs, maximum payouts earned), as RSUs and PSUs do not have an exercise price.</w:t>
      </w:r>
    </w:p>
    <w:p>
      <w:pPr>
        <w:spacing w:after="0" w:line="140" w:lineRule="exact"/>
        <w:rPr>
          <w:sz w:val="20"/>
          <w:szCs w:val="20"/>
          <w:color w:val="auto"/>
        </w:rPr>
      </w:pPr>
    </w:p>
    <w:p>
      <w:pPr>
        <w:ind w:left="660" w:right="1220" w:hanging="202"/>
        <w:spacing w:after="0" w:line="249" w:lineRule="auto"/>
        <w:tabs>
          <w:tab w:leader="none" w:pos="660" w:val="left"/>
        </w:tabs>
        <w:numPr>
          <w:ilvl w:val="0"/>
          <w:numId w:val="166"/>
        </w:numPr>
        <w:rPr>
          <w:rFonts w:ascii="Arial" w:cs="Arial" w:eastAsia="Arial" w:hAnsi="Arial"/>
          <w:sz w:val="14"/>
          <w:szCs w:val="14"/>
          <w:b w:val="1"/>
          <w:bCs w:val="1"/>
          <w:color w:val="205BA8"/>
        </w:rPr>
      </w:pPr>
      <w:r>
        <w:rPr>
          <w:rFonts w:ascii="Arial" w:cs="Arial" w:eastAsia="Arial" w:hAnsi="Arial"/>
          <w:sz w:val="14"/>
          <w:szCs w:val="14"/>
          <w:color w:val="auto"/>
        </w:rPr>
        <w:t>This amount is net of 1,571,792 outstanding RSAs. As these shares are considered issued and outstanding upon grant, they are not included in the amounts reported in column A.</w:t>
      </w:r>
    </w:p>
    <w:p>
      <w:pPr>
        <w:spacing w:after="0"/>
        <w:tabs>
          <w:tab w:leader="none" w:pos="5440" w:val="left"/>
        </w:tabs>
        <w:rPr>
          <w:sz w:val="20"/>
          <w:szCs w:val="20"/>
          <w:color w:val="auto"/>
        </w:rPr>
      </w:pPr>
      <w:r>
        <w:rPr>
          <w:rFonts w:ascii="Arial" w:cs="Arial" w:eastAsia="Arial" w:hAnsi="Arial"/>
          <w:sz w:val="28"/>
          <w:szCs w:val="28"/>
          <w:b w:val="1"/>
          <w:bCs w:val="1"/>
          <w:color w:val="00A5EC"/>
          <w:vertAlign w:val="subscript"/>
        </w:rPr>
        <w:t>98</w:t>
      </w:r>
      <w:r>
        <w:rPr>
          <w:rFonts w:ascii="Arial" w:cs="Arial" w:eastAsia="Arial" w:hAnsi="Arial"/>
          <w:sz w:val="15"/>
          <w:szCs w:val="15"/>
          <w:b w:val="1"/>
          <w:bCs w:val="1"/>
          <w:color w:val="2952A4"/>
        </w:rPr>
        <w:t xml:space="preserve">  </w:t>
      </w:r>
      <w:r>
        <w:rPr>
          <w:rFonts w:ascii="Arial" w:cs="Arial" w:eastAsia="Arial" w:hAnsi="Arial"/>
          <w:sz w:val="28"/>
          <w:szCs w:val="28"/>
          <w:color w:val="00A5EC"/>
          <w:vertAlign w:val="subscript"/>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6429375" cy="11658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clrChange>
                        <a:clrFrom>
                          <a:srgbClr val="FFFFFF"/>
                        </a:clrFrom>
                        <a:clrTo>
                          <a:srgbClr val="FFFFFF">
                            <a:alpha val="0"/>
                          </a:srgbClr>
                        </a:clrTo>
                      </a:clrChange>
                      <a:extLst>
                        <a:ext uri="{28A0092B-C50C-407E-A947-70E740481C1C}"/>
                      </a:extLst>
                    </a:blip>
                    <a:srcRect/>
                    <a:stretch>
                      <a:fillRect/>
                    </a:stretch>
                  </pic:blipFill>
                  <pic:spPr bwMode="auto">
                    <a:xfrm>
                      <a:off x="0" y="0"/>
                      <a:ext cx="642937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80" w:right="1640"/>
        <w:spacing w:after="0" w:line="278" w:lineRule="auto"/>
        <w:rPr>
          <w:sz w:val="20"/>
          <w:szCs w:val="20"/>
          <w:color w:val="auto"/>
        </w:rPr>
      </w:pPr>
      <w:r>
        <w:rPr>
          <w:rFonts w:ascii="Arial" w:cs="Arial" w:eastAsia="Arial" w:hAnsi="Arial"/>
          <w:sz w:val="29"/>
          <w:szCs w:val="29"/>
          <w:b w:val="1"/>
          <w:bCs w:val="1"/>
          <w:color w:val="C44E5E"/>
        </w:rPr>
        <w:t>WHEN ARE SHAREHOLDER PROPOSALS DUE FOR THE 2022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-35560</wp:posOffset>
            </wp:positionV>
            <wp:extent cx="61036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95" w:lineRule="exact"/>
        <w:rPr>
          <w:sz w:val="20"/>
          <w:szCs w:val="20"/>
          <w:color w:val="auto"/>
        </w:rPr>
      </w:pPr>
    </w:p>
    <w:p>
      <w:pPr>
        <w:ind w:left="1080" w:right="540"/>
        <w:spacing w:after="0" w:line="233" w:lineRule="auto"/>
        <w:rPr>
          <w:sz w:val="20"/>
          <w:szCs w:val="20"/>
          <w:color w:val="auto"/>
        </w:rPr>
      </w:pPr>
      <w:r>
        <w:rPr>
          <w:rFonts w:ascii="Arial" w:cs="Arial" w:eastAsia="Arial" w:hAnsi="Arial"/>
          <w:sz w:val="15"/>
          <w:szCs w:val="15"/>
          <w:color w:val="auto"/>
        </w:rPr>
        <w:t>A shareholder wishing to present a proposal at the 2022 Annual Meeting of Shareholders must submit the proposal in writing and it must be received by the Company at its principal executive offices at 777 Old Saw Mill River Road, Tarrytown, New York 10591-6707 by December 24, 2021, and must satisfy the other conditions established by the SEC, in order for such proposal to be considered for inclusion in the Company’s proxy statement and form of proxy relating to that meeting.</w:t>
      </w:r>
    </w:p>
    <w:p>
      <w:pPr>
        <w:spacing w:after="0" w:line="140" w:lineRule="exact"/>
        <w:rPr>
          <w:sz w:val="20"/>
          <w:szCs w:val="20"/>
          <w:color w:val="auto"/>
        </w:rPr>
      </w:pPr>
    </w:p>
    <w:p>
      <w:pPr>
        <w:ind w:left="1080" w:right="540"/>
        <w:spacing w:after="0" w:line="228" w:lineRule="auto"/>
        <w:rPr>
          <w:sz w:val="20"/>
          <w:szCs w:val="20"/>
          <w:color w:val="auto"/>
        </w:rPr>
      </w:pPr>
      <w:r>
        <w:rPr>
          <w:rFonts w:ascii="Arial" w:cs="Arial" w:eastAsia="Arial" w:hAnsi="Arial"/>
          <w:sz w:val="15"/>
          <w:szCs w:val="15"/>
          <w:color w:val="auto"/>
        </w:rPr>
        <w:t>Under our Amended and Restated By-Laws, proposals of shareholders intended to be submitted for a formal vote (other than proposals to be included in our proxy statement) at the 2022 Annual Meeting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2022 Annual Meeting is given or made to shareholders, notice by the shareholder in order to be timely must be received no later than the close of business on the tenth day following the day on which such notice of the annual meeting was first mailed or such public disclosure of the annual meeting was made, whichever first occurs. The notice must contain certain information as specified in our Amended and Restated By-Laws. Assuming our 2022 Annual Meeting is held on June 10, 2022 in accordance with the Company’s past practice, and at least 70 days’ notice or prior public disclosure of the date of the 2022 Annual Meeting is given or made to shareholders, notice of such proposals would need to be given no earlier than March 12, 2022 and no later than April 11, 2022. Any proposal received outside of such dates will not be considered “timely” under the federal proxy rules for purposes of determining whether we may use discretionary authority to vote on such proposal.</w:t>
      </w:r>
    </w:p>
    <w:p>
      <w:pPr>
        <w:spacing w:after="0" w:line="280" w:lineRule="exact"/>
        <w:rPr>
          <w:sz w:val="20"/>
          <w:szCs w:val="20"/>
          <w:color w:val="auto"/>
        </w:rPr>
      </w:pPr>
    </w:p>
    <w:p>
      <w:pPr>
        <w:ind w:left="1080" w:right="1920"/>
        <w:spacing w:after="0" w:line="278" w:lineRule="auto"/>
        <w:rPr>
          <w:sz w:val="20"/>
          <w:szCs w:val="20"/>
          <w:color w:val="auto"/>
        </w:rPr>
      </w:pPr>
      <w:r>
        <w:rPr>
          <w:rFonts w:ascii="Arial" w:cs="Arial" w:eastAsia="Arial" w:hAnsi="Arial"/>
          <w:sz w:val="29"/>
          <w:szCs w:val="29"/>
          <w:b w:val="1"/>
          <w:bCs w:val="1"/>
          <w:color w:val="C44E5E"/>
        </w:rPr>
        <w:t>WHAT HAPPENS IF MULTIPLE SHAREHOLDERS SHARE AN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-35560</wp:posOffset>
            </wp:positionV>
            <wp:extent cx="61036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95" w:lineRule="exact"/>
        <w:rPr>
          <w:sz w:val="20"/>
          <w:szCs w:val="20"/>
          <w:color w:val="auto"/>
        </w:rPr>
      </w:pPr>
    </w:p>
    <w:p>
      <w:pPr>
        <w:ind w:left="1080" w:right="540"/>
        <w:spacing w:after="0" w:line="227" w:lineRule="auto"/>
        <w:rPr>
          <w:sz w:val="20"/>
          <w:szCs w:val="20"/>
          <w:color w:val="auto"/>
        </w:rPr>
      </w:pPr>
      <w:r>
        <w:rPr>
          <w:rFonts w:ascii="Arial" w:cs="Arial" w:eastAsia="Arial" w:hAnsi="Arial"/>
          <w:sz w:val="15"/>
          <w:szCs w:val="15"/>
          <w:color w:val="auto"/>
        </w:rPr>
        <w:t>Applicable rules permit brokerage firms and the Company to send one Notice of Internet Availability of Proxy Materials (or one annual report, proxy statement, and Notice of Internet Availability of Proxy Materials in the case of shareholders who have elected to receive paper copies of our proxy materials)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copy of the applicable proxy materials to multiple shareholders sharing the same address. If you wish to receive separate copies of the proxy statement for the 2021 Annual Meeting, the 2020 Annual Report, or the Notice of Internet Availability of Proxy Materials, you may find these materials at our internet website (</w:t>
      </w:r>
      <w:r>
        <w:rPr>
          <w:rFonts w:ascii="Arial" w:cs="Arial" w:eastAsia="Arial" w:hAnsi="Arial"/>
          <w:sz w:val="15"/>
          <w:szCs w:val="15"/>
          <w:b w:val="1"/>
          <w:bCs w:val="1"/>
          <w:color w:val="auto"/>
        </w:rPr>
        <w:t>www.regeneron.com</w:t>
      </w:r>
      <w:r>
        <w:rPr>
          <w:rFonts w:ascii="Arial" w:cs="Arial" w:eastAsia="Arial" w:hAnsi="Arial"/>
          <w:sz w:val="15"/>
          <w:szCs w:val="15"/>
          <w:color w:val="auto"/>
        </w:rPr>
        <w:t>) or you may stop householding for your account and receive separate printed copies of these materials by contacting our Investor Relations Department, at Regeneron Pharmaceuticals, Inc., 777 Old Saw Mill River Road, Tarrytown, New York 10591-6707, or by calling us at 914-847-7000,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6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88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99</w:t>
            </w:r>
          </w:p>
        </w:tc>
      </w:tr>
      <w:tr>
        <w:trPr>
          <w:trHeight w:val="258"/>
        </w:trPr>
        <w:tc>
          <w:tcPr>
            <w:tcW w:w="8360" w:type="dxa"/>
            <w:vAlign w:val="bottom"/>
            <w:tcBorders>
              <w:bottom w:val="single" w:sz="8" w:color="C0C0C0"/>
            </w:tcBorders>
          </w:tcPr>
          <w:p>
            <w:pPr>
              <w:spacing w:after="0"/>
              <w:rPr>
                <w:sz w:val="22"/>
                <w:szCs w:val="22"/>
                <w:color w:val="auto"/>
              </w:rPr>
            </w:pPr>
          </w:p>
        </w:tc>
        <w:tc>
          <w:tcPr>
            <w:tcW w:w="2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1440" w:right="339" w:bottom="1440" w:gutter="0" w:footer="0" w:header="0"/>
        </w:sectPr>
      </w:pPr>
    </w:p>
    <w:bookmarkStart w:id="110" w:name="page111"/>
    <w:bookmarkEnd w:id="110"/>
    <w:p>
      <w:pPr>
        <w:spacing w:after="0"/>
        <w:rPr>
          <w:sz w:val="20"/>
          <w:szCs w:val="20"/>
          <w:color w:val="auto"/>
        </w:rPr>
      </w:pPr>
      <w:r>
        <w:rPr>
          <w:rFonts w:ascii="Arial" w:cs="Arial" w:eastAsia="Arial" w:hAnsi="Arial"/>
          <w:sz w:val="15"/>
          <w:szCs w:val="15"/>
          <w:b w:val="1"/>
          <w:bCs w:val="1"/>
          <w:color w:val="205BA8"/>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2" w:lineRule="exact"/>
        <w:rPr>
          <w:sz w:val="20"/>
          <w:szCs w:val="20"/>
          <w:color w:val="auto"/>
        </w:rPr>
      </w:pPr>
    </w:p>
    <w:p>
      <w:pPr>
        <w:ind w:left="1080" w:right="1320"/>
        <w:spacing w:after="0" w:line="278" w:lineRule="auto"/>
        <w:rPr>
          <w:sz w:val="20"/>
          <w:szCs w:val="20"/>
          <w:color w:val="auto"/>
        </w:rPr>
      </w:pPr>
      <w:r>
        <w:rPr>
          <w:rFonts w:ascii="Arial" w:cs="Arial" w:eastAsia="Arial" w:hAnsi="Arial"/>
          <w:sz w:val="29"/>
          <w:szCs w:val="29"/>
          <w:b w:val="1"/>
          <w:bCs w:val="1"/>
          <w:color w:val="C44E5E"/>
        </w:rPr>
        <w:t>ARE THERE ANY OTHER MATTERS TO BE ADDRESSED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-35560</wp:posOffset>
            </wp:positionV>
            <wp:extent cx="61036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95" w:lineRule="exact"/>
        <w:rPr>
          <w:sz w:val="20"/>
          <w:szCs w:val="20"/>
          <w:color w:val="auto"/>
        </w:rPr>
      </w:pPr>
    </w:p>
    <w:p>
      <w:pPr>
        <w:ind w:left="1080" w:right="740"/>
        <w:spacing w:after="0" w:line="233" w:lineRule="auto"/>
        <w:rPr>
          <w:sz w:val="20"/>
          <w:szCs w:val="20"/>
          <w:color w:val="auto"/>
        </w:rPr>
      </w:pPr>
      <w:r>
        <w:rPr>
          <w:rFonts w:ascii="Arial" w:cs="Arial" w:eastAsia="Arial" w:hAnsi="Arial"/>
          <w:sz w:val="15"/>
          <w:szCs w:val="15"/>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279" w:lineRule="exact"/>
        <w:rPr>
          <w:sz w:val="20"/>
          <w:szCs w:val="20"/>
          <w:color w:val="auto"/>
        </w:rPr>
      </w:pPr>
    </w:p>
    <w:p>
      <w:pPr>
        <w:ind w:left="1080" w:right="1240"/>
        <w:spacing w:after="0" w:line="278" w:lineRule="auto"/>
        <w:rPr>
          <w:sz w:val="20"/>
          <w:szCs w:val="20"/>
          <w:color w:val="auto"/>
        </w:rPr>
      </w:pPr>
      <w:r>
        <w:rPr>
          <w:rFonts w:ascii="Arial" w:cs="Arial" w:eastAsia="Arial" w:hAnsi="Arial"/>
          <w:sz w:val="29"/>
          <w:szCs w:val="29"/>
          <w:b w:val="1"/>
          <w:bCs w:val="1"/>
          <w:color w:val="C44E5E"/>
        </w:rPr>
        <w:t>HOW CAN YOU RECEIVE A PRINTED COPY OF THE COMPANY’S 2020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-35560</wp:posOffset>
            </wp:positionV>
            <wp:extent cx="61036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77" w:lineRule="exact"/>
        <w:rPr>
          <w:sz w:val="20"/>
          <w:szCs w:val="20"/>
          <w:color w:val="auto"/>
        </w:rPr>
      </w:pPr>
    </w:p>
    <w:p>
      <w:pPr>
        <w:ind w:left="1080" w:right="600"/>
        <w:spacing w:after="0" w:line="239" w:lineRule="auto"/>
        <w:rPr>
          <w:sz w:val="20"/>
          <w:szCs w:val="20"/>
          <w:color w:val="auto"/>
        </w:rPr>
      </w:pPr>
      <w:r>
        <w:rPr>
          <w:rFonts w:ascii="Arial" w:cs="Arial" w:eastAsia="Arial" w:hAnsi="Arial"/>
          <w:sz w:val="15"/>
          <w:szCs w:val="15"/>
          <w:b w:val="1"/>
          <w:bCs w:val="1"/>
          <w:color w:val="auto"/>
        </w:rPr>
        <w:t>Interested shareholders may obtain without charge a copy of our 2020 Annual Report (without exhibits), which includes our audited financial statements for the fiscal year ended December 31, 2020, required to be filed with the SEC, by making a written request to Regeneron Pharmaceuticals, Inc., 777 Old Saw Mill River Road, Tarrytown, New York 10591-6707, Attention: Investor Relations, or by calling our Investor Relations Department at (914) 847-7000.</w:t>
      </w:r>
    </w:p>
    <w:p>
      <w:pPr>
        <w:spacing w:after="0" w:line="280" w:lineRule="exact"/>
        <w:rPr>
          <w:sz w:val="20"/>
          <w:szCs w:val="20"/>
          <w:color w:val="auto"/>
        </w:rPr>
      </w:pPr>
    </w:p>
    <w:p>
      <w:pPr>
        <w:ind w:left="1080" w:right="1320"/>
        <w:spacing w:after="0" w:line="278" w:lineRule="auto"/>
        <w:rPr>
          <w:sz w:val="20"/>
          <w:szCs w:val="20"/>
          <w:color w:val="auto"/>
        </w:rPr>
      </w:pPr>
      <w:r>
        <w:rPr>
          <w:rFonts w:ascii="Arial" w:cs="Arial" w:eastAsia="Arial" w:hAnsi="Arial"/>
          <w:sz w:val="29"/>
          <w:szCs w:val="29"/>
          <w:b w:val="1"/>
          <w:bCs w:val="1"/>
          <w:color w:val="C44E5E"/>
        </w:rPr>
        <w:t>HOW DO YOU ELECT TO RECEIVE FUTURE PROXY MATERIALS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-35560</wp:posOffset>
            </wp:positionV>
            <wp:extent cx="61036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95" w:lineRule="exact"/>
        <w:rPr>
          <w:sz w:val="20"/>
          <w:szCs w:val="20"/>
          <w:color w:val="auto"/>
        </w:rPr>
      </w:pPr>
    </w:p>
    <w:p>
      <w:pPr>
        <w:ind w:left="1080" w:right="560"/>
        <w:spacing w:after="0" w:line="230" w:lineRule="auto"/>
        <w:rPr>
          <w:sz w:val="20"/>
          <w:szCs w:val="20"/>
          <w:color w:val="auto"/>
        </w:rPr>
      </w:pPr>
      <w:r>
        <w:rPr>
          <w:rFonts w:ascii="Arial" w:cs="Arial" w:eastAsia="Arial" w:hAnsi="Arial"/>
          <w:sz w:val="15"/>
          <w:szCs w:val="15"/>
          <w:color w:val="auto"/>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 who received a paper copy of the Notice of Internet Availability of Proxy Materials,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spacing w:after="0" w:line="142" w:lineRule="exact"/>
        <w:rPr>
          <w:sz w:val="20"/>
          <w:szCs w:val="20"/>
          <w:color w:val="auto"/>
        </w:rPr>
      </w:pPr>
    </w:p>
    <w:p>
      <w:pPr>
        <w:ind w:left="1080" w:right="620"/>
        <w:spacing w:after="0" w:line="231" w:lineRule="auto"/>
        <w:rPr>
          <w:sz w:val="20"/>
          <w:szCs w:val="20"/>
          <w:color w:val="auto"/>
        </w:rPr>
      </w:pPr>
      <w:r>
        <w:rPr>
          <w:rFonts w:ascii="Arial" w:cs="Arial" w:eastAsia="Arial" w:hAnsi="Arial"/>
          <w:sz w:val="15"/>
          <w:szCs w:val="15"/>
          <w:color w:val="auto"/>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5"/>
          <w:szCs w:val="15"/>
          <w:b w:val="1"/>
          <w:bCs w:val="1"/>
          <w:color w:val="auto"/>
        </w:rPr>
        <w:t>www.proxyvote.com</w:t>
      </w:r>
      <w:r>
        <w:rPr>
          <w:rFonts w:ascii="Arial" w:cs="Arial" w:eastAsia="Arial" w:hAnsi="Arial"/>
          <w:sz w:val="15"/>
          <w:szCs w:val="15"/>
          <w:color w:val="auto"/>
        </w:rPr>
        <w:t xml:space="preserve"> and, when prompted, indicate that 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2" w:lineRule="exact"/>
        <w:rPr>
          <w:sz w:val="20"/>
          <w:szCs w:val="20"/>
          <w:color w:val="auto"/>
        </w:rPr>
      </w:pPr>
    </w:p>
    <w:p>
      <w:pPr>
        <w:spacing w:after="0"/>
        <w:tabs>
          <w:tab w:leader="none" w:pos="5440" w:val="left"/>
        </w:tabs>
        <w:rPr>
          <w:sz w:val="20"/>
          <w:szCs w:val="20"/>
          <w:color w:val="auto"/>
        </w:rPr>
      </w:pPr>
      <w:r>
        <w:rPr>
          <w:rFonts w:ascii="Arial" w:cs="Arial" w:eastAsia="Arial" w:hAnsi="Arial"/>
          <w:sz w:val="28"/>
          <w:szCs w:val="28"/>
          <w:b w:val="1"/>
          <w:bCs w:val="1"/>
          <w:color w:val="00A5EC"/>
          <w:vertAlign w:val="subscript"/>
        </w:rPr>
        <w:t>100</w:t>
      </w:r>
      <w:r>
        <w:rPr>
          <w:rFonts w:ascii="Arial" w:cs="Arial" w:eastAsia="Arial" w:hAnsi="Arial"/>
          <w:sz w:val="15"/>
          <w:szCs w:val="15"/>
          <w:b w:val="1"/>
          <w:bCs w:val="1"/>
          <w:color w:val="2952A4"/>
        </w:rPr>
        <w:t xml:space="preserve">  </w:t>
      </w:r>
      <w:r>
        <w:rPr>
          <w:rFonts w:ascii="Arial" w:cs="Arial" w:eastAsia="Arial" w:hAnsi="Arial"/>
          <w:sz w:val="28"/>
          <w:szCs w:val="28"/>
          <w:color w:val="00A5EC"/>
          <w:vertAlign w:val="subscript"/>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6429375" cy="1148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clrChange>
                        <a:clrFrom>
                          <a:srgbClr val="FFFFFF"/>
                        </a:clrFrom>
                        <a:clrTo>
                          <a:srgbClr val="FFFFFF">
                            <a:alpha val="0"/>
                          </a:srgbClr>
                        </a:clrTo>
                      </a:clrChange>
                      <a:extLst>
                        <a:ext uri="{28A0092B-C50C-407E-A947-70E740481C1C}"/>
                      </a:extLst>
                    </a:blip>
                    <a:srcRect/>
                    <a:stretch>
                      <a:fillRect/>
                    </a:stretch>
                  </pic:blipFill>
                  <pic:spPr bwMode="auto">
                    <a:xfrm>
                      <a:off x="0" y="0"/>
                      <a:ext cx="642937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205BA8"/>
        </w:rPr>
        <w:t>Note Regarding Forward-Looking Statements and Non-GAAP Financial Measures</w:t>
      </w:r>
    </w:p>
    <w:p>
      <w:pPr>
        <w:spacing w:after="0" w:line="177" w:lineRule="exact"/>
        <w:rPr>
          <w:sz w:val="20"/>
          <w:szCs w:val="20"/>
          <w:color w:val="auto"/>
        </w:rPr>
      </w:pPr>
    </w:p>
    <w:p>
      <w:pPr>
        <w:ind w:left="1080" w:right="560"/>
        <w:spacing w:after="0" w:line="226" w:lineRule="auto"/>
        <w:rPr>
          <w:sz w:val="20"/>
          <w:szCs w:val="20"/>
          <w:color w:val="auto"/>
        </w:rPr>
      </w:pPr>
      <w:r>
        <w:rPr>
          <w:rFonts w:ascii="Arial" w:cs="Arial" w:eastAsia="Arial" w:hAnsi="Arial"/>
          <w:sz w:val="15"/>
          <w:szCs w:val="15"/>
          <w:color w:val="auto"/>
        </w:rPr>
        <w:t>This proxy statement includes forward-looking statements that involve risks and uncertainties relating to future events and the future performance of Regeneron Pharmaceuticals, Inc. (where applicable, together with its subsidiaries,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(collectively, “Regeneron’s Products”), and the global economy; the nature, timing, and possible success and therapeutic applications of Regeneron’s Products and product candidates being developed by Regeneron and/or its collaborators (collectively, “Regeneron’s Product Candidates”) and research and clinical programs now underway or planned, including</w:t>
      </w:r>
    </w:p>
    <w:p>
      <w:pPr>
        <w:ind w:left="1080"/>
        <w:spacing w:after="0" w:line="180" w:lineRule="auto"/>
        <w:rPr>
          <w:sz w:val="20"/>
          <w:szCs w:val="20"/>
          <w:color w:val="auto"/>
        </w:rPr>
      </w:pPr>
      <w:r>
        <w:rPr>
          <w:rFonts w:ascii="Arial" w:cs="Arial" w:eastAsia="Arial" w:hAnsi="Arial"/>
          <w:sz w:val="15"/>
          <w:szCs w:val="15"/>
          <w:color w:val="auto"/>
        </w:rPr>
        <w:t>without limitation EYLEA</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(aflibercept) Injection, Dupixent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(dupilumab), Libtayo</w:t>
      </w:r>
      <w:r>
        <w:rPr>
          <w:rFonts w:ascii="Arial" w:cs="Arial" w:eastAsia="Arial" w:hAnsi="Arial"/>
          <w:sz w:val="24"/>
          <w:szCs w:val="24"/>
          <w:color w:val="auto"/>
          <w:vertAlign w:val="superscript"/>
        </w:rPr>
        <w:t>®</w:t>
      </w:r>
      <w:r>
        <w:rPr>
          <w:rFonts w:ascii="Arial" w:cs="Arial" w:eastAsia="Arial" w:hAnsi="Arial"/>
          <w:sz w:val="15"/>
          <w:szCs w:val="15"/>
          <w:color w:val="auto"/>
        </w:rPr>
        <w:t xml:space="preserve"> (cemiplimab), Praluent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(alirocumab), Kevzara</w:t>
      </w:r>
      <w:r>
        <w:rPr>
          <w:rFonts w:ascii="Arial" w:cs="Arial" w:eastAsia="Arial" w:hAnsi="Arial"/>
          <w:sz w:val="24"/>
          <w:szCs w:val="24"/>
          <w:color w:val="auto"/>
          <w:vertAlign w:val="superscript"/>
        </w:rPr>
        <w:t>®</w:t>
      </w:r>
    </w:p>
    <w:p>
      <w:pPr>
        <w:ind w:left="1080" w:right="600"/>
        <w:spacing w:after="0" w:line="222" w:lineRule="auto"/>
        <w:rPr>
          <w:sz w:val="20"/>
          <w:szCs w:val="20"/>
          <w:color w:val="auto"/>
        </w:rPr>
      </w:pPr>
      <w:r>
        <w:rPr>
          <w:rFonts w:ascii="Arial" w:cs="Arial" w:eastAsia="Arial" w:hAnsi="Arial"/>
          <w:sz w:val="15"/>
          <w:szCs w:val="15"/>
          <w:color w:val="auto"/>
        </w:rPr>
        <w:t>(sarilumab), Inmazeb</w:t>
      </w:r>
      <w:r>
        <w:rPr>
          <w:rFonts w:ascii="Arial" w:cs="Arial" w:eastAsia="Arial" w:hAnsi="Arial"/>
          <w:sz w:val="25"/>
          <w:szCs w:val="25"/>
          <w:color w:val="auto"/>
          <w:vertAlign w:val="superscript"/>
        </w:rPr>
        <w:t>TM</w:t>
      </w:r>
      <w:r>
        <w:rPr>
          <w:rFonts w:ascii="Arial" w:cs="Arial" w:eastAsia="Arial" w:hAnsi="Arial"/>
          <w:sz w:val="15"/>
          <w:szCs w:val="15"/>
          <w:color w:val="auto"/>
        </w:rPr>
        <w:t xml:space="preserve"> (atoltivimab, maftivimab, and odesivimab-ebgn), Evkeeza</w:t>
      </w:r>
      <w:r>
        <w:rPr>
          <w:rFonts w:ascii="Arial" w:cs="Arial" w:eastAsia="Arial" w:hAnsi="Arial"/>
          <w:sz w:val="25"/>
          <w:szCs w:val="25"/>
          <w:color w:val="auto"/>
          <w:vertAlign w:val="superscript"/>
        </w:rPr>
        <w:t>TM</w:t>
      </w:r>
      <w:r>
        <w:rPr>
          <w:rFonts w:ascii="Arial" w:cs="Arial" w:eastAsia="Arial" w:hAnsi="Arial"/>
          <w:sz w:val="15"/>
          <w:szCs w:val="15"/>
          <w:color w:val="auto"/>
        </w:rPr>
        <w:t xml:space="preserve"> (evinacumab), REGEN-COV</w:t>
      </w:r>
      <w:r>
        <w:rPr>
          <w:rFonts w:ascii="Arial" w:cs="Arial" w:eastAsia="Arial" w:hAnsi="Arial"/>
          <w:sz w:val="25"/>
          <w:szCs w:val="25"/>
          <w:color w:val="auto"/>
          <w:vertAlign w:val="superscript"/>
        </w:rPr>
        <w:t>TM</w:t>
      </w:r>
      <w:r>
        <w:rPr>
          <w:rFonts w:ascii="Arial" w:cs="Arial" w:eastAsia="Arial" w:hAnsi="Arial"/>
          <w:sz w:val="15"/>
          <w:szCs w:val="15"/>
          <w:color w:val="auto"/>
        </w:rPr>
        <w:t xml:space="preserve"> (casirivimab with imdevimab), fasinumab, garetosmab, Regeneron’s and its collaborators’ other oncology programs (including odronextamab (REGN1979) and REGN5458), Regeneron’s and its collaborators’ other hematology programs (including pozelimab (REGN3918)), Regeneron’s and its collaborators’ earlier-stage programs, and the use of human genetics in Regeneron’s research programs; the likelihood and timing of achieving any of Regeneron’s anticipated development and production milestones;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(such as EYLEA, Dupixent, Libtayo, Praluent, Kevzara, Inmazeb, and Evkeeza),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Regeneron’s Products and Regeneron’s Product Candidates; uncertainty of market acceptance and commercial success of Regeneron’s Products and Regeneron’s Product Candidates and the impact of studies (whether conducted by Regeneron or others and whether mandated or voluntary)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payors, including private payor healthcare and insurance programs, health maintenance organizations, pharmacy benefit management companies, and government programs such as Medicare and Medicaid; coverage and reimbursement determinations by such payors and new policies and procedures adopted by such payors; unanticipated expenses; the costs of developing, producing, and selling products; the ability of Regeneron to meet any of its financial projections or guidance, and changes to the assumptions underlying those projections or guidance; the potential for any license or collaboration agreement, including Regeneron’s agreements with Sanofi, Bayer, and Teva Pharmaceutical Industries Ltd. (or their respective affiliated companies, as applicable), as well as Regeneron’s agreement with Roche relating to REGEN-COV, to be cancelled or terminated; and risks associated with intellectual property of other parties and pending or future litigation relating thereto (including without limitation the patent litigation and other related proceedings relating to EYLEA, Dupixent, Praluent, and REGEN-COV), other litigation and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20" w:type="dxa"/>
            <w:vAlign w:val="bottom"/>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2920" w:type="dxa"/>
            <w:vAlign w:val="bottom"/>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101</w:t>
            </w:r>
          </w:p>
        </w:tc>
      </w:tr>
      <w:tr>
        <w:trPr>
          <w:trHeight w:val="258"/>
        </w:trPr>
        <w:tc>
          <w:tcPr>
            <w:tcW w:w="8320" w:type="dxa"/>
            <w:vAlign w:val="bottom"/>
            <w:tcBorders>
              <w:bottom w:val="single" w:sz="8" w:color="C0C0C0"/>
            </w:tcBorders>
          </w:tcPr>
          <w:p>
            <w:pPr>
              <w:spacing w:after="0"/>
              <w:rPr>
                <w:sz w:val="22"/>
                <w:szCs w:val="22"/>
                <w:color w:val="auto"/>
              </w:rPr>
            </w:pPr>
          </w:p>
        </w:tc>
        <w:tc>
          <w:tcPr>
            <w:tcW w:w="292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1440" w:right="339" w:bottom="1440" w:gutter="0" w:footer="0" w:header="0"/>
        </w:sectPr>
      </w:pPr>
    </w:p>
    <w:bookmarkStart w:id="112" w:name="page113"/>
    <w:bookmarkEnd w:id="112"/>
    <w:p>
      <w:pPr>
        <w:spacing w:after="0"/>
        <w:rPr>
          <w:sz w:val="20"/>
          <w:szCs w:val="20"/>
          <w:color w:val="auto"/>
        </w:rPr>
      </w:pPr>
      <w:r>
        <w:rPr>
          <w:rFonts w:ascii="Arial" w:cs="Arial" w:eastAsia="Arial" w:hAnsi="Arial"/>
          <w:sz w:val="15"/>
          <w:szCs w:val="15"/>
          <w:b w:val="1"/>
          <w:bCs w:val="1"/>
          <w:color w:val="205BA8"/>
        </w:rPr>
        <w:t xml:space="preserve">OTHER MATTERS </w:t>
      </w:r>
      <w:r>
        <w:rPr>
          <w:rFonts w:ascii="Arial" w:cs="Arial" w:eastAsia="Arial" w:hAnsi="Arial"/>
          <w:sz w:val="15"/>
          <w:szCs w:val="15"/>
          <w:color w:val="205BA8"/>
        </w:rPr>
        <w:t>/</w:t>
      </w:r>
      <w:r>
        <w:rPr>
          <w:rFonts w:ascii="Arial" w:cs="Arial" w:eastAsia="Arial" w:hAnsi="Arial"/>
          <w:sz w:val="15"/>
          <w:szCs w:val="15"/>
          <w:b w:val="1"/>
          <w:bCs w:val="1"/>
          <w:color w:val="205BA8"/>
        </w:rPr>
        <w:t xml:space="preserve"> </w:t>
      </w:r>
      <w:r>
        <w:rPr>
          <w:rFonts w:ascii="Arial" w:cs="Arial" w:eastAsia="Arial" w:hAnsi="Arial"/>
          <w:sz w:val="15"/>
          <w:szCs w:val="15"/>
          <w:b w:val="1"/>
          <w:bCs w:val="1"/>
          <w:color w:val="C44E5E"/>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9" w:lineRule="exact"/>
        <w:rPr>
          <w:sz w:val="20"/>
          <w:szCs w:val="20"/>
          <w:color w:val="auto"/>
        </w:rPr>
      </w:pPr>
    </w:p>
    <w:p>
      <w:pPr>
        <w:ind w:left="1080" w:right="640"/>
        <w:spacing w:after="0" w:line="229" w:lineRule="auto"/>
        <w:rPr>
          <w:sz w:val="20"/>
          <w:szCs w:val="20"/>
          <w:color w:val="auto"/>
        </w:rPr>
      </w:pPr>
      <w:r>
        <w:rPr>
          <w:rFonts w:ascii="Arial" w:cs="Arial" w:eastAsia="Arial" w:hAnsi="Arial"/>
          <w:sz w:val="15"/>
          <w:szCs w:val="15"/>
          <w:color w:val="auto"/>
        </w:rPr>
        <w:t>other proceedings and government investigations relating to the Company and/or its operations,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2020, including in the section thereof captioned “Item 1A. Risk Factors.”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whether as a result of new information, future events, or otherwise.</w:t>
      </w:r>
    </w:p>
    <w:p>
      <w:pPr>
        <w:spacing w:after="0" w:line="144" w:lineRule="exact"/>
        <w:rPr>
          <w:sz w:val="20"/>
          <w:szCs w:val="20"/>
          <w:color w:val="auto"/>
        </w:rPr>
      </w:pPr>
    </w:p>
    <w:p>
      <w:pPr>
        <w:ind w:left="1080" w:right="560"/>
        <w:spacing w:after="0" w:line="227" w:lineRule="auto"/>
        <w:rPr>
          <w:sz w:val="20"/>
          <w:szCs w:val="20"/>
          <w:color w:val="auto"/>
        </w:rPr>
      </w:pPr>
      <w:r>
        <w:rPr>
          <w:rFonts w:ascii="Arial" w:cs="Arial" w:eastAsia="Arial" w:hAnsi="Arial"/>
          <w:sz w:val="15"/>
          <w:szCs w:val="15"/>
          <w:color w:val="auto"/>
        </w:rPr>
        <w:t>This proxy statement uses non-GAAP net income and non-GAAP net income per share,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 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below.</w:t>
      </w:r>
    </w:p>
    <w:p>
      <w:pPr>
        <w:spacing w:after="0" w:line="6" w:lineRule="exact"/>
        <w:rPr>
          <w:sz w:val="20"/>
          <w:szCs w:val="20"/>
          <w:color w:val="auto"/>
        </w:rPr>
      </w:pPr>
    </w:p>
    <w:p>
      <w:pPr>
        <w:spacing w:after="0"/>
        <w:tabs>
          <w:tab w:leader="none" w:pos="5440" w:val="left"/>
        </w:tabs>
        <w:rPr>
          <w:sz w:val="20"/>
          <w:szCs w:val="20"/>
          <w:color w:val="auto"/>
        </w:rPr>
      </w:pPr>
      <w:r>
        <w:rPr>
          <w:rFonts w:ascii="Arial" w:cs="Arial" w:eastAsia="Arial" w:hAnsi="Arial"/>
          <w:sz w:val="28"/>
          <w:szCs w:val="28"/>
          <w:b w:val="1"/>
          <w:bCs w:val="1"/>
          <w:color w:val="00A5EC"/>
          <w:vertAlign w:val="subscript"/>
        </w:rPr>
        <w:t>102</w:t>
      </w:r>
      <w:r>
        <w:rPr>
          <w:rFonts w:ascii="Arial" w:cs="Arial" w:eastAsia="Arial" w:hAnsi="Arial"/>
          <w:sz w:val="15"/>
          <w:szCs w:val="15"/>
          <w:b w:val="1"/>
          <w:bCs w:val="1"/>
          <w:color w:val="2952A4"/>
        </w:rPr>
        <w:t xml:space="preserve">  </w:t>
      </w:r>
      <w:r>
        <w:rPr>
          <w:rFonts w:ascii="Arial" w:cs="Arial" w:eastAsia="Arial" w:hAnsi="Arial"/>
          <w:sz w:val="28"/>
          <w:szCs w:val="28"/>
          <w:color w:val="00A5EC"/>
          <w:vertAlign w:val="subscript"/>
        </w:rPr>
        <w:t>/</w:t>
      </w:r>
      <w:r>
        <w:rPr>
          <w:sz w:val="20"/>
          <w:szCs w:val="20"/>
          <w:color w:val="auto"/>
        </w:rPr>
        <w:tab/>
      </w: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5"/>
          <w:szCs w:val="15"/>
          <w:b w:val="1"/>
          <w:bCs w:val="1"/>
          <w:color w:val="205BA8"/>
        </w:rPr>
        <w:t xml:space="preserve">OTHER MATTERS </w:t>
      </w:r>
      <w:r>
        <w:rPr>
          <w:rFonts w:ascii="Arial" w:cs="Arial" w:eastAsia="Arial" w:hAnsi="Arial"/>
          <w:sz w:val="15"/>
          <w:szCs w:val="15"/>
          <w:color w:val="205BA8"/>
        </w:rPr>
        <w:t>/</w:t>
      </w:r>
      <w:r>
        <w:rPr>
          <w:rFonts w:ascii="Arial" w:cs="Arial" w:eastAsia="Arial" w:hAnsi="Arial"/>
          <w:sz w:val="15"/>
          <w:szCs w:val="15"/>
          <w:b w:val="1"/>
          <w:bCs w:val="1"/>
          <w:color w:val="205BA8"/>
        </w:rPr>
        <w:t xml:space="preserve"> </w:t>
      </w:r>
      <w:r>
        <w:rPr>
          <w:rFonts w:ascii="Arial" w:cs="Arial" w:eastAsia="Arial" w:hAnsi="Arial"/>
          <w:sz w:val="15"/>
          <w:szCs w:val="15"/>
          <w:b w:val="1"/>
          <w:bCs w:val="1"/>
          <w:color w:val="C44E5E"/>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205BA8"/>
        </w:rPr>
        <w:t>Reconciliation of GAAP Net Income to Non-GAAP Net Income (Unaudited) (In millions,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08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gridSpan w:val="4"/>
          </w:tcPr>
          <w:p>
            <w:pPr>
              <w:jc w:val="right"/>
              <w:ind w:right="920"/>
              <w:spacing w:after="0"/>
              <w:rPr>
                <w:sz w:val="20"/>
                <w:szCs w:val="20"/>
                <w:color w:val="auto"/>
              </w:rPr>
            </w:pPr>
            <w:r>
              <w:rPr>
                <w:rFonts w:ascii="Arial" w:cs="Arial" w:eastAsia="Arial" w:hAnsi="Arial"/>
                <w:sz w:val="12"/>
                <w:szCs w:val="12"/>
                <w:b w:val="1"/>
                <w:bCs w:val="1"/>
                <w:color w:val="205BA8"/>
              </w:rPr>
              <w:t>Year Ended December 31,</w:t>
            </w:r>
          </w:p>
        </w:tc>
      </w:tr>
      <w:tr>
        <w:trPr>
          <w:trHeight w:val="128"/>
        </w:trPr>
        <w:tc>
          <w:tcPr>
            <w:tcW w:w="1080" w:type="dxa"/>
            <w:vAlign w:val="bottom"/>
          </w:tcPr>
          <w:p>
            <w:pPr>
              <w:spacing w:after="0"/>
              <w:rPr>
                <w:sz w:val="11"/>
                <w:szCs w:val="11"/>
                <w:color w:val="auto"/>
              </w:rPr>
            </w:pPr>
          </w:p>
        </w:tc>
        <w:tc>
          <w:tcPr>
            <w:tcW w:w="7520" w:type="dxa"/>
            <w:vAlign w:val="bottom"/>
            <w:tcBorders>
              <w:bottom w:val="single" w:sz="8" w:color="1F5AA8"/>
            </w:tcBorders>
          </w:tcPr>
          <w:p>
            <w:pPr>
              <w:spacing w:after="0"/>
              <w:rPr>
                <w:sz w:val="11"/>
                <w:szCs w:val="11"/>
                <w:color w:val="auto"/>
              </w:rPr>
            </w:pPr>
          </w:p>
        </w:tc>
        <w:tc>
          <w:tcPr>
            <w:tcW w:w="160" w:type="dxa"/>
            <w:vAlign w:val="bottom"/>
            <w:tcBorders>
              <w:top w:val="single" w:sz="8" w:color="1F5AA8"/>
              <w:bottom w:val="single" w:sz="8" w:color="1F5AA8"/>
            </w:tcBorders>
          </w:tcPr>
          <w:p>
            <w:pPr>
              <w:spacing w:after="0"/>
              <w:rPr>
                <w:sz w:val="11"/>
                <w:szCs w:val="11"/>
                <w:color w:val="auto"/>
              </w:rPr>
            </w:pPr>
          </w:p>
        </w:tc>
        <w:tc>
          <w:tcPr>
            <w:tcW w:w="880" w:type="dxa"/>
            <w:vAlign w:val="bottom"/>
            <w:tcBorders>
              <w:top w:val="single" w:sz="8" w:color="1F5AA8"/>
              <w:bottom w:val="single" w:sz="8" w:color="1F5AA8"/>
            </w:tcBorders>
          </w:tcPr>
          <w:p>
            <w:pPr>
              <w:jc w:val="right"/>
              <w:ind w:right="493"/>
              <w:spacing w:after="0" w:line="129" w:lineRule="exact"/>
              <w:rPr>
                <w:sz w:val="20"/>
                <w:szCs w:val="20"/>
                <w:color w:val="auto"/>
              </w:rPr>
            </w:pPr>
            <w:r>
              <w:rPr>
                <w:rFonts w:ascii="Arial" w:cs="Arial" w:eastAsia="Arial" w:hAnsi="Arial"/>
                <w:sz w:val="12"/>
                <w:szCs w:val="12"/>
                <w:b w:val="1"/>
                <w:bCs w:val="1"/>
                <w:color w:val="205BA8"/>
              </w:rPr>
              <w:t>2020</w:t>
            </w:r>
          </w:p>
        </w:tc>
        <w:tc>
          <w:tcPr>
            <w:tcW w:w="460" w:type="dxa"/>
            <w:vAlign w:val="bottom"/>
            <w:tcBorders>
              <w:top w:val="single" w:sz="8" w:color="1F5AA8"/>
              <w:bottom w:val="single" w:sz="8" w:color="1F5AA8"/>
            </w:tcBorders>
          </w:tcPr>
          <w:p>
            <w:pPr>
              <w:spacing w:after="0"/>
              <w:rPr>
                <w:sz w:val="11"/>
                <w:szCs w:val="11"/>
                <w:color w:val="auto"/>
              </w:rPr>
            </w:pPr>
          </w:p>
        </w:tc>
        <w:tc>
          <w:tcPr>
            <w:tcW w:w="600" w:type="dxa"/>
            <w:vAlign w:val="bottom"/>
            <w:tcBorders>
              <w:top w:val="single" w:sz="8" w:color="1F5AA8"/>
              <w:bottom w:val="single" w:sz="8" w:color="1F5AA8"/>
            </w:tcBorders>
          </w:tcPr>
          <w:p>
            <w:pPr>
              <w:jc w:val="right"/>
              <w:ind w:right="233"/>
              <w:spacing w:after="0" w:line="129" w:lineRule="exact"/>
              <w:rPr>
                <w:sz w:val="20"/>
                <w:szCs w:val="20"/>
                <w:color w:val="auto"/>
              </w:rPr>
            </w:pPr>
            <w:r>
              <w:rPr>
                <w:rFonts w:ascii="Arial" w:cs="Arial" w:eastAsia="Arial" w:hAnsi="Arial"/>
                <w:sz w:val="12"/>
                <w:szCs w:val="12"/>
                <w:b w:val="1"/>
                <w:bCs w:val="1"/>
                <w:color w:val="205BA8"/>
              </w:rPr>
              <w:t>2019</w:t>
            </w:r>
          </w:p>
        </w:tc>
        <w:tc>
          <w:tcPr>
            <w:tcW w:w="540" w:type="dxa"/>
            <w:vAlign w:val="bottom"/>
          </w:tcPr>
          <w:p>
            <w:pPr>
              <w:spacing w:after="0"/>
              <w:rPr>
                <w:sz w:val="11"/>
                <w:szCs w:val="11"/>
                <w:color w:val="auto"/>
              </w:rPr>
            </w:pPr>
          </w:p>
        </w:tc>
      </w:tr>
      <w:tr>
        <w:trPr>
          <w:trHeight w:val="142"/>
        </w:trPr>
        <w:tc>
          <w:tcPr>
            <w:tcW w:w="1080" w:type="dxa"/>
            <w:vAlign w:val="bottom"/>
          </w:tcPr>
          <w:p>
            <w:pPr>
              <w:spacing w:after="0"/>
              <w:rPr>
                <w:sz w:val="12"/>
                <w:szCs w:val="12"/>
                <w:color w:val="auto"/>
              </w:rPr>
            </w:pPr>
          </w:p>
        </w:tc>
        <w:tc>
          <w:tcPr>
            <w:tcW w:w="7520" w:type="dxa"/>
            <w:vAlign w:val="bottom"/>
          </w:tcPr>
          <w:p>
            <w:pPr>
              <w:spacing w:after="0" w:line="142" w:lineRule="exact"/>
              <w:rPr>
                <w:sz w:val="20"/>
                <w:szCs w:val="20"/>
                <w:color w:val="auto"/>
              </w:rPr>
            </w:pPr>
            <w:r>
              <w:rPr>
                <w:rFonts w:ascii="Arial" w:cs="Arial" w:eastAsia="Arial" w:hAnsi="Arial"/>
                <w:sz w:val="13"/>
                <w:szCs w:val="13"/>
                <w:color w:val="auto"/>
              </w:rPr>
              <w:t>GAAP R&amp;D</w:t>
            </w:r>
          </w:p>
        </w:tc>
        <w:tc>
          <w:tcPr>
            <w:tcW w:w="1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93"/>
              <w:spacing w:after="0" w:line="142" w:lineRule="exact"/>
              <w:rPr>
                <w:sz w:val="20"/>
                <w:szCs w:val="20"/>
                <w:color w:val="auto"/>
              </w:rPr>
            </w:pPr>
            <w:r>
              <w:rPr>
                <w:rFonts w:ascii="Arial" w:cs="Arial" w:eastAsia="Arial" w:hAnsi="Arial"/>
                <w:sz w:val="13"/>
                <w:szCs w:val="13"/>
                <w:color w:val="auto"/>
              </w:rPr>
              <w:t>2,735.0</w:t>
            </w:r>
          </w:p>
        </w:tc>
        <w:tc>
          <w:tcPr>
            <w:tcW w:w="4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33"/>
              <w:spacing w:after="0" w:line="142" w:lineRule="exact"/>
              <w:rPr>
                <w:sz w:val="20"/>
                <w:szCs w:val="20"/>
                <w:color w:val="auto"/>
              </w:rPr>
            </w:pPr>
            <w:r>
              <w:rPr>
                <w:rFonts w:ascii="Arial" w:cs="Arial" w:eastAsia="Arial" w:hAnsi="Arial"/>
                <w:sz w:val="13"/>
                <w:szCs w:val="13"/>
                <w:color w:val="auto"/>
              </w:rPr>
              <w:t>2,450.0</w:t>
            </w:r>
          </w:p>
        </w:tc>
        <w:tc>
          <w:tcPr>
            <w:tcW w:w="54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7520" w:type="dxa"/>
            <w:vAlign w:val="bottom"/>
            <w:shd w:val="clear" w:color="auto" w:fill="ECEDED"/>
          </w:tcPr>
          <w:p>
            <w:pPr>
              <w:ind w:left="180"/>
              <w:spacing w:after="0"/>
              <w:rPr>
                <w:sz w:val="20"/>
                <w:szCs w:val="20"/>
                <w:color w:val="auto"/>
              </w:rPr>
            </w:pPr>
            <w:r>
              <w:rPr>
                <w:rFonts w:ascii="Arial" w:cs="Arial" w:eastAsia="Arial" w:hAnsi="Arial"/>
                <w:sz w:val="13"/>
                <w:szCs w:val="13"/>
                <w:color w:val="auto"/>
              </w:rPr>
              <w:t>R&amp;D: Non-cash share-based compensation expense</w:t>
            </w:r>
          </w:p>
        </w:tc>
        <w:tc>
          <w:tcPr>
            <w:tcW w:w="160" w:type="dxa"/>
            <w:vAlign w:val="bottom"/>
            <w:shd w:val="clear" w:color="auto" w:fill="ECEDED"/>
          </w:tcPr>
          <w:p>
            <w:pPr>
              <w:spacing w:after="0"/>
              <w:rPr>
                <w:sz w:val="12"/>
                <w:szCs w:val="12"/>
                <w:color w:val="auto"/>
              </w:rPr>
            </w:pPr>
          </w:p>
        </w:tc>
        <w:tc>
          <w:tcPr>
            <w:tcW w:w="880" w:type="dxa"/>
            <w:vAlign w:val="bottom"/>
            <w:shd w:val="clear" w:color="auto" w:fill="ECEDED"/>
          </w:tcPr>
          <w:p>
            <w:pPr>
              <w:jc w:val="right"/>
              <w:ind w:right="293"/>
              <w:spacing w:after="0"/>
              <w:rPr>
                <w:sz w:val="20"/>
                <w:szCs w:val="20"/>
                <w:color w:val="auto"/>
              </w:rPr>
            </w:pPr>
            <w:r>
              <w:rPr>
                <w:rFonts w:ascii="Arial" w:cs="Arial" w:eastAsia="Arial" w:hAnsi="Arial"/>
                <w:sz w:val="13"/>
                <w:szCs w:val="13"/>
                <w:color w:val="auto"/>
              </w:rPr>
              <w:t>238.6</w:t>
            </w:r>
          </w:p>
        </w:tc>
        <w:tc>
          <w:tcPr>
            <w:tcW w:w="460" w:type="dxa"/>
            <w:vAlign w:val="bottom"/>
            <w:shd w:val="clear" w:color="auto" w:fill="ECEDED"/>
          </w:tcPr>
          <w:p>
            <w:pPr>
              <w:spacing w:after="0"/>
              <w:rPr>
                <w:sz w:val="12"/>
                <w:szCs w:val="12"/>
                <w:color w:val="auto"/>
              </w:rPr>
            </w:pPr>
          </w:p>
        </w:tc>
        <w:tc>
          <w:tcPr>
            <w:tcW w:w="600" w:type="dxa"/>
            <w:vAlign w:val="bottom"/>
            <w:shd w:val="clear" w:color="auto" w:fill="ECEDED"/>
          </w:tcPr>
          <w:p>
            <w:pPr>
              <w:jc w:val="right"/>
              <w:ind w:right="33"/>
              <w:spacing w:after="0"/>
              <w:rPr>
                <w:sz w:val="20"/>
                <w:szCs w:val="20"/>
                <w:color w:val="auto"/>
              </w:rPr>
            </w:pPr>
            <w:r>
              <w:rPr>
                <w:rFonts w:ascii="Arial" w:cs="Arial" w:eastAsia="Arial" w:hAnsi="Arial"/>
                <w:sz w:val="13"/>
                <w:szCs w:val="13"/>
                <w:color w:val="auto"/>
              </w:rPr>
              <w:t>250.4</w:t>
            </w:r>
          </w:p>
        </w:tc>
        <w:tc>
          <w:tcPr>
            <w:tcW w:w="54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7520" w:type="dxa"/>
            <w:vAlign w:val="bottom"/>
            <w:tcBorders>
              <w:bottom w:val="single" w:sz="8" w:color="ECEDED"/>
            </w:tcBorders>
          </w:tcPr>
          <w:p>
            <w:pPr>
              <w:ind w:left="180"/>
              <w:spacing w:after="0"/>
              <w:rPr>
                <w:sz w:val="20"/>
                <w:szCs w:val="20"/>
                <w:color w:val="auto"/>
              </w:rPr>
            </w:pPr>
            <w:r>
              <w:rPr>
                <w:rFonts w:ascii="Arial" w:cs="Arial" w:eastAsia="Arial" w:hAnsi="Arial"/>
                <w:sz w:val="13"/>
                <w:szCs w:val="13"/>
                <w:color w:val="auto"/>
              </w:rPr>
              <w:t>R&amp;D: Up-front payments related to license and collaboration agreements</w:t>
            </w:r>
          </w:p>
        </w:tc>
        <w:tc>
          <w:tcPr>
            <w:tcW w:w="160" w:type="dxa"/>
            <w:vAlign w:val="bottom"/>
            <w:tcBorders>
              <w:bottom w:val="single" w:sz="8" w:color="58585A"/>
            </w:tcBorders>
          </w:tcPr>
          <w:p>
            <w:pPr>
              <w:spacing w:after="0"/>
              <w:rPr>
                <w:sz w:val="12"/>
                <w:szCs w:val="12"/>
                <w:color w:val="auto"/>
              </w:rPr>
            </w:pPr>
          </w:p>
        </w:tc>
        <w:tc>
          <w:tcPr>
            <w:tcW w:w="880" w:type="dxa"/>
            <w:vAlign w:val="bottom"/>
            <w:tcBorders>
              <w:bottom w:val="single" w:sz="8" w:color="58585A"/>
            </w:tcBorders>
          </w:tcPr>
          <w:p>
            <w:pPr>
              <w:jc w:val="right"/>
              <w:ind w:right="293"/>
              <w:spacing w:after="0"/>
              <w:rPr>
                <w:sz w:val="20"/>
                <w:szCs w:val="20"/>
                <w:color w:val="auto"/>
              </w:rPr>
            </w:pPr>
            <w:r>
              <w:rPr>
                <w:rFonts w:ascii="Arial" w:cs="Arial" w:eastAsia="Arial" w:hAnsi="Arial"/>
                <w:sz w:val="13"/>
                <w:szCs w:val="13"/>
                <w:color w:val="auto"/>
              </w:rPr>
              <w:t>85.0</w:t>
            </w:r>
          </w:p>
        </w:tc>
        <w:tc>
          <w:tcPr>
            <w:tcW w:w="460" w:type="dxa"/>
            <w:vAlign w:val="bottom"/>
            <w:tcBorders>
              <w:bottom w:val="single" w:sz="8" w:color="58585A"/>
            </w:tcBorders>
          </w:tcPr>
          <w:p>
            <w:pPr>
              <w:spacing w:after="0"/>
              <w:rPr>
                <w:sz w:val="12"/>
                <w:szCs w:val="12"/>
                <w:color w:val="auto"/>
              </w:rPr>
            </w:pPr>
          </w:p>
        </w:tc>
        <w:tc>
          <w:tcPr>
            <w:tcW w:w="600" w:type="dxa"/>
            <w:vAlign w:val="bottom"/>
            <w:tcBorders>
              <w:bottom w:val="single" w:sz="8" w:color="58585A"/>
            </w:tcBorders>
          </w:tcPr>
          <w:p>
            <w:pPr>
              <w:jc w:val="right"/>
              <w:ind w:right="33"/>
              <w:spacing w:after="0"/>
              <w:rPr>
                <w:sz w:val="20"/>
                <w:szCs w:val="20"/>
                <w:color w:val="auto"/>
              </w:rPr>
            </w:pPr>
            <w:r>
              <w:rPr>
                <w:rFonts w:ascii="Arial" w:cs="Arial" w:eastAsia="Arial" w:hAnsi="Arial"/>
                <w:sz w:val="13"/>
                <w:szCs w:val="13"/>
                <w:color w:val="auto"/>
              </w:rPr>
              <w:t>430.0</w:t>
            </w:r>
          </w:p>
        </w:tc>
        <w:tc>
          <w:tcPr>
            <w:tcW w:w="540" w:type="dxa"/>
            <w:vAlign w:val="bottom"/>
          </w:tcPr>
          <w:p>
            <w:pPr>
              <w:spacing w:after="0"/>
              <w:rPr>
                <w:sz w:val="12"/>
                <w:szCs w:val="12"/>
                <w:color w:val="auto"/>
              </w:rPr>
            </w:pPr>
          </w:p>
        </w:tc>
      </w:tr>
      <w:tr>
        <w:trPr>
          <w:trHeight w:val="175"/>
        </w:trPr>
        <w:tc>
          <w:tcPr>
            <w:tcW w:w="1080" w:type="dxa"/>
            <w:vAlign w:val="bottom"/>
          </w:tcPr>
          <w:p>
            <w:pPr>
              <w:spacing w:after="0"/>
              <w:rPr>
                <w:sz w:val="15"/>
                <w:szCs w:val="15"/>
                <w:color w:val="auto"/>
              </w:rPr>
            </w:pPr>
          </w:p>
        </w:tc>
        <w:tc>
          <w:tcPr>
            <w:tcW w:w="7520" w:type="dxa"/>
            <w:vAlign w:val="bottom"/>
            <w:tcBorders>
              <w:bottom w:val="single" w:sz="8" w:color="ECEDED"/>
            </w:tcBorders>
            <w:shd w:val="clear" w:color="auto" w:fill="ECEDED"/>
          </w:tcPr>
          <w:p>
            <w:pPr>
              <w:spacing w:after="0"/>
              <w:rPr>
                <w:sz w:val="20"/>
                <w:szCs w:val="20"/>
                <w:color w:val="auto"/>
              </w:rPr>
            </w:pPr>
            <w:r>
              <w:rPr>
                <w:rFonts w:ascii="Arial" w:cs="Arial" w:eastAsia="Arial" w:hAnsi="Arial"/>
                <w:sz w:val="13"/>
                <w:szCs w:val="13"/>
                <w:color w:val="auto"/>
              </w:rPr>
              <w:t>Non-GAAP R&amp;D</w:t>
            </w:r>
          </w:p>
        </w:tc>
        <w:tc>
          <w:tcPr>
            <w:tcW w:w="16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CEDED"/>
          </w:tcPr>
          <w:p>
            <w:pPr>
              <w:jc w:val="right"/>
              <w:ind w:right="293"/>
              <w:spacing w:after="0"/>
              <w:rPr>
                <w:sz w:val="20"/>
                <w:szCs w:val="20"/>
                <w:color w:val="auto"/>
              </w:rPr>
            </w:pPr>
            <w:r>
              <w:rPr>
                <w:rFonts w:ascii="Arial" w:cs="Arial" w:eastAsia="Arial" w:hAnsi="Arial"/>
                <w:sz w:val="13"/>
                <w:szCs w:val="13"/>
                <w:color w:val="auto"/>
              </w:rPr>
              <w:t>2,411.4</w:t>
            </w:r>
          </w:p>
        </w:tc>
        <w:tc>
          <w:tcPr>
            <w:tcW w:w="460" w:type="dxa"/>
            <w:vAlign w:val="bottom"/>
            <w:tcBorders>
              <w:bottom w:val="single" w:sz="8" w:color="58585A"/>
            </w:tcBorders>
            <w:shd w:val="clear" w:color="auto" w:fill="ECEDED"/>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58585A"/>
            </w:tcBorders>
            <w:shd w:val="clear" w:color="auto" w:fill="ECEDED"/>
          </w:tcPr>
          <w:p>
            <w:pPr>
              <w:jc w:val="right"/>
              <w:ind w:right="33"/>
              <w:spacing w:after="0"/>
              <w:rPr>
                <w:sz w:val="20"/>
                <w:szCs w:val="20"/>
                <w:color w:val="auto"/>
              </w:rPr>
            </w:pPr>
            <w:r>
              <w:rPr>
                <w:rFonts w:ascii="Arial" w:cs="Arial" w:eastAsia="Arial" w:hAnsi="Arial"/>
                <w:sz w:val="13"/>
                <w:szCs w:val="13"/>
                <w:color w:val="auto"/>
              </w:rPr>
              <w:t>1,769.6</w:t>
            </w:r>
          </w:p>
        </w:tc>
        <w:tc>
          <w:tcPr>
            <w:tcW w:w="540" w:type="dxa"/>
            <w:vAlign w:val="bottom"/>
          </w:tcPr>
          <w:p>
            <w:pPr>
              <w:spacing w:after="0"/>
              <w:rPr>
                <w:sz w:val="15"/>
                <w:szCs w:val="15"/>
                <w:color w:val="auto"/>
              </w:rPr>
            </w:pPr>
          </w:p>
        </w:tc>
      </w:tr>
      <w:tr>
        <w:trPr>
          <w:trHeight w:val="136"/>
        </w:trPr>
        <w:tc>
          <w:tcPr>
            <w:tcW w:w="1080" w:type="dxa"/>
            <w:vAlign w:val="bottom"/>
          </w:tcPr>
          <w:p>
            <w:pPr>
              <w:spacing w:after="0"/>
              <w:rPr>
                <w:sz w:val="11"/>
                <w:szCs w:val="11"/>
                <w:color w:val="auto"/>
              </w:rPr>
            </w:pPr>
          </w:p>
        </w:tc>
        <w:tc>
          <w:tcPr>
            <w:tcW w:w="7520" w:type="dxa"/>
            <w:vAlign w:val="bottom"/>
          </w:tcPr>
          <w:p>
            <w:pPr>
              <w:spacing w:after="0" w:line="136" w:lineRule="exact"/>
              <w:rPr>
                <w:sz w:val="20"/>
                <w:szCs w:val="20"/>
                <w:color w:val="auto"/>
              </w:rPr>
            </w:pPr>
            <w:r>
              <w:rPr>
                <w:rFonts w:ascii="Arial" w:cs="Arial" w:eastAsia="Arial" w:hAnsi="Arial"/>
                <w:sz w:val="13"/>
                <w:szCs w:val="13"/>
                <w:color w:val="auto"/>
              </w:rPr>
              <w:t>GAAP SG&amp;A</w:t>
            </w:r>
          </w:p>
        </w:tc>
        <w:tc>
          <w:tcPr>
            <w:tcW w:w="1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93"/>
              <w:spacing w:after="0" w:line="136" w:lineRule="exact"/>
              <w:rPr>
                <w:sz w:val="20"/>
                <w:szCs w:val="20"/>
                <w:color w:val="auto"/>
              </w:rPr>
            </w:pPr>
            <w:r>
              <w:rPr>
                <w:rFonts w:ascii="Arial" w:cs="Arial" w:eastAsia="Arial" w:hAnsi="Arial"/>
                <w:sz w:val="13"/>
                <w:szCs w:val="13"/>
                <w:color w:val="auto"/>
              </w:rPr>
              <w:t>1,346.0</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33"/>
              <w:spacing w:after="0" w:line="136" w:lineRule="exact"/>
              <w:rPr>
                <w:sz w:val="20"/>
                <w:szCs w:val="20"/>
                <w:color w:val="auto"/>
              </w:rPr>
            </w:pPr>
            <w:r>
              <w:rPr>
                <w:rFonts w:ascii="Arial" w:cs="Arial" w:eastAsia="Arial" w:hAnsi="Arial"/>
                <w:sz w:val="13"/>
                <w:szCs w:val="13"/>
                <w:color w:val="auto"/>
              </w:rPr>
              <w:t>1,341.9</w:t>
            </w:r>
          </w:p>
        </w:tc>
        <w:tc>
          <w:tcPr>
            <w:tcW w:w="540" w:type="dxa"/>
            <w:vAlign w:val="bottom"/>
          </w:tcPr>
          <w:p>
            <w:pPr>
              <w:spacing w:after="0"/>
              <w:rPr>
                <w:sz w:val="11"/>
                <w:szCs w:val="11"/>
                <w:color w:val="auto"/>
              </w:rPr>
            </w:pPr>
          </w:p>
        </w:tc>
      </w:tr>
      <w:tr>
        <w:trPr>
          <w:trHeight w:val="148"/>
        </w:trPr>
        <w:tc>
          <w:tcPr>
            <w:tcW w:w="1080" w:type="dxa"/>
            <w:vAlign w:val="bottom"/>
          </w:tcPr>
          <w:p>
            <w:pPr>
              <w:spacing w:after="0"/>
              <w:rPr>
                <w:sz w:val="12"/>
                <w:szCs w:val="12"/>
                <w:color w:val="auto"/>
              </w:rPr>
            </w:pPr>
          </w:p>
        </w:tc>
        <w:tc>
          <w:tcPr>
            <w:tcW w:w="7520" w:type="dxa"/>
            <w:vAlign w:val="bottom"/>
            <w:shd w:val="clear" w:color="auto" w:fill="ECEDED"/>
          </w:tcPr>
          <w:p>
            <w:pPr>
              <w:ind w:left="180"/>
              <w:spacing w:after="0"/>
              <w:rPr>
                <w:sz w:val="20"/>
                <w:szCs w:val="20"/>
                <w:color w:val="auto"/>
              </w:rPr>
            </w:pPr>
            <w:r>
              <w:rPr>
                <w:rFonts w:ascii="Arial" w:cs="Arial" w:eastAsia="Arial" w:hAnsi="Arial"/>
                <w:sz w:val="13"/>
                <w:szCs w:val="13"/>
                <w:color w:val="auto"/>
              </w:rPr>
              <w:t>SG&amp;A: Non-cash share-based compensation expense</w:t>
            </w:r>
          </w:p>
        </w:tc>
        <w:tc>
          <w:tcPr>
            <w:tcW w:w="160" w:type="dxa"/>
            <w:vAlign w:val="bottom"/>
            <w:shd w:val="clear" w:color="auto" w:fill="ECEDED"/>
          </w:tcPr>
          <w:p>
            <w:pPr>
              <w:spacing w:after="0"/>
              <w:rPr>
                <w:sz w:val="12"/>
                <w:szCs w:val="12"/>
                <w:color w:val="auto"/>
              </w:rPr>
            </w:pPr>
          </w:p>
        </w:tc>
        <w:tc>
          <w:tcPr>
            <w:tcW w:w="880" w:type="dxa"/>
            <w:vAlign w:val="bottom"/>
            <w:shd w:val="clear" w:color="auto" w:fill="ECEDED"/>
          </w:tcPr>
          <w:p>
            <w:pPr>
              <w:jc w:val="right"/>
              <w:ind w:right="293"/>
              <w:spacing w:after="0"/>
              <w:rPr>
                <w:sz w:val="20"/>
                <w:szCs w:val="20"/>
                <w:color w:val="auto"/>
              </w:rPr>
            </w:pPr>
            <w:r>
              <w:rPr>
                <w:rFonts w:ascii="Arial" w:cs="Arial" w:eastAsia="Arial" w:hAnsi="Arial"/>
                <w:sz w:val="13"/>
                <w:szCs w:val="13"/>
                <w:color w:val="auto"/>
              </w:rPr>
              <w:t>153.0</w:t>
            </w:r>
          </w:p>
        </w:tc>
        <w:tc>
          <w:tcPr>
            <w:tcW w:w="460" w:type="dxa"/>
            <w:vAlign w:val="bottom"/>
            <w:shd w:val="clear" w:color="auto" w:fill="ECEDED"/>
          </w:tcPr>
          <w:p>
            <w:pPr>
              <w:spacing w:after="0"/>
              <w:rPr>
                <w:sz w:val="12"/>
                <w:szCs w:val="12"/>
                <w:color w:val="auto"/>
              </w:rPr>
            </w:pPr>
          </w:p>
        </w:tc>
        <w:tc>
          <w:tcPr>
            <w:tcW w:w="600" w:type="dxa"/>
            <w:vAlign w:val="bottom"/>
            <w:shd w:val="clear" w:color="auto" w:fill="ECEDED"/>
          </w:tcPr>
          <w:p>
            <w:pPr>
              <w:jc w:val="right"/>
              <w:ind w:right="33"/>
              <w:spacing w:after="0"/>
              <w:rPr>
                <w:sz w:val="20"/>
                <w:szCs w:val="20"/>
                <w:color w:val="auto"/>
              </w:rPr>
            </w:pPr>
            <w:r>
              <w:rPr>
                <w:rFonts w:ascii="Arial" w:cs="Arial" w:eastAsia="Arial" w:hAnsi="Arial"/>
                <w:sz w:val="13"/>
                <w:szCs w:val="13"/>
                <w:color w:val="auto"/>
              </w:rPr>
              <w:t>167.7</w:t>
            </w:r>
          </w:p>
        </w:tc>
        <w:tc>
          <w:tcPr>
            <w:tcW w:w="54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7520" w:type="dxa"/>
            <w:vAlign w:val="bottom"/>
          </w:tcPr>
          <w:p>
            <w:pPr>
              <w:ind w:left="180"/>
              <w:spacing w:after="0"/>
              <w:rPr>
                <w:sz w:val="20"/>
                <w:szCs w:val="20"/>
                <w:color w:val="auto"/>
              </w:rPr>
            </w:pPr>
            <w:r>
              <w:rPr>
                <w:rFonts w:ascii="Arial" w:cs="Arial" w:eastAsia="Arial" w:hAnsi="Arial"/>
                <w:sz w:val="13"/>
                <w:szCs w:val="13"/>
                <w:color w:val="auto"/>
              </w:rPr>
              <w:t>SG&amp;A: Litigation contingencies</w:t>
            </w:r>
          </w:p>
        </w:tc>
        <w:tc>
          <w:tcPr>
            <w:tcW w:w="160" w:type="dxa"/>
            <w:vAlign w:val="bottom"/>
          </w:tcPr>
          <w:p>
            <w:pPr>
              <w:spacing w:after="0"/>
              <w:rPr>
                <w:sz w:val="12"/>
                <w:szCs w:val="12"/>
                <w:color w:val="auto"/>
              </w:rPr>
            </w:pPr>
          </w:p>
        </w:tc>
        <w:tc>
          <w:tcPr>
            <w:tcW w:w="880" w:type="dxa"/>
            <w:vAlign w:val="bottom"/>
          </w:tcPr>
          <w:p>
            <w:pPr>
              <w:jc w:val="right"/>
              <w:ind w:right="253"/>
              <w:spacing w:after="0"/>
              <w:rPr>
                <w:sz w:val="20"/>
                <w:szCs w:val="20"/>
                <w:color w:val="auto"/>
              </w:rPr>
            </w:pPr>
            <w:r>
              <w:rPr>
                <w:rFonts w:ascii="Arial" w:cs="Arial" w:eastAsia="Arial" w:hAnsi="Arial"/>
                <w:sz w:val="13"/>
                <w:szCs w:val="13"/>
                <w:color w:val="auto"/>
              </w:rPr>
              <w:t>(95.0)</w:t>
            </w:r>
          </w:p>
        </w:tc>
        <w:tc>
          <w:tcPr>
            <w:tcW w:w="460" w:type="dxa"/>
            <w:vAlign w:val="bottom"/>
          </w:tcPr>
          <w:p>
            <w:pPr>
              <w:spacing w:after="0"/>
              <w:rPr>
                <w:sz w:val="12"/>
                <w:szCs w:val="12"/>
                <w:color w:val="auto"/>
              </w:rPr>
            </w:pP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70.0</w:t>
            </w:r>
          </w:p>
        </w:tc>
        <w:tc>
          <w:tcPr>
            <w:tcW w:w="54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7520" w:type="dxa"/>
            <w:vAlign w:val="bottom"/>
            <w:shd w:val="clear" w:color="auto" w:fill="ECEDED"/>
          </w:tcPr>
          <w:p>
            <w:pPr>
              <w:ind w:left="180"/>
              <w:spacing w:after="0"/>
              <w:rPr>
                <w:sz w:val="20"/>
                <w:szCs w:val="20"/>
                <w:color w:val="auto"/>
              </w:rPr>
            </w:pPr>
            <w:r>
              <w:rPr>
                <w:rFonts w:ascii="Arial" w:cs="Arial" w:eastAsia="Arial" w:hAnsi="Arial"/>
                <w:sz w:val="13"/>
                <w:szCs w:val="13"/>
                <w:color w:val="auto"/>
              </w:rPr>
              <w:t>SG&amp;A: Restructuring-related expenses</w:t>
            </w:r>
          </w:p>
        </w:tc>
        <w:tc>
          <w:tcPr>
            <w:tcW w:w="160" w:type="dxa"/>
            <w:vAlign w:val="bottom"/>
            <w:tcBorders>
              <w:bottom w:val="single" w:sz="8" w:color="58585A"/>
            </w:tcBorders>
            <w:shd w:val="clear" w:color="auto" w:fill="ECEDED"/>
          </w:tcPr>
          <w:p>
            <w:pPr>
              <w:spacing w:after="0"/>
              <w:rPr>
                <w:sz w:val="12"/>
                <w:szCs w:val="12"/>
                <w:color w:val="auto"/>
              </w:rPr>
            </w:pPr>
          </w:p>
        </w:tc>
        <w:tc>
          <w:tcPr>
            <w:tcW w:w="880" w:type="dxa"/>
            <w:vAlign w:val="bottom"/>
            <w:tcBorders>
              <w:bottom w:val="single" w:sz="8" w:color="58585A"/>
            </w:tcBorders>
            <w:shd w:val="clear" w:color="auto" w:fill="ECEDED"/>
          </w:tcPr>
          <w:p>
            <w:pPr>
              <w:jc w:val="right"/>
              <w:ind w:right="293"/>
              <w:spacing w:after="0"/>
              <w:rPr>
                <w:sz w:val="20"/>
                <w:szCs w:val="20"/>
                <w:color w:val="auto"/>
              </w:rPr>
            </w:pPr>
            <w:r>
              <w:rPr>
                <w:rFonts w:ascii="Arial" w:cs="Arial" w:eastAsia="Arial" w:hAnsi="Arial"/>
                <w:sz w:val="13"/>
                <w:szCs w:val="13"/>
                <w:color w:val="auto"/>
              </w:rPr>
              <w:t>8.1</w:t>
            </w:r>
          </w:p>
        </w:tc>
        <w:tc>
          <w:tcPr>
            <w:tcW w:w="460" w:type="dxa"/>
            <w:vAlign w:val="bottom"/>
            <w:tcBorders>
              <w:bottom w:val="single" w:sz="8" w:color="58585A"/>
            </w:tcBorders>
            <w:shd w:val="clear" w:color="auto" w:fill="ECEDED"/>
          </w:tcPr>
          <w:p>
            <w:pPr>
              <w:spacing w:after="0"/>
              <w:rPr>
                <w:sz w:val="12"/>
                <w:szCs w:val="12"/>
                <w:color w:val="auto"/>
              </w:rPr>
            </w:pPr>
          </w:p>
        </w:tc>
        <w:tc>
          <w:tcPr>
            <w:tcW w:w="600" w:type="dxa"/>
            <w:vAlign w:val="bottom"/>
            <w:tcBorders>
              <w:bottom w:val="single" w:sz="8" w:color="58585A"/>
            </w:tcBorders>
            <w:shd w:val="clear" w:color="auto" w:fill="ECEDED"/>
          </w:tcPr>
          <w:p>
            <w:pPr>
              <w:jc w:val="right"/>
              <w:ind w:right="33"/>
              <w:spacing w:after="0"/>
              <w:rPr>
                <w:sz w:val="20"/>
                <w:szCs w:val="20"/>
                <w:color w:val="auto"/>
              </w:rPr>
            </w:pPr>
            <w:r>
              <w:rPr>
                <w:rFonts w:ascii="Arial" w:cs="Arial" w:eastAsia="Arial" w:hAnsi="Arial"/>
                <w:sz w:val="13"/>
                <w:szCs w:val="13"/>
                <w:color w:val="auto"/>
              </w:rPr>
              <w:t>35.2</w:t>
            </w:r>
          </w:p>
        </w:tc>
        <w:tc>
          <w:tcPr>
            <w:tcW w:w="54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7520" w:type="dxa"/>
            <w:vAlign w:val="bottom"/>
            <w:tcBorders>
              <w:bottom w:val="single" w:sz="8" w:color="ECEDED"/>
            </w:tcBorders>
          </w:tcPr>
          <w:p>
            <w:pPr>
              <w:spacing w:after="0" w:line="142" w:lineRule="exact"/>
              <w:rPr>
                <w:sz w:val="20"/>
                <w:szCs w:val="20"/>
                <w:color w:val="auto"/>
              </w:rPr>
            </w:pPr>
            <w:r>
              <w:rPr>
                <w:rFonts w:ascii="Arial" w:cs="Arial" w:eastAsia="Arial" w:hAnsi="Arial"/>
                <w:sz w:val="13"/>
                <w:szCs w:val="13"/>
                <w:color w:val="auto"/>
              </w:rPr>
              <w:t>Non-GAAP SG&amp;A</w:t>
            </w:r>
          </w:p>
        </w:tc>
        <w:tc>
          <w:tcPr>
            <w:tcW w:w="16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jc w:val="right"/>
              <w:ind w:right="293"/>
              <w:spacing w:after="0" w:line="142" w:lineRule="exact"/>
              <w:rPr>
                <w:sz w:val="20"/>
                <w:szCs w:val="20"/>
                <w:color w:val="auto"/>
              </w:rPr>
            </w:pPr>
            <w:r>
              <w:rPr>
                <w:rFonts w:ascii="Arial" w:cs="Arial" w:eastAsia="Arial" w:hAnsi="Arial"/>
                <w:sz w:val="13"/>
                <w:szCs w:val="13"/>
                <w:color w:val="auto"/>
              </w:rPr>
              <w:t>1,279.9</w:t>
            </w:r>
          </w:p>
        </w:tc>
        <w:tc>
          <w:tcPr>
            <w:tcW w:w="46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58585A"/>
            </w:tcBorders>
          </w:tcPr>
          <w:p>
            <w:pPr>
              <w:jc w:val="right"/>
              <w:ind w:right="33"/>
              <w:spacing w:after="0" w:line="142" w:lineRule="exact"/>
              <w:rPr>
                <w:sz w:val="20"/>
                <w:szCs w:val="20"/>
                <w:color w:val="auto"/>
              </w:rPr>
            </w:pPr>
            <w:r>
              <w:rPr>
                <w:rFonts w:ascii="Arial" w:cs="Arial" w:eastAsia="Arial" w:hAnsi="Arial"/>
                <w:sz w:val="13"/>
                <w:szCs w:val="13"/>
                <w:color w:val="auto"/>
              </w:rPr>
              <w:t>1,069.0</w:t>
            </w:r>
          </w:p>
        </w:tc>
        <w:tc>
          <w:tcPr>
            <w:tcW w:w="54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7520" w:type="dxa"/>
            <w:vAlign w:val="bottom"/>
            <w:shd w:val="clear" w:color="auto" w:fill="ECEDED"/>
          </w:tcPr>
          <w:p>
            <w:pPr>
              <w:spacing w:after="0"/>
              <w:rPr>
                <w:sz w:val="20"/>
                <w:szCs w:val="20"/>
                <w:color w:val="auto"/>
              </w:rPr>
            </w:pPr>
            <w:r>
              <w:rPr>
                <w:rFonts w:ascii="Arial" w:cs="Arial" w:eastAsia="Arial" w:hAnsi="Arial"/>
                <w:sz w:val="13"/>
                <w:szCs w:val="13"/>
                <w:color w:val="auto"/>
              </w:rPr>
              <w:t>GAAP COGS</w:t>
            </w:r>
          </w:p>
        </w:tc>
        <w:tc>
          <w:tcPr>
            <w:tcW w:w="160" w:type="dxa"/>
            <w:vAlign w:val="bottom"/>
            <w:shd w:val="clear" w:color="auto" w:fill="ECEDED"/>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CEDED"/>
          </w:tcPr>
          <w:p>
            <w:pPr>
              <w:jc w:val="right"/>
              <w:ind w:right="293"/>
              <w:spacing w:after="0"/>
              <w:rPr>
                <w:sz w:val="20"/>
                <w:szCs w:val="20"/>
                <w:color w:val="auto"/>
              </w:rPr>
            </w:pPr>
            <w:r>
              <w:rPr>
                <w:rFonts w:ascii="Arial" w:cs="Arial" w:eastAsia="Arial" w:hAnsi="Arial"/>
                <w:sz w:val="13"/>
                <w:szCs w:val="13"/>
                <w:color w:val="auto"/>
              </w:rPr>
              <w:t>491.9</w:t>
            </w:r>
          </w:p>
        </w:tc>
        <w:tc>
          <w:tcPr>
            <w:tcW w:w="460" w:type="dxa"/>
            <w:vAlign w:val="bottom"/>
            <w:shd w:val="clear" w:color="auto" w:fill="ECEDED"/>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CEDED"/>
          </w:tcPr>
          <w:p>
            <w:pPr>
              <w:jc w:val="right"/>
              <w:ind w:right="33"/>
              <w:spacing w:after="0"/>
              <w:rPr>
                <w:sz w:val="20"/>
                <w:szCs w:val="20"/>
                <w:color w:val="auto"/>
              </w:rPr>
            </w:pPr>
            <w:r>
              <w:rPr>
                <w:rFonts w:ascii="Arial" w:cs="Arial" w:eastAsia="Arial" w:hAnsi="Arial"/>
                <w:sz w:val="13"/>
                <w:szCs w:val="13"/>
                <w:color w:val="auto"/>
              </w:rPr>
              <w:t>362.3</w:t>
            </w:r>
          </w:p>
        </w:tc>
        <w:tc>
          <w:tcPr>
            <w:tcW w:w="54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7520" w:type="dxa"/>
            <w:vAlign w:val="bottom"/>
          </w:tcPr>
          <w:p>
            <w:pPr>
              <w:ind w:left="180"/>
              <w:spacing w:after="0"/>
              <w:rPr>
                <w:sz w:val="20"/>
                <w:szCs w:val="20"/>
                <w:color w:val="auto"/>
              </w:rPr>
            </w:pPr>
            <w:r>
              <w:rPr>
                <w:rFonts w:ascii="Arial" w:cs="Arial" w:eastAsia="Arial" w:hAnsi="Arial"/>
                <w:sz w:val="13"/>
                <w:szCs w:val="13"/>
                <w:color w:val="auto"/>
              </w:rPr>
              <w:t>COGS: Non-cash share-based compensation expense</w:t>
            </w:r>
          </w:p>
        </w:tc>
        <w:tc>
          <w:tcPr>
            <w:tcW w:w="160" w:type="dxa"/>
            <w:vAlign w:val="bottom"/>
          </w:tcPr>
          <w:p>
            <w:pPr>
              <w:spacing w:after="0"/>
              <w:rPr>
                <w:sz w:val="12"/>
                <w:szCs w:val="12"/>
                <w:color w:val="auto"/>
              </w:rPr>
            </w:pPr>
          </w:p>
        </w:tc>
        <w:tc>
          <w:tcPr>
            <w:tcW w:w="880" w:type="dxa"/>
            <w:vAlign w:val="bottom"/>
          </w:tcPr>
          <w:p>
            <w:pPr>
              <w:jc w:val="right"/>
              <w:ind w:right="293"/>
              <w:spacing w:after="0"/>
              <w:rPr>
                <w:sz w:val="20"/>
                <w:szCs w:val="20"/>
                <w:color w:val="auto"/>
              </w:rPr>
            </w:pPr>
            <w:r>
              <w:rPr>
                <w:rFonts w:ascii="Arial" w:cs="Arial" w:eastAsia="Arial" w:hAnsi="Arial"/>
                <w:sz w:val="13"/>
                <w:szCs w:val="13"/>
                <w:color w:val="auto"/>
              </w:rPr>
              <w:t>40.4</w:t>
            </w:r>
          </w:p>
        </w:tc>
        <w:tc>
          <w:tcPr>
            <w:tcW w:w="460" w:type="dxa"/>
            <w:vAlign w:val="bottom"/>
          </w:tcPr>
          <w:p>
            <w:pPr>
              <w:spacing w:after="0"/>
              <w:rPr>
                <w:sz w:val="12"/>
                <w:szCs w:val="12"/>
                <w:color w:val="auto"/>
              </w:rPr>
            </w:pP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46.2</w:t>
            </w:r>
          </w:p>
        </w:tc>
        <w:tc>
          <w:tcPr>
            <w:tcW w:w="54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7520" w:type="dxa"/>
            <w:vAlign w:val="bottom"/>
            <w:shd w:val="clear" w:color="auto" w:fill="ECEDED"/>
          </w:tcPr>
          <w:p>
            <w:pPr>
              <w:ind w:left="180"/>
              <w:spacing w:after="0"/>
              <w:rPr>
                <w:sz w:val="20"/>
                <w:szCs w:val="20"/>
                <w:color w:val="auto"/>
              </w:rPr>
            </w:pPr>
            <w:r>
              <w:rPr>
                <w:rFonts w:ascii="Arial" w:cs="Arial" w:eastAsia="Arial" w:hAnsi="Arial"/>
                <w:sz w:val="13"/>
                <w:szCs w:val="13"/>
                <w:color w:val="auto"/>
              </w:rPr>
              <w:t>COGS: Other</w:t>
            </w:r>
          </w:p>
        </w:tc>
        <w:tc>
          <w:tcPr>
            <w:tcW w:w="160" w:type="dxa"/>
            <w:vAlign w:val="bottom"/>
            <w:tcBorders>
              <w:bottom w:val="single" w:sz="8" w:color="58585A"/>
            </w:tcBorders>
            <w:shd w:val="clear" w:color="auto" w:fill="ECEDED"/>
          </w:tcPr>
          <w:p>
            <w:pPr>
              <w:spacing w:after="0"/>
              <w:rPr>
                <w:sz w:val="12"/>
                <w:szCs w:val="12"/>
                <w:color w:val="auto"/>
              </w:rPr>
            </w:pPr>
          </w:p>
        </w:tc>
        <w:tc>
          <w:tcPr>
            <w:tcW w:w="880" w:type="dxa"/>
            <w:vAlign w:val="bottom"/>
            <w:tcBorders>
              <w:bottom w:val="single" w:sz="8" w:color="58585A"/>
            </w:tcBorders>
            <w:shd w:val="clear" w:color="auto" w:fill="ECEDED"/>
          </w:tcPr>
          <w:p>
            <w:pPr>
              <w:jc w:val="right"/>
              <w:ind w:right="293"/>
              <w:spacing w:after="0"/>
              <w:rPr>
                <w:sz w:val="20"/>
                <w:szCs w:val="20"/>
                <w:color w:val="auto"/>
              </w:rPr>
            </w:pPr>
            <w:r>
              <w:rPr>
                <w:rFonts w:ascii="Arial" w:cs="Arial" w:eastAsia="Arial" w:hAnsi="Arial"/>
                <w:sz w:val="13"/>
                <w:szCs w:val="13"/>
                <w:color w:val="auto"/>
              </w:rPr>
              <w:t>0.9</w:t>
            </w:r>
          </w:p>
        </w:tc>
        <w:tc>
          <w:tcPr>
            <w:tcW w:w="460" w:type="dxa"/>
            <w:vAlign w:val="bottom"/>
            <w:tcBorders>
              <w:bottom w:val="single" w:sz="8" w:color="58585A"/>
            </w:tcBorders>
            <w:shd w:val="clear" w:color="auto" w:fill="ECEDED"/>
          </w:tcPr>
          <w:p>
            <w:pPr>
              <w:spacing w:after="0"/>
              <w:rPr>
                <w:sz w:val="12"/>
                <w:szCs w:val="12"/>
                <w:color w:val="auto"/>
              </w:rPr>
            </w:pPr>
          </w:p>
        </w:tc>
        <w:tc>
          <w:tcPr>
            <w:tcW w:w="600" w:type="dxa"/>
            <w:vAlign w:val="bottom"/>
            <w:tcBorders>
              <w:bottom w:val="single" w:sz="8" w:color="58585A"/>
            </w:tcBorders>
            <w:shd w:val="clear" w:color="auto" w:fill="ECEDED"/>
          </w:tcPr>
          <w:p>
            <w:pPr>
              <w:jc w:val="right"/>
              <w:ind w:right="33"/>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7520" w:type="dxa"/>
            <w:vAlign w:val="bottom"/>
            <w:tcBorders>
              <w:bottom w:val="single" w:sz="8" w:color="ECEDED"/>
            </w:tcBorders>
          </w:tcPr>
          <w:p>
            <w:pPr>
              <w:spacing w:after="0" w:line="142" w:lineRule="exact"/>
              <w:rPr>
                <w:sz w:val="20"/>
                <w:szCs w:val="20"/>
                <w:color w:val="auto"/>
              </w:rPr>
            </w:pPr>
            <w:r>
              <w:rPr>
                <w:rFonts w:ascii="Arial" w:cs="Arial" w:eastAsia="Arial" w:hAnsi="Arial"/>
                <w:sz w:val="13"/>
                <w:szCs w:val="13"/>
                <w:color w:val="auto"/>
              </w:rPr>
              <w:t>Non-GAAP COGS</w:t>
            </w:r>
          </w:p>
        </w:tc>
        <w:tc>
          <w:tcPr>
            <w:tcW w:w="16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jc w:val="right"/>
              <w:ind w:right="293"/>
              <w:spacing w:after="0" w:line="142" w:lineRule="exact"/>
              <w:rPr>
                <w:sz w:val="20"/>
                <w:szCs w:val="20"/>
                <w:color w:val="auto"/>
              </w:rPr>
            </w:pPr>
            <w:r>
              <w:rPr>
                <w:rFonts w:ascii="Arial" w:cs="Arial" w:eastAsia="Arial" w:hAnsi="Arial"/>
                <w:sz w:val="13"/>
                <w:szCs w:val="13"/>
                <w:color w:val="auto"/>
              </w:rPr>
              <w:t>450.6</w:t>
            </w:r>
          </w:p>
        </w:tc>
        <w:tc>
          <w:tcPr>
            <w:tcW w:w="46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58585A"/>
            </w:tcBorders>
          </w:tcPr>
          <w:p>
            <w:pPr>
              <w:jc w:val="right"/>
              <w:ind w:right="33"/>
              <w:spacing w:after="0" w:line="142" w:lineRule="exact"/>
              <w:rPr>
                <w:sz w:val="20"/>
                <w:szCs w:val="20"/>
                <w:color w:val="auto"/>
              </w:rPr>
            </w:pPr>
            <w:r>
              <w:rPr>
                <w:rFonts w:ascii="Arial" w:cs="Arial" w:eastAsia="Arial" w:hAnsi="Arial"/>
                <w:sz w:val="13"/>
                <w:szCs w:val="13"/>
                <w:color w:val="auto"/>
              </w:rPr>
              <w:t>316.1</w:t>
            </w:r>
          </w:p>
        </w:tc>
        <w:tc>
          <w:tcPr>
            <w:tcW w:w="54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7520" w:type="dxa"/>
            <w:vAlign w:val="bottom"/>
            <w:shd w:val="clear" w:color="auto" w:fill="ECEDED"/>
          </w:tcPr>
          <w:p>
            <w:pPr>
              <w:spacing w:after="0"/>
              <w:rPr>
                <w:sz w:val="20"/>
                <w:szCs w:val="20"/>
                <w:color w:val="auto"/>
              </w:rPr>
            </w:pPr>
            <w:r>
              <w:rPr>
                <w:rFonts w:ascii="Arial" w:cs="Arial" w:eastAsia="Arial" w:hAnsi="Arial"/>
                <w:sz w:val="13"/>
                <w:szCs w:val="13"/>
                <w:color w:val="auto"/>
              </w:rPr>
              <w:t>GAAP other income (expense), net</w:t>
            </w:r>
          </w:p>
        </w:tc>
        <w:tc>
          <w:tcPr>
            <w:tcW w:w="160" w:type="dxa"/>
            <w:vAlign w:val="bottom"/>
            <w:shd w:val="clear" w:color="auto" w:fill="ECEDED"/>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CEDED"/>
          </w:tcPr>
          <w:p>
            <w:pPr>
              <w:jc w:val="right"/>
              <w:ind w:right="293"/>
              <w:spacing w:after="0"/>
              <w:rPr>
                <w:sz w:val="20"/>
                <w:szCs w:val="20"/>
                <w:color w:val="auto"/>
              </w:rPr>
            </w:pPr>
            <w:r>
              <w:rPr>
                <w:rFonts w:ascii="Arial" w:cs="Arial" w:eastAsia="Arial" w:hAnsi="Arial"/>
                <w:sz w:val="13"/>
                <w:szCs w:val="13"/>
                <w:color w:val="auto"/>
              </w:rPr>
              <w:t>233.8</w:t>
            </w:r>
          </w:p>
        </w:tc>
        <w:tc>
          <w:tcPr>
            <w:tcW w:w="460" w:type="dxa"/>
            <w:vAlign w:val="bottom"/>
            <w:shd w:val="clear" w:color="auto" w:fill="ECEDED"/>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CEDED"/>
          </w:tcPr>
          <w:p>
            <w:pPr>
              <w:jc w:val="right"/>
              <w:ind w:right="33"/>
              <w:spacing w:after="0"/>
              <w:rPr>
                <w:sz w:val="20"/>
                <w:szCs w:val="20"/>
                <w:color w:val="auto"/>
              </w:rPr>
            </w:pPr>
            <w:r>
              <w:rPr>
                <w:rFonts w:ascii="Arial" w:cs="Arial" w:eastAsia="Arial" w:hAnsi="Arial"/>
                <w:sz w:val="13"/>
                <w:szCs w:val="13"/>
                <w:color w:val="auto"/>
              </w:rPr>
              <w:t>219.3</w:t>
            </w:r>
          </w:p>
        </w:tc>
        <w:tc>
          <w:tcPr>
            <w:tcW w:w="54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7520" w:type="dxa"/>
            <w:vAlign w:val="bottom"/>
          </w:tcPr>
          <w:p>
            <w:pPr>
              <w:ind w:left="180"/>
              <w:spacing w:after="0"/>
              <w:rPr>
                <w:sz w:val="20"/>
                <w:szCs w:val="20"/>
                <w:color w:val="auto"/>
              </w:rPr>
            </w:pPr>
            <w:r>
              <w:rPr>
                <w:rFonts w:ascii="Arial" w:cs="Arial" w:eastAsia="Arial" w:hAnsi="Arial"/>
                <w:sz w:val="13"/>
                <w:szCs w:val="13"/>
                <w:color w:val="auto"/>
              </w:rPr>
              <w:t>Other income/expense: Gains on investments</w:t>
            </w:r>
          </w:p>
        </w:tc>
        <w:tc>
          <w:tcPr>
            <w:tcW w:w="160" w:type="dxa"/>
            <w:vAlign w:val="bottom"/>
          </w:tcPr>
          <w:p>
            <w:pPr>
              <w:spacing w:after="0"/>
              <w:rPr>
                <w:sz w:val="12"/>
                <w:szCs w:val="12"/>
                <w:color w:val="auto"/>
              </w:rPr>
            </w:pPr>
          </w:p>
        </w:tc>
        <w:tc>
          <w:tcPr>
            <w:tcW w:w="880" w:type="dxa"/>
            <w:vAlign w:val="bottom"/>
          </w:tcPr>
          <w:p>
            <w:pPr>
              <w:jc w:val="right"/>
              <w:ind w:right="253"/>
              <w:spacing w:after="0"/>
              <w:rPr>
                <w:sz w:val="20"/>
                <w:szCs w:val="20"/>
                <w:color w:val="auto"/>
              </w:rPr>
            </w:pPr>
            <w:r>
              <w:rPr>
                <w:rFonts w:ascii="Arial" w:cs="Arial" w:eastAsia="Arial" w:hAnsi="Arial"/>
                <w:sz w:val="13"/>
                <w:szCs w:val="13"/>
                <w:color w:val="auto"/>
              </w:rPr>
              <w:t>(221.6)</w:t>
            </w:r>
          </w:p>
        </w:tc>
        <w:tc>
          <w:tcPr>
            <w:tcW w:w="4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(118.3)</w:t>
            </w:r>
          </w:p>
        </w:tc>
        <w:tc>
          <w:tcPr>
            <w:tcW w:w="54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7520" w:type="dxa"/>
            <w:vAlign w:val="bottom"/>
            <w:shd w:val="clear" w:color="auto" w:fill="ECEDED"/>
          </w:tcPr>
          <w:p>
            <w:pPr>
              <w:ind w:left="180"/>
              <w:spacing w:after="0"/>
              <w:rPr>
                <w:sz w:val="20"/>
                <w:szCs w:val="20"/>
                <w:color w:val="auto"/>
              </w:rPr>
            </w:pPr>
            <w:r>
              <w:rPr>
                <w:rFonts w:ascii="Arial" w:cs="Arial" w:eastAsia="Arial" w:hAnsi="Arial"/>
                <w:sz w:val="13"/>
                <w:szCs w:val="13"/>
                <w:color w:val="auto"/>
              </w:rPr>
              <w:t>Interest expense: Other</w:t>
            </w:r>
          </w:p>
        </w:tc>
        <w:tc>
          <w:tcPr>
            <w:tcW w:w="160" w:type="dxa"/>
            <w:vAlign w:val="bottom"/>
            <w:tcBorders>
              <w:bottom w:val="single" w:sz="8" w:color="58585A"/>
            </w:tcBorders>
            <w:shd w:val="clear" w:color="auto" w:fill="ECEDED"/>
          </w:tcPr>
          <w:p>
            <w:pPr>
              <w:spacing w:after="0"/>
              <w:rPr>
                <w:sz w:val="12"/>
                <w:szCs w:val="12"/>
                <w:color w:val="auto"/>
              </w:rPr>
            </w:pPr>
          </w:p>
        </w:tc>
        <w:tc>
          <w:tcPr>
            <w:tcW w:w="880" w:type="dxa"/>
            <w:vAlign w:val="bottom"/>
            <w:tcBorders>
              <w:bottom w:val="single" w:sz="8" w:color="58585A"/>
            </w:tcBorders>
            <w:shd w:val="clear" w:color="auto" w:fill="ECEDED"/>
          </w:tcPr>
          <w:p>
            <w:pPr>
              <w:jc w:val="right"/>
              <w:ind w:right="293"/>
              <w:spacing w:after="0"/>
              <w:rPr>
                <w:sz w:val="20"/>
                <w:szCs w:val="20"/>
                <w:color w:val="auto"/>
              </w:rPr>
            </w:pPr>
            <w:r>
              <w:rPr>
                <w:rFonts w:ascii="Arial" w:cs="Arial" w:eastAsia="Arial" w:hAnsi="Arial"/>
                <w:sz w:val="13"/>
                <w:szCs w:val="13"/>
                <w:color w:val="auto"/>
              </w:rPr>
              <w:t>12.7</w:t>
            </w:r>
          </w:p>
        </w:tc>
        <w:tc>
          <w:tcPr>
            <w:tcW w:w="460" w:type="dxa"/>
            <w:vAlign w:val="bottom"/>
            <w:tcBorders>
              <w:bottom w:val="single" w:sz="8" w:color="58585A"/>
            </w:tcBorders>
            <w:shd w:val="clear" w:color="auto" w:fill="ECEDED"/>
          </w:tcPr>
          <w:p>
            <w:pPr>
              <w:spacing w:after="0"/>
              <w:rPr>
                <w:sz w:val="12"/>
                <w:szCs w:val="12"/>
                <w:color w:val="auto"/>
              </w:rPr>
            </w:pPr>
          </w:p>
        </w:tc>
        <w:tc>
          <w:tcPr>
            <w:tcW w:w="600" w:type="dxa"/>
            <w:vAlign w:val="bottom"/>
            <w:tcBorders>
              <w:bottom w:val="single" w:sz="8" w:color="58585A"/>
            </w:tcBorders>
            <w:shd w:val="clear" w:color="auto" w:fill="ECEDED"/>
          </w:tcPr>
          <w:p>
            <w:pPr>
              <w:jc w:val="right"/>
              <w:ind w:right="33"/>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7520" w:type="dxa"/>
            <w:vAlign w:val="bottom"/>
            <w:tcBorders>
              <w:bottom w:val="single" w:sz="8" w:color="ECEDED"/>
            </w:tcBorders>
          </w:tcPr>
          <w:p>
            <w:pPr>
              <w:spacing w:after="0" w:line="142" w:lineRule="exact"/>
              <w:rPr>
                <w:sz w:val="20"/>
                <w:szCs w:val="20"/>
                <w:color w:val="auto"/>
              </w:rPr>
            </w:pPr>
            <w:r>
              <w:rPr>
                <w:rFonts w:ascii="Arial" w:cs="Arial" w:eastAsia="Arial" w:hAnsi="Arial"/>
                <w:sz w:val="13"/>
                <w:szCs w:val="13"/>
                <w:color w:val="auto"/>
              </w:rPr>
              <w:t>Non-GAAP other income (expense), net</w:t>
            </w:r>
          </w:p>
        </w:tc>
        <w:tc>
          <w:tcPr>
            <w:tcW w:w="16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jc w:val="right"/>
              <w:ind w:right="293"/>
              <w:spacing w:after="0" w:line="142" w:lineRule="exact"/>
              <w:rPr>
                <w:sz w:val="20"/>
                <w:szCs w:val="20"/>
                <w:color w:val="auto"/>
              </w:rPr>
            </w:pPr>
            <w:r>
              <w:rPr>
                <w:rFonts w:ascii="Arial" w:cs="Arial" w:eastAsia="Arial" w:hAnsi="Arial"/>
                <w:sz w:val="13"/>
                <w:szCs w:val="13"/>
                <w:color w:val="auto"/>
              </w:rPr>
              <w:t>24.9</w:t>
            </w:r>
          </w:p>
        </w:tc>
        <w:tc>
          <w:tcPr>
            <w:tcW w:w="46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58585A"/>
            </w:tcBorders>
          </w:tcPr>
          <w:p>
            <w:pPr>
              <w:jc w:val="right"/>
              <w:ind w:right="33"/>
              <w:spacing w:after="0" w:line="142" w:lineRule="exact"/>
              <w:rPr>
                <w:sz w:val="20"/>
                <w:szCs w:val="20"/>
                <w:color w:val="auto"/>
              </w:rPr>
            </w:pPr>
            <w:r>
              <w:rPr>
                <w:rFonts w:ascii="Arial" w:cs="Arial" w:eastAsia="Arial" w:hAnsi="Arial"/>
                <w:sz w:val="13"/>
                <w:szCs w:val="13"/>
                <w:color w:val="auto"/>
              </w:rPr>
              <w:t>101.0</w:t>
            </w:r>
          </w:p>
        </w:tc>
        <w:tc>
          <w:tcPr>
            <w:tcW w:w="54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7520" w:type="dxa"/>
            <w:vAlign w:val="bottom"/>
            <w:shd w:val="clear" w:color="auto" w:fill="ECEDED"/>
          </w:tcPr>
          <w:p>
            <w:pPr>
              <w:spacing w:after="0"/>
              <w:rPr>
                <w:sz w:val="20"/>
                <w:szCs w:val="20"/>
                <w:color w:val="auto"/>
              </w:rPr>
            </w:pPr>
            <w:r>
              <w:rPr>
                <w:rFonts w:ascii="Arial" w:cs="Arial" w:eastAsia="Arial" w:hAnsi="Arial"/>
                <w:sz w:val="13"/>
                <w:szCs w:val="13"/>
                <w:color w:val="auto"/>
              </w:rPr>
              <w:t>GAAP net income</w:t>
            </w:r>
          </w:p>
        </w:tc>
        <w:tc>
          <w:tcPr>
            <w:tcW w:w="160" w:type="dxa"/>
            <w:vAlign w:val="bottom"/>
            <w:shd w:val="clear" w:color="auto" w:fill="ECEDED"/>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CEDED"/>
          </w:tcPr>
          <w:p>
            <w:pPr>
              <w:jc w:val="right"/>
              <w:ind w:right="293"/>
              <w:spacing w:after="0"/>
              <w:rPr>
                <w:sz w:val="20"/>
                <w:szCs w:val="20"/>
                <w:color w:val="auto"/>
              </w:rPr>
            </w:pPr>
            <w:r>
              <w:rPr>
                <w:rFonts w:ascii="Arial" w:cs="Arial" w:eastAsia="Arial" w:hAnsi="Arial"/>
                <w:sz w:val="13"/>
                <w:szCs w:val="13"/>
                <w:color w:val="auto"/>
              </w:rPr>
              <w:t>3,513.2</w:t>
            </w:r>
          </w:p>
        </w:tc>
        <w:tc>
          <w:tcPr>
            <w:tcW w:w="460" w:type="dxa"/>
            <w:vAlign w:val="bottom"/>
            <w:shd w:val="clear" w:color="auto" w:fill="ECEDED"/>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CEDED"/>
          </w:tcPr>
          <w:p>
            <w:pPr>
              <w:jc w:val="right"/>
              <w:ind w:right="33"/>
              <w:spacing w:after="0"/>
              <w:rPr>
                <w:sz w:val="20"/>
                <w:szCs w:val="20"/>
                <w:color w:val="auto"/>
              </w:rPr>
            </w:pPr>
            <w:r>
              <w:rPr>
                <w:rFonts w:ascii="Arial" w:cs="Arial" w:eastAsia="Arial" w:hAnsi="Arial"/>
                <w:sz w:val="13"/>
                <w:szCs w:val="13"/>
                <w:color w:val="auto"/>
              </w:rPr>
              <w:t>2,115.8</w:t>
            </w:r>
          </w:p>
        </w:tc>
        <w:tc>
          <w:tcPr>
            <w:tcW w:w="54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7520" w:type="dxa"/>
            <w:vAlign w:val="bottom"/>
          </w:tcPr>
          <w:p>
            <w:pPr>
              <w:ind w:left="180"/>
              <w:spacing w:after="0"/>
              <w:rPr>
                <w:sz w:val="20"/>
                <w:szCs w:val="20"/>
                <w:color w:val="auto"/>
              </w:rPr>
            </w:pPr>
            <w:r>
              <w:rPr>
                <w:rFonts w:ascii="Arial" w:cs="Arial" w:eastAsia="Arial" w:hAnsi="Arial"/>
                <w:sz w:val="13"/>
                <w:szCs w:val="13"/>
                <w:color w:val="auto"/>
              </w:rPr>
              <w:t>Total of GAAP to non-GAAP reconciling items above</w:t>
            </w:r>
          </w:p>
        </w:tc>
        <w:tc>
          <w:tcPr>
            <w:tcW w:w="160" w:type="dxa"/>
            <w:vAlign w:val="bottom"/>
          </w:tcPr>
          <w:p>
            <w:pPr>
              <w:spacing w:after="0"/>
              <w:rPr>
                <w:sz w:val="12"/>
                <w:szCs w:val="12"/>
                <w:color w:val="auto"/>
              </w:rPr>
            </w:pPr>
          </w:p>
        </w:tc>
        <w:tc>
          <w:tcPr>
            <w:tcW w:w="880" w:type="dxa"/>
            <w:vAlign w:val="bottom"/>
          </w:tcPr>
          <w:p>
            <w:pPr>
              <w:jc w:val="right"/>
              <w:ind w:right="293"/>
              <w:spacing w:after="0"/>
              <w:rPr>
                <w:sz w:val="20"/>
                <w:szCs w:val="20"/>
                <w:color w:val="auto"/>
              </w:rPr>
            </w:pPr>
            <w:r>
              <w:rPr>
                <w:rFonts w:ascii="Arial" w:cs="Arial" w:eastAsia="Arial" w:hAnsi="Arial"/>
                <w:sz w:val="13"/>
                <w:szCs w:val="13"/>
                <w:color w:val="auto"/>
              </w:rPr>
              <w:t>222.1</w:t>
            </w:r>
          </w:p>
        </w:tc>
        <w:tc>
          <w:tcPr>
            <w:tcW w:w="460" w:type="dxa"/>
            <w:vAlign w:val="bottom"/>
          </w:tcPr>
          <w:p>
            <w:pPr>
              <w:spacing w:after="0"/>
              <w:rPr>
                <w:sz w:val="12"/>
                <w:szCs w:val="12"/>
                <w:color w:val="auto"/>
              </w:rPr>
            </w:pP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881.2</w:t>
            </w:r>
          </w:p>
        </w:tc>
        <w:tc>
          <w:tcPr>
            <w:tcW w:w="54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7520" w:type="dxa"/>
            <w:vAlign w:val="bottom"/>
            <w:shd w:val="clear" w:color="auto" w:fill="ECEDED"/>
          </w:tcPr>
          <w:p>
            <w:pPr>
              <w:ind w:left="180"/>
              <w:spacing w:after="0"/>
              <w:rPr>
                <w:sz w:val="20"/>
                <w:szCs w:val="20"/>
                <w:color w:val="auto"/>
              </w:rPr>
            </w:pPr>
            <w:r>
              <w:rPr>
                <w:rFonts w:ascii="Arial" w:cs="Arial" w:eastAsia="Arial" w:hAnsi="Arial"/>
                <w:sz w:val="13"/>
                <w:szCs w:val="13"/>
                <w:color w:val="auto"/>
              </w:rPr>
              <w:t>Income tax effect of GAAP to non-GAAP reconciling items</w:t>
            </w:r>
          </w:p>
        </w:tc>
        <w:tc>
          <w:tcPr>
            <w:tcW w:w="160" w:type="dxa"/>
            <w:vAlign w:val="bottom"/>
            <w:shd w:val="clear" w:color="auto" w:fill="ECEDED"/>
          </w:tcPr>
          <w:p>
            <w:pPr>
              <w:spacing w:after="0"/>
              <w:rPr>
                <w:sz w:val="12"/>
                <w:szCs w:val="12"/>
                <w:color w:val="auto"/>
              </w:rPr>
            </w:pPr>
          </w:p>
        </w:tc>
        <w:tc>
          <w:tcPr>
            <w:tcW w:w="880" w:type="dxa"/>
            <w:vAlign w:val="bottom"/>
            <w:shd w:val="clear" w:color="auto" w:fill="ECEDED"/>
          </w:tcPr>
          <w:p>
            <w:pPr>
              <w:jc w:val="right"/>
              <w:ind w:right="253"/>
              <w:spacing w:after="0"/>
              <w:rPr>
                <w:sz w:val="20"/>
                <w:szCs w:val="20"/>
                <w:color w:val="auto"/>
              </w:rPr>
            </w:pPr>
            <w:r>
              <w:rPr>
                <w:rFonts w:ascii="Arial" w:cs="Arial" w:eastAsia="Arial" w:hAnsi="Arial"/>
                <w:sz w:val="13"/>
                <w:szCs w:val="13"/>
                <w:color w:val="auto"/>
              </w:rPr>
              <w:t>(38.9)</w:t>
            </w:r>
          </w:p>
        </w:tc>
        <w:tc>
          <w:tcPr>
            <w:tcW w:w="460" w:type="dxa"/>
            <w:vAlign w:val="bottom"/>
            <w:shd w:val="clear" w:color="auto" w:fill="ECEDED"/>
          </w:tcPr>
          <w:p>
            <w:pPr>
              <w:spacing w:after="0"/>
              <w:rPr>
                <w:sz w:val="12"/>
                <w:szCs w:val="12"/>
                <w:color w:val="auto"/>
              </w:rPr>
            </w:pPr>
          </w:p>
        </w:tc>
        <w:tc>
          <w:tcPr>
            <w:tcW w:w="600" w:type="dxa"/>
            <w:vAlign w:val="bottom"/>
            <w:shd w:val="clear" w:color="auto" w:fill="ECEDED"/>
          </w:tcPr>
          <w:p>
            <w:pPr>
              <w:jc w:val="right"/>
              <w:spacing w:after="0"/>
              <w:rPr>
                <w:sz w:val="20"/>
                <w:szCs w:val="20"/>
                <w:color w:val="auto"/>
              </w:rPr>
            </w:pPr>
            <w:r>
              <w:rPr>
                <w:rFonts w:ascii="Arial" w:cs="Arial" w:eastAsia="Arial" w:hAnsi="Arial"/>
                <w:sz w:val="13"/>
                <w:szCs w:val="13"/>
                <w:color w:val="auto"/>
              </w:rPr>
              <w:t>(169.9)</w:t>
            </w:r>
          </w:p>
        </w:tc>
        <w:tc>
          <w:tcPr>
            <w:tcW w:w="54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7520" w:type="dxa"/>
            <w:vAlign w:val="bottom"/>
            <w:tcBorders>
              <w:bottom w:val="single" w:sz="8" w:color="ECEDED"/>
            </w:tcBorders>
          </w:tcPr>
          <w:p>
            <w:pPr>
              <w:ind w:left="180"/>
              <w:spacing w:after="0"/>
              <w:rPr>
                <w:sz w:val="20"/>
                <w:szCs w:val="20"/>
                <w:color w:val="auto"/>
              </w:rPr>
            </w:pPr>
            <w:r>
              <w:rPr>
                <w:rFonts w:ascii="Arial" w:cs="Arial" w:eastAsia="Arial" w:hAnsi="Arial"/>
                <w:sz w:val="13"/>
                <w:szCs w:val="13"/>
                <w:color w:val="auto"/>
              </w:rPr>
              <w:t>Income tax expense: Impact of sale of assets between foreign subsidiaries</w:t>
            </w:r>
          </w:p>
        </w:tc>
        <w:tc>
          <w:tcPr>
            <w:tcW w:w="160" w:type="dxa"/>
            <w:vAlign w:val="bottom"/>
            <w:tcBorders>
              <w:bottom w:val="single" w:sz="8" w:color="58585A"/>
            </w:tcBorders>
          </w:tcPr>
          <w:p>
            <w:pPr>
              <w:spacing w:after="0"/>
              <w:rPr>
                <w:sz w:val="12"/>
                <w:szCs w:val="12"/>
                <w:color w:val="auto"/>
              </w:rPr>
            </w:pPr>
          </w:p>
        </w:tc>
        <w:tc>
          <w:tcPr>
            <w:tcW w:w="880" w:type="dxa"/>
            <w:vAlign w:val="bottom"/>
            <w:tcBorders>
              <w:bottom w:val="single" w:sz="8" w:color="58585A"/>
            </w:tcBorders>
          </w:tcPr>
          <w:p>
            <w:pPr>
              <w:jc w:val="right"/>
              <w:ind w:right="253"/>
              <w:spacing w:after="0"/>
              <w:rPr>
                <w:sz w:val="20"/>
                <w:szCs w:val="20"/>
                <w:color w:val="auto"/>
              </w:rPr>
            </w:pPr>
            <w:r>
              <w:rPr>
                <w:rFonts w:ascii="Arial" w:cs="Arial" w:eastAsia="Arial" w:hAnsi="Arial"/>
                <w:sz w:val="13"/>
                <w:szCs w:val="13"/>
                <w:color w:val="auto"/>
              </w:rPr>
              <w:t>(30.0)</w:t>
            </w:r>
          </w:p>
        </w:tc>
        <w:tc>
          <w:tcPr>
            <w:tcW w:w="460" w:type="dxa"/>
            <w:vAlign w:val="bottom"/>
            <w:tcBorders>
              <w:bottom w:val="single" w:sz="8" w:color="58585A"/>
            </w:tcBorders>
          </w:tcPr>
          <w:p>
            <w:pPr>
              <w:spacing w:after="0"/>
              <w:rPr>
                <w:sz w:val="12"/>
                <w:szCs w:val="12"/>
                <w:color w:val="auto"/>
              </w:rPr>
            </w:pPr>
          </w:p>
        </w:tc>
        <w:tc>
          <w:tcPr>
            <w:tcW w:w="600" w:type="dxa"/>
            <w:vAlign w:val="bottom"/>
            <w:tcBorders>
              <w:bottom w:val="single" w:sz="8" w:color="58585A"/>
            </w:tcBorders>
          </w:tcPr>
          <w:p>
            <w:pPr>
              <w:jc w:val="right"/>
              <w:ind w:right="33"/>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2"/>
                <w:szCs w:val="12"/>
                <w:color w:val="auto"/>
              </w:rPr>
            </w:pPr>
          </w:p>
        </w:tc>
      </w:tr>
      <w:tr>
        <w:trPr>
          <w:trHeight w:val="162"/>
        </w:trPr>
        <w:tc>
          <w:tcPr>
            <w:tcW w:w="1080" w:type="dxa"/>
            <w:vAlign w:val="bottom"/>
          </w:tcPr>
          <w:p>
            <w:pPr>
              <w:spacing w:after="0"/>
              <w:rPr>
                <w:sz w:val="14"/>
                <w:szCs w:val="14"/>
                <w:color w:val="auto"/>
              </w:rPr>
            </w:pPr>
          </w:p>
        </w:tc>
        <w:tc>
          <w:tcPr>
            <w:tcW w:w="7520" w:type="dxa"/>
            <w:vAlign w:val="bottom"/>
            <w:tcBorders>
              <w:bottom w:val="single" w:sz="8" w:color="ECEDED"/>
            </w:tcBorders>
            <w:shd w:val="clear" w:color="auto" w:fill="ECEDED"/>
          </w:tcPr>
          <w:p>
            <w:pPr>
              <w:spacing w:after="0" w:line="142" w:lineRule="exact"/>
              <w:rPr>
                <w:sz w:val="20"/>
                <w:szCs w:val="20"/>
                <w:color w:val="auto"/>
              </w:rPr>
            </w:pPr>
            <w:r>
              <w:rPr>
                <w:rFonts w:ascii="Arial" w:cs="Arial" w:eastAsia="Arial" w:hAnsi="Arial"/>
                <w:sz w:val="13"/>
                <w:szCs w:val="13"/>
                <w:color w:val="auto"/>
              </w:rPr>
              <w:t>Non-GAAP net income</w:t>
            </w:r>
          </w:p>
        </w:tc>
        <w:tc>
          <w:tcPr>
            <w:tcW w:w="160" w:type="dxa"/>
            <w:vAlign w:val="bottom"/>
            <w:tcBorders>
              <w:bottom w:val="single" w:sz="8" w:color="58585A"/>
            </w:tcBorders>
            <w:shd w:val="clear" w:color="auto" w:fill="ECEDED"/>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CEDED"/>
          </w:tcPr>
          <w:p>
            <w:pPr>
              <w:jc w:val="right"/>
              <w:ind w:right="293"/>
              <w:spacing w:after="0" w:line="142" w:lineRule="exact"/>
              <w:rPr>
                <w:sz w:val="20"/>
                <w:szCs w:val="20"/>
                <w:color w:val="auto"/>
              </w:rPr>
            </w:pPr>
            <w:r>
              <w:rPr>
                <w:rFonts w:ascii="Arial" w:cs="Arial" w:eastAsia="Arial" w:hAnsi="Arial"/>
                <w:sz w:val="13"/>
                <w:szCs w:val="13"/>
                <w:color w:val="auto"/>
              </w:rPr>
              <w:t>3,666.4</w:t>
            </w:r>
          </w:p>
        </w:tc>
        <w:tc>
          <w:tcPr>
            <w:tcW w:w="460" w:type="dxa"/>
            <w:vAlign w:val="bottom"/>
            <w:tcBorders>
              <w:bottom w:val="single" w:sz="8" w:color="58585A"/>
            </w:tcBorders>
            <w:shd w:val="clear" w:color="auto" w:fill="ECEDED"/>
          </w:tcPr>
          <w:p>
            <w:pPr>
              <w:jc w:val="right"/>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58585A"/>
            </w:tcBorders>
            <w:shd w:val="clear" w:color="auto" w:fill="ECEDED"/>
          </w:tcPr>
          <w:p>
            <w:pPr>
              <w:jc w:val="right"/>
              <w:ind w:right="33"/>
              <w:spacing w:after="0" w:line="142" w:lineRule="exact"/>
              <w:rPr>
                <w:sz w:val="20"/>
                <w:szCs w:val="20"/>
                <w:color w:val="auto"/>
              </w:rPr>
            </w:pPr>
            <w:r>
              <w:rPr>
                <w:rFonts w:ascii="Arial" w:cs="Arial" w:eastAsia="Arial" w:hAnsi="Arial"/>
                <w:sz w:val="13"/>
                <w:szCs w:val="13"/>
                <w:color w:val="auto"/>
              </w:rPr>
              <w:t>2,827.1</w:t>
            </w:r>
          </w:p>
        </w:tc>
        <w:tc>
          <w:tcPr>
            <w:tcW w:w="540" w:type="dxa"/>
            <w:vAlign w:val="bottom"/>
          </w:tcPr>
          <w:p>
            <w:pPr>
              <w:spacing w:after="0"/>
              <w:rPr>
                <w:sz w:val="14"/>
                <w:szCs w:val="14"/>
                <w:color w:val="auto"/>
              </w:rPr>
            </w:pPr>
          </w:p>
        </w:tc>
      </w:tr>
      <w:tr>
        <w:trPr>
          <w:trHeight w:val="136"/>
        </w:trPr>
        <w:tc>
          <w:tcPr>
            <w:tcW w:w="1080" w:type="dxa"/>
            <w:vAlign w:val="bottom"/>
          </w:tcPr>
          <w:p>
            <w:pPr>
              <w:spacing w:after="0"/>
              <w:rPr>
                <w:sz w:val="11"/>
                <w:szCs w:val="11"/>
                <w:color w:val="auto"/>
              </w:rPr>
            </w:pPr>
          </w:p>
        </w:tc>
        <w:tc>
          <w:tcPr>
            <w:tcW w:w="7520" w:type="dxa"/>
            <w:vAlign w:val="bottom"/>
          </w:tcPr>
          <w:p>
            <w:pPr>
              <w:spacing w:after="0" w:line="136" w:lineRule="exact"/>
              <w:rPr>
                <w:sz w:val="20"/>
                <w:szCs w:val="20"/>
                <w:color w:val="auto"/>
              </w:rPr>
            </w:pPr>
            <w:r>
              <w:rPr>
                <w:rFonts w:ascii="Arial" w:cs="Arial" w:eastAsia="Arial" w:hAnsi="Arial"/>
                <w:sz w:val="13"/>
                <w:szCs w:val="13"/>
                <w:color w:val="auto"/>
              </w:rPr>
              <w:t>Non-GAAP net income per share - basic</w:t>
            </w:r>
          </w:p>
        </w:tc>
        <w:tc>
          <w:tcPr>
            <w:tcW w:w="1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93"/>
              <w:spacing w:after="0" w:line="136" w:lineRule="exact"/>
              <w:rPr>
                <w:sz w:val="20"/>
                <w:szCs w:val="20"/>
                <w:color w:val="auto"/>
              </w:rPr>
            </w:pPr>
            <w:r>
              <w:rPr>
                <w:rFonts w:ascii="Arial" w:cs="Arial" w:eastAsia="Arial" w:hAnsi="Arial"/>
                <w:sz w:val="13"/>
                <w:szCs w:val="13"/>
                <w:color w:val="auto"/>
              </w:rPr>
              <w:t>34.07</w:t>
            </w:r>
          </w:p>
        </w:tc>
        <w:tc>
          <w:tcPr>
            <w:tcW w:w="4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33"/>
              <w:spacing w:after="0" w:line="136" w:lineRule="exact"/>
              <w:rPr>
                <w:sz w:val="20"/>
                <w:szCs w:val="20"/>
                <w:color w:val="auto"/>
              </w:rPr>
            </w:pPr>
            <w:r>
              <w:rPr>
                <w:rFonts w:ascii="Arial" w:cs="Arial" w:eastAsia="Arial" w:hAnsi="Arial"/>
                <w:sz w:val="13"/>
                <w:szCs w:val="13"/>
                <w:color w:val="auto"/>
              </w:rPr>
              <w:t>25.89</w:t>
            </w:r>
          </w:p>
        </w:tc>
        <w:tc>
          <w:tcPr>
            <w:tcW w:w="540" w:type="dxa"/>
            <w:vAlign w:val="bottom"/>
          </w:tcPr>
          <w:p>
            <w:pPr>
              <w:spacing w:after="0"/>
              <w:rPr>
                <w:sz w:val="11"/>
                <w:szCs w:val="11"/>
                <w:color w:val="auto"/>
              </w:rPr>
            </w:pPr>
          </w:p>
        </w:tc>
      </w:tr>
      <w:tr>
        <w:trPr>
          <w:trHeight w:val="148"/>
        </w:trPr>
        <w:tc>
          <w:tcPr>
            <w:tcW w:w="1080" w:type="dxa"/>
            <w:vAlign w:val="bottom"/>
          </w:tcPr>
          <w:p>
            <w:pPr>
              <w:spacing w:after="0"/>
              <w:rPr>
                <w:sz w:val="12"/>
                <w:szCs w:val="12"/>
                <w:color w:val="auto"/>
              </w:rPr>
            </w:pPr>
          </w:p>
        </w:tc>
        <w:tc>
          <w:tcPr>
            <w:tcW w:w="7520" w:type="dxa"/>
            <w:vAlign w:val="bottom"/>
            <w:shd w:val="clear" w:color="auto" w:fill="ECEDED"/>
          </w:tcPr>
          <w:p>
            <w:pPr>
              <w:spacing w:after="0"/>
              <w:rPr>
                <w:sz w:val="20"/>
                <w:szCs w:val="20"/>
                <w:color w:val="auto"/>
              </w:rPr>
            </w:pPr>
            <w:r>
              <w:rPr>
                <w:rFonts w:ascii="Arial" w:cs="Arial" w:eastAsia="Arial" w:hAnsi="Arial"/>
                <w:sz w:val="13"/>
                <w:szCs w:val="13"/>
                <w:color w:val="auto"/>
              </w:rPr>
              <w:t>Non-GAAP net income per share - diluted</w:t>
            </w:r>
          </w:p>
        </w:tc>
        <w:tc>
          <w:tcPr>
            <w:tcW w:w="160" w:type="dxa"/>
            <w:vAlign w:val="bottom"/>
            <w:shd w:val="clear" w:color="auto" w:fill="ECEDED"/>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CEDED"/>
          </w:tcPr>
          <w:p>
            <w:pPr>
              <w:jc w:val="right"/>
              <w:ind w:right="293"/>
              <w:spacing w:after="0"/>
              <w:rPr>
                <w:sz w:val="20"/>
                <w:szCs w:val="20"/>
                <w:color w:val="auto"/>
              </w:rPr>
            </w:pPr>
            <w:r>
              <w:rPr>
                <w:rFonts w:ascii="Arial" w:cs="Arial" w:eastAsia="Arial" w:hAnsi="Arial"/>
                <w:sz w:val="13"/>
                <w:szCs w:val="13"/>
                <w:color w:val="auto"/>
              </w:rPr>
              <w:t>31.47</w:t>
            </w:r>
          </w:p>
        </w:tc>
        <w:tc>
          <w:tcPr>
            <w:tcW w:w="460" w:type="dxa"/>
            <w:vAlign w:val="bottom"/>
            <w:shd w:val="clear" w:color="auto" w:fill="ECEDED"/>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ECEDED"/>
          </w:tcPr>
          <w:p>
            <w:pPr>
              <w:jc w:val="right"/>
              <w:ind w:right="33"/>
              <w:spacing w:after="0"/>
              <w:rPr>
                <w:sz w:val="20"/>
                <w:szCs w:val="20"/>
                <w:color w:val="auto"/>
              </w:rPr>
            </w:pPr>
            <w:r>
              <w:rPr>
                <w:rFonts w:ascii="Arial" w:cs="Arial" w:eastAsia="Arial" w:hAnsi="Arial"/>
                <w:sz w:val="13"/>
                <w:szCs w:val="13"/>
                <w:color w:val="auto"/>
              </w:rPr>
              <w:t>24.67</w:t>
            </w:r>
          </w:p>
        </w:tc>
        <w:tc>
          <w:tcPr>
            <w:tcW w:w="54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7520" w:type="dxa"/>
            <w:vAlign w:val="bottom"/>
          </w:tcPr>
          <w:p>
            <w:pPr>
              <w:spacing w:after="0"/>
              <w:rPr>
                <w:sz w:val="20"/>
                <w:szCs w:val="20"/>
                <w:color w:val="auto"/>
              </w:rPr>
            </w:pPr>
            <w:r>
              <w:rPr>
                <w:rFonts w:ascii="Arial" w:cs="Arial" w:eastAsia="Arial" w:hAnsi="Arial"/>
                <w:sz w:val="13"/>
                <w:szCs w:val="13"/>
                <w:i w:val="1"/>
                <w:iCs w:val="1"/>
                <w:color w:val="auto"/>
              </w:rPr>
              <w:t>Shares used in calculating:</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7520" w:type="dxa"/>
            <w:vAlign w:val="bottom"/>
            <w:shd w:val="clear" w:color="auto" w:fill="ECEDED"/>
          </w:tcPr>
          <w:p>
            <w:pPr>
              <w:spacing w:after="0"/>
              <w:rPr>
                <w:sz w:val="20"/>
                <w:szCs w:val="20"/>
                <w:color w:val="auto"/>
              </w:rPr>
            </w:pPr>
            <w:r>
              <w:rPr>
                <w:rFonts w:ascii="Arial" w:cs="Arial" w:eastAsia="Arial" w:hAnsi="Arial"/>
                <w:sz w:val="13"/>
                <w:szCs w:val="13"/>
                <w:color w:val="auto"/>
              </w:rPr>
              <w:t>GAAP net income per share - basic</w:t>
            </w:r>
          </w:p>
        </w:tc>
        <w:tc>
          <w:tcPr>
            <w:tcW w:w="160" w:type="dxa"/>
            <w:vAlign w:val="bottom"/>
            <w:shd w:val="clear" w:color="auto" w:fill="ECEDED"/>
          </w:tcPr>
          <w:p>
            <w:pPr>
              <w:spacing w:after="0"/>
              <w:rPr>
                <w:sz w:val="12"/>
                <w:szCs w:val="12"/>
                <w:color w:val="auto"/>
              </w:rPr>
            </w:pPr>
          </w:p>
        </w:tc>
        <w:tc>
          <w:tcPr>
            <w:tcW w:w="880" w:type="dxa"/>
            <w:vAlign w:val="bottom"/>
            <w:shd w:val="clear" w:color="auto" w:fill="ECEDED"/>
          </w:tcPr>
          <w:p>
            <w:pPr>
              <w:jc w:val="right"/>
              <w:ind w:right="293"/>
              <w:spacing w:after="0"/>
              <w:rPr>
                <w:sz w:val="20"/>
                <w:szCs w:val="20"/>
                <w:color w:val="auto"/>
              </w:rPr>
            </w:pPr>
            <w:r>
              <w:rPr>
                <w:rFonts w:ascii="Arial" w:cs="Arial" w:eastAsia="Arial" w:hAnsi="Arial"/>
                <w:sz w:val="13"/>
                <w:szCs w:val="13"/>
                <w:color w:val="auto"/>
              </w:rPr>
              <w:t>107.6</w:t>
            </w:r>
          </w:p>
        </w:tc>
        <w:tc>
          <w:tcPr>
            <w:tcW w:w="460" w:type="dxa"/>
            <w:vAlign w:val="bottom"/>
            <w:shd w:val="clear" w:color="auto" w:fill="ECEDED"/>
          </w:tcPr>
          <w:p>
            <w:pPr>
              <w:spacing w:after="0"/>
              <w:rPr>
                <w:sz w:val="12"/>
                <w:szCs w:val="12"/>
                <w:color w:val="auto"/>
              </w:rPr>
            </w:pPr>
          </w:p>
        </w:tc>
        <w:tc>
          <w:tcPr>
            <w:tcW w:w="600" w:type="dxa"/>
            <w:vAlign w:val="bottom"/>
            <w:shd w:val="clear" w:color="auto" w:fill="ECEDED"/>
          </w:tcPr>
          <w:p>
            <w:pPr>
              <w:jc w:val="right"/>
              <w:ind w:right="33"/>
              <w:spacing w:after="0"/>
              <w:rPr>
                <w:sz w:val="20"/>
                <w:szCs w:val="20"/>
                <w:color w:val="auto"/>
              </w:rPr>
            </w:pPr>
            <w:r>
              <w:rPr>
                <w:rFonts w:ascii="Arial" w:cs="Arial" w:eastAsia="Arial" w:hAnsi="Arial"/>
                <w:sz w:val="13"/>
                <w:szCs w:val="13"/>
                <w:color w:val="auto"/>
              </w:rPr>
              <w:t>109.2</w:t>
            </w:r>
          </w:p>
        </w:tc>
        <w:tc>
          <w:tcPr>
            <w:tcW w:w="54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7520" w:type="dxa"/>
            <w:vAlign w:val="bottom"/>
          </w:tcPr>
          <w:p>
            <w:pPr>
              <w:spacing w:after="0"/>
              <w:rPr>
                <w:sz w:val="20"/>
                <w:szCs w:val="20"/>
                <w:color w:val="auto"/>
              </w:rPr>
            </w:pPr>
            <w:r>
              <w:rPr>
                <w:rFonts w:ascii="Arial" w:cs="Arial" w:eastAsia="Arial" w:hAnsi="Arial"/>
                <w:sz w:val="13"/>
                <w:szCs w:val="13"/>
                <w:color w:val="auto"/>
              </w:rPr>
              <w:t>GAAP net income per share - diluted</w:t>
            </w:r>
          </w:p>
        </w:tc>
        <w:tc>
          <w:tcPr>
            <w:tcW w:w="160" w:type="dxa"/>
            <w:vAlign w:val="bottom"/>
          </w:tcPr>
          <w:p>
            <w:pPr>
              <w:spacing w:after="0"/>
              <w:rPr>
                <w:sz w:val="12"/>
                <w:szCs w:val="12"/>
                <w:color w:val="auto"/>
              </w:rPr>
            </w:pPr>
          </w:p>
        </w:tc>
        <w:tc>
          <w:tcPr>
            <w:tcW w:w="880" w:type="dxa"/>
            <w:vAlign w:val="bottom"/>
          </w:tcPr>
          <w:p>
            <w:pPr>
              <w:jc w:val="right"/>
              <w:ind w:right="293"/>
              <w:spacing w:after="0"/>
              <w:rPr>
                <w:sz w:val="20"/>
                <w:szCs w:val="20"/>
                <w:color w:val="auto"/>
              </w:rPr>
            </w:pPr>
            <w:r>
              <w:rPr>
                <w:rFonts w:ascii="Arial" w:cs="Arial" w:eastAsia="Arial" w:hAnsi="Arial"/>
                <w:sz w:val="13"/>
                <w:szCs w:val="13"/>
                <w:color w:val="auto"/>
              </w:rPr>
              <w:t>115.1</w:t>
            </w:r>
          </w:p>
        </w:tc>
        <w:tc>
          <w:tcPr>
            <w:tcW w:w="460" w:type="dxa"/>
            <w:vAlign w:val="bottom"/>
          </w:tcPr>
          <w:p>
            <w:pPr>
              <w:spacing w:after="0"/>
              <w:rPr>
                <w:sz w:val="12"/>
                <w:szCs w:val="12"/>
                <w:color w:val="auto"/>
              </w:rPr>
            </w:pPr>
          </w:p>
        </w:tc>
        <w:tc>
          <w:tcPr>
            <w:tcW w:w="600" w:type="dxa"/>
            <w:vAlign w:val="bottom"/>
          </w:tcPr>
          <w:p>
            <w:pPr>
              <w:jc w:val="right"/>
              <w:ind w:right="33"/>
              <w:spacing w:after="0"/>
              <w:rPr>
                <w:sz w:val="20"/>
                <w:szCs w:val="20"/>
                <w:color w:val="auto"/>
              </w:rPr>
            </w:pPr>
            <w:r>
              <w:rPr>
                <w:rFonts w:ascii="Arial" w:cs="Arial" w:eastAsia="Arial" w:hAnsi="Arial"/>
                <w:sz w:val="13"/>
                <w:szCs w:val="13"/>
                <w:color w:val="auto"/>
              </w:rPr>
              <w:t>114.6</w:t>
            </w:r>
          </w:p>
        </w:tc>
        <w:tc>
          <w:tcPr>
            <w:tcW w:w="540" w:type="dxa"/>
            <w:vAlign w:val="bottom"/>
          </w:tcPr>
          <w:p>
            <w:pPr>
              <w:spacing w:after="0"/>
              <w:rPr>
                <w:sz w:val="12"/>
                <w:szCs w:val="12"/>
                <w:color w:val="auto"/>
              </w:rPr>
            </w:pPr>
          </w:p>
        </w:tc>
      </w:tr>
      <w:tr>
        <w:trPr>
          <w:trHeight w:val="149"/>
        </w:trPr>
        <w:tc>
          <w:tcPr>
            <w:tcW w:w="1080" w:type="dxa"/>
            <w:vAlign w:val="bottom"/>
          </w:tcPr>
          <w:p>
            <w:pPr>
              <w:spacing w:after="0"/>
              <w:rPr>
                <w:sz w:val="12"/>
                <w:szCs w:val="12"/>
                <w:color w:val="auto"/>
              </w:rPr>
            </w:pPr>
          </w:p>
        </w:tc>
        <w:tc>
          <w:tcPr>
            <w:tcW w:w="7520" w:type="dxa"/>
            <w:vAlign w:val="bottom"/>
            <w:shd w:val="clear" w:color="auto" w:fill="ECEDED"/>
          </w:tcPr>
          <w:p>
            <w:pPr>
              <w:spacing w:after="0"/>
              <w:rPr>
                <w:sz w:val="20"/>
                <w:szCs w:val="20"/>
                <w:color w:val="auto"/>
              </w:rPr>
            </w:pPr>
            <w:r>
              <w:rPr>
                <w:rFonts w:ascii="Arial" w:cs="Arial" w:eastAsia="Arial" w:hAnsi="Arial"/>
                <w:sz w:val="13"/>
                <w:szCs w:val="13"/>
                <w:color w:val="auto"/>
              </w:rPr>
              <w:t>Non-GAAP net income per share - basic</w:t>
            </w:r>
          </w:p>
        </w:tc>
        <w:tc>
          <w:tcPr>
            <w:tcW w:w="160" w:type="dxa"/>
            <w:vAlign w:val="bottom"/>
            <w:shd w:val="clear" w:color="auto" w:fill="ECEDED"/>
          </w:tcPr>
          <w:p>
            <w:pPr>
              <w:spacing w:after="0"/>
              <w:rPr>
                <w:sz w:val="12"/>
                <w:szCs w:val="12"/>
                <w:color w:val="auto"/>
              </w:rPr>
            </w:pPr>
          </w:p>
        </w:tc>
        <w:tc>
          <w:tcPr>
            <w:tcW w:w="880" w:type="dxa"/>
            <w:vAlign w:val="bottom"/>
            <w:shd w:val="clear" w:color="auto" w:fill="ECEDED"/>
          </w:tcPr>
          <w:p>
            <w:pPr>
              <w:jc w:val="right"/>
              <w:ind w:right="293"/>
              <w:spacing w:after="0"/>
              <w:rPr>
                <w:sz w:val="20"/>
                <w:szCs w:val="20"/>
                <w:color w:val="auto"/>
              </w:rPr>
            </w:pPr>
            <w:r>
              <w:rPr>
                <w:rFonts w:ascii="Arial" w:cs="Arial" w:eastAsia="Arial" w:hAnsi="Arial"/>
                <w:sz w:val="13"/>
                <w:szCs w:val="13"/>
                <w:color w:val="auto"/>
              </w:rPr>
              <w:t>107.6</w:t>
            </w:r>
          </w:p>
        </w:tc>
        <w:tc>
          <w:tcPr>
            <w:tcW w:w="460" w:type="dxa"/>
            <w:vAlign w:val="bottom"/>
            <w:shd w:val="clear" w:color="auto" w:fill="ECEDED"/>
          </w:tcPr>
          <w:p>
            <w:pPr>
              <w:spacing w:after="0"/>
              <w:rPr>
                <w:sz w:val="12"/>
                <w:szCs w:val="12"/>
                <w:color w:val="auto"/>
              </w:rPr>
            </w:pPr>
          </w:p>
        </w:tc>
        <w:tc>
          <w:tcPr>
            <w:tcW w:w="600" w:type="dxa"/>
            <w:vAlign w:val="bottom"/>
            <w:shd w:val="clear" w:color="auto" w:fill="ECEDED"/>
          </w:tcPr>
          <w:p>
            <w:pPr>
              <w:jc w:val="right"/>
              <w:ind w:right="33"/>
              <w:spacing w:after="0"/>
              <w:rPr>
                <w:sz w:val="20"/>
                <w:szCs w:val="20"/>
                <w:color w:val="auto"/>
              </w:rPr>
            </w:pPr>
            <w:r>
              <w:rPr>
                <w:rFonts w:ascii="Arial" w:cs="Arial" w:eastAsia="Arial" w:hAnsi="Arial"/>
                <w:sz w:val="13"/>
                <w:szCs w:val="13"/>
                <w:color w:val="auto"/>
              </w:rPr>
              <w:t>109.2</w:t>
            </w:r>
          </w:p>
        </w:tc>
        <w:tc>
          <w:tcPr>
            <w:tcW w:w="54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7520" w:type="dxa"/>
            <w:vAlign w:val="bottom"/>
            <w:tcBorders>
              <w:bottom w:val="single" w:sz="8" w:color="1F5AA8"/>
            </w:tcBorders>
          </w:tcPr>
          <w:p>
            <w:pPr>
              <w:spacing w:after="0"/>
              <w:rPr>
                <w:sz w:val="20"/>
                <w:szCs w:val="20"/>
                <w:color w:val="auto"/>
              </w:rPr>
            </w:pPr>
            <w:r>
              <w:rPr>
                <w:rFonts w:ascii="Arial" w:cs="Arial" w:eastAsia="Arial" w:hAnsi="Arial"/>
                <w:sz w:val="13"/>
                <w:szCs w:val="13"/>
                <w:color w:val="auto"/>
              </w:rPr>
              <w:t>Non-GAAP net income per share - diluted</w:t>
            </w:r>
          </w:p>
        </w:tc>
        <w:tc>
          <w:tcPr>
            <w:tcW w:w="160" w:type="dxa"/>
            <w:vAlign w:val="bottom"/>
            <w:tcBorders>
              <w:bottom w:val="single" w:sz="8" w:color="1F5AA8"/>
            </w:tcBorders>
          </w:tcPr>
          <w:p>
            <w:pPr>
              <w:spacing w:after="0"/>
              <w:rPr>
                <w:sz w:val="12"/>
                <w:szCs w:val="12"/>
                <w:color w:val="auto"/>
              </w:rPr>
            </w:pPr>
          </w:p>
        </w:tc>
        <w:tc>
          <w:tcPr>
            <w:tcW w:w="880" w:type="dxa"/>
            <w:vAlign w:val="bottom"/>
            <w:tcBorders>
              <w:bottom w:val="single" w:sz="8" w:color="1F5AA8"/>
            </w:tcBorders>
          </w:tcPr>
          <w:p>
            <w:pPr>
              <w:jc w:val="right"/>
              <w:ind w:right="293"/>
              <w:spacing w:after="0"/>
              <w:rPr>
                <w:sz w:val="20"/>
                <w:szCs w:val="20"/>
                <w:color w:val="auto"/>
              </w:rPr>
            </w:pPr>
            <w:r>
              <w:rPr>
                <w:rFonts w:ascii="Arial" w:cs="Arial" w:eastAsia="Arial" w:hAnsi="Arial"/>
                <w:sz w:val="13"/>
                <w:szCs w:val="13"/>
                <w:color w:val="auto"/>
              </w:rPr>
              <w:t>116.5</w:t>
            </w:r>
          </w:p>
        </w:tc>
        <w:tc>
          <w:tcPr>
            <w:tcW w:w="460" w:type="dxa"/>
            <w:vAlign w:val="bottom"/>
            <w:tcBorders>
              <w:bottom w:val="single" w:sz="8" w:color="1F5AA8"/>
            </w:tcBorders>
          </w:tcPr>
          <w:p>
            <w:pPr>
              <w:spacing w:after="0"/>
              <w:rPr>
                <w:sz w:val="12"/>
                <w:szCs w:val="12"/>
                <w:color w:val="auto"/>
              </w:rPr>
            </w:pPr>
          </w:p>
        </w:tc>
        <w:tc>
          <w:tcPr>
            <w:tcW w:w="600" w:type="dxa"/>
            <w:vAlign w:val="bottom"/>
            <w:tcBorders>
              <w:bottom w:val="single" w:sz="8" w:color="1F5AA8"/>
            </w:tcBorders>
          </w:tcPr>
          <w:p>
            <w:pPr>
              <w:jc w:val="right"/>
              <w:ind w:right="33"/>
              <w:spacing w:after="0"/>
              <w:rPr>
                <w:sz w:val="20"/>
                <w:szCs w:val="20"/>
                <w:color w:val="auto"/>
              </w:rPr>
            </w:pPr>
            <w:r>
              <w:rPr>
                <w:rFonts w:ascii="Arial" w:cs="Arial" w:eastAsia="Arial" w:hAnsi="Arial"/>
                <w:sz w:val="13"/>
                <w:szCs w:val="13"/>
                <w:color w:val="auto"/>
              </w:rPr>
              <w:t>114.6</w:t>
            </w:r>
          </w:p>
        </w:tc>
        <w:tc>
          <w:tcPr>
            <w:tcW w:w="540" w:type="dxa"/>
            <w:vAlign w:val="bottom"/>
          </w:tcPr>
          <w:p>
            <w:pPr>
              <w:spacing w:after="0"/>
              <w:rPr>
                <w:sz w:val="12"/>
                <w:szCs w:val="12"/>
                <w:color w:val="auto"/>
              </w:rPr>
            </w:pPr>
          </w:p>
        </w:tc>
      </w:tr>
      <w:tr>
        <w:trPr>
          <w:trHeight w:val="336"/>
        </w:trPr>
        <w:tc>
          <w:tcPr>
            <w:tcW w:w="8600" w:type="dxa"/>
            <w:vAlign w:val="bottom"/>
            <w:gridSpan w:val="2"/>
          </w:tcPr>
          <w:p>
            <w:pPr>
              <w:spacing w:after="0"/>
              <w:rPr>
                <w:sz w:val="20"/>
                <w:szCs w:val="20"/>
                <w:color w:val="auto"/>
              </w:rPr>
            </w:pPr>
            <w:r>
              <w:rPr>
                <w:rFonts w:ascii="Arial" w:cs="Arial" w:eastAsia="Arial" w:hAnsi="Arial"/>
                <w:sz w:val="15"/>
                <w:szCs w:val="15"/>
                <w:b w:val="1"/>
                <w:bCs w:val="1"/>
                <w:color w:val="2952A4"/>
              </w:rPr>
              <w:t>2021 PROXY STATEMENT AND NOTICE OF ANNUAL SHAREHOLDER MEETING</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00A5EC"/>
              </w:rPr>
              <w:t xml:space="preserve">/  </w:t>
            </w:r>
            <w:r>
              <w:rPr>
                <w:rFonts w:ascii="Arial" w:cs="Arial" w:eastAsia="Arial" w:hAnsi="Arial"/>
                <w:sz w:val="14"/>
                <w:szCs w:val="14"/>
                <w:b w:val="1"/>
                <w:bCs w:val="1"/>
                <w:color w:val="00A5EC"/>
              </w:rPr>
              <w:t>103</w:t>
            </w:r>
          </w:p>
        </w:tc>
      </w:tr>
      <w:tr>
        <w:trPr>
          <w:trHeight w:val="258"/>
        </w:trPr>
        <w:tc>
          <w:tcPr>
            <w:tcW w:w="1080" w:type="dxa"/>
            <w:vAlign w:val="bottom"/>
            <w:tcBorders>
              <w:bottom w:val="single" w:sz="8" w:color="C0C0C0"/>
            </w:tcBorders>
          </w:tcPr>
          <w:p>
            <w:pPr>
              <w:spacing w:after="0"/>
              <w:rPr>
                <w:sz w:val="22"/>
                <w:szCs w:val="22"/>
                <w:color w:val="auto"/>
              </w:rPr>
            </w:pPr>
          </w:p>
        </w:tc>
        <w:tc>
          <w:tcPr>
            <w:tcW w:w="7520" w:type="dxa"/>
            <w:vAlign w:val="bottom"/>
            <w:tcBorders>
              <w:bottom w:val="single" w:sz="8" w:color="C0C0C0"/>
            </w:tcBorders>
          </w:tcPr>
          <w:p>
            <w:pPr>
              <w:spacing w:after="0"/>
              <w:rPr>
                <w:sz w:val="22"/>
                <w:szCs w:val="22"/>
                <w:color w:val="auto"/>
              </w:rPr>
            </w:pPr>
          </w:p>
        </w:tc>
        <w:tc>
          <w:tcPr>
            <w:tcW w:w="160" w:type="dxa"/>
            <w:vAlign w:val="bottom"/>
            <w:tcBorders>
              <w:bottom w:val="single" w:sz="8" w:color="C0C0C0"/>
            </w:tcBorders>
          </w:tcPr>
          <w:p>
            <w:pPr>
              <w:spacing w:after="0"/>
              <w:rPr>
                <w:sz w:val="22"/>
                <w:szCs w:val="22"/>
                <w:color w:val="auto"/>
              </w:rPr>
            </w:pPr>
          </w:p>
        </w:tc>
        <w:tc>
          <w:tcPr>
            <w:tcW w:w="880" w:type="dxa"/>
            <w:vAlign w:val="bottom"/>
            <w:tcBorders>
              <w:bottom w:val="single" w:sz="8" w:color="C0C0C0"/>
            </w:tcBorders>
          </w:tcPr>
          <w:p>
            <w:pPr>
              <w:spacing w:after="0"/>
              <w:rPr>
                <w:sz w:val="22"/>
                <w:szCs w:val="22"/>
                <w:color w:val="auto"/>
              </w:rPr>
            </w:pPr>
          </w:p>
        </w:tc>
        <w:tc>
          <w:tcPr>
            <w:tcW w:w="460" w:type="dxa"/>
            <w:vAlign w:val="bottom"/>
            <w:tcBorders>
              <w:bottom w:val="single" w:sz="8" w:color="C0C0C0"/>
            </w:tcBorders>
          </w:tcPr>
          <w:p>
            <w:pPr>
              <w:spacing w:after="0"/>
              <w:rPr>
                <w:sz w:val="22"/>
                <w:szCs w:val="22"/>
                <w:color w:val="auto"/>
              </w:rPr>
            </w:pPr>
          </w:p>
        </w:tc>
        <w:tc>
          <w:tcPr>
            <w:tcW w:w="600" w:type="dxa"/>
            <w:vAlign w:val="bottom"/>
            <w:tcBorders>
              <w:bottom w:val="single" w:sz="8" w:color="C0C0C0"/>
            </w:tcBorders>
          </w:tcPr>
          <w:p>
            <w:pPr>
              <w:spacing w:after="0"/>
              <w:rPr>
                <w:sz w:val="22"/>
                <w:szCs w:val="22"/>
                <w:color w:val="auto"/>
              </w:rPr>
            </w:pPr>
          </w:p>
        </w:tc>
        <w:tc>
          <w:tcPr>
            <w:tcW w:w="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02" w:right="33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85293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52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2952A4"/>
        </w:rPr>
        <w:t>2021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878649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78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60"/>
        <w:spacing w:after="0"/>
        <w:rPr>
          <w:sz w:val="20"/>
          <w:szCs w:val="20"/>
          <w:color w:val="auto"/>
        </w:rPr>
      </w:pPr>
      <w:r>
        <w:rPr>
          <w:rFonts w:ascii="Arial" w:cs="Arial" w:eastAsia="Arial" w:hAnsi="Arial"/>
          <w:sz w:val="26"/>
          <w:szCs w:val="26"/>
          <w:b w:val="1"/>
          <w:bCs w:val="1"/>
          <w:color w:val="FFFFFF"/>
        </w:rPr>
        <w:t>777 OLD SAW MILL RIVER ROAD</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27"/>
          <w:szCs w:val="27"/>
          <w:b w:val="1"/>
          <w:bCs w:val="1"/>
          <w:color w:val="FFFFFF"/>
        </w:rPr>
        <w:t>TARRYTOWN, NY 10591-6707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6258560</wp:posOffset>
            </wp:positionV>
            <wp:extent cx="7132320" cy="342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0"/>
        <w:spacing w:after="0"/>
        <w:rPr>
          <w:sz w:val="20"/>
          <w:szCs w:val="20"/>
          <w:color w:val="auto"/>
        </w:rPr>
      </w:pPr>
      <w:r>
        <w:rPr>
          <w:rFonts w:ascii="Arial" w:cs="Arial" w:eastAsia="Arial" w:hAnsi="Arial"/>
          <w:sz w:val="9"/>
          <w:szCs w:val="9"/>
          <w:i w:val="1"/>
          <w:iCs w:val="1"/>
          <w:color w:val="auto"/>
        </w:rPr>
        <w:t>REGENERON PHARMACEUTICALS, INC.</w:t>
      </w:r>
    </w:p>
    <w:p>
      <w:pPr>
        <w:ind w:left="360"/>
        <w:spacing w:after="0" w:line="219" w:lineRule="auto"/>
        <w:rPr>
          <w:sz w:val="20"/>
          <w:szCs w:val="20"/>
          <w:color w:val="auto"/>
        </w:rPr>
      </w:pPr>
      <w:r>
        <w:rPr>
          <w:rFonts w:ascii="Arial" w:cs="Arial" w:eastAsia="Arial" w:hAnsi="Arial"/>
          <w:sz w:val="9"/>
          <w:szCs w:val="9"/>
          <w:i w:val="1"/>
          <w:iCs w:val="1"/>
          <w:color w:val="auto"/>
        </w:rPr>
        <w:t>777 OLD SAW MILL RIVER ROAD</w:t>
      </w:r>
    </w:p>
    <w:p>
      <w:pPr>
        <w:ind w:left="360"/>
        <w:spacing w:after="0" w:line="219" w:lineRule="auto"/>
        <w:rPr>
          <w:sz w:val="20"/>
          <w:szCs w:val="20"/>
          <w:color w:val="auto"/>
        </w:rPr>
      </w:pPr>
      <w:r>
        <w:rPr>
          <w:rFonts w:ascii="Arial" w:cs="Arial" w:eastAsia="Arial" w:hAnsi="Arial"/>
          <w:sz w:val="9"/>
          <w:szCs w:val="9"/>
          <w:i w:val="1"/>
          <w:iCs w:val="1"/>
          <w:color w:val="auto"/>
        </w:rPr>
        <w:t>TARRYTOWN, NY 10591-6707</w:t>
      </w:r>
    </w:p>
    <w:p>
      <w:pPr>
        <w:ind w:left="360"/>
        <w:spacing w:after="0"/>
        <w:rPr>
          <w:sz w:val="20"/>
          <w:szCs w:val="20"/>
          <w:color w:val="auto"/>
        </w:rPr>
      </w:pPr>
      <w:r>
        <w:rPr>
          <w:rFonts w:ascii="Arial" w:cs="Arial" w:eastAsia="Arial" w:hAnsi="Arial"/>
          <w:sz w:val="9"/>
          <w:szCs w:val="9"/>
          <w:i w:val="1"/>
          <w:iCs w:val="1"/>
          <w:color w:val="auto"/>
        </w:rPr>
        <w:t>ATTN: CORPORATE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VOTE BY INTERNET</w:t>
      </w:r>
    </w:p>
    <w:p>
      <w:pPr>
        <w:spacing w:after="0" w:line="219" w:lineRule="auto"/>
        <w:rPr>
          <w:sz w:val="20"/>
          <w:szCs w:val="20"/>
          <w:color w:val="auto"/>
        </w:rPr>
      </w:pPr>
      <w:r>
        <w:rPr>
          <w:rFonts w:ascii="Arial" w:cs="Arial" w:eastAsia="Arial" w:hAnsi="Arial"/>
          <w:sz w:val="13"/>
          <w:szCs w:val="13"/>
          <w:i w:val="1"/>
          <w:iCs w:val="1"/>
          <w:color w:val="auto"/>
        </w:rPr>
        <w:t xml:space="preserve">Before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u w:val="single" w:color="auto"/>
          <w:color w:val="auto"/>
        </w:rPr>
        <w:t>www.proxyvote.com</w:t>
      </w:r>
    </w:p>
    <w:p>
      <w:pPr>
        <w:jc w:val="both"/>
        <w:ind w:right="360"/>
        <w:spacing w:after="0" w:line="222" w:lineRule="auto"/>
        <w:rPr>
          <w:sz w:val="20"/>
          <w:szCs w:val="20"/>
          <w:color w:val="auto"/>
        </w:rPr>
      </w:pPr>
      <w:r>
        <w:rPr>
          <w:rFonts w:ascii="Arial" w:cs="Arial" w:eastAsia="Arial" w:hAnsi="Arial"/>
          <w:sz w:val="13"/>
          <w:szCs w:val="13"/>
          <w:color w:val="auto"/>
        </w:rPr>
        <w:t>Use the Internet to transmit your voting instructions and for electronic delivery of information. Vote by 11:59 p.m. Eastern Time on June 10, 2021 for shares held directly and by 11:59 p.m. Eastern Time on June 8, 2021 for shares held in a Plan. Have your proxy card in hand when you access the web site and follow the instructions to obtain your records and to create an electronic voting instruction form.</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During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u w:val="single" w:color="auto"/>
          <w:color w:val="auto"/>
        </w:rPr>
        <w:t>www.virtualshareholdermeeting.com/REGN2021</w:t>
      </w:r>
    </w:p>
    <w:p>
      <w:pPr>
        <w:spacing w:after="0" w:line="2" w:lineRule="exact"/>
        <w:rPr>
          <w:sz w:val="20"/>
          <w:szCs w:val="20"/>
          <w:color w:val="auto"/>
        </w:rPr>
      </w:pPr>
    </w:p>
    <w:p>
      <w:pPr>
        <w:jc w:val="both"/>
        <w:ind w:right="360"/>
        <w:spacing w:after="0" w:line="225" w:lineRule="auto"/>
        <w:rPr>
          <w:sz w:val="20"/>
          <w:szCs w:val="20"/>
          <w:color w:val="auto"/>
        </w:rPr>
      </w:pPr>
      <w:r>
        <w:rPr>
          <w:rFonts w:ascii="Arial" w:cs="Arial" w:eastAsia="Arial" w:hAnsi="Arial"/>
          <w:sz w:val="13"/>
          <w:szCs w:val="13"/>
          <w:color w:val="auto"/>
        </w:rPr>
        <w:t>You may attend the meeting via the Internet and vote during the meeting. Have the information that is printed in the box marked by the arrow available and follow the instructions.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right="360"/>
        <w:spacing w:after="0" w:line="223" w:lineRule="auto"/>
        <w:rPr>
          <w:sz w:val="20"/>
          <w:szCs w:val="20"/>
          <w:color w:val="auto"/>
        </w:rPr>
      </w:pPr>
      <w:r>
        <w:rPr>
          <w:rFonts w:ascii="Arial" w:cs="Arial" w:eastAsia="Arial" w:hAnsi="Arial"/>
          <w:sz w:val="13"/>
          <w:szCs w:val="13"/>
          <w:color w:val="auto"/>
        </w:rPr>
        <w:t>Use any touch-tone telephone to transmit your voting instructions. Vote by 11:59 p.m. Eastern Time on June 10, 2021 for shares held directly and by 11:59 p.m. Eastern Time on June 8, 2021 for shares held in a Plan. Have your proxy card in hand when you call and then follow the instructions.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jc w:val="both"/>
        <w:ind w:right="360"/>
        <w:spacing w:after="0" w:line="225"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20" w:space="720"/>
            <w:col w:w="5400"/>
          </w:cols>
          <w:pgMar w:left="320" w:top="4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4740" w:type="dxa"/>
            <w:vAlign w:val="bottom"/>
            <w:gridSpan w:val="7"/>
          </w:tcPr>
          <w:p>
            <w:pPr>
              <w:spacing w:after="0"/>
              <w:rPr>
                <w:sz w:val="20"/>
                <w:szCs w:val="20"/>
                <w:color w:val="auto"/>
              </w:rPr>
            </w:pPr>
            <w:r>
              <w:rPr>
                <w:rFonts w:ascii="Arial" w:cs="Arial" w:eastAsia="Arial" w:hAnsi="Arial"/>
                <w:sz w:val="13"/>
                <w:szCs w:val="13"/>
                <w:color w:val="231F20"/>
              </w:rPr>
              <w:t>TO VOTE, MARK BLOCKS BELOW IN BLUE OR BLACK INK AS FOLLOWS:</w:t>
            </w: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920" w:type="dxa"/>
            <w:vAlign w:val="bottom"/>
            <w:gridSpan w:val="2"/>
          </w:tcPr>
          <w:p>
            <w:pPr>
              <w:ind w:left="300"/>
              <w:spacing w:after="0"/>
              <w:rPr>
                <w:sz w:val="20"/>
                <w:szCs w:val="20"/>
                <w:color w:val="auto"/>
              </w:rPr>
            </w:pPr>
            <w:r>
              <w:rPr>
                <w:rFonts w:ascii="Arial" w:cs="Arial" w:eastAsia="Arial" w:hAnsi="Arial"/>
                <w:sz w:val="13"/>
                <w:szCs w:val="13"/>
                <w:color w:val="231F20"/>
              </w:rPr>
              <w:t>D51935-P48765-Z78980</w:t>
            </w:r>
          </w:p>
        </w:tc>
        <w:tc>
          <w:tcPr>
            <w:tcW w:w="3040" w:type="dxa"/>
            <w:vAlign w:val="bottom"/>
            <w:gridSpan w:val="7"/>
          </w:tcPr>
          <w:p>
            <w:pPr>
              <w:jc w:val="right"/>
              <w:spacing w:after="0"/>
              <w:rPr>
                <w:sz w:val="20"/>
                <w:szCs w:val="20"/>
                <w:color w:val="auto"/>
              </w:rPr>
            </w:pPr>
            <w:r>
              <w:rPr>
                <w:rFonts w:ascii="Arial" w:cs="Arial" w:eastAsia="Arial" w:hAnsi="Arial"/>
                <w:sz w:val="13"/>
                <w:szCs w:val="13"/>
                <w:color w:val="231F20"/>
              </w:rPr>
              <w:t>KEEP THIS PORTION FOR YOUR RECORDS</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231F20"/>
              </w:rPr>
              <w:t>THIS PROXY CARD IS VALID ONLY WHEN SIGNED AND DATED.</w:t>
            </w:r>
          </w:p>
        </w:tc>
        <w:tc>
          <w:tcPr>
            <w:tcW w:w="3040" w:type="dxa"/>
            <w:vAlign w:val="bottom"/>
            <w:gridSpan w:val="7"/>
          </w:tcPr>
          <w:p>
            <w:pPr>
              <w:jc w:val="right"/>
              <w:spacing w:after="0"/>
              <w:rPr>
                <w:sz w:val="20"/>
                <w:szCs w:val="20"/>
                <w:color w:val="auto"/>
              </w:rPr>
            </w:pPr>
            <w:r>
              <w:rPr>
                <w:rFonts w:ascii="Arial" w:cs="Arial" w:eastAsia="Arial" w:hAnsi="Arial"/>
                <w:sz w:val="13"/>
                <w:szCs w:val="13"/>
                <w:color w:val="231F20"/>
              </w:rPr>
              <w:t>DETACH AND RETURN THIS PORTION ONLY</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0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6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980" w:type="dxa"/>
            <w:vAlign w:val="bottom"/>
            <w:tcBorders>
              <w:left w:val="single" w:sz="8" w:color="auto"/>
            </w:tcBorders>
            <w:gridSpan w:val="4"/>
          </w:tcPr>
          <w:p>
            <w:pPr>
              <w:ind w:left="140"/>
              <w:spacing w:after="0"/>
              <w:rPr>
                <w:sz w:val="20"/>
                <w:szCs w:val="20"/>
                <w:color w:val="auto"/>
              </w:rPr>
            </w:pPr>
            <w:r>
              <w:rPr>
                <w:rFonts w:ascii="Arial" w:cs="Arial" w:eastAsia="Arial" w:hAnsi="Arial"/>
                <w:sz w:val="13"/>
                <w:szCs w:val="13"/>
                <w:b w:val="1"/>
                <w:bCs w:val="1"/>
                <w:color w:val="auto"/>
              </w:rPr>
              <w:t>REGENERON PHARMACEUTICALS, INC.</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360" w:type="dxa"/>
            <w:vAlign w:val="bottom"/>
            <w:tcBorders>
              <w:left w:val="single" w:sz="8" w:color="auto"/>
            </w:tcBorders>
            <w:vMerge w:val="restart"/>
          </w:tcPr>
          <w:p>
            <w:pPr>
              <w:spacing w:after="0"/>
              <w:rPr>
                <w:sz w:val="6"/>
                <w:szCs w:val="6"/>
                <w:color w:val="auto"/>
              </w:rPr>
            </w:pPr>
          </w:p>
        </w:tc>
        <w:tc>
          <w:tcPr>
            <w:tcW w:w="4380" w:type="dxa"/>
            <w:vAlign w:val="bottom"/>
            <w:gridSpan w:val="6"/>
            <w:vMerge w:val="restart"/>
          </w:tcPr>
          <w:p>
            <w:pPr>
              <w:ind w:left="40"/>
              <w:spacing w:after="0"/>
              <w:rPr>
                <w:sz w:val="20"/>
                <w:szCs w:val="20"/>
                <w:color w:val="auto"/>
              </w:rPr>
            </w:pPr>
            <w:r>
              <w:rPr>
                <w:rFonts w:ascii="Arial" w:cs="Arial" w:eastAsia="Arial" w:hAnsi="Arial"/>
                <w:sz w:val="13"/>
                <w:szCs w:val="13"/>
                <w:b w:val="1"/>
                <w:bCs w:val="1"/>
                <w:color w:val="auto"/>
              </w:rPr>
              <w:t>The  Board  of  Directors  recommends  you  vote  FOR  the</w:t>
            </w: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360" w:type="dxa"/>
            <w:vAlign w:val="bottom"/>
            <w:tcBorders>
              <w:left w:val="single" w:sz="8" w:color="auto"/>
            </w:tcBorders>
            <w:vMerge w:val="continue"/>
          </w:tcPr>
          <w:p>
            <w:pPr>
              <w:spacing w:after="0"/>
              <w:rPr>
                <w:sz w:val="7"/>
                <w:szCs w:val="7"/>
                <w:color w:val="auto"/>
              </w:rPr>
            </w:pPr>
          </w:p>
        </w:tc>
        <w:tc>
          <w:tcPr>
            <w:tcW w:w="4380" w:type="dxa"/>
            <w:vAlign w:val="bottom"/>
            <w:gridSpan w:val="6"/>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60" w:type="dxa"/>
            <w:vAlign w:val="bottom"/>
            <w:tcBorders>
              <w:left w:val="single" w:sz="8" w:color="auto"/>
            </w:tcBorders>
          </w:tcPr>
          <w:p>
            <w:pPr>
              <w:spacing w:after="0"/>
              <w:rPr>
                <w:sz w:val="14"/>
                <w:szCs w:val="14"/>
                <w:color w:val="auto"/>
              </w:rPr>
            </w:pPr>
          </w:p>
        </w:tc>
        <w:tc>
          <w:tcPr>
            <w:tcW w:w="2620" w:type="dxa"/>
            <w:vAlign w:val="bottom"/>
            <w:gridSpan w:val="3"/>
          </w:tcPr>
          <w:p>
            <w:pPr>
              <w:ind w:left="40"/>
              <w:spacing w:after="0"/>
              <w:rPr>
                <w:sz w:val="20"/>
                <w:szCs w:val="20"/>
                <w:color w:val="auto"/>
              </w:rPr>
            </w:pPr>
            <w:r>
              <w:rPr>
                <w:rFonts w:ascii="Arial" w:cs="Arial" w:eastAsia="Arial" w:hAnsi="Arial"/>
                <w:sz w:val="13"/>
                <w:szCs w:val="13"/>
                <w:b w:val="1"/>
                <w:bCs w:val="1"/>
                <w:color w:val="auto"/>
              </w:rPr>
              <w:t>following proposals:</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60" w:type="dxa"/>
            <w:vAlign w:val="bottom"/>
            <w:tcBorders>
              <w:left w:val="single" w:sz="8" w:color="auto"/>
            </w:tcBorders>
            <w:gridSpan w:val="2"/>
          </w:tcPr>
          <w:p>
            <w:pPr>
              <w:ind w:left="400"/>
              <w:spacing w:after="0"/>
              <w:rPr>
                <w:sz w:val="20"/>
                <w:szCs w:val="20"/>
                <w:color w:val="auto"/>
              </w:rPr>
            </w:pPr>
            <w:r>
              <w:rPr>
                <w:rFonts w:ascii="Arial" w:cs="Arial" w:eastAsia="Arial" w:hAnsi="Arial"/>
                <w:sz w:val="13"/>
                <w:szCs w:val="13"/>
                <w:color w:val="auto"/>
              </w:rPr>
              <w:t>1.</w:t>
            </w:r>
          </w:p>
        </w:tc>
        <w:tc>
          <w:tcPr>
            <w:tcW w:w="2320" w:type="dxa"/>
            <w:vAlign w:val="bottom"/>
            <w:gridSpan w:val="2"/>
          </w:tcPr>
          <w:p>
            <w:pPr>
              <w:ind w:left="140"/>
              <w:spacing w:after="0"/>
              <w:rPr>
                <w:sz w:val="20"/>
                <w:szCs w:val="20"/>
                <w:color w:val="auto"/>
              </w:rPr>
            </w:pPr>
            <w:r>
              <w:rPr>
                <w:rFonts w:ascii="Arial" w:cs="Arial" w:eastAsia="Arial" w:hAnsi="Arial"/>
                <w:sz w:val="13"/>
                <w:szCs w:val="13"/>
                <w:color w:val="auto"/>
              </w:rPr>
              <w:t>Election of Directors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vMerge w:val="restart"/>
          </w:tcPr>
          <w:p>
            <w:pPr>
              <w:jc w:val="center"/>
              <w:ind w:left="257"/>
              <w:spacing w:after="0"/>
              <w:rPr>
                <w:sz w:val="20"/>
                <w:szCs w:val="20"/>
                <w:color w:val="auto"/>
              </w:rPr>
            </w:pPr>
            <w:r>
              <w:rPr>
                <w:rFonts w:ascii="Arial" w:cs="Arial" w:eastAsia="Arial" w:hAnsi="Arial"/>
                <w:sz w:val="13"/>
                <w:szCs w:val="13"/>
                <w:b w:val="1"/>
                <w:bCs w:val="1"/>
                <w:color w:val="auto"/>
                <w:w w:val="95"/>
              </w:rPr>
              <w:t>For</w:t>
            </w: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2920" w:type="dxa"/>
            <w:vAlign w:val="bottom"/>
            <w:gridSpan w:val="2"/>
            <w:vMerge w:val="restart"/>
          </w:tcPr>
          <w:p>
            <w:pPr>
              <w:jc w:val="center"/>
              <w:ind w:right="2317"/>
              <w:spacing w:after="0"/>
              <w:rPr>
                <w:sz w:val="20"/>
                <w:szCs w:val="20"/>
                <w:color w:val="auto"/>
              </w:rPr>
            </w:pPr>
            <w:r>
              <w:rPr>
                <w:rFonts w:ascii="Arial" w:cs="Arial" w:eastAsia="Arial" w:hAnsi="Arial"/>
                <w:sz w:val="13"/>
                <w:szCs w:val="13"/>
                <w:b w:val="1"/>
                <w:bCs w:val="1"/>
                <w:color w:val="auto"/>
                <w:w w:val="96"/>
              </w:rPr>
              <w:t>Abstain</w:t>
            </w: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360" w:type="dxa"/>
            <w:vAlign w:val="bottom"/>
            <w:tcBorders>
              <w:lef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Nominees:</w:t>
            </w: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92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360" w:type="dxa"/>
            <w:vAlign w:val="bottom"/>
            <w:tcBorders>
              <w:left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6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2"/>
          </w:tcPr>
          <w:p>
            <w:pPr>
              <w:ind w:left="140"/>
              <w:spacing w:after="0"/>
              <w:rPr>
                <w:sz w:val="20"/>
                <w:szCs w:val="20"/>
                <w:color w:val="auto"/>
              </w:rPr>
            </w:pPr>
            <w:r>
              <w:rPr>
                <w:rFonts w:ascii="Arial" w:cs="Arial" w:eastAsia="Arial" w:hAnsi="Arial"/>
                <w:sz w:val="13"/>
                <w:szCs w:val="13"/>
                <w:color w:val="auto"/>
              </w:rPr>
              <w:t>1a.  N. Anthony Coles, M.D.</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jc w:val="center"/>
              <w:ind w:left="277"/>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2920" w:type="dxa"/>
            <w:vAlign w:val="bottom"/>
            <w:gridSpan w:val="2"/>
          </w:tcPr>
          <w:p>
            <w:pPr>
              <w:jc w:val="center"/>
              <w:ind w:right="2297"/>
              <w:spacing w:after="0"/>
              <w:rPr>
                <w:sz w:val="20"/>
                <w:szCs w:val="20"/>
                <w:color w:val="auto"/>
              </w:rPr>
            </w:pPr>
            <w:r>
              <w:rPr>
                <w:rFonts w:ascii="Arial" w:cs="Arial" w:eastAsia="Arial" w:hAnsi="Arial"/>
                <w:sz w:val="13"/>
                <w:szCs w:val="13"/>
                <w:color w:val="auto"/>
              </w:rPr>
              <w:t>o</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Arial" w:cs="Arial" w:eastAsia="Arial" w:hAnsi="Arial"/>
                <w:sz w:val="13"/>
                <w:szCs w:val="13"/>
                <w:color w:val="auto"/>
              </w:rPr>
              <w:t>1b.</w:t>
            </w:r>
          </w:p>
        </w:tc>
        <w:tc>
          <w:tcPr>
            <w:tcW w:w="1940" w:type="dxa"/>
            <w:vAlign w:val="bottom"/>
          </w:tcPr>
          <w:p>
            <w:pPr>
              <w:ind w:left="60"/>
              <w:spacing w:after="0"/>
              <w:rPr>
                <w:sz w:val="20"/>
                <w:szCs w:val="20"/>
                <w:color w:val="auto"/>
              </w:rPr>
            </w:pPr>
            <w:r>
              <w:rPr>
                <w:rFonts w:ascii="Arial" w:cs="Arial" w:eastAsia="Arial" w:hAnsi="Arial"/>
                <w:sz w:val="13"/>
                <w:szCs w:val="13"/>
                <w:color w:val="auto"/>
              </w:rPr>
              <w:t>Arthur F. Ryan</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jc w:val="center"/>
              <w:ind w:left="277"/>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2920" w:type="dxa"/>
            <w:vAlign w:val="bottom"/>
            <w:gridSpan w:val="2"/>
          </w:tcPr>
          <w:p>
            <w:pPr>
              <w:jc w:val="center"/>
              <w:ind w:right="2297"/>
              <w:spacing w:after="0"/>
              <w:rPr>
                <w:sz w:val="20"/>
                <w:szCs w:val="20"/>
                <w:color w:val="auto"/>
              </w:rPr>
            </w:pPr>
            <w:r>
              <w:rPr>
                <w:rFonts w:ascii="Arial" w:cs="Arial" w:eastAsia="Arial" w:hAnsi="Arial"/>
                <w:sz w:val="13"/>
                <w:szCs w:val="13"/>
                <w:color w:val="auto"/>
              </w:rPr>
              <w:t>o</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Arial" w:cs="Arial" w:eastAsia="Arial" w:hAnsi="Arial"/>
                <w:sz w:val="13"/>
                <w:szCs w:val="13"/>
                <w:color w:val="auto"/>
              </w:rPr>
              <w:t>1c.</w:t>
            </w:r>
          </w:p>
        </w:tc>
        <w:tc>
          <w:tcPr>
            <w:tcW w:w="1940" w:type="dxa"/>
            <w:vAlign w:val="bottom"/>
          </w:tcPr>
          <w:p>
            <w:pPr>
              <w:ind w:left="60"/>
              <w:spacing w:after="0"/>
              <w:rPr>
                <w:sz w:val="20"/>
                <w:szCs w:val="20"/>
                <w:color w:val="auto"/>
              </w:rPr>
            </w:pPr>
            <w:r>
              <w:rPr>
                <w:rFonts w:ascii="Arial" w:cs="Arial" w:eastAsia="Arial" w:hAnsi="Arial"/>
                <w:sz w:val="13"/>
                <w:szCs w:val="13"/>
                <w:color w:val="auto"/>
              </w:rPr>
              <w:t>George L. Sing</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jc w:val="center"/>
              <w:ind w:left="277"/>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2920" w:type="dxa"/>
            <w:vAlign w:val="bottom"/>
            <w:gridSpan w:val="2"/>
          </w:tcPr>
          <w:p>
            <w:pPr>
              <w:jc w:val="center"/>
              <w:ind w:right="2297"/>
              <w:spacing w:after="0"/>
              <w:rPr>
                <w:sz w:val="20"/>
                <w:szCs w:val="20"/>
                <w:color w:val="auto"/>
              </w:rPr>
            </w:pPr>
            <w:r>
              <w:rPr>
                <w:rFonts w:ascii="Arial" w:cs="Arial" w:eastAsia="Arial" w:hAnsi="Arial"/>
                <w:sz w:val="13"/>
                <w:szCs w:val="13"/>
                <w:color w:val="auto"/>
              </w:rPr>
              <w:t>o</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ind w:left="140"/>
              <w:spacing w:after="0"/>
              <w:rPr>
                <w:sz w:val="20"/>
                <w:szCs w:val="20"/>
                <w:color w:val="auto"/>
              </w:rPr>
            </w:pPr>
            <w:r>
              <w:rPr>
                <w:rFonts w:ascii="Arial" w:cs="Arial" w:eastAsia="Arial" w:hAnsi="Arial"/>
                <w:sz w:val="13"/>
                <w:szCs w:val="13"/>
                <w:color w:val="auto"/>
              </w:rPr>
              <w:t>1d.</w:t>
            </w:r>
          </w:p>
        </w:tc>
        <w:tc>
          <w:tcPr>
            <w:tcW w:w="1940" w:type="dxa"/>
            <w:vAlign w:val="bottom"/>
          </w:tcPr>
          <w:p>
            <w:pPr>
              <w:ind w:left="60"/>
              <w:spacing w:after="0"/>
              <w:rPr>
                <w:sz w:val="20"/>
                <w:szCs w:val="20"/>
                <w:color w:val="auto"/>
              </w:rPr>
            </w:pPr>
            <w:r>
              <w:rPr>
                <w:rFonts w:ascii="Arial" w:cs="Arial" w:eastAsia="Arial" w:hAnsi="Arial"/>
                <w:sz w:val="13"/>
                <w:szCs w:val="13"/>
                <w:color w:val="auto"/>
              </w:rPr>
              <w:t>Marc Tessier-Lavigne, Ph.D.</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jc w:val="center"/>
              <w:ind w:left="277"/>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2920" w:type="dxa"/>
            <w:vAlign w:val="bottom"/>
            <w:gridSpan w:val="2"/>
          </w:tcPr>
          <w:p>
            <w:pPr>
              <w:jc w:val="center"/>
              <w:ind w:right="2297"/>
              <w:spacing w:after="0"/>
              <w:rPr>
                <w:sz w:val="20"/>
                <w:szCs w:val="20"/>
                <w:color w:val="auto"/>
              </w:rPr>
            </w:pPr>
            <w:r>
              <w:rPr>
                <w:rFonts w:ascii="Arial" w:cs="Arial" w:eastAsia="Arial" w:hAnsi="Arial"/>
                <w:sz w:val="13"/>
                <w:szCs w:val="13"/>
                <w:color w:val="auto"/>
              </w:rPr>
              <w:t>o</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5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Abstain</w:t>
            </w:r>
          </w:p>
        </w:tc>
        <w:tc>
          <w:tcPr>
            <w:tcW w:w="0" w:type="dxa"/>
            <w:vAlign w:val="bottom"/>
          </w:tcPr>
          <w:p>
            <w:pPr>
              <w:spacing w:after="0"/>
              <w:rPr>
                <w:sz w:val="1"/>
                <w:szCs w:val="1"/>
                <w:color w:val="auto"/>
              </w:rPr>
            </w:pPr>
          </w:p>
        </w:tc>
      </w:tr>
      <w:tr>
        <w:trPr>
          <w:trHeight w:val="253"/>
        </w:trPr>
        <w:tc>
          <w:tcPr>
            <w:tcW w:w="660" w:type="dxa"/>
            <w:vAlign w:val="bottom"/>
            <w:tcBorders>
              <w:left w:val="single" w:sz="8" w:color="auto"/>
            </w:tcBorders>
            <w:gridSpan w:val="2"/>
          </w:tcPr>
          <w:p>
            <w:pPr>
              <w:ind w:left="400"/>
              <w:spacing w:after="0"/>
              <w:rPr>
                <w:sz w:val="20"/>
                <w:szCs w:val="20"/>
                <w:color w:val="auto"/>
              </w:rPr>
            </w:pPr>
            <w:r>
              <w:rPr>
                <w:rFonts w:ascii="Arial" w:cs="Arial" w:eastAsia="Arial" w:hAnsi="Arial"/>
                <w:sz w:val="13"/>
                <w:szCs w:val="13"/>
                <w:color w:val="auto"/>
              </w:rPr>
              <w:t>2.</w:t>
            </w:r>
          </w:p>
        </w:tc>
        <w:tc>
          <w:tcPr>
            <w:tcW w:w="9040" w:type="dxa"/>
            <w:vAlign w:val="bottom"/>
            <w:gridSpan w:val="10"/>
          </w:tcPr>
          <w:p>
            <w:pPr>
              <w:ind w:left="140"/>
              <w:spacing w:after="0"/>
              <w:rPr>
                <w:sz w:val="20"/>
                <w:szCs w:val="20"/>
                <w:color w:val="auto"/>
              </w:rPr>
            </w:pPr>
            <w:r>
              <w:rPr>
                <w:rFonts w:ascii="Arial" w:cs="Arial" w:eastAsia="Arial" w:hAnsi="Arial"/>
                <w:sz w:val="13"/>
                <w:szCs w:val="13"/>
                <w:color w:val="auto"/>
              </w:rPr>
              <w:t>Ratification of the appointment of PricewaterhouseCoopers LLP as the Company’s independent registered public accounting firm for the fiscal year ending</w:t>
            </w:r>
          </w:p>
        </w:tc>
        <w:tc>
          <w:tcPr>
            <w:tcW w:w="26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40" w:type="dxa"/>
            <w:vAlign w:val="bottom"/>
            <w:gridSpan w:val="2"/>
          </w:tcPr>
          <w:p>
            <w:pPr>
              <w:jc w:val="center"/>
              <w:spacing w:after="0"/>
              <w:rPr>
                <w:sz w:val="20"/>
                <w:szCs w:val="20"/>
                <w:color w:val="auto"/>
              </w:rPr>
            </w:pPr>
            <w:r>
              <w:rPr>
                <w:rFonts w:ascii="Arial" w:cs="Arial" w:eastAsia="Arial" w:hAnsi="Arial"/>
                <w:sz w:val="13"/>
                <w:szCs w:val="13"/>
                <w:color w:val="auto"/>
              </w:rPr>
              <w:t>o</w:t>
            </w:r>
          </w:p>
        </w:tc>
        <w:tc>
          <w:tcPr>
            <w:tcW w:w="7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3"/>
                <w:szCs w:val="13"/>
                <w:color w:val="auto"/>
              </w:rPr>
              <w:t>o</w:t>
            </w:r>
          </w:p>
        </w:tc>
        <w:tc>
          <w:tcPr>
            <w:tcW w:w="0" w:type="dxa"/>
            <w:vAlign w:val="bottom"/>
          </w:tcPr>
          <w:p>
            <w:pPr>
              <w:spacing w:after="0"/>
              <w:rPr>
                <w:sz w:val="1"/>
                <w:szCs w:val="1"/>
                <w:color w:val="auto"/>
              </w:rPr>
            </w:pPr>
          </w:p>
        </w:tc>
      </w:tr>
      <w:tr>
        <w:trPr>
          <w:trHeight w:val="152"/>
        </w:trPr>
        <w:tc>
          <w:tcPr>
            <w:tcW w:w="360" w:type="dxa"/>
            <w:vAlign w:val="bottom"/>
            <w:tcBorders>
              <w:lef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2"/>
          </w:tcPr>
          <w:p>
            <w:pPr>
              <w:ind w:left="140"/>
              <w:spacing w:after="0"/>
              <w:rPr>
                <w:sz w:val="20"/>
                <w:szCs w:val="20"/>
                <w:color w:val="auto"/>
              </w:rPr>
            </w:pPr>
            <w:r>
              <w:rPr>
                <w:rFonts w:ascii="Arial" w:cs="Arial" w:eastAsia="Arial" w:hAnsi="Arial"/>
                <w:sz w:val="13"/>
                <w:szCs w:val="13"/>
                <w:color w:val="auto"/>
              </w:rPr>
              <w:t>December 31, 2021.</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tcBorders>
          </w:tcPr>
          <w:p>
            <w:pPr>
              <w:spacing w:after="0"/>
              <w:rPr>
                <w:sz w:val="23"/>
                <w:szCs w:val="23"/>
                <w:color w:val="auto"/>
              </w:rPr>
            </w:pPr>
          </w:p>
        </w:tc>
        <w:tc>
          <w:tcPr>
            <w:tcW w:w="7840" w:type="dxa"/>
            <w:vAlign w:val="bottom"/>
            <w:gridSpan w:val="9"/>
          </w:tcPr>
          <w:p>
            <w:pPr>
              <w:ind w:left="4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meeting or any adjournment thereof.</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16"/>
        </w:trPr>
        <w:tc>
          <w:tcPr>
            <w:tcW w:w="360" w:type="dxa"/>
            <w:vAlign w:val="bottom"/>
            <w:tcBorders>
              <w:left w:val="single" w:sz="8" w:color="auto"/>
            </w:tcBorders>
          </w:tcPr>
          <w:p>
            <w:pPr>
              <w:spacing w:after="0"/>
              <w:rPr>
                <w:sz w:val="24"/>
                <w:szCs w:val="24"/>
                <w:color w:val="auto"/>
              </w:rPr>
            </w:pPr>
          </w:p>
        </w:tc>
        <w:tc>
          <w:tcPr>
            <w:tcW w:w="7840" w:type="dxa"/>
            <w:vAlign w:val="bottom"/>
            <w:gridSpan w:val="9"/>
          </w:tcPr>
          <w:p>
            <w:pPr>
              <w:ind w:left="40"/>
              <w:spacing w:after="0"/>
              <w:rPr>
                <w:sz w:val="20"/>
                <w:szCs w:val="20"/>
                <w:color w:val="auto"/>
              </w:rPr>
            </w:pPr>
            <w:r>
              <w:rPr>
                <w:rFonts w:ascii="Arial" w:cs="Arial" w:eastAsia="Arial" w:hAnsi="Arial"/>
                <w:sz w:val="13"/>
                <w:szCs w:val="13"/>
                <w:color w:val="auto"/>
              </w:rPr>
              <w:t>Please sign exactly as your name(s) appear(s) hereon. When signing as attorney, executor,</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60" w:type="dxa"/>
            <w:vAlign w:val="bottom"/>
            <w:tcBorders>
              <w:left w:val="single" w:sz="8" w:color="auto"/>
            </w:tcBorders>
          </w:tcPr>
          <w:p>
            <w:pPr>
              <w:spacing w:after="0"/>
              <w:rPr>
                <w:sz w:val="11"/>
                <w:szCs w:val="11"/>
                <w:color w:val="auto"/>
              </w:rPr>
            </w:pPr>
          </w:p>
        </w:tc>
        <w:tc>
          <w:tcPr>
            <w:tcW w:w="784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administrator, or other fiduciary, please give full title as such. Joint owners should each sign</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 w:type="dxa"/>
            <w:vAlign w:val="bottom"/>
            <w:tcBorders>
              <w:left w:val="single" w:sz="8" w:color="auto"/>
            </w:tcBorders>
          </w:tcPr>
          <w:p>
            <w:pPr>
              <w:spacing w:after="0"/>
              <w:rPr>
                <w:sz w:val="11"/>
                <w:szCs w:val="11"/>
                <w:color w:val="auto"/>
              </w:rPr>
            </w:pPr>
          </w:p>
        </w:tc>
        <w:tc>
          <w:tcPr>
            <w:tcW w:w="784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personally. All holders must sign. If a corporation or partnership, please sign in full corporate or</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60" w:type="dxa"/>
            <w:vAlign w:val="bottom"/>
            <w:tcBorders>
              <w:left w:val="single" w:sz="8" w:color="auto"/>
            </w:tcBorders>
          </w:tcPr>
          <w:p>
            <w:pPr>
              <w:spacing w:after="0"/>
              <w:rPr>
                <w:sz w:val="13"/>
                <w:szCs w:val="13"/>
                <w:color w:val="auto"/>
              </w:rPr>
            </w:pPr>
          </w:p>
        </w:tc>
        <w:tc>
          <w:tcPr>
            <w:tcW w:w="2620" w:type="dxa"/>
            <w:vAlign w:val="bottom"/>
            <w:gridSpan w:val="3"/>
          </w:tcPr>
          <w:p>
            <w:pPr>
              <w:ind w:left="40"/>
              <w:spacing w:after="0"/>
              <w:rPr>
                <w:sz w:val="20"/>
                <w:szCs w:val="20"/>
                <w:color w:val="auto"/>
              </w:rPr>
            </w:pPr>
            <w:r>
              <w:rPr>
                <w:rFonts w:ascii="Arial" w:cs="Arial" w:eastAsia="Arial" w:hAnsi="Arial"/>
                <w:sz w:val="13"/>
                <w:szCs w:val="13"/>
                <w:color w:val="auto"/>
              </w:rPr>
              <w:t>partnership name by authorized officer.</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Borders>
              <w:left w:val="single" w:sz="8" w:color="auto"/>
            </w:tcBorders>
          </w:tcPr>
          <w:p>
            <w:pPr>
              <w:spacing w:after="0"/>
              <w:rPr>
                <w:sz w:val="14"/>
                <w:szCs w:val="14"/>
                <w:color w:val="auto"/>
              </w:rPr>
            </w:pPr>
          </w:p>
        </w:tc>
        <w:tc>
          <w:tcPr>
            <w:tcW w:w="2620" w:type="dxa"/>
            <w:vAlign w:val="bottom"/>
            <w:gridSpan w:val="3"/>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right w:val="single" w:sz="8" w:color="auto"/>
            </w:tcBorders>
          </w:tcPr>
          <w:p>
            <w:pPr>
              <w:spacing w:after="0"/>
              <w:rPr>
                <w:sz w:val="23"/>
                <w:szCs w:val="23"/>
                <w:color w:val="auto"/>
              </w:rPr>
            </w:pPr>
          </w:p>
        </w:tc>
        <w:tc>
          <w:tcPr>
            <w:tcW w:w="2620" w:type="dxa"/>
            <w:vAlign w:val="bottom"/>
            <w:tcBorders>
              <w:top w:val="single" w:sz="8" w:color="auto"/>
              <w:bottom w:val="single" w:sz="8" w:color="auto"/>
            </w:tcBorders>
            <w:gridSpan w:val="3"/>
          </w:tcPr>
          <w:p>
            <w:pPr>
              <w:spacing w:after="0"/>
              <w:rPr>
                <w:sz w:val="23"/>
                <w:szCs w:val="23"/>
                <w:color w:val="auto"/>
              </w:rPr>
            </w:pPr>
          </w:p>
        </w:tc>
        <w:tc>
          <w:tcPr>
            <w:tcW w:w="320" w:type="dxa"/>
            <w:vAlign w:val="bottom"/>
            <w:tcBorders>
              <w:top w:val="single" w:sz="8" w:color="auto"/>
              <w:bottom w:val="single" w:sz="8" w:color="auto"/>
              <w:right w:val="single" w:sz="8" w:color="auto"/>
            </w:tcBorders>
          </w:tcPr>
          <w:p>
            <w:pPr>
              <w:spacing w:after="0"/>
              <w:rPr>
                <w:sz w:val="23"/>
                <w:szCs w:val="23"/>
                <w:color w:val="auto"/>
              </w:rPr>
            </w:pPr>
          </w:p>
        </w:tc>
        <w:tc>
          <w:tcPr>
            <w:tcW w:w="800" w:type="dxa"/>
            <w:vAlign w:val="bottom"/>
            <w:tcBorders>
              <w:top w:val="single" w:sz="8" w:color="auto"/>
              <w:bottom w:val="single" w:sz="8" w:color="auto"/>
              <w:right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2200" w:type="dxa"/>
            <w:vAlign w:val="bottom"/>
            <w:tcBorders>
              <w:top w:val="single" w:sz="8" w:color="auto"/>
              <w:bottom w:val="single" w:sz="8" w:color="auto"/>
            </w:tcBorders>
          </w:tcPr>
          <w:p>
            <w:pPr>
              <w:spacing w:after="0"/>
              <w:rPr>
                <w:sz w:val="23"/>
                <w:szCs w:val="23"/>
                <w:color w:val="auto"/>
              </w:rPr>
            </w:pPr>
          </w:p>
        </w:tc>
        <w:tc>
          <w:tcPr>
            <w:tcW w:w="720" w:type="dxa"/>
            <w:vAlign w:val="bottom"/>
            <w:tcBorders>
              <w:top w:val="single" w:sz="8" w:color="auto"/>
              <w:bottom w:val="single" w:sz="8" w:color="auto"/>
              <w:right w:val="single" w:sz="8" w:color="auto"/>
            </w:tcBorders>
          </w:tcPr>
          <w:p>
            <w:pPr>
              <w:spacing w:after="0"/>
              <w:rPr>
                <w:sz w:val="23"/>
                <w:szCs w:val="23"/>
                <w:color w:val="auto"/>
              </w:rPr>
            </w:pPr>
          </w:p>
        </w:tc>
        <w:tc>
          <w:tcPr>
            <w:tcW w:w="780" w:type="dxa"/>
            <w:vAlign w:val="bottom"/>
            <w:tcBorders>
              <w:top w:val="single" w:sz="8" w:color="auto"/>
              <w:bottom w:val="single" w:sz="8" w:color="auto"/>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360" w:type="dxa"/>
            <w:vAlign w:val="bottom"/>
            <w:tcBorders>
              <w:left w:val="single" w:sz="8" w:color="auto"/>
            </w:tcBorders>
          </w:tcPr>
          <w:p>
            <w:pPr>
              <w:spacing w:after="0"/>
              <w:rPr>
                <w:sz w:val="13"/>
                <w:szCs w:val="13"/>
                <w:color w:val="auto"/>
              </w:rPr>
            </w:pPr>
          </w:p>
        </w:tc>
        <w:tc>
          <w:tcPr>
            <w:tcW w:w="2620" w:type="dxa"/>
            <w:vAlign w:val="bottom"/>
            <w:gridSpan w:val="3"/>
          </w:tcPr>
          <w:p>
            <w:pPr>
              <w:spacing w:after="0"/>
              <w:rPr>
                <w:sz w:val="20"/>
                <w:szCs w:val="20"/>
                <w:color w:val="auto"/>
              </w:rPr>
            </w:pPr>
            <w:r>
              <w:rPr>
                <w:rFonts w:ascii="Arial" w:cs="Arial" w:eastAsia="Arial" w:hAnsi="Arial"/>
                <w:sz w:val="13"/>
                <w:szCs w:val="13"/>
                <w:color w:val="auto"/>
              </w:rPr>
              <w:t>Signature [PLEASE SIGN WITHIN BOX]</w:t>
            </w:r>
          </w:p>
        </w:tc>
        <w:tc>
          <w:tcPr>
            <w:tcW w:w="1120" w:type="dxa"/>
            <w:vAlign w:val="bottom"/>
            <w:gridSpan w:val="2"/>
          </w:tcPr>
          <w:p>
            <w:pPr>
              <w:ind w:left="300"/>
              <w:spacing w:after="0"/>
              <w:rPr>
                <w:sz w:val="20"/>
                <w:szCs w:val="20"/>
                <w:color w:val="auto"/>
              </w:rPr>
            </w:pPr>
            <w:r>
              <w:rPr>
                <w:rFonts w:ascii="Arial" w:cs="Arial" w:eastAsia="Arial" w:hAnsi="Arial"/>
                <w:sz w:val="13"/>
                <w:szCs w:val="13"/>
                <w:color w:val="auto"/>
              </w:rPr>
              <w:t>Date</w:t>
            </w: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0" w:type="dxa"/>
            <w:vAlign w:val="bottom"/>
          </w:tcPr>
          <w:p>
            <w:pPr>
              <w:spacing w:after="0"/>
              <w:rPr>
                <w:sz w:val="20"/>
                <w:szCs w:val="20"/>
                <w:color w:val="auto"/>
              </w:rPr>
            </w:pPr>
            <w:r>
              <w:rPr>
                <w:rFonts w:ascii="Arial" w:cs="Arial" w:eastAsia="Arial" w:hAnsi="Arial"/>
                <w:sz w:val="13"/>
                <w:szCs w:val="13"/>
                <w:color w:val="auto"/>
              </w:rPr>
              <w:t>Signature (Joint Owners)</w:t>
            </w:r>
          </w:p>
        </w:tc>
        <w:tc>
          <w:tcPr>
            <w:tcW w:w="1500" w:type="dxa"/>
            <w:vAlign w:val="bottom"/>
            <w:gridSpan w:val="2"/>
          </w:tcPr>
          <w:p>
            <w:pPr>
              <w:ind w:left="7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360" w:type="dxa"/>
            <w:vAlign w:val="bottom"/>
            <w:tcBorders>
              <w:left w:val="single" w:sz="8" w:color="auto"/>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60" w:type="dxa"/>
            <w:vAlign w:val="bottom"/>
            <w:tcBorders>
              <w:bottom w:val="single" w:sz="8" w:color="C0C0C0"/>
            </w:tcBorders>
          </w:tcPr>
          <w:p>
            <w:pPr>
              <w:spacing w:after="0"/>
              <w:rPr>
                <w:sz w:val="24"/>
                <w:szCs w:val="24"/>
                <w:color w:val="auto"/>
              </w:rPr>
            </w:pPr>
          </w:p>
        </w:tc>
        <w:tc>
          <w:tcPr>
            <w:tcW w:w="300" w:type="dxa"/>
            <w:vAlign w:val="bottom"/>
            <w:tcBorders>
              <w:bottom w:val="single" w:sz="8" w:color="C0C0C0"/>
            </w:tcBorders>
          </w:tcPr>
          <w:p>
            <w:pPr>
              <w:spacing w:after="0"/>
              <w:rPr>
                <w:sz w:val="24"/>
                <w:szCs w:val="24"/>
                <w:color w:val="auto"/>
              </w:rPr>
            </w:pPr>
          </w:p>
        </w:tc>
        <w:tc>
          <w:tcPr>
            <w:tcW w:w="380" w:type="dxa"/>
            <w:vAlign w:val="bottom"/>
            <w:tcBorders>
              <w:bottom w:val="single" w:sz="8" w:color="C0C0C0"/>
            </w:tcBorders>
          </w:tcPr>
          <w:p>
            <w:pPr>
              <w:spacing w:after="0"/>
              <w:rPr>
                <w:sz w:val="24"/>
                <w:szCs w:val="24"/>
                <w:color w:val="auto"/>
              </w:rPr>
            </w:pPr>
          </w:p>
        </w:tc>
        <w:tc>
          <w:tcPr>
            <w:tcW w:w="194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800" w:type="dxa"/>
            <w:vAlign w:val="bottom"/>
            <w:tcBorders>
              <w:bottom w:val="single" w:sz="8" w:color="C0C0C0"/>
            </w:tcBorders>
          </w:tcPr>
          <w:p>
            <w:pPr>
              <w:spacing w:after="0"/>
              <w:rPr>
                <w:sz w:val="24"/>
                <w:szCs w:val="24"/>
                <w:color w:val="auto"/>
              </w:rPr>
            </w:pPr>
          </w:p>
        </w:tc>
        <w:tc>
          <w:tcPr>
            <w:tcW w:w="640" w:type="dxa"/>
            <w:vAlign w:val="bottom"/>
            <w:tcBorders>
              <w:bottom w:val="single" w:sz="8" w:color="C0C0C0"/>
            </w:tcBorders>
          </w:tcPr>
          <w:p>
            <w:pPr>
              <w:spacing w:after="0"/>
              <w:rPr>
                <w:sz w:val="24"/>
                <w:szCs w:val="24"/>
                <w:color w:val="auto"/>
              </w:rPr>
            </w:pPr>
          </w:p>
        </w:tc>
        <w:tc>
          <w:tcPr>
            <w:tcW w:w="540" w:type="dxa"/>
            <w:vAlign w:val="bottom"/>
            <w:tcBorders>
              <w:bottom w:val="single" w:sz="8" w:color="C0C0C0"/>
            </w:tcBorders>
          </w:tcPr>
          <w:p>
            <w:pPr>
              <w:spacing w:after="0"/>
              <w:rPr>
                <w:sz w:val="24"/>
                <w:szCs w:val="24"/>
                <w:color w:val="auto"/>
              </w:rPr>
            </w:pPr>
          </w:p>
        </w:tc>
        <w:tc>
          <w:tcPr>
            <w:tcW w:w="720" w:type="dxa"/>
            <w:vAlign w:val="bottom"/>
            <w:tcBorders>
              <w:bottom w:val="single" w:sz="8" w:color="C0C0C0"/>
            </w:tcBorders>
          </w:tcPr>
          <w:p>
            <w:pPr>
              <w:spacing w:after="0"/>
              <w:rPr>
                <w:sz w:val="24"/>
                <w:szCs w:val="24"/>
                <w:color w:val="auto"/>
              </w:rPr>
            </w:pPr>
          </w:p>
        </w:tc>
        <w:tc>
          <w:tcPr>
            <w:tcW w:w="2200" w:type="dxa"/>
            <w:vAlign w:val="bottom"/>
            <w:tcBorders>
              <w:bottom w:val="single" w:sz="8" w:color="C0C0C0"/>
            </w:tcBorders>
          </w:tcPr>
          <w:p>
            <w:pPr>
              <w:spacing w:after="0"/>
              <w:rPr>
                <w:sz w:val="24"/>
                <w:szCs w:val="24"/>
                <w:color w:val="auto"/>
              </w:rPr>
            </w:pPr>
          </w:p>
        </w:tc>
        <w:tc>
          <w:tcPr>
            <w:tcW w:w="720" w:type="dxa"/>
            <w:vAlign w:val="bottom"/>
            <w:tcBorders>
              <w:bottom w:val="single" w:sz="8" w:color="C0C0C0"/>
            </w:tcBorders>
          </w:tcPr>
          <w:p>
            <w:pPr>
              <w:spacing w:after="0"/>
              <w:rPr>
                <w:sz w:val="24"/>
                <w:szCs w:val="24"/>
                <w:color w:val="auto"/>
              </w:rPr>
            </w:pPr>
          </w:p>
        </w:tc>
        <w:tc>
          <w:tcPr>
            <w:tcW w:w="78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360" w:type="dxa"/>
            <w:vAlign w:val="bottom"/>
            <w:tcBorders>
              <w:bottom w:val="single" w:sz="8" w:color="C0C0C0"/>
            </w:tcBorders>
          </w:tcPr>
          <w:p>
            <w:pPr>
              <w:spacing w:after="0"/>
              <w:rPr>
                <w:sz w:val="24"/>
                <w:szCs w:val="24"/>
                <w:color w:val="auto"/>
              </w:rPr>
            </w:pPr>
          </w:p>
        </w:tc>
        <w:tc>
          <w:tcPr>
            <w:tcW w:w="38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-4157345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type w:val="continuous"/>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2132330</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D51936-P48765-Z78980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39370</wp:posOffset>
            </wp:positionV>
            <wp:extent cx="7162165" cy="38874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62165" cy="388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REGENERON PHARMACEUTICALS, INC.</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Annual Meeting of Shareholders</w:t>
      </w:r>
    </w:p>
    <w:p>
      <w:pPr>
        <w:jc w:val="center"/>
        <w:ind w:right="80"/>
        <w:spacing w:after="0" w:line="230" w:lineRule="auto"/>
        <w:rPr>
          <w:sz w:val="20"/>
          <w:szCs w:val="20"/>
          <w:color w:val="auto"/>
        </w:rPr>
      </w:pPr>
      <w:r>
        <w:rPr>
          <w:rFonts w:ascii="Arial" w:cs="Arial" w:eastAsia="Arial" w:hAnsi="Arial"/>
          <w:sz w:val="22"/>
          <w:szCs w:val="22"/>
          <w:b w:val="1"/>
          <w:bCs w:val="1"/>
          <w:color w:val="auto"/>
        </w:rPr>
        <w:t>June 11, 2021 10:30 AM</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198"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The undersigned hereby appoint(s) Leonard S. Schleifer, M.D., Ph.D. and Joseph J. LaRosa, and each of them individually, as lawful proxies, each with full power of substitution, to represent the undersigned, with all powers that the undersigned would possess if personally present, and to vote, as indicated on the reverse side of this card, all of the shares of Common Stock and Class A Stock of REGENERON PHARMACEUTICALS, INC. that the undersigned would be entitled to vote if personally present at the Annual Meeting of Shareholders of the Company to be held on June 11, 2021 live via webcast at www.virtualshareholdermeeting.com/REGN2021 or at any adjourned or postponed session thereof. This proxy revokes all prior proxies given by the undersigned.</w:t>
      </w:r>
    </w:p>
    <w:p>
      <w:pPr>
        <w:spacing w:after="0" w:line="169" w:lineRule="exact"/>
        <w:rPr>
          <w:sz w:val="20"/>
          <w:szCs w:val="20"/>
          <w:color w:val="auto"/>
        </w:rPr>
      </w:pPr>
    </w:p>
    <w:p>
      <w:pPr>
        <w:jc w:val="both"/>
        <w:ind w:right="80"/>
        <w:spacing w:after="0"/>
        <w:rPr>
          <w:sz w:val="20"/>
          <w:szCs w:val="20"/>
          <w:color w:val="auto"/>
        </w:rPr>
      </w:pPr>
      <w:r>
        <w:rPr>
          <w:rFonts w:ascii="Arial" w:cs="Arial" w:eastAsia="Arial" w:hAnsi="Arial"/>
          <w:sz w:val="18"/>
          <w:szCs w:val="18"/>
          <w:b w:val="1"/>
          <w:bCs w:val="1"/>
          <w:color w:val="auto"/>
        </w:rPr>
        <w:t>SHARES REPRESENTED BY THIS PROXY WILL BE VOTED AT THE MEETING AND AT ANY ADJOURNMENTS OR POSTPONEMENTS THEREOF IN ACCORDANCE WITH THE SHAREHOLDER’S SPECIFICATIONS ON THE REVERSE. IF YOU SIGN AND RETURN YOUR PROXY CARD IN A TIMELY MANNER, BUT DO NOT INDICATE HOW THESE SHARES ARE TO BE VOTED, THIS PROXY WILL BE VOTED FOR THE ELECTION OF THE NOMINEES NAMED ON THE REVERSE AS DIRECTORS AND FOR PROPOSAL 2. THIS PROXY ALSO CONFERS DISCRETIONARY AUTHORITY WITH RESPECT TO MATTERS NOT KNOWN OR DETERMINED AT THE TIME OF THE MAILING OF THE NOTICE OF THE ANNUAL MEETING OF SHAREHOLDERS TO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311785</wp:posOffset>
            </wp:positionV>
            <wp:extent cx="7132320" cy="342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940"/>
      </w:cols>
      <w:pgMar w:left="54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o"/>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o"/>
      <w:numFmt w:val="bullet"/>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o"/>
      <w:numFmt w:val="bullet"/>
      <w:start w:val="1"/>
    </w:lvl>
    <w:lvl w:ilvl="1">
      <w:lvlJc w:val="left"/>
      <w:lvlText w:val="%2)"/>
      <w:numFmt w:val="decimal"/>
      <w:start w:val="1"/>
    </w:lvl>
  </w:abstractNum>
  <w:abstractNum w:abstractNumId="5">
    <w:nsid w:val="94211F2"/>
    <w:multiLevelType w:val="hybridMultilevel"/>
    <w:lvl w:ilvl="0">
      <w:lvlJc w:val="left"/>
      <w:lvlText w:val="1"/>
      <w:numFmt w:val="bullet"/>
      <w:start w:val="1"/>
    </w:lvl>
  </w:abstractNum>
  <w:abstractNum w:abstractNumId="6">
    <w:nsid w:val="885E1B"/>
    <w:multiLevelType w:val="hybridMultilevel"/>
    <w:lvl w:ilvl="0">
      <w:lvlJc w:val="left"/>
      <w:lvlText w:val="1"/>
      <w:numFmt w:val="bullet"/>
      <w:start w:val="1"/>
    </w:lvl>
  </w:abstractNum>
  <w:abstractNum w:abstractNumId="7">
    <w:nsid w:val="76272110"/>
    <w:multiLevelType w:val="hybridMultilevel"/>
    <w:lvl w:ilvl="0">
      <w:lvlJc w:val="left"/>
      <w:lvlText w:val="2"/>
      <w:numFmt w:val="bullet"/>
      <w:start w:val="1"/>
    </w:lvl>
  </w:abstractNum>
  <w:abstractNum w:abstractNumId="8">
    <w:nsid w:val="4C04A8AF"/>
    <w:multiLevelType w:val="hybridMultilevel"/>
    <w:lvl w:ilvl="0">
      <w:lvlJc w:val="left"/>
      <w:lvlText w:val="3"/>
      <w:numFmt w:val="bullet"/>
      <w:start w:val="1"/>
    </w:lvl>
  </w:abstractNum>
  <w:abstractNum w:abstractNumId="9">
    <w:nsid w:val="1716703B"/>
    <w:multiLevelType w:val="hybridMultilevel"/>
    <w:lvl w:ilvl="0">
      <w:lvlJc w:val="left"/>
      <w:lvlText w:val="1"/>
      <w:numFmt w:val="bullet"/>
      <w:start w:val="1"/>
    </w:lvl>
  </w:abstractNum>
  <w:abstractNum w:abstractNumId="10">
    <w:nsid w:val="14E17E33"/>
    <w:multiLevelType w:val="hybridMultilevel"/>
    <w:lvl w:ilvl="0">
      <w:lvlJc w:val="left"/>
      <w:lvlText w:val="2"/>
      <w:numFmt w:val="bullet"/>
      <w:start w:val="1"/>
    </w:lvl>
  </w:abstractNum>
  <w:abstractNum w:abstractNumId="11">
    <w:nsid w:val="3222E7CD"/>
    <w:multiLevelType w:val="hybridMultilevel"/>
    <w:lvl w:ilvl="0">
      <w:lvlJc w:val="left"/>
      <w:lvlText w:val="+"/>
      <w:numFmt w:val="bullet"/>
      <w:start w:val="1"/>
    </w:lvl>
  </w:abstractNum>
  <w:abstractNum w:abstractNumId="12">
    <w:nsid w:val="74DE0EE3"/>
    <w:multiLevelType w:val="hybridMultilevel"/>
    <w:lvl w:ilvl="0">
      <w:lvlJc w:val="left"/>
      <w:lvlText w:val="•"/>
      <w:numFmt w:val="bullet"/>
      <w:start w:val="1"/>
    </w:lvl>
  </w:abstractNum>
  <w:abstractNum w:abstractNumId="13">
    <w:nsid w:val="68EBC550"/>
    <w:multiLevelType w:val="hybridMultilevel"/>
    <w:lvl w:ilvl="0">
      <w:lvlJc w:val="left"/>
      <w:lvlText w:val="*"/>
      <w:numFmt w:val="bullet"/>
      <w:start w:val="1"/>
    </w:lvl>
  </w:abstractNum>
  <w:abstractNum w:abstractNumId="14">
    <w:nsid w:val="2DF6D648"/>
    <w:multiLevelType w:val="hybridMultilevel"/>
    <w:lvl w:ilvl="0">
      <w:lvlJc w:val="left"/>
      <w:lvlText w:val="1"/>
      <w:numFmt w:val="bullet"/>
      <w:start w:val="1"/>
    </w:lvl>
  </w:abstractNum>
  <w:abstractNum w:abstractNumId="15">
    <w:nsid w:val="46B7D447"/>
    <w:multiLevelType w:val="hybridMultilevel"/>
    <w:lvl w:ilvl="0">
      <w:lvlJc w:val="left"/>
      <w:lvlText w:val="%1"/>
      <w:numFmt w:val="decimal"/>
      <w:start w:val="12"/>
    </w:lvl>
  </w:abstractNum>
  <w:abstractNum w:abstractNumId="16">
    <w:nsid w:val="4A2AC315"/>
    <w:multiLevelType w:val="hybridMultilevel"/>
    <w:lvl w:ilvl="0">
      <w:lvlJc w:val="left"/>
      <w:lvlText w:val="•"/>
      <w:numFmt w:val="bullet"/>
      <w:start w:val="1"/>
    </w:lvl>
  </w:abstractNum>
  <w:abstractNum w:abstractNumId="17">
    <w:nsid w:val="39EE015C"/>
    <w:multiLevelType w:val="hybridMultilevel"/>
    <w:lvl w:ilvl="0">
      <w:lvlJc w:val="left"/>
      <w:lvlText w:val="•"/>
      <w:numFmt w:val="bullet"/>
      <w:start w:val="1"/>
    </w:lvl>
  </w:abstractNum>
  <w:abstractNum w:abstractNumId="18">
    <w:nsid w:val="57FC4FBB"/>
    <w:multiLevelType w:val="hybridMultilevel"/>
    <w:lvl w:ilvl="0">
      <w:lvlJc w:val="left"/>
      <w:lvlText w:val="•"/>
      <w:numFmt w:val="bullet"/>
      <w:start w:val="1"/>
    </w:lvl>
  </w:abstractNum>
  <w:abstractNum w:abstractNumId="19">
    <w:nsid w:val="CC1016F"/>
    <w:multiLevelType w:val="hybridMultilevel"/>
    <w:lvl w:ilvl="0">
      <w:lvlJc w:val="left"/>
      <w:lvlText w:val="•"/>
      <w:numFmt w:val="bullet"/>
      <w:start w:val="1"/>
    </w:lvl>
  </w:abstractNum>
  <w:abstractNum w:abstractNumId="20">
    <w:nsid w:val="43F18422"/>
    <w:multiLevelType w:val="hybridMultilevel"/>
    <w:lvl w:ilvl="0">
      <w:lvlJc w:val="left"/>
      <w:lvlText w:val="%1"/>
      <w:numFmt w:val="decimal"/>
      <w:start w:val="14"/>
    </w:lvl>
  </w:abstractNum>
  <w:abstractNum w:abstractNumId="21">
    <w:nsid w:val="60EF0119"/>
    <w:multiLevelType w:val="hybridMultilevel"/>
    <w:lvl w:ilvl="0">
      <w:lvlJc w:val="left"/>
      <w:lvlText w:val="•"/>
      <w:numFmt w:val="bullet"/>
      <w:start w:val="1"/>
    </w:lvl>
  </w:abstractNum>
  <w:abstractNum w:abstractNumId="22">
    <w:nsid w:val="26F324BA"/>
    <w:multiLevelType w:val="hybridMultilevel"/>
    <w:lvl w:ilvl="0">
      <w:lvlJc w:val="left"/>
      <w:lvlText w:val="•"/>
      <w:numFmt w:val="bullet"/>
      <w:start w:val="1"/>
    </w:lvl>
  </w:abstractNum>
  <w:abstractNum w:abstractNumId="23">
    <w:nsid w:val="7F01579B"/>
    <w:multiLevelType w:val="hybridMultilevel"/>
    <w:lvl w:ilvl="0">
      <w:lvlJc w:val="left"/>
      <w:lvlText w:val="•"/>
      <w:numFmt w:val="bullet"/>
      <w:start w:val="1"/>
    </w:lvl>
  </w:abstractNum>
  <w:abstractNum w:abstractNumId="24">
    <w:nsid w:val="49DA307D"/>
    <w:multiLevelType w:val="hybridMultilevel"/>
    <w:lvl w:ilvl="0">
      <w:lvlJc w:val="left"/>
      <w:lvlText w:val="•"/>
      <w:numFmt w:val="bullet"/>
      <w:start w:val="1"/>
    </w:lvl>
  </w:abstractNum>
  <w:abstractNum w:abstractNumId="25">
    <w:nsid w:val="7055A5F5"/>
    <w:multiLevelType w:val="hybridMultilevel"/>
    <w:lvl w:ilvl="0">
      <w:lvlJc w:val="left"/>
      <w:lvlText w:val="*"/>
      <w:numFmt w:val="bullet"/>
      <w:start w:val="1"/>
    </w:lvl>
  </w:abstractNum>
  <w:abstractNum w:abstractNumId="26">
    <w:nsid w:val="5FB8370B"/>
    <w:multiLevelType w:val="hybridMultilevel"/>
    <w:lvl w:ilvl="0">
      <w:lvlJc w:val="left"/>
      <w:lvlText w:val="•"/>
      <w:numFmt w:val="bullet"/>
      <w:start w:val="1"/>
    </w:lvl>
  </w:abstractNum>
  <w:abstractNum w:abstractNumId="27">
    <w:nsid w:val="50801EE1"/>
    <w:multiLevelType w:val="hybridMultilevel"/>
    <w:lvl w:ilvl="0">
      <w:lvlJc w:val="left"/>
      <w:lvlText w:val="•"/>
      <w:numFmt w:val="bullet"/>
      <w:start w:val="1"/>
    </w:lvl>
  </w:abstractNum>
  <w:abstractNum w:abstractNumId="28">
    <w:nsid w:val="488AC1A"/>
    <w:multiLevelType w:val="hybridMultilevel"/>
    <w:lvl w:ilvl="0">
      <w:lvlJc w:val="left"/>
      <w:lvlText w:val="•"/>
      <w:numFmt w:val="bullet"/>
      <w:start w:val="1"/>
    </w:lvl>
  </w:abstractNum>
  <w:abstractNum w:abstractNumId="29">
    <w:nsid w:val="5FB8011C"/>
    <w:multiLevelType w:val="hybridMultilevel"/>
    <w:lvl w:ilvl="0">
      <w:lvlJc w:val="left"/>
      <w:lvlText w:val="•"/>
      <w:numFmt w:val="bullet"/>
      <w:start w:val="1"/>
    </w:lvl>
  </w:abstractNum>
  <w:abstractNum w:abstractNumId="30">
    <w:nsid w:val="6AA78F7F"/>
    <w:multiLevelType w:val="hybridMultilevel"/>
    <w:lvl w:ilvl="0">
      <w:lvlJc w:val="left"/>
      <w:lvlText w:val="•"/>
      <w:numFmt w:val="bullet"/>
      <w:start w:val="1"/>
    </w:lvl>
  </w:abstractNum>
  <w:abstractNum w:abstractNumId="31">
    <w:nsid w:val="7672BD23"/>
    <w:multiLevelType w:val="hybridMultilevel"/>
    <w:lvl w:ilvl="0">
      <w:lvlJc w:val="left"/>
      <w:lvlText w:val="2"/>
      <w:numFmt w:val="bullet"/>
      <w:start w:val="1"/>
    </w:lvl>
  </w:abstractNum>
  <w:abstractNum w:abstractNumId="32">
    <w:nsid w:val="6FC75AF8"/>
    <w:multiLevelType w:val="hybridMultilevel"/>
    <w:lvl w:ilvl="0">
      <w:lvlJc w:val="left"/>
      <w:lvlText w:val="3"/>
      <w:numFmt w:val="bullet"/>
      <w:start w:val="1"/>
    </w:lvl>
  </w:abstractNum>
  <w:abstractNum w:abstractNumId="33">
    <w:nsid w:val="6A5F7029"/>
    <w:multiLevelType w:val="hybridMultilevel"/>
    <w:lvl w:ilvl="0">
      <w:lvlJc w:val="left"/>
      <w:lvlText w:val="4"/>
      <w:numFmt w:val="bullet"/>
      <w:start w:val="1"/>
    </w:lvl>
  </w:abstractNum>
  <w:abstractNum w:abstractNumId="34">
    <w:nsid w:val="7D5E18F8"/>
    <w:multiLevelType w:val="hybridMultilevel"/>
    <w:lvl w:ilvl="0">
      <w:lvlJc w:val="left"/>
      <w:lvlText w:val="1"/>
      <w:numFmt w:val="bullet"/>
      <w:start w:val="1"/>
    </w:lvl>
  </w:abstractNum>
  <w:abstractNum w:abstractNumId="35">
    <w:nsid w:val="5F3534A4"/>
    <w:multiLevelType w:val="hybridMultilevel"/>
    <w:lvl w:ilvl="0">
      <w:lvlJc w:val="left"/>
      <w:lvlText w:val="2"/>
      <w:numFmt w:val="bullet"/>
      <w:start w:val="1"/>
    </w:lvl>
  </w:abstractNum>
  <w:abstractNum w:abstractNumId="36">
    <w:nsid w:val="73A1821B"/>
    <w:multiLevelType w:val="hybridMultilevel"/>
    <w:lvl w:ilvl="0">
      <w:lvlJc w:val="left"/>
      <w:lvlText w:val="3"/>
      <w:numFmt w:val="bullet"/>
      <w:start w:val="1"/>
    </w:lvl>
  </w:abstractNum>
  <w:abstractNum w:abstractNumId="37">
    <w:nsid w:val="7DE67713"/>
    <w:multiLevelType w:val="hybridMultilevel"/>
    <w:lvl w:ilvl="0">
      <w:lvlJc w:val="left"/>
      <w:lvlText w:val="4"/>
      <w:numFmt w:val="bullet"/>
      <w:start w:val="1"/>
    </w:lvl>
  </w:abstractNum>
  <w:abstractNum w:abstractNumId="38">
    <w:nsid w:val="555C55B5"/>
    <w:multiLevelType w:val="hybridMultilevel"/>
    <w:lvl w:ilvl="0">
      <w:lvlJc w:val="left"/>
      <w:lvlText w:val="5"/>
      <w:numFmt w:val="bullet"/>
      <w:start w:val="1"/>
    </w:lvl>
  </w:abstractNum>
  <w:abstractNum w:abstractNumId="39">
    <w:nsid w:val="3FA62ACA"/>
    <w:multiLevelType w:val="hybridMultilevel"/>
    <w:lvl w:ilvl="0">
      <w:lvlJc w:val="left"/>
      <w:lvlText w:val="*"/>
      <w:numFmt w:val="bullet"/>
      <w:start w:val="1"/>
    </w:lvl>
  </w:abstractNum>
  <w:abstractNum w:abstractNumId="40">
    <w:nsid w:val="14FCE74E"/>
    <w:multiLevelType w:val="hybridMultilevel"/>
    <w:lvl w:ilvl="0">
      <w:lvlJc w:val="left"/>
      <w:lvlText w:val="•"/>
      <w:numFmt w:val="bullet"/>
      <w:start w:val="1"/>
    </w:lvl>
  </w:abstractNum>
  <w:abstractNum w:abstractNumId="41">
    <w:nsid w:val="6A3DD3E8"/>
    <w:multiLevelType w:val="hybridMultilevel"/>
    <w:lvl w:ilvl="0">
      <w:lvlJc w:val="left"/>
      <w:lvlText w:val="1"/>
      <w:numFmt w:val="bullet"/>
      <w:start w:val="1"/>
    </w:lvl>
  </w:abstractNum>
  <w:abstractNum w:abstractNumId="42">
    <w:nsid w:val="71C91298"/>
    <w:multiLevelType w:val="hybridMultilevel"/>
    <w:lvl w:ilvl="0">
      <w:lvlJc w:val="left"/>
      <w:lvlText w:val="2"/>
      <w:numFmt w:val="bullet"/>
      <w:start w:val="1"/>
    </w:lvl>
  </w:abstractNum>
  <w:abstractNum w:abstractNumId="43">
    <w:nsid w:val="9DAF632"/>
    <w:multiLevelType w:val="hybridMultilevel"/>
    <w:lvl w:ilvl="0">
      <w:lvlJc w:val="left"/>
      <w:lvlText w:val="3"/>
      <w:numFmt w:val="bullet"/>
      <w:start w:val="1"/>
    </w:lvl>
  </w:abstractNum>
  <w:abstractNum w:abstractNumId="44">
    <w:nsid w:val="53299938"/>
    <w:multiLevelType w:val="hybridMultilevel"/>
    <w:lvl w:ilvl="0">
      <w:lvlJc w:val="left"/>
      <w:lvlText w:val="4"/>
      <w:numFmt w:val="bullet"/>
      <w:start w:val="1"/>
    </w:lvl>
  </w:abstractNum>
  <w:abstractNum w:abstractNumId="45">
    <w:nsid w:val="1FBFE8E0"/>
    <w:multiLevelType w:val="hybridMultilevel"/>
    <w:lvl w:ilvl="0">
      <w:lvlJc w:val="left"/>
      <w:lvlText w:val="5"/>
      <w:numFmt w:val="bullet"/>
      <w:start w:val="1"/>
    </w:lvl>
  </w:abstractNum>
  <w:abstractNum w:abstractNumId="46">
    <w:nsid w:val="5092CA79"/>
    <w:multiLevelType w:val="hybridMultilevel"/>
    <w:lvl w:ilvl="0">
      <w:lvlJc w:val="left"/>
      <w:lvlText w:val="6"/>
      <w:numFmt w:val="bullet"/>
      <w:start w:val="1"/>
    </w:lvl>
  </w:abstractNum>
  <w:abstractNum w:abstractNumId="47">
    <w:nsid w:val="1D545C4D"/>
    <w:multiLevelType w:val="hybridMultilevel"/>
    <w:lvl w:ilvl="0">
      <w:lvlJc w:val="left"/>
      <w:lvlText w:val="7"/>
      <w:numFmt w:val="bullet"/>
      <w:start w:val="1"/>
    </w:lvl>
  </w:abstractNum>
  <w:abstractNum w:abstractNumId="48">
    <w:nsid w:val="59ADEA3D"/>
    <w:multiLevelType w:val="hybridMultilevel"/>
    <w:lvl w:ilvl="0">
      <w:lvlJc w:val="left"/>
      <w:lvlText w:val="8"/>
      <w:numFmt w:val="bullet"/>
      <w:start w:val="1"/>
    </w:lvl>
  </w:abstractNum>
  <w:abstractNum w:abstractNumId="49">
    <w:nsid w:val="288F1A34"/>
    <w:multiLevelType w:val="hybridMultilevel"/>
    <w:lvl w:ilvl="0">
      <w:lvlJc w:val="left"/>
      <w:lvlText w:val="9"/>
      <w:numFmt w:val="bullet"/>
      <w:start w:val="1"/>
    </w:lvl>
  </w:abstractNum>
  <w:abstractNum w:abstractNumId="50">
    <w:nsid w:val="2A155DBC"/>
    <w:multiLevelType w:val="hybridMultilevel"/>
    <w:lvl w:ilvl="0">
      <w:lvlJc w:val="left"/>
      <w:lvlText w:val="%1"/>
      <w:numFmt w:val="decimal"/>
      <w:start w:val="10"/>
    </w:lvl>
  </w:abstractNum>
  <w:abstractNum w:abstractNumId="51">
    <w:nsid w:val="1D9F6E5F"/>
    <w:multiLevelType w:val="hybridMultilevel"/>
    <w:lvl w:ilvl="0">
      <w:lvlJc w:val="left"/>
      <w:lvlText w:val="%1"/>
      <w:numFmt w:val="decimal"/>
      <w:start w:val="22"/>
    </w:lvl>
  </w:abstractNum>
  <w:abstractNum w:abstractNumId="52">
    <w:nsid w:val="97E1B4E"/>
    <w:multiLevelType w:val="hybridMultilevel"/>
    <w:lvl w:ilvl="0">
      <w:lvlJc w:val="left"/>
      <w:lvlText w:val="%1"/>
      <w:numFmt w:val="decimal"/>
      <w:start w:val="53"/>
    </w:lvl>
  </w:abstractNum>
  <w:abstractNum w:abstractNumId="53">
    <w:nsid w:val="51088277"/>
    <w:multiLevelType w:val="hybridMultilevel"/>
    <w:lvl w:ilvl="0">
      <w:lvlJc w:val="left"/>
      <w:lvlText w:val="%1"/>
      <w:numFmt w:val="decimal"/>
      <w:start w:val="75"/>
    </w:lvl>
  </w:abstractNum>
  <w:abstractNum w:abstractNumId="54">
    <w:nsid w:val="1CA0C5FA"/>
    <w:multiLevelType w:val="hybridMultilevel"/>
    <w:lvl w:ilvl="0">
      <w:lvlJc w:val="left"/>
      <w:lvlText w:val="1"/>
      <w:numFmt w:val="bullet"/>
      <w:start w:val="1"/>
    </w:lvl>
  </w:abstractNum>
  <w:abstractNum w:abstractNumId="55">
    <w:nsid w:val="53584BCB"/>
    <w:multiLevelType w:val="hybridMultilevel"/>
    <w:lvl w:ilvl="0">
      <w:lvlJc w:val="left"/>
      <w:lvlText w:val="2"/>
      <w:numFmt w:val="bullet"/>
      <w:start w:val="1"/>
    </w:lvl>
  </w:abstractNum>
  <w:abstractNum w:abstractNumId="56">
    <w:nsid w:val="415E286C"/>
    <w:multiLevelType w:val="hybridMultilevel"/>
    <w:lvl w:ilvl="0">
      <w:lvlJc w:val="left"/>
      <w:lvlText w:val="1"/>
      <w:numFmt w:val="bullet"/>
      <w:start w:val="1"/>
    </w:lvl>
    <w:lvl w:ilvl="1">
      <w:lvlJc w:val="left"/>
      <w:lvlText w:val="•"/>
      <w:numFmt w:val="bullet"/>
      <w:start w:val="1"/>
    </w:lvl>
  </w:abstractNum>
  <w:abstractNum w:abstractNumId="57">
    <w:nsid w:val="7C58FD05"/>
    <w:multiLevelType w:val="hybridMultilevel"/>
    <w:lvl w:ilvl="0">
      <w:lvlJc w:val="left"/>
      <w:lvlText w:val="2"/>
      <w:numFmt w:val="bullet"/>
      <w:start w:val="1"/>
    </w:lvl>
    <w:lvl w:ilvl="1">
      <w:lvlJc w:val="left"/>
      <w:lvlText w:val="•"/>
      <w:numFmt w:val="bullet"/>
      <w:start w:val="1"/>
    </w:lvl>
    <w:lvl w:ilvl="2">
      <w:lvlJc w:val="left"/>
      <w:lvlText w:val="\endash "/>
      <w:numFmt w:val="bullet"/>
      <w:start w:val="1"/>
    </w:lvl>
  </w:abstractNum>
  <w:abstractNum w:abstractNumId="58">
    <w:nsid w:val="23D86AAC"/>
    <w:multiLevelType w:val="hybridMultilevel"/>
    <w:lvl w:ilvl="0">
      <w:lvlJc w:val="left"/>
      <w:lvlText w:val="3"/>
      <w:numFmt w:val="bullet"/>
      <w:start w:val="1"/>
    </w:lvl>
    <w:lvl w:ilvl="1">
      <w:lvlJc w:val="left"/>
      <w:lvlText w:val="•"/>
      <w:numFmt w:val="bullet"/>
      <w:start w:val="1"/>
    </w:lvl>
  </w:abstractNum>
  <w:abstractNum w:abstractNumId="59">
    <w:nsid w:val="45E6D486"/>
    <w:multiLevelType w:val="hybridMultilevel"/>
    <w:lvl w:ilvl="0">
      <w:lvlJc w:val="left"/>
      <w:lvlText w:val="4"/>
      <w:numFmt w:val="bullet"/>
      <w:start w:val="1"/>
    </w:lvl>
    <w:lvl w:ilvl="1">
      <w:lvlJc w:val="left"/>
      <w:lvlText w:val="•"/>
      <w:numFmt w:val="bullet"/>
      <w:start w:val="1"/>
    </w:lvl>
  </w:abstractNum>
  <w:abstractNum w:abstractNumId="60">
    <w:nsid w:val="5C10FE21"/>
    <w:multiLevelType w:val="hybridMultilevel"/>
    <w:lvl w:ilvl="0">
      <w:lvlJc w:val="left"/>
      <w:lvlText w:val="3"/>
      <w:numFmt w:val="bullet"/>
      <w:start w:val="1"/>
    </w:lvl>
  </w:abstractNum>
  <w:abstractNum w:abstractNumId="61">
    <w:nsid w:val="E7FFA2B"/>
    <w:multiLevelType w:val="hybridMultilevel"/>
    <w:lvl w:ilvl="0">
      <w:lvlJc w:val="left"/>
      <w:lvlText w:val="4"/>
      <w:numFmt w:val="bullet"/>
      <w:start w:val="1"/>
    </w:lvl>
  </w:abstractNum>
  <w:abstractNum w:abstractNumId="62">
    <w:nsid w:val="3C5991AA"/>
    <w:multiLevelType w:val="hybridMultilevel"/>
    <w:lvl w:ilvl="0">
      <w:lvlJc w:val="left"/>
      <w:lvlText w:val="5"/>
      <w:numFmt w:val="bullet"/>
      <w:start w:val="1"/>
    </w:lvl>
  </w:abstractNum>
  <w:abstractNum w:abstractNumId="63">
    <w:nsid w:val="4BD8591A"/>
    <w:multiLevelType w:val="hybridMultilevel"/>
    <w:lvl w:ilvl="0">
      <w:lvlJc w:val="left"/>
      <w:lvlText w:val="6"/>
      <w:numFmt w:val="bullet"/>
      <w:start w:val="1"/>
    </w:lvl>
  </w:abstractNum>
  <w:abstractNum w:abstractNumId="64">
    <w:nsid w:val="78DF6A55"/>
    <w:multiLevelType w:val="hybridMultilevel"/>
    <w:lvl w:ilvl="0">
      <w:lvlJc w:val="left"/>
      <w:lvlText w:val="•"/>
      <w:numFmt w:val="bullet"/>
      <w:start w:val="1"/>
    </w:lvl>
    <w:lvl w:ilvl="1">
      <w:lvlJc w:val="left"/>
      <w:lvlText w:val="•"/>
      <w:numFmt w:val="bullet"/>
      <w:start w:val="1"/>
    </w:lvl>
  </w:abstractNum>
  <w:abstractNum w:abstractNumId="65">
    <w:nsid w:val="39B7AAA2"/>
    <w:multiLevelType w:val="hybridMultilevel"/>
    <w:lvl w:ilvl="0">
      <w:lvlJc w:val="left"/>
      <w:lvlText w:val="•"/>
      <w:numFmt w:val="bullet"/>
      <w:start w:val="1"/>
    </w:lvl>
    <w:lvl w:ilvl="1">
      <w:lvlJc w:val="left"/>
      <w:lvlText w:val="•"/>
      <w:numFmt w:val="bullet"/>
      <w:start w:val="1"/>
    </w:lvl>
  </w:abstractNum>
  <w:abstractNum w:abstractNumId="66">
    <w:nsid w:val="2B0D8DBE"/>
    <w:multiLevelType w:val="hybridMultilevel"/>
    <w:lvl w:ilvl="0">
      <w:lvlJc w:val="left"/>
      <w:lvlText w:val="•"/>
      <w:numFmt w:val="bullet"/>
      <w:start w:val="1"/>
    </w:lvl>
    <w:lvl w:ilvl="1">
      <w:lvlJc w:val="left"/>
      <w:lvlText w:val="•"/>
      <w:numFmt w:val="bullet"/>
      <w:start w:val="1"/>
    </w:lvl>
  </w:abstractNum>
  <w:abstractNum w:abstractNumId="67">
    <w:nsid w:val="6C80EC70"/>
    <w:multiLevelType w:val="hybridMultilevel"/>
    <w:lvl w:ilvl="0">
      <w:lvlJc w:val="left"/>
      <w:lvlText w:val="•"/>
      <w:numFmt w:val="bullet"/>
      <w:start w:val="1"/>
    </w:lvl>
  </w:abstractNum>
  <w:abstractNum w:abstractNumId="68">
    <w:nsid w:val="379E21B5"/>
    <w:multiLevelType w:val="hybridMultilevel"/>
    <w:lvl w:ilvl="0">
      <w:lvlJc w:val="left"/>
      <w:lvlText w:val="*"/>
      <w:numFmt w:val="bullet"/>
      <w:start w:val="1"/>
    </w:lvl>
  </w:abstractNum>
  <w:abstractNum w:abstractNumId="69">
    <w:nsid w:val="69E373"/>
    <w:multiLevelType w:val="hybridMultilevel"/>
    <w:lvl w:ilvl="0">
      <w:lvlJc w:val="left"/>
      <w:lvlText w:val="**"/>
      <w:numFmt w:val="bullet"/>
      <w:start w:val="1"/>
    </w:lvl>
  </w:abstractNum>
  <w:abstractNum w:abstractNumId="70">
    <w:nsid w:val="2C27173B"/>
    <w:multiLevelType w:val="hybridMultilevel"/>
    <w:lvl w:ilvl="0">
      <w:lvlJc w:val="left"/>
      <w:lvlText w:val="***"/>
      <w:numFmt w:val="bullet"/>
      <w:start w:val="1"/>
    </w:lvl>
  </w:abstractNum>
  <w:abstractNum w:abstractNumId="71">
    <w:nsid w:val="4C9B0904"/>
    <w:multiLevelType w:val="hybridMultilevel"/>
    <w:lvl w:ilvl="0">
      <w:lvlJc w:val="left"/>
      <w:lvlText w:val="%1."/>
      <w:numFmt w:val="decimal"/>
      <w:start w:val="1"/>
    </w:lvl>
  </w:abstractNum>
  <w:abstractNum w:abstractNumId="72">
    <w:nsid w:val="6AA7B75C"/>
    <w:multiLevelType w:val="hybridMultilevel"/>
    <w:lvl w:ilvl="0">
      <w:lvlJc w:val="left"/>
      <w:lvlText w:val="•"/>
      <w:numFmt w:val="bullet"/>
      <w:start w:val="1"/>
    </w:lvl>
  </w:abstractNum>
  <w:abstractNum w:abstractNumId="73">
    <w:nsid w:val="1DF029D3"/>
    <w:multiLevelType w:val="hybridMultilevel"/>
    <w:lvl w:ilvl="0">
      <w:lvlJc w:val="left"/>
      <w:lvlText w:val="*"/>
      <w:numFmt w:val="bullet"/>
      <w:start w:val="1"/>
    </w:lvl>
    <w:lvl w:ilvl="1">
      <w:lvlJc w:val="left"/>
      <w:lvlText w:val="%2."/>
      <w:numFmt w:val="decimal"/>
      <w:start w:val="3"/>
    </w:lvl>
  </w:abstractNum>
  <w:abstractNum w:abstractNumId="74">
    <w:nsid w:val="5675FF36"/>
    <w:multiLevelType w:val="hybridMultilevel"/>
    <w:lvl w:ilvl="0">
      <w:lvlJc w:val="left"/>
      <w:lvlText w:val="7"/>
      <w:numFmt w:val="bullet"/>
      <w:start w:val="1"/>
    </w:lvl>
  </w:abstractNum>
  <w:abstractNum w:abstractNumId="75">
    <w:nsid w:val="3DD15094"/>
    <w:multiLevelType w:val="hybridMultilevel"/>
    <w:lvl w:ilvl="0">
      <w:lvlJc w:val="left"/>
      <w:lvlText w:val="8"/>
      <w:numFmt w:val="bullet"/>
      <w:start w:val="1"/>
    </w:lvl>
  </w:abstractNum>
  <w:abstractNum w:abstractNumId="76">
    <w:nsid w:val="3DB012B3"/>
    <w:multiLevelType w:val="hybridMultilevel"/>
    <w:lvl w:ilvl="0">
      <w:lvlJc w:val="left"/>
      <w:lvlText w:val="1"/>
      <w:numFmt w:val="bullet"/>
      <w:start w:val="1"/>
    </w:lvl>
  </w:abstractNum>
  <w:abstractNum w:abstractNumId="77">
    <w:nsid w:val="2708C9AF"/>
    <w:multiLevelType w:val="hybridMultilevel"/>
    <w:lvl w:ilvl="0">
      <w:lvlJc w:val="left"/>
      <w:lvlText w:val="2"/>
      <w:numFmt w:val="bullet"/>
      <w:start w:val="1"/>
    </w:lvl>
  </w:abstractNum>
  <w:abstractNum w:abstractNumId="78">
    <w:nsid w:val="5B25ACE2"/>
    <w:multiLevelType w:val="hybridMultilevel"/>
    <w:lvl w:ilvl="0">
      <w:lvlJc w:val="left"/>
      <w:lvlText w:val="3"/>
      <w:numFmt w:val="bullet"/>
      <w:start w:val="1"/>
    </w:lvl>
  </w:abstractNum>
  <w:abstractNum w:abstractNumId="79">
    <w:nsid w:val="175DFCF0"/>
    <w:multiLevelType w:val="hybridMultilevel"/>
    <w:lvl w:ilvl="0">
      <w:lvlJc w:val="left"/>
      <w:lvlText w:val="1"/>
      <w:numFmt w:val="bullet"/>
      <w:start w:val="1"/>
    </w:lvl>
  </w:abstractNum>
  <w:abstractNum w:abstractNumId="80">
    <w:nsid w:val="4F97E3E4"/>
    <w:multiLevelType w:val="hybridMultilevel"/>
    <w:lvl w:ilvl="0">
      <w:lvlJc w:val="left"/>
      <w:lvlText w:val="(%1)"/>
      <w:numFmt w:val="decimal"/>
      <w:start w:val="1"/>
    </w:lvl>
  </w:abstractNum>
  <w:abstractNum w:abstractNumId="81">
    <w:nsid w:val="53B0A9E"/>
    <w:multiLevelType w:val="hybridMultilevel"/>
    <w:lvl w:ilvl="0">
      <w:lvlJc w:val="left"/>
      <w:lvlText w:val="•"/>
      <w:numFmt w:val="bullet"/>
      <w:start w:val="1"/>
    </w:lvl>
  </w:abstractNum>
  <w:abstractNum w:abstractNumId="82">
    <w:nsid w:val="34FD6B4F"/>
    <w:multiLevelType w:val="hybridMultilevel"/>
    <w:lvl w:ilvl="0">
      <w:lvlJc w:val="left"/>
      <w:lvlText w:val="•"/>
      <w:numFmt w:val="bullet"/>
      <w:start w:val="1"/>
    </w:lvl>
  </w:abstractNum>
  <w:abstractNum w:abstractNumId="83">
    <w:nsid w:val="5915FF32"/>
    <w:multiLevelType w:val="hybridMultilevel"/>
    <w:lvl w:ilvl="0">
      <w:lvlJc w:val="left"/>
      <w:lvlText w:val="•"/>
      <w:numFmt w:val="bullet"/>
      <w:start w:val="1"/>
    </w:lvl>
  </w:abstractNum>
  <w:abstractNum w:abstractNumId="84">
    <w:nsid w:val="56438D15"/>
    <w:multiLevelType w:val="hybridMultilevel"/>
    <w:lvl w:ilvl="0">
      <w:lvlJc w:val="left"/>
      <w:lvlText w:val="•"/>
      <w:numFmt w:val="bullet"/>
      <w:start w:val="1"/>
    </w:lvl>
  </w:abstractNum>
  <w:abstractNum w:abstractNumId="85">
    <w:nsid w:val="519E3149"/>
    <w:multiLevelType w:val="hybridMultilevel"/>
    <w:lvl w:ilvl="0">
      <w:lvlJc w:val="left"/>
      <w:lvlText w:val="•"/>
      <w:numFmt w:val="bullet"/>
      <w:start w:val="1"/>
    </w:lvl>
  </w:abstractNum>
  <w:abstractNum w:abstractNumId="86">
    <w:nsid w:val="2C6E4AFD"/>
    <w:multiLevelType w:val="hybridMultilevel"/>
    <w:lvl w:ilvl="0">
      <w:lvlJc w:val="left"/>
      <w:lvlText w:val="•"/>
      <w:numFmt w:val="bullet"/>
      <w:start w:val="1"/>
    </w:lvl>
  </w:abstractNum>
  <w:abstractNum w:abstractNumId="87">
    <w:nsid w:val="17A1B582"/>
    <w:multiLevelType w:val="hybridMultilevel"/>
    <w:lvl w:ilvl="0">
      <w:lvlJc w:val="left"/>
      <w:lvlText w:val="•"/>
      <w:numFmt w:val="bullet"/>
      <w:start w:val="1"/>
    </w:lvl>
  </w:abstractNum>
  <w:abstractNum w:abstractNumId="88">
    <w:nsid w:val="4DF72E4E"/>
    <w:multiLevelType w:val="hybridMultilevel"/>
    <w:lvl w:ilvl="0">
      <w:lvlJc w:val="left"/>
      <w:lvlText w:val="•"/>
      <w:numFmt w:val="bullet"/>
      <w:start w:val="1"/>
    </w:lvl>
  </w:abstractNum>
  <w:abstractNum w:abstractNumId="89">
    <w:nsid w:val="5046B5A9"/>
    <w:multiLevelType w:val="hybridMultilevel"/>
    <w:lvl w:ilvl="0">
      <w:lvlJc w:val="left"/>
      <w:lvlText w:val="•"/>
      <w:numFmt w:val="bullet"/>
      <w:start w:val="1"/>
    </w:lvl>
  </w:abstractNum>
  <w:abstractNum w:abstractNumId="90">
    <w:nsid w:val="5D888A08"/>
    <w:multiLevelType w:val="hybridMultilevel"/>
    <w:lvl w:ilvl="0">
      <w:lvlJc w:val="left"/>
      <w:lvlText w:val="•"/>
      <w:numFmt w:val="bullet"/>
      <w:start w:val="1"/>
    </w:lvl>
  </w:abstractNum>
  <w:abstractNum w:abstractNumId="91">
    <w:nsid w:val="2A082C70"/>
    <w:multiLevelType w:val="hybridMultilevel"/>
    <w:lvl w:ilvl="0">
      <w:lvlJc w:val="left"/>
      <w:lvlText w:val="•"/>
      <w:numFmt w:val="bullet"/>
      <w:start w:val="1"/>
    </w:lvl>
  </w:abstractNum>
  <w:abstractNum w:abstractNumId="92">
    <w:nsid w:val="5EC6AFD4"/>
    <w:multiLevelType w:val="hybridMultilevel"/>
    <w:lvl w:ilvl="0">
      <w:lvlJc w:val="left"/>
      <w:lvlText w:val="•"/>
      <w:numFmt w:val="bullet"/>
      <w:start w:val="1"/>
    </w:lvl>
  </w:abstractNum>
  <w:abstractNum w:abstractNumId="93">
    <w:nsid w:val="19E21BB2"/>
    <w:multiLevelType w:val="hybridMultilevel"/>
    <w:lvl w:ilvl="0">
      <w:lvlJc w:val="left"/>
      <w:lvlText w:val="•"/>
      <w:numFmt w:val="bullet"/>
      <w:start w:val="1"/>
    </w:lvl>
  </w:abstractNum>
  <w:abstractNum w:abstractNumId="94">
    <w:nsid w:val="75E0858A"/>
    <w:multiLevelType w:val="hybridMultilevel"/>
    <w:lvl w:ilvl="0">
      <w:lvlJc w:val="left"/>
      <w:lvlText w:val="•"/>
      <w:numFmt w:val="bullet"/>
      <w:start w:val="1"/>
    </w:lvl>
  </w:abstractNum>
  <w:abstractNum w:abstractNumId="95">
    <w:nsid w:val="57A61A29"/>
    <w:multiLevelType w:val="hybridMultilevel"/>
    <w:lvl w:ilvl="0">
      <w:lvlJc w:val="left"/>
      <w:lvlText w:val="*"/>
      <w:numFmt w:val="bullet"/>
      <w:start w:val="1"/>
    </w:lvl>
  </w:abstractNum>
  <w:abstractNum w:abstractNumId="96">
    <w:nsid w:val="5399C654"/>
    <w:multiLevelType w:val="hybridMultilevel"/>
    <w:lvl w:ilvl="0">
      <w:lvlJc w:val="left"/>
      <w:lvlText w:val="•"/>
      <w:numFmt w:val="bullet"/>
      <w:start w:val="1"/>
    </w:lvl>
  </w:abstractNum>
  <w:abstractNum w:abstractNumId="97">
    <w:nsid w:val="20EE1348"/>
    <w:multiLevelType w:val="hybridMultilevel"/>
    <w:lvl w:ilvl="0">
      <w:lvlJc w:val="left"/>
      <w:lvlText w:val="•"/>
      <w:numFmt w:val="bullet"/>
      <w:start w:val="1"/>
    </w:lvl>
  </w:abstractNum>
  <w:abstractNum w:abstractNumId="98">
    <w:nsid w:val="4427069A"/>
    <w:multiLevelType w:val="hybridMultilevel"/>
    <w:lvl w:ilvl="0">
      <w:lvlJc w:val="left"/>
      <w:lvlText w:val="•"/>
      <w:numFmt w:val="bullet"/>
      <w:start w:val="1"/>
    </w:lvl>
  </w:abstractNum>
  <w:abstractNum w:abstractNumId="99">
    <w:nsid w:val="B37E80A"/>
    <w:multiLevelType w:val="hybridMultilevel"/>
    <w:lvl w:ilvl="0">
      <w:lvlJc w:val="left"/>
      <w:lvlText w:val="•"/>
      <w:numFmt w:val="bullet"/>
      <w:start w:val="1"/>
    </w:lvl>
  </w:abstractNum>
  <w:abstractNum w:abstractNumId="100">
    <w:nsid w:val="2157F6BC"/>
    <w:multiLevelType w:val="hybridMultilevel"/>
    <w:lvl w:ilvl="0">
      <w:lvlJc w:val="left"/>
      <w:lvlText w:val="•"/>
      <w:numFmt w:val="bullet"/>
      <w:start w:val="1"/>
    </w:lvl>
  </w:abstractNum>
  <w:abstractNum w:abstractNumId="101">
    <w:nsid w:val="704E1DD5"/>
    <w:multiLevelType w:val="hybridMultilevel"/>
    <w:lvl w:ilvl="0">
      <w:lvlJc w:val="left"/>
      <w:lvlText w:val="•"/>
      <w:numFmt w:val="bullet"/>
      <w:start w:val="1"/>
    </w:lvl>
  </w:abstractNum>
  <w:abstractNum w:abstractNumId="102">
    <w:nsid w:val="57D2F10E"/>
    <w:multiLevelType w:val="hybridMultilevel"/>
    <w:lvl w:ilvl="0">
      <w:lvlJc w:val="left"/>
      <w:lvlText w:val="*"/>
      <w:numFmt w:val="bullet"/>
      <w:start w:val="1"/>
    </w:lvl>
  </w:abstractNum>
  <w:abstractNum w:abstractNumId="103">
    <w:nsid w:val="BFFAE18"/>
    <w:multiLevelType w:val="hybridMultilevel"/>
    <w:lvl w:ilvl="0">
      <w:lvlJc w:val="left"/>
      <w:lvlText w:val="•"/>
      <w:numFmt w:val="bullet"/>
      <w:start w:val="1"/>
    </w:lvl>
    <w:lvl w:ilvl="1">
      <w:lvlJc w:val="left"/>
      <w:lvlText w:val="•"/>
      <w:numFmt w:val="bullet"/>
      <w:start w:val="1"/>
    </w:lvl>
  </w:abstractNum>
  <w:abstractNum w:abstractNumId="104">
    <w:nsid w:val="E3E47A8"/>
    <w:multiLevelType w:val="hybridMultilevel"/>
    <w:lvl w:ilvl="0">
      <w:lvlJc w:val="left"/>
      <w:lvlText w:val="•"/>
      <w:numFmt w:val="bullet"/>
      <w:start w:val="1"/>
    </w:lvl>
    <w:lvl w:ilvl="1">
      <w:lvlJc w:val="left"/>
      <w:lvlText w:val="•"/>
      <w:numFmt w:val="bullet"/>
      <w:start w:val="1"/>
    </w:lvl>
  </w:abstractNum>
  <w:abstractNum w:abstractNumId="105">
    <w:nsid w:val="2E48F044"/>
    <w:multiLevelType w:val="hybridMultilevel"/>
    <w:lvl w:ilvl="0">
      <w:lvlJc w:val="left"/>
      <w:lvlText w:val="•"/>
      <w:numFmt w:val="bullet"/>
      <w:start w:val="1"/>
    </w:lvl>
    <w:lvl w:ilvl="1">
      <w:lvlJc w:val="left"/>
      <w:lvlText w:val="•"/>
      <w:numFmt w:val="bullet"/>
      <w:start w:val="1"/>
    </w:lvl>
  </w:abstractNum>
  <w:abstractNum w:abstractNumId="106">
    <w:nsid w:val="49D0FEAC"/>
    <w:multiLevelType w:val="hybridMultilevel"/>
    <w:lvl w:ilvl="0">
      <w:lvlJc w:val="left"/>
      <w:lvlText w:val="*"/>
      <w:numFmt w:val="bullet"/>
      <w:start w:val="1"/>
    </w:lvl>
    <w:lvl w:ilvl="1">
      <w:lvlJc w:val="left"/>
      <w:lvlText w:val="•"/>
      <w:numFmt w:val="bullet"/>
      <w:start w:val="1"/>
    </w:lvl>
  </w:abstractNum>
  <w:abstractNum w:abstractNumId="107">
    <w:nsid w:val="4BEE5A5B"/>
    <w:multiLevelType w:val="hybridMultilevel"/>
    <w:lvl w:ilvl="0">
      <w:lvlJc w:val="left"/>
      <w:lvlText w:val="**"/>
      <w:numFmt w:val="bullet"/>
      <w:start w:val="1"/>
    </w:lvl>
    <w:lvl w:ilvl="1">
      <w:lvlJc w:val="left"/>
      <w:lvlText w:val="•"/>
      <w:numFmt w:val="bullet"/>
      <w:start w:val="1"/>
    </w:lvl>
  </w:abstractNum>
  <w:abstractNum w:abstractNumId="108">
    <w:nsid w:val="5551B9F3"/>
    <w:multiLevelType w:val="hybridMultilevel"/>
    <w:lvl w:ilvl="0">
      <w:lvlJc w:val="left"/>
      <w:lvlText w:val="•"/>
      <w:numFmt w:val="bullet"/>
      <w:start w:val="1"/>
    </w:lvl>
  </w:abstractNum>
  <w:abstractNum w:abstractNumId="109">
    <w:nsid w:val="24F6AB8E"/>
    <w:multiLevelType w:val="hybridMultilevel"/>
    <w:lvl w:ilvl="0">
      <w:lvlJc w:val="left"/>
      <w:lvlText w:val="1"/>
      <w:numFmt w:val="bullet"/>
      <w:start w:val="1"/>
    </w:lvl>
  </w:abstractNum>
  <w:abstractNum w:abstractNumId="110">
    <w:nsid w:val="634C574C"/>
    <w:multiLevelType w:val="hybridMultilevel"/>
    <w:lvl w:ilvl="0">
      <w:lvlJc w:val="left"/>
      <w:lvlText w:val="2"/>
      <w:numFmt w:val="bullet"/>
      <w:start w:val="1"/>
    </w:lvl>
  </w:abstractNum>
  <w:abstractNum w:abstractNumId="111">
    <w:nsid w:val="24E99DD7"/>
    <w:multiLevelType w:val="hybridMultilevel"/>
    <w:lvl w:ilvl="0">
      <w:lvlJc w:val="left"/>
      <w:lvlText w:val="3"/>
      <w:numFmt w:val="bullet"/>
      <w:start w:val="1"/>
    </w:lvl>
  </w:abstractNum>
  <w:abstractNum w:abstractNumId="112">
    <w:nsid w:val="2A31B62D"/>
    <w:multiLevelType w:val="hybridMultilevel"/>
    <w:lvl w:ilvl="0">
      <w:lvlJc w:val="left"/>
      <w:lvlText w:val="•"/>
      <w:numFmt w:val="bullet"/>
      <w:start w:val="1"/>
    </w:lvl>
  </w:abstractNum>
  <w:abstractNum w:abstractNumId="113">
    <w:nsid w:val="1849C29B"/>
    <w:multiLevelType w:val="hybridMultilevel"/>
    <w:lvl w:ilvl="0">
      <w:lvlJc w:val="left"/>
      <w:lvlText w:val="•"/>
      <w:numFmt w:val="bullet"/>
      <w:start w:val="1"/>
    </w:lvl>
  </w:abstractNum>
  <w:abstractNum w:abstractNumId="114">
    <w:nsid w:val="7DFF9D09"/>
    <w:multiLevelType w:val="hybridMultilevel"/>
    <w:lvl w:ilvl="0">
      <w:lvlJc w:val="left"/>
      <w:lvlText w:val="•"/>
      <w:numFmt w:val="bullet"/>
      <w:start w:val="1"/>
    </w:lvl>
  </w:abstractNum>
  <w:abstractNum w:abstractNumId="115">
    <w:nsid w:val="754342"/>
    <w:multiLevelType w:val="hybridMultilevel"/>
    <w:lvl w:ilvl="0">
      <w:lvlJc w:val="left"/>
      <w:lvlText w:val="•"/>
      <w:numFmt w:val="bullet"/>
      <w:start w:val="1"/>
    </w:lvl>
  </w:abstractNum>
  <w:abstractNum w:abstractNumId="116">
    <w:nsid w:val="69E7F3E5"/>
    <w:multiLevelType w:val="hybridMultilevel"/>
    <w:lvl w:ilvl="0">
      <w:lvlJc w:val="left"/>
      <w:lvlText w:val="1"/>
      <w:numFmt w:val="bullet"/>
      <w:start w:val="1"/>
    </w:lvl>
  </w:abstractNum>
  <w:abstractNum w:abstractNumId="117">
    <w:nsid w:val="2A6DE806"/>
    <w:multiLevelType w:val="hybridMultilevel"/>
    <w:lvl w:ilvl="0">
      <w:lvlJc w:val="left"/>
      <w:lvlText w:val="2"/>
      <w:numFmt w:val="bullet"/>
      <w:start w:val="1"/>
    </w:lvl>
  </w:abstractNum>
  <w:abstractNum w:abstractNumId="118">
    <w:nsid w:val="1816F8C4"/>
    <w:multiLevelType w:val="hybridMultilevel"/>
    <w:lvl w:ilvl="0">
      <w:lvlJc w:val="left"/>
      <w:lvlText w:val="3"/>
      <w:numFmt w:val="bullet"/>
      <w:start w:val="1"/>
    </w:lvl>
  </w:abstractNum>
  <w:abstractNum w:abstractNumId="119">
    <w:nsid w:val="37DF2233"/>
    <w:multiLevelType w:val="hybridMultilevel"/>
    <w:lvl w:ilvl="0">
      <w:lvlJc w:val="left"/>
      <w:lvlText w:val="4"/>
      <w:numFmt w:val="bullet"/>
      <w:start w:val="1"/>
    </w:lvl>
  </w:abstractNum>
  <w:abstractNum w:abstractNumId="120">
    <w:nsid w:val="7AB49DAF"/>
    <w:multiLevelType w:val="hybridMultilevel"/>
    <w:lvl w:ilvl="0">
      <w:lvlJc w:val="left"/>
      <w:lvlText w:val="5"/>
      <w:numFmt w:val="bullet"/>
      <w:start w:val="1"/>
    </w:lvl>
  </w:abstractNum>
  <w:abstractNum w:abstractNumId="121">
    <w:nsid w:val="759F82CD"/>
    <w:multiLevelType w:val="hybridMultilevel"/>
    <w:lvl w:ilvl="0">
      <w:lvlJc w:val="left"/>
      <w:lvlText w:val="6"/>
      <w:numFmt w:val="bullet"/>
      <w:start w:val="1"/>
    </w:lvl>
  </w:abstractNum>
  <w:abstractNum w:abstractNumId="122">
    <w:nsid w:val="61E74EA3"/>
    <w:multiLevelType w:val="hybridMultilevel"/>
    <w:lvl w:ilvl="0">
      <w:lvlJc w:val="left"/>
      <w:lvlText w:val="7"/>
      <w:numFmt w:val="bullet"/>
      <w:start w:val="1"/>
    </w:lvl>
  </w:abstractNum>
  <w:abstractNum w:abstractNumId="123">
    <w:nsid w:val="597B4D84"/>
    <w:multiLevelType w:val="hybridMultilevel"/>
    <w:lvl w:ilvl="0">
      <w:lvlJc w:val="left"/>
      <w:lvlText w:val="8"/>
      <w:numFmt w:val="bullet"/>
      <w:start w:val="1"/>
    </w:lvl>
  </w:abstractNum>
  <w:abstractNum w:abstractNumId="124">
    <w:nsid w:val="F819E7F"/>
    <w:multiLevelType w:val="hybridMultilevel"/>
    <w:lvl w:ilvl="0">
      <w:lvlJc w:val="left"/>
      <w:lvlText w:val="9"/>
      <w:numFmt w:val="bullet"/>
      <w:start w:val="1"/>
    </w:lvl>
  </w:abstractNum>
  <w:abstractNum w:abstractNumId="125">
    <w:nsid w:val="57C7D42D"/>
    <w:multiLevelType w:val="hybridMultilevel"/>
    <w:lvl w:ilvl="0">
      <w:lvlJc w:val="left"/>
      <w:lvlText w:val="1"/>
      <w:numFmt w:val="bullet"/>
      <w:start w:val="1"/>
    </w:lvl>
  </w:abstractNum>
  <w:abstractNum w:abstractNumId="126">
    <w:nsid w:val="312167AD"/>
    <w:multiLevelType w:val="hybridMultilevel"/>
    <w:lvl w:ilvl="0">
      <w:lvlJc w:val="left"/>
      <w:lvlText w:val="2"/>
      <w:numFmt w:val="bullet"/>
      <w:start w:val="1"/>
    </w:lvl>
  </w:abstractNum>
  <w:abstractNum w:abstractNumId="127">
    <w:nsid w:val="631B64D4"/>
    <w:multiLevelType w:val="hybridMultilevel"/>
    <w:lvl w:ilvl="0">
      <w:lvlJc w:val="left"/>
      <w:lvlText w:val="3"/>
      <w:numFmt w:val="bullet"/>
      <w:start w:val="1"/>
    </w:lvl>
  </w:abstractNum>
  <w:abstractNum w:abstractNumId="128">
    <w:nsid w:val="78B5E776"/>
    <w:multiLevelType w:val="hybridMultilevel"/>
    <w:lvl w:ilvl="0">
      <w:lvlJc w:val="left"/>
      <w:lvlText w:val="4"/>
      <w:numFmt w:val="bullet"/>
      <w:start w:val="1"/>
    </w:lvl>
  </w:abstractNum>
  <w:abstractNum w:abstractNumId="129">
    <w:nsid w:val="75486E47"/>
    <w:multiLevelType w:val="hybridMultilevel"/>
    <w:lvl w:ilvl="0">
      <w:lvlJc w:val="left"/>
      <w:lvlText w:val="5"/>
      <w:numFmt w:val="bullet"/>
      <w:start w:val="1"/>
    </w:lvl>
  </w:abstractNum>
  <w:abstractNum w:abstractNumId="130">
    <w:nsid w:val="6E534CDE"/>
    <w:multiLevelType w:val="hybridMultilevel"/>
    <w:lvl w:ilvl="0">
      <w:lvlJc w:val="left"/>
      <w:lvlText w:val="6"/>
      <w:numFmt w:val="bullet"/>
      <w:start w:val="1"/>
    </w:lvl>
  </w:abstractNum>
  <w:abstractNum w:abstractNumId="131">
    <w:nsid w:val="1A0DDE32"/>
    <w:multiLevelType w:val="hybridMultilevel"/>
    <w:lvl w:ilvl="0">
      <w:lvlJc w:val="left"/>
      <w:lvlText w:val="7"/>
      <w:numFmt w:val="bullet"/>
      <w:start w:val="1"/>
    </w:lvl>
  </w:abstractNum>
  <w:abstractNum w:abstractNumId="132">
    <w:nsid w:val="65968C1C"/>
    <w:multiLevelType w:val="hybridMultilevel"/>
    <w:lvl w:ilvl="0">
      <w:lvlJc w:val="left"/>
      <w:lvlText w:val="1"/>
      <w:numFmt w:val="bullet"/>
      <w:start w:val="1"/>
    </w:lvl>
  </w:abstractNum>
  <w:abstractNum w:abstractNumId="133">
    <w:nsid w:val="46263DEC"/>
    <w:multiLevelType w:val="hybridMultilevel"/>
    <w:lvl w:ilvl="0">
      <w:lvlJc w:val="left"/>
      <w:lvlText w:val="2"/>
      <w:numFmt w:val="bullet"/>
      <w:start w:val="1"/>
    </w:lvl>
  </w:abstractNum>
  <w:abstractNum w:abstractNumId="134">
    <w:nsid w:val="260D8C4A"/>
    <w:multiLevelType w:val="hybridMultilevel"/>
    <w:lvl w:ilvl="0">
      <w:lvlJc w:val="left"/>
      <w:lvlText w:val="3"/>
      <w:numFmt w:val="bullet"/>
      <w:start w:val="1"/>
    </w:lvl>
  </w:abstractNum>
  <w:abstractNum w:abstractNumId="135">
    <w:nsid w:val="73D4D3C4"/>
    <w:multiLevelType w:val="hybridMultilevel"/>
    <w:lvl w:ilvl="0">
      <w:lvlJc w:val="left"/>
      <w:lvlText w:val="4"/>
      <w:numFmt w:val="bullet"/>
      <w:start w:val="1"/>
    </w:lvl>
  </w:abstractNum>
  <w:abstractNum w:abstractNumId="136">
    <w:nsid w:val="746F2E30"/>
    <w:multiLevelType w:val="hybridMultilevel"/>
    <w:lvl w:ilvl="0">
      <w:lvlJc w:val="left"/>
      <w:lvlText w:val="5"/>
      <w:numFmt w:val="bullet"/>
      <w:start w:val="1"/>
    </w:lvl>
  </w:abstractNum>
  <w:abstractNum w:abstractNumId="137">
    <w:nsid w:val="6FDE8AF6"/>
    <w:multiLevelType w:val="hybridMultilevel"/>
    <w:lvl w:ilvl="0">
      <w:lvlJc w:val="left"/>
      <w:lvlText w:val="6"/>
      <w:numFmt w:val="bullet"/>
      <w:start w:val="1"/>
    </w:lvl>
  </w:abstractNum>
  <w:abstractNum w:abstractNumId="138">
    <w:nsid w:val="3FC32E20"/>
    <w:multiLevelType w:val="hybridMultilevel"/>
    <w:lvl w:ilvl="0">
      <w:lvlJc w:val="left"/>
      <w:lvlText w:val="7"/>
      <w:numFmt w:val="bullet"/>
      <w:start w:val="1"/>
    </w:lvl>
  </w:abstractNum>
  <w:abstractNum w:abstractNumId="139">
    <w:nsid w:val="49C0E823"/>
    <w:multiLevelType w:val="hybridMultilevel"/>
    <w:lvl w:ilvl="0">
      <w:lvlJc w:val="left"/>
      <w:lvlText w:val="8"/>
      <w:numFmt w:val="bullet"/>
      <w:start w:val="1"/>
    </w:lvl>
  </w:abstractNum>
  <w:abstractNum w:abstractNumId="140">
    <w:nsid w:val="14D53685"/>
    <w:multiLevelType w:val="hybridMultilevel"/>
    <w:lvl w:ilvl="0">
      <w:lvlJc w:val="left"/>
      <w:lvlText w:val="9"/>
      <w:numFmt w:val="bullet"/>
      <w:start w:val="1"/>
    </w:lvl>
  </w:abstractNum>
  <w:abstractNum w:abstractNumId="141">
    <w:nsid w:val="230F856C"/>
    <w:multiLevelType w:val="hybridMultilevel"/>
    <w:lvl w:ilvl="0">
      <w:lvlJc w:val="left"/>
      <w:lvlText w:val="%1"/>
      <w:numFmt w:val="decimal"/>
      <w:start w:val="10"/>
    </w:lvl>
  </w:abstractNum>
  <w:abstractNum w:abstractNumId="142">
    <w:nsid w:val="6EAA85FB"/>
    <w:multiLevelType w:val="hybridMultilevel"/>
    <w:lvl w:ilvl="0">
      <w:lvlJc w:val="left"/>
      <w:lvlText w:val="1"/>
      <w:numFmt w:val="bullet"/>
      <w:start w:val="1"/>
    </w:lvl>
  </w:abstractNum>
  <w:abstractNum w:abstractNumId="143">
    <w:nsid w:val="3F06ECB2"/>
    <w:multiLevelType w:val="hybridMultilevel"/>
    <w:lvl w:ilvl="0">
      <w:lvlJc w:val="left"/>
      <w:lvlText w:val="1"/>
      <w:numFmt w:val="bullet"/>
      <w:start w:val="1"/>
    </w:lvl>
  </w:abstractNum>
  <w:abstractNum w:abstractNumId="144">
    <w:nsid w:val="3B594807"/>
    <w:multiLevelType w:val="hybridMultilevel"/>
    <w:lvl w:ilvl="0">
      <w:lvlJc w:val="left"/>
      <w:lvlText w:val="2"/>
      <w:numFmt w:val="bullet"/>
      <w:start w:val="1"/>
    </w:lvl>
  </w:abstractNum>
  <w:abstractNum w:abstractNumId="145">
    <w:nsid w:val="6CAA2304"/>
    <w:multiLevelType w:val="hybridMultilevel"/>
    <w:lvl w:ilvl="0">
      <w:lvlJc w:val="left"/>
      <w:lvlText w:val="3"/>
      <w:numFmt w:val="bullet"/>
      <w:start w:val="1"/>
    </w:lvl>
  </w:abstractNum>
  <w:abstractNum w:abstractNumId="146">
    <w:nsid w:val="3F7C2FF4"/>
    <w:multiLevelType w:val="hybridMultilevel"/>
    <w:lvl w:ilvl="0">
      <w:lvlJc w:val="left"/>
      <w:lvlText w:val="5"/>
      <w:numFmt w:val="bullet"/>
      <w:start w:val="1"/>
    </w:lvl>
  </w:abstractNum>
  <w:abstractNum w:abstractNumId="147">
    <w:nsid w:val="25413BEC"/>
    <w:multiLevelType w:val="hybridMultilevel"/>
    <w:lvl w:ilvl="0">
      <w:lvlJc w:val="left"/>
      <w:lvlText w:val="6"/>
      <w:numFmt w:val="bullet"/>
      <w:start w:val="1"/>
    </w:lvl>
  </w:abstractNum>
  <w:abstractNum w:abstractNumId="148">
    <w:nsid w:val="17180B0B"/>
    <w:multiLevelType w:val="hybridMultilevel"/>
    <w:lvl w:ilvl="0">
      <w:lvlJc w:val="left"/>
      <w:lvlText w:val="7"/>
      <w:numFmt w:val="bullet"/>
      <w:start w:val="1"/>
    </w:lvl>
  </w:abstractNum>
  <w:abstractNum w:abstractNumId="149">
    <w:nsid w:val="579328B9"/>
    <w:multiLevelType w:val="hybridMultilevel"/>
    <w:lvl w:ilvl="0">
      <w:lvlJc w:val="left"/>
      <w:lvlText w:val="8"/>
      <w:numFmt w:val="bullet"/>
      <w:start w:val="1"/>
    </w:lvl>
  </w:abstractNum>
  <w:abstractNum w:abstractNumId="150">
    <w:nsid w:val="5D205E20"/>
    <w:multiLevelType w:val="hybridMultilevel"/>
    <w:lvl w:ilvl="0">
      <w:lvlJc w:val="left"/>
      <w:lvlText w:val="%1"/>
      <w:numFmt w:val="decimal"/>
      <w:start w:val="10"/>
    </w:lvl>
  </w:abstractNum>
  <w:abstractNum w:abstractNumId="151">
    <w:nsid w:val="11CCA8BA"/>
    <w:multiLevelType w:val="hybridMultilevel"/>
    <w:lvl w:ilvl="0">
      <w:lvlJc w:val="left"/>
      <w:lvlText w:val="1"/>
      <w:numFmt w:val="bullet"/>
      <w:start w:val="1"/>
    </w:lvl>
  </w:abstractNum>
  <w:abstractNum w:abstractNumId="152">
    <w:nsid w:val="4D32AB86"/>
    <w:multiLevelType w:val="hybridMultilevel"/>
    <w:lvl w:ilvl="0">
      <w:lvlJc w:val="left"/>
      <w:lvlText w:val="2"/>
      <w:numFmt w:val="bullet"/>
      <w:start w:val="1"/>
    </w:lvl>
  </w:abstractNum>
  <w:abstractNum w:abstractNumId="153">
    <w:nsid w:val="3F07ACC3"/>
    <w:multiLevelType w:val="hybridMultilevel"/>
    <w:lvl w:ilvl="0">
      <w:lvlJc w:val="left"/>
      <w:lvlText w:val="3"/>
      <w:numFmt w:val="bullet"/>
      <w:start w:val="1"/>
    </w:lvl>
  </w:abstractNum>
  <w:abstractNum w:abstractNumId="154">
    <w:nsid w:val="6B47F63E"/>
    <w:multiLevelType w:val="hybridMultilevel"/>
    <w:lvl w:ilvl="0">
      <w:lvlJc w:val="left"/>
      <w:lvlText w:val="4"/>
      <w:numFmt w:val="bullet"/>
      <w:start w:val="1"/>
    </w:lvl>
  </w:abstractNum>
  <w:abstractNum w:abstractNumId="155">
    <w:nsid w:val="5CB44A05"/>
    <w:multiLevelType w:val="hybridMultilevel"/>
    <w:lvl w:ilvl="0">
      <w:lvlJc w:val="left"/>
      <w:lvlText w:val="5"/>
      <w:numFmt w:val="bullet"/>
      <w:start w:val="1"/>
    </w:lvl>
  </w:abstractNum>
  <w:abstractNum w:abstractNumId="156">
    <w:nsid w:val="16CF80F1"/>
    <w:multiLevelType w:val="hybridMultilevel"/>
    <w:lvl w:ilvl="0">
      <w:lvlJc w:val="left"/>
      <w:lvlText w:val="(%1)"/>
      <w:numFmt w:val="lowerRoman"/>
      <w:start w:val="2"/>
    </w:lvl>
  </w:abstractNum>
  <w:abstractNum w:abstractNumId="157">
    <w:nsid w:val="1C695DEC"/>
    <w:multiLevelType w:val="hybridMultilevel"/>
    <w:lvl w:ilvl="0">
      <w:lvlJc w:val="left"/>
      <w:lvlText w:val="9"/>
      <w:numFmt w:val="bullet"/>
      <w:start w:val="1"/>
    </w:lvl>
  </w:abstractNum>
  <w:abstractNum w:abstractNumId="158">
    <w:nsid w:val="3FCFAED9"/>
    <w:multiLevelType w:val="hybridMultilevel"/>
    <w:lvl w:ilvl="0">
      <w:lvlJc w:val="left"/>
      <w:lvlText w:val="1"/>
      <w:numFmt w:val="bullet"/>
      <w:start w:val="1"/>
    </w:lvl>
  </w:abstractNum>
  <w:abstractNum w:abstractNumId="159">
    <w:nsid w:val="F856867"/>
    <w:multiLevelType w:val="hybridMultilevel"/>
    <w:lvl w:ilvl="0">
      <w:lvlJc w:val="left"/>
      <w:lvlText w:val="2"/>
      <w:numFmt w:val="bullet"/>
      <w:start w:val="1"/>
    </w:lvl>
  </w:abstractNum>
  <w:abstractNum w:abstractNumId="160">
    <w:nsid w:val="11B1CC33"/>
    <w:multiLevelType w:val="hybridMultilevel"/>
    <w:lvl w:ilvl="0">
      <w:lvlJc w:val="left"/>
      <w:lvlText w:val="3"/>
      <w:numFmt w:val="bullet"/>
      <w:start w:val="1"/>
    </w:lvl>
  </w:abstractNum>
  <w:abstractNum w:abstractNumId="161">
    <w:nsid w:val="2E22FBB7"/>
    <w:multiLevelType w:val="hybridMultilevel"/>
    <w:lvl w:ilvl="0">
      <w:lvlJc w:val="left"/>
      <w:lvlText w:val="1"/>
      <w:numFmt w:val="bullet"/>
      <w:start w:val="1"/>
    </w:lvl>
  </w:abstractNum>
  <w:abstractNum w:abstractNumId="162">
    <w:nsid w:val="29934699"/>
    <w:multiLevelType w:val="hybridMultilevel"/>
    <w:lvl w:ilvl="0">
      <w:lvlJc w:val="left"/>
      <w:lvlText w:val="2"/>
      <w:numFmt w:val="bullet"/>
      <w:start w:val="1"/>
    </w:lvl>
  </w:abstractNum>
  <w:abstractNum w:abstractNumId="163">
    <w:nsid w:val="77485850"/>
    <w:multiLevelType w:val="hybridMultilevel"/>
    <w:lvl w:ilvl="0">
      <w:lvlJc w:val="left"/>
      <w:lvlText w:val="3"/>
      <w:numFmt w:val="bullet"/>
      <w:start w:val="1"/>
    </w:lvl>
  </w:abstractNum>
  <w:abstractNum w:abstractNumId="164">
    <w:nsid w:val="744939A3"/>
    <w:multiLevelType w:val="hybridMultilevel"/>
    <w:lvl w:ilvl="0">
      <w:lvlJc w:val="left"/>
      <w:lvlText w:val="4"/>
      <w:numFmt w:val="bullet"/>
      <w:start w:val="1"/>
    </w:lvl>
  </w:abstractNum>
  <w:abstractNum w:abstractNumId="165">
    <w:nsid w:val="4FA0D2E3"/>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2021-04-23T15:24:22Z</dcterms:created>
  <dcterms:modified xsi:type="dcterms:W3CDTF">2021-04-23T15:24:22Z</dcterms:modified>
</cp:coreProperties>
</file>