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3, 2022 (November 3, 2022)</w:t>
      </w: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00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6"/>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8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1149985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On November 3, 2022, Regeneron Pharmaceuticals, Inc. issued a press release announcing its financial and operating results for the quarter ended September 30, 2022. A copy of the press release is being furnished to the Securities and Exchange Commission as Exhibit 99.1 to this Current Report on Form 8-K and is incorporated by reference to this Item 2.02.</w:t>
      </w:r>
    </w:p>
    <w:p>
      <w:pPr>
        <w:spacing w:after="0" w:line="203" w:lineRule="exact"/>
        <w:rPr>
          <w:sz w:val="20"/>
          <w:szCs w:val="20"/>
          <w:color w:val="auto"/>
        </w:rPr>
      </w:pPr>
    </w:p>
    <w:p>
      <w:pPr>
        <w:ind w:right="40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November 3, 2022, Reporting Third Quarter 2022 Financial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30" w:right="55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p>
      <w:pPr>
        <w:ind w:left="2520"/>
        <w:spacing w:after="0"/>
        <w:tabs>
          <w:tab w:leader="none" w:pos="486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7"/>
          <w:szCs w:val="17"/>
          <w:color w:val="auto"/>
        </w:rPr>
        <w:t>REGENERON PHARMACEUTICALS, INC.</w:t>
      </w:r>
    </w:p>
    <w:p>
      <w:pPr>
        <w:spacing w:after="0" w:line="293" w:lineRule="exact"/>
        <w:rPr>
          <w:sz w:val="20"/>
          <w:szCs w:val="20"/>
          <w:color w:val="auto"/>
        </w:rPr>
      </w:pPr>
    </w:p>
    <w:tbl>
      <w:tblPr>
        <w:tblLayout w:type="fixed"/>
        <w:tblInd w:w="488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Joseph J. LaRosa</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Third Quarter 2022 Financial and Operating Results</w:t>
      </w:r>
    </w:p>
    <w:p>
      <w:pPr>
        <w:spacing w:after="0" w:line="140"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1"/>
          <w:szCs w:val="21"/>
          <w:b w:val="1"/>
          <w:bCs w:val="1"/>
          <w:i w:val="1"/>
          <w:iCs w:val="1"/>
          <w:color w:val="auto"/>
        </w:rPr>
      </w:pPr>
      <w:r>
        <w:rPr>
          <w:rFonts w:ascii="Arial" w:cs="Arial" w:eastAsia="Arial" w:hAnsi="Arial"/>
          <w:sz w:val="21"/>
          <w:szCs w:val="21"/>
          <w:i w:val="1"/>
          <w:iCs w:val="1"/>
          <w:color w:val="auto"/>
        </w:rPr>
        <w:t>Third quarter 2022 revenues decreased 15% to $2.94 billion versus third quarter 2021; excluding REGEN-COV</w:t>
      </w:r>
      <w:r>
        <w:rPr>
          <w:rFonts w:ascii="Arial" w:cs="Arial" w:eastAsia="Arial" w:hAnsi="Arial"/>
          <w:sz w:val="27"/>
          <w:szCs w:val="27"/>
          <w:b w:val="1"/>
          <w:bCs w:val="1"/>
          <w:i w:val="1"/>
          <w:iCs w:val="1"/>
          <w:color w:val="auto"/>
          <w:vertAlign w:val="superscript"/>
        </w:rPr>
        <w:t>®</w:t>
      </w:r>
      <w:r>
        <w:rPr>
          <w:rFonts w:ascii="Arial" w:cs="Arial" w:eastAsia="Arial" w:hAnsi="Arial"/>
          <w:sz w:val="27"/>
          <w:szCs w:val="27"/>
          <w:i w:val="1"/>
          <w:iCs w:val="1"/>
          <w:color w:val="auto"/>
          <w:vertAlign w:val="superscript"/>
        </w:rPr>
        <w:t>(a)</w:t>
      </w:r>
    </w:p>
    <w:p>
      <w:pPr>
        <w:ind w:left="340"/>
        <w:spacing w:after="0" w:line="191" w:lineRule="auto"/>
        <w:rPr>
          <w:rFonts w:ascii="Arial" w:cs="Arial" w:eastAsia="Arial" w:hAnsi="Arial"/>
          <w:sz w:val="21"/>
          <w:szCs w:val="21"/>
          <w:b w:val="1"/>
          <w:bCs w:val="1"/>
          <w:i w:val="1"/>
          <w:iCs w:val="1"/>
          <w:color w:val="auto"/>
        </w:rPr>
      </w:pPr>
      <w:r>
        <w:rPr>
          <w:rFonts w:ascii="Arial" w:cs="Arial" w:eastAsia="Arial" w:hAnsi="Arial"/>
          <w:sz w:val="28"/>
          <w:szCs w:val="28"/>
          <w:i w:val="1"/>
          <w:iCs w:val="1"/>
          <w:color w:val="auto"/>
          <w:vertAlign w:val="superscript"/>
        </w:rPr>
        <w:t>(b)</w:t>
      </w:r>
      <w:r>
        <w:rPr>
          <w:rFonts w:ascii="Arial" w:cs="Arial" w:eastAsia="Arial" w:hAnsi="Arial"/>
          <w:sz w:val="22"/>
          <w:szCs w:val="22"/>
          <w:i w:val="1"/>
          <w:iCs w:val="1"/>
          <w:color w:val="auto"/>
        </w:rPr>
        <w:t>, revenues increased 11%</w:t>
      </w:r>
    </w:p>
    <w:p>
      <w:pPr>
        <w:ind w:left="320" w:hanging="312"/>
        <w:spacing w:after="0" w:line="201" w:lineRule="auto"/>
        <w:tabs>
          <w:tab w:leader="none" w:pos="3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i w:val="1"/>
          <w:iCs w:val="1"/>
          <w:color w:val="auto"/>
        </w:rPr>
        <w:t>Third quarter 2022 EYLEA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U.S. net sales increased 11% versus third quarter 2021 to a record $1.63 billion</w:t>
      </w:r>
    </w:p>
    <w:p>
      <w:pPr>
        <w:ind w:left="340" w:right="320" w:hanging="332"/>
        <w:spacing w:after="0" w:line="214" w:lineRule="auto"/>
        <w:tabs>
          <w:tab w:leader="none" w:pos="335"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i w:val="1"/>
          <w:iCs w:val="1"/>
          <w:color w:val="auto"/>
        </w:rPr>
        <w:t>Third quarter 2022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w:t>
      </w:r>
      <w:r>
        <w:rPr>
          <w:rFonts w:ascii="Arial" w:cs="Arial" w:eastAsia="Arial" w:hAnsi="Arial"/>
          <w:sz w:val="28"/>
          <w:szCs w:val="28"/>
          <w:i w:val="1"/>
          <w:iCs w:val="1"/>
          <w:color w:val="auto"/>
          <w:vertAlign w:val="superscript"/>
        </w:rPr>
        <w:t>(c)</w:t>
      </w:r>
      <w:r>
        <w:rPr>
          <w:rFonts w:ascii="Arial" w:cs="Arial" w:eastAsia="Arial" w:hAnsi="Arial"/>
          <w:sz w:val="22"/>
          <w:szCs w:val="22"/>
          <w:i w:val="1"/>
          <w:iCs w:val="1"/>
          <w:color w:val="auto"/>
        </w:rPr>
        <w:t>(recorded by Sanofi) increased 40% to $2.33 billion versus third quarter 2021</w:t>
      </w:r>
    </w:p>
    <w:p>
      <w:pPr>
        <w:ind w:left="320" w:hanging="312"/>
        <w:spacing w:after="0" w:line="181" w:lineRule="auto"/>
        <w:tabs>
          <w:tab w:leader="none" w:pos="3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i w:val="1"/>
          <w:iCs w:val="1"/>
          <w:color w:val="auto"/>
        </w:rPr>
        <w:t>Third quarter 2022 GAAP diluted EPS of $11.66; non-GAAP diluted EPS</w:t>
      </w:r>
      <w:r>
        <w:rPr>
          <w:rFonts w:ascii="Arial" w:cs="Arial" w:eastAsia="Arial" w:hAnsi="Arial"/>
          <w:sz w:val="28"/>
          <w:szCs w:val="28"/>
          <w:i w:val="1"/>
          <w:iCs w:val="1"/>
          <w:color w:val="auto"/>
          <w:vertAlign w:val="superscript"/>
        </w:rPr>
        <w:t>(a)</w:t>
      </w:r>
      <w:r>
        <w:rPr>
          <w:rFonts w:ascii="Arial" w:cs="Arial" w:eastAsia="Arial" w:hAnsi="Arial"/>
          <w:sz w:val="22"/>
          <w:szCs w:val="22"/>
          <w:i w:val="1"/>
          <w:iCs w:val="1"/>
          <w:color w:val="auto"/>
        </w:rPr>
        <w:t xml:space="preserve"> of $11.14</w:t>
      </w:r>
    </w:p>
    <w:p>
      <w:pPr>
        <w:ind w:left="340" w:right="80" w:hanging="332"/>
        <w:spacing w:after="0" w:line="23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Positive results reported in aflibercept 8 mg pivotal trials for diabetic macular edema (DME) and neovascular age-related macular degeneration (wet AMD)</w:t>
      </w:r>
    </w:p>
    <w:p>
      <w:pPr>
        <w:spacing w:after="0" w:line="2" w:lineRule="exact"/>
        <w:rPr>
          <w:rFonts w:ascii="Arial" w:cs="Arial" w:eastAsia="Arial" w:hAnsi="Arial"/>
          <w:sz w:val="22"/>
          <w:szCs w:val="22"/>
          <w:i w:val="1"/>
          <w:iCs w:val="1"/>
          <w:color w:val="auto"/>
        </w:rPr>
      </w:pPr>
    </w:p>
    <w:p>
      <w:pPr>
        <w:ind w:left="320" w:hanging="312"/>
        <w:spacing w:after="0" w:line="230" w:lineRule="auto"/>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EYLEA granted additional six months of pediatric exclusivity by the FDA</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FDA approved Dupixent for prurigo nodularis</w:t>
      </w:r>
    </w:p>
    <w:p>
      <w:pPr>
        <w:spacing w:after="0" w:line="3"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Inmazeb</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won 2022 Prix Galien USA "Best Biotechnology Product" Award</w:t>
      </w:r>
    </w:p>
    <w:p>
      <w:pPr>
        <w:spacing w:after="0" w:line="156" w:lineRule="exact"/>
        <w:rPr>
          <w:sz w:val="20"/>
          <w:szCs w:val="20"/>
          <w:color w:val="auto"/>
        </w:rPr>
      </w:pPr>
    </w:p>
    <w:p>
      <w:pPr>
        <w:ind w:right="40"/>
        <w:spacing w:after="0" w:line="274" w:lineRule="auto"/>
        <w:rPr>
          <w:sz w:val="20"/>
          <w:szCs w:val="20"/>
          <w:color w:val="auto"/>
        </w:rPr>
      </w:pPr>
      <w:r>
        <w:rPr>
          <w:rFonts w:ascii="Arial" w:cs="Arial" w:eastAsia="Arial" w:hAnsi="Arial"/>
          <w:sz w:val="22"/>
          <w:szCs w:val="22"/>
          <w:b w:val="1"/>
          <w:bCs w:val="1"/>
          <w:color w:val="auto"/>
        </w:rPr>
        <w:t xml:space="preserve">Tarrytown, New York (November 3, 2022)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third quarter of 2022 and provided a business update.</w:t>
      </w:r>
    </w:p>
    <w:p>
      <w:pPr>
        <w:spacing w:after="0" w:line="167"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"We were thrilled to see positive results from the aflibercept 8 mg pivotal trials which demonstrated the potential to reduce the treatment burden for patients with diabetic macular edema (DME) and neovascular age-related macular degeneration (wet AMD)," said Leonard S. Schleifer, M.D., Ph.D., President and Chief Executive Officer of Regeneron. "Global Dupixent sales and U.S. EYLEA sales once again achieved new quarterly records, with U.S. sales of EYLEA achieving double digit year-over-year percentage growth and Dupixent was bolstered by progress on launches in pediatric atopic dermatitis, eosinophilic esophagitis, and prurigo nodularis. Our oncology portfolio was furthered strengthened by positive data updates for our growing investigational oncology pipeline."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20"/>
                <w:szCs w:val="20"/>
                <w:b w:val="1"/>
                <w:bCs w:val="1"/>
                <w:color w:val="auto"/>
              </w:rPr>
              <w:t>Q3 2022</w:t>
            </w:r>
          </w:p>
        </w:tc>
        <w:tc>
          <w:tcPr>
            <w:tcW w:w="20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20"/>
                <w:szCs w:val="20"/>
                <w:b w:val="1"/>
                <w:bCs w:val="1"/>
                <w:color w:val="auto"/>
              </w:rPr>
              <w:t>Q3 2021</w:t>
            </w:r>
          </w:p>
        </w:tc>
        <w:tc>
          <w:tcPr>
            <w:tcW w:w="1280" w:type="dxa"/>
            <w:vAlign w:val="bottom"/>
          </w:tcPr>
          <w:p>
            <w:pPr>
              <w:jc w:val="right"/>
              <w:ind w:right="61"/>
              <w:spacing w:after="0"/>
              <w:rPr>
                <w:sz w:val="20"/>
                <w:szCs w:val="20"/>
                <w:color w:val="auto"/>
              </w:rPr>
            </w:pPr>
            <w:r>
              <w:rPr>
                <w:rFonts w:ascii="Arial" w:cs="Arial" w:eastAsia="Arial" w:hAnsi="Arial"/>
                <w:sz w:val="20"/>
                <w:szCs w:val="20"/>
                <w:b w:val="1"/>
                <w:bCs w:val="1"/>
                <w:color w:val="auto"/>
              </w:rPr>
              <w:t>% Change</w:t>
            </w:r>
          </w:p>
        </w:tc>
      </w:tr>
      <w:tr>
        <w:trPr>
          <w:trHeight w:val="25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2,936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3,453</w:t>
            </w: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(15%)</w:t>
            </w:r>
          </w:p>
        </w:tc>
      </w:tr>
      <w:tr>
        <w:trPr>
          <w:trHeight w:val="257"/>
        </w:trPr>
        <w:tc>
          <w:tcPr>
            <w:tcW w:w="5160" w:type="dxa"/>
            <w:vAlign w:val="bottom"/>
          </w:tcPr>
          <w:p>
            <w:pPr>
              <w:ind w:left="20"/>
              <w:spacing w:after="0" w:line="257" w:lineRule="exact"/>
              <w:rPr>
                <w:sz w:val="20"/>
                <w:szCs w:val="20"/>
                <w:color w:val="auto"/>
              </w:rPr>
            </w:pPr>
            <w:r>
              <w:rPr>
                <w:rFonts w:ascii="Arial" w:cs="Arial" w:eastAsia="Arial" w:hAnsi="Arial"/>
                <w:sz w:val="20"/>
                <w:szCs w:val="20"/>
                <w:color w:val="auto"/>
              </w:rPr>
              <w:t>Total revenues, excluding REGEN-COV</w:t>
            </w:r>
            <w:r>
              <w:rPr>
                <w:rFonts w:ascii="Arial" w:cs="Arial" w:eastAsia="Arial" w:hAnsi="Arial"/>
                <w:sz w:val="25"/>
                <w:szCs w:val="25"/>
                <w:color w:val="auto"/>
                <w:vertAlign w:val="superscript"/>
              </w:rPr>
              <w:t>(a)(b)</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2,930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2,649</w:t>
            </w:r>
          </w:p>
        </w:tc>
        <w:tc>
          <w:tcPr>
            <w:tcW w:w="12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11%</w:t>
            </w:r>
          </w:p>
        </w:tc>
      </w:tr>
      <w:tr>
        <w:trPr>
          <w:trHeight w:val="256"/>
        </w:trPr>
        <w:tc>
          <w:tcPr>
            <w:tcW w:w="5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1,632</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(19%)</w:t>
            </w:r>
          </w:p>
        </w:tc>
      </w:tr>
      <w:tr>
        <w:trPr>
          <w:trHeight w:val="257"/>
        </w:trPr>
        <w:tc>
          <w:tcPr>
            <w:tcW w:w="5160" w:type="dxa"/>
            <w:vAlign w:val="bottom"/>
          </w:tcPr>
          <w:p>
            <w:pPr>
              <w:ind w:left="20"/>
              <w:spacing w:after="0"/>
              <w:rPr>
                <w:sz w:val="20"/>
                <w:szCs w:val="20"/>
                <w:color w:val="auto"/>
              </w:rPr>
            </w:pPr>
            <w:r>
              <w:rPr>
                <w:rFonts w:ascii="Arial" w:cs="Arial" w:eastAsia="Arial" w:hAnsi="Arial"/>
                <w:sz w:val="20"/>
                <w:szCs w:val="20"/>
                <w:color w:val="auto"/>
              </w:rPr>
              <w:t>GAAP net income per share - diluted</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11.66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14.33</w:t>
            </w:r>
          </w:p>
        </w:tc>
        <w:tc>
          <w:tcPr>
            <w:tcW w:w="12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(19%)</w:t>
            </w:r>
          </w:p>
        </w:tc>
      </w:tr>
      <w:tr>
        <w:trPr>
          <w:trHeight w:val="256"/>
        </w:trPr>
        <w:tc>
          <w:tcPr>
            <w:tcW w:w="516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1,773</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(28%)</w:t>
            </w:r>
          </w:p>
        </w:tc>
      </w:tr>
      <w:tr>
        <w:trPr>
          <w:trHeight w:val="343"/>
        </w:trPr>
        <w:tc>
          <w:tcPr>
            <w:tcW w:w="5160" w:type="dxa"/>
            <w:vAlign w:val="bottom"/>
          </w:tcPr>
          <w:p>
            <w:pPr>
              <w:ind w:left="20"/>
              <w:spacing w:after="0"/>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11.14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15.37</w:t>
            </w:r>
          </w:p>
        </w:tc>
        <w:tc>
          <w:tcPr>
            <w:tcW w:w="120" w:type="dxa"/>
            <w:vAlign w:val="bottom"/>
          </w:tcPr>
          <w:p>
            <w:pPr>
              <w:spacing w:after="0"/>
              <w:rPr>
                <w:sz w:val="24"/>
                <w:szCs w:val="24"/>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 w:name="page5"/>
    <w:bookmarkEnd w:id="4"/>
    <w:p>
      <w:pPr>
        <w:spacing w:after="0" w:line="236" w:lineRule="auto"/>
        <w:rPr>
          <w:sz w:val="20"/>
          <w:szCs w:val="20"/>
          <w:color w:val="auto"/>
        </w:rPr>
      </w:pPr>
      <w:r>
        <w:rPr>
          <w:rFonts w:ascii="Arial" w:cs="Arial" w:eastAsia="Arial" w:hAnsi="Arial"/>
          <w:sz w:val="22"/>
          <w:szCs w:val="22"/>
          <w:color w:val="auto"/>
        </w:rPr>
        <w:t>"Our third quarter 2022 financial performance reflects strong commercial momentum across our business, highlighted by 11% revenue growth when excluding contributions from REGEN-COV and Ronapreve," said Robert E. Landry, Executive Vice President, Finance and Chief Financial Officer of Regeneron. "We continued to drive shareholder value creation by realizing the benefits of our sustained investment in R&amp;D, focusing on commercial execution, and allocating over $2.8 billion to share repurchases and business development initiatives in the first nine months of 2022."</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26" w:lineRule="exact"/>
        <w:rPr>
          <w:sz w:val="20"/>
          <w:szCs w:val="20"/>
          <w:color w:val="auto"/>
        </w:rPr>
      </w:pPr>
    </w:p>
    <w:p>
      <w:pPr>
        <w:ind w:right="740"/>
        <w:spacing w:after="0" w:line="276" w:lineRule="auto"/>
        <w:rPr>
          <w:sz w:val="20"/>
          <w:szCs w:val="20"/>
          <w:color w:val="auto"/>
        </w:rPr>
      </w:pPr>
      <w:r>
        <w:rPr>
          <w:rFonts w:ascii="Arial" w:cs="Arial" w:eastAsia="Arial" w:hAnsi="Arial"/>
          <w:sz w:val="21"/>
          <w:szCs w:val="21"/>
          <w:color w:val="auto"/>
        </w:rPr>
        <w:t>Regeneron has approximately 35 product candidates in clinical development, including a number of marketed products for which it is investigating additional indications. Updates from the clinical pipeline include: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Aflibercept 8 mg</w:t>
      </w:r>
    </w:p>
    <w:p>
      <w:pPr>
        <w:spacing w:after="0" w:line="24" w:lineRule="exact"/>
        <w:rPr>
          <w:sz w:val="20"/>
          <w:szCs w:val="20"/>
          <w:color w:val="auto"/>
        </w:rPr>
      </w:pPr>
    </w:p>
    <w:p>
      <w:pPr>
        <w:ind w:left="340" w:right="40" w:hanging="332"/>
        <w:spacing w:after="0"/>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 announced that the primary endpoints were met in two pivotal trials investigating aflibercept 8 mg with 12- and 16-week dosing regimens in patients with diabetic macular edema (DME) and neovascular age-related macular degeneration (wet AMD). The PHOTON trial in DME and the PULSAR trial in wet AMD both demonstrated that aflibercept 8 mg 12- and 16-week dosing regimens achieved non-inferiority in vision gains compared to the 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8-week dosing regimen. Furthermore, of the patients randomized to 12- and 16-week dosing intervals, 91% and 89% of DME patients, respectively, and 79% and 77% of wet AMD patients, respectively, maintained those intervals through 48 weeks. The safety of aflibercept 8 mg was similar to EYLEA in both trials, and consistent with the known safety profile of EYLEA from previous clinical trials. The Company intends to use a priority review voucher in connection with the submission of the aflibercept 8 mg Biologics License Application (BLA) for DME and wet AMD, which is currently planned for late 2022.</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2"/>
          <w:szCs w:val="22"/>
          <w:color w:val="auto"/>
        </w:rPr>
        <w:t xml:space="preserve"> (aflibercept) Injection</w:t>
      </w:r>
    </w:p>
    <w:p>
      <w:pPr>
        <w:spacing w:after="0" w:line="24" w:lineRule="exact"/>
        <w:rPr>
          <w:sz w:val="20"/>
          <w:szCs w:val="20"/>
          <w:color w:val="auto"/>
        </w:rPr>
      </w:pPr>
    </w:p>
    <w:p>
      <w:pPr>
        <w:ind w:left="340" w:hanging="332"/>
        <w:spacing w:after="0" w:line="254" w:lineRule="auto"/>
        <w:tabs>
          <w:tab w:leader="none" w:pos="335"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U.S. Food and Drug Administration (FDA) accepted for priority review the supplemental BLA (sBLA) for EYLEA to treat retinopathy of prematurity (ROP) in preterm infants, with a target action date of February 11, 2023.</w:t>
      </w:r>
    </w:p>
    <w:p>
      <w:pPr>
        <w:spacing w:after="0" w:line="1" w:lineRule="exact"/>
        <w:rPr>
          <w:rFonts w:ascii="Arial" w:cs="Arial" w:eastAsia="Arial" w:hAnsi="Arial"/>
          <w:sz w:val="21"/>
          <w:szCs w:val="21"/>
          <w:color w:val="auto"/>
        </w:rPr>
      </w:pPr>
    </w:p>
    <w:p>
      <w:pPr>
        <w:ind w:left="340" w:right="640" w:hanging="332"/>
        <w:spacing w:after="0" w:line="266"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FDA granted EYLEA pediatric exclusivity, extending the period of U.S. EYLEA market exclusivity by an additional six months through May 17, 2024.</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(dupilumab)</w:t>
      </w:r>
    </w:p>
    <w:p>
      <w:pPr>
        <w:ind w:left="340" w:right="100" w:hanging="332"/>
        <w:spacing w:after="0" w:line="276" w:lineRule="auto"/>
        <w:tabs>
          <w:tab w:leader="none" w:pos="335" w:val="left"/>
        </w:tabs>
        <w:numPr>
          <w:ilvl w:val="0"/>
          <w:numId w:val="5"/>
        </w:numPr>
        <w:rPr>
          <w:rFonts w:ascii="Arial" w:cs="Arial" w:eastAsia="Arial" w:hAnsi="Arial"/>
          <w:sz w:val="21"/>
          <w:szCs w:val="21"/>
          <w:color w:val="auto"/>
        </w:rPr>
      </w:pPr>
      <w:r>
        <w:rPr>
          <w:rFonts w:ascii="Arial" w:cs="Arial" w:eastAsia="Arial" w:hAnsi="Arial"/>
          <w:sz w:val="21"/>
          <w:szCs w:val="21"/>
          <w:color w:val="auto"/>
        </w:rPr>
        <w:t>In September 2022, the FDA approved Dupixent for the treatment of adult patients with prurigo nodularis, making Dupixent the first and only medicine specifically indicated to treat prurigo nodularis in the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Oncology Programs</w:t>
      </w:r>
    </w:p>
    <w:p>
      <w:pPr>
        <w:spacing w:after="0" w:line="208" w:lineRule="auto"/>
        <w:rPr>
          <w:sz w:val="20"/>
          <w:szCs w:val="20"/>
          <w:color w:val="auto"/>
        </w:rPr>
      </w:pPr>
      <w:r>
        <w:rPr>
          <w:rFonts w:ascii="Arial" w:cs="Arial" w:eastAsia="Arial" w:hAnsi="Arial"/>
          <w:sz w:val="22"/>
          <w:szCs w:val="22"/>
          <w:i w:val="1"/>
          <w:iCs w:val="1"/>
          <w:color w:val="auto"/>
        </w:rPr>
        <w:t>Libtayo</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(cemiplimab)</w:t>
      </w:r>
    </w:p>
    <w:p>
      <w:pPr>
        <w:spacing w:after="0" w:line="1" w:lineRule="exact"/>
        <w:rPr>
          <w:sz w:val="20"/>
          <w:szCs w:val="20"/>
          <w:color w:val="auto"/>
        </w:rPr>
      </w:pPr>
    </w:p>
    <w:p>
      <w:pPr>
        <w:ind w:left="340" w:right="60" w:hanging="332"/>
        <w:spacing w:after="0" w:line="24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European Medicines Agency's (EMA) Committee for Medicinal Products for Human Use (CHMP) adopted a positive opinion for Libtayo as a monotherapy for the treatment of adult patients with recurrent or metastatic cervical cancer and disease progression on or after platinum-based chemotherapy. The European Commission is expected to make a final decision on the application in the coming months.</w:t>
      </w:r>
    </w:p>
    <w:p>
      <w:pPr>
        <w:spacing w:after="0" w:line="2" w:lineRule="exact"/>
        <w:rPr>
          <w:rFonts w:ascii="Arial" w:cs="Arial" w:eastAsia="Arial" w:hAnsi="Arial"/>
          <w:sz w:val="22"/>
          <w:szCs w:val="22"/>
          <w:color w:val="auto"/>
        </w:rPr>
      </w:pPr>
    </w:p>
    <w:p>
      <w:pPr>
        <w:ind w:left="340" w:right="80" w:hanging="332"/>
        <w:spacing w:after="0" w:line="248"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The Company presented positive data from the Phase 2 trial for Libtayo in neoadjuvant cutaneous squamous cell carcinoma (CSCC) at the European Society for Medical Oncology (ESMO) Congress 2022. The data were also published in 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883" w:right="379" w:bottom="1440" w:gutter="0" w:footer="0" w:header="0"/>
        </w:sectPr>
      </w:pPr>
    </w:p>
    <w:bookmarkStart w:id="5" w:name="page6"/>
    <w:bookmarkEnd w:id="5"/>
    <w:p>
      <w:pPr>
        <w:spacing w:after="0"/>
        <w:rPr>
          <w:sz w:val="20"/>
          <w:szCs w:val="20"/>
          <w:color w:val="auto"/>
        </w:rPr>
      </w:pPr>
      <w:r>
        <w:rPr>
          <w:rFonts w:ascii="Arial" w:cs="Arial" w:eastAsia="Arial" w:hAnsi="Arial"/>
          <w:sz w:val="22"/>
          <w:szCs w:val="22"/>
          <w:i w:val="1"/>
          <w:iCs w:val="1"/>
          <w:color w:val="auto"/>
        </w:rPr>
        <w:t>Fianlimab, an antibody to LAG-3</w:t>
      </w:r>
    </w:p>
    <w:p>
      <w:pPr>
        <w:spacing w:after="0" w:line="24" w:lineRule="exact"/>
        <w:rPr>
          <w:sz w:val="20"/>
          <w:szCs w:val="20"/>
          <w:color w:val="auto"/>
        </w:rPr>
      </w:pPr>
    </w:p>
    <w:p>
      <w:pPr>
        <w:ind w:left="340" w:right="480" w:hanging="332"/>
        <w:spacing w:after="0" w:line="253" w:lineRule="auto"/>
        <w:tabs>
          <w:tab w:leader="none" w:pos="335" w:val="left"/>
        </w:tabs>
        <w:numPr>
          <w:ilvl w:val="0"/>
          <w:numId w:val="7"/>
        </w:numPr>
        <w:rPr>
          <w:rFonts w:ascii="Arial" w:cs="Arial" w:eastAsia="Arial" w:hAnsi="Arial"/>
          <w:sz w:val="22"/>
          <w:szCs w:val="22"/>
          <w:i w:val="1"/>
          <w:iCs w:val="1"/>
          <w:color w:val="auto"/>
        </w:rPr>
      </w:pPr>
      <w:r>
        <w:rPr>
          <w:rFonts w:ascii="Arial" w:cs="Arial" w:eastAsia="Arial" w:hAnsi="Arial"/>
          <w:sz w:val="22"/>
          <w:szCs w:val="22"/>
          <w:color w:val="auto"/>
        </w:rPr>
        <w:t>Positive data were presented from a Phase 1 trial studying fianlimab in combination with Libtayo in advanced melanoma at the ESMO Congress 2022.</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Bispecific Antibodies and Costimulatory Bispecifics</w:t>
      </w:r>
    </w:p>
    <w:p>
      <w:pPr>
        <w:spacing w:after="0" w:line="24" w:lineRule="exact"/>
        <w:rPr>
          <w:sz w:val="20"/>
          <w:szCs w:val="20"/>
          <w:color w:val="auto"/>
        </w:rPr>
      </w:pPr>
    </w:p>
    <w:p>
      <w:pPr>
        <w:ind w:left="340" w:right="400" w:hanging="332"/>
        <w:spacing w:after="0" w:line="246"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Company also presented at the ESMO Congress 2022 encouraging early data from the dose-escalation portions of two Phase 1/2 trials evaluating ubamatamab, a bispecific antibody targeting MUC16 and CD3, in platinum-resistant ovarian cancer; and REGN5093, a METxMET bispecific antibody, in MET-altered advanced non-small cell lung cancer (NSCLC).</w:t>
      </w:r>
    </w:p>
    <w:p>
      <w:pPr>
        <w:spacing w:after="0" w:line="2" w:lineRule="exact"/>
        <w:rPr>
          <w:rFonts w:ascii="Arial" w:cs="Arial" w:eastAsia="Arial" w:hAnsi="Arial"/>
          <w:sz w:val="22"/>
          <w:szCs w:val="22"/>
          <w:color w:val="auto"/>
        </w:rPr>
      </w:pPr>
    </w:p>
    <w:p>
      <w:pPr>
        <w:ind w:left="340" w:right="20" w:hanging="332"/>
        <w:spacing w:after="0" w:line="243"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Enrollment was completed in the potentially pivotal Phase 2 study of linvoseltamab, a bispecific antibody targeting BCMA and CD3, in multiple myeloma.</w:t>
      </w:r>
    </w:p>
    <w:p>
      <w:pPr>
        <w:ind w:left="340" w:hanging="332"/>
        <w:spacing w:after="0" w:line="250"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Company continues to enroll patients in a Phase 1/2 study investigating REGN5678, a PSMAxCD28 costimulatory bispecific antibody, in combination with Libtayo in advanced metastatic castration-resistant prostate cancer. Preliminary clinical data from the study were disclosed in August 2022 and further detailed in Regeneron's ESMO 2022 Investor Event in September 2022.</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Programs</w:t>
      </w:r>
    </w:p>
    <w:p>
      <w:pPr>
        <w:spacing w:after="0" w:line="11" w:lineRule="exact"/>
        <w:rPr>
          <w:sz w:val="20"/>
          <w:szCs w:val="20"/>
          <w:color w:val="auto"/>
        </w:rPr>
      </w:pPr>
    </w:p>
    <w:p>
      <w:pPr>
        <w:jc w:val="both"/>
        <w:ind w:left="340" w:hanging="332"/>
        <w:spacing w:after="0" w:line="226"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Inmazeb</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the first FDA-approved treatment for </w:t>
      </w:r>
      <w:r>
        <w:rPr>
          <w:rFonts w:ascii="Arial" w:cs="Arial" w:eastAsia="Arial" w:hAnsi="Arial"/>
          <w:sz w:val="22"/>
          <w:szCs w:val="22"/>
          <w:i w:val="1"/>
          <w:iCs w:val="1"/>
          <w:color w:val="auto"/>
        </w:rPr>
        <w:t>Zaire ebolavirus</w:t>
      </w:r>
      <w:r>
        <w:rPr>
          <w:rFonts w:ascii="Arial" w:cs="Arial" w:eastAsia="Arial" w:hAnsi="Arial"/>
          <w:sz w:val="22"/>
          <w:szCs w:val="22"/>
          <w:color w:val="auto"/>
        </w:rPr>
        <w:t>, has been recognized as the "Best Biotechnology Product" of 2022 by the Galien Foundation, which acknowledges extraordinary scientific innovations that improve the human condition.</w:t>
      </w:r>
    </w:p>
    <w:p>
      <w:pPr>
        <w:spacing w:after="0" w:line="2" w:lineRule="exact"/>
        <w:rPr>
          <w:rFonts w:ascii="Arial" w:cs="Arial" w:eastAsia="Arial" w:hAnsi="Arial"/>
          <w:sz w:val="22"/>
          <w:szCs w:val="22"/>
          <w:color w:val="auto"/>
        </w:rPr>
      </w:pPr>
    </w:p>
    <w:p>
      <w:pPr>
        <w:ind w:left="340" w:right="180" w:hanging="332"/>
        <w:spacing w:after="0" w:line="249"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A Phase 3 study was initiated for garetosamab, an antibody to Activin A, in fibrodysplasia ossificans progressiva (FOP).</w:t>
      </w:r>
    </w:p>
    <w:p>
      <w:pPr>
        <w:spacing w:after="0" w:line="1" w:lineRule="exact"/>
        <w:rPr>
          <w:rFonts w:ascii="Arial" w:cs="Arial" w:eastAsia="Arial" w:hAnsi="Arial"/>
          <w:sz w:val="22"/>
          <w:szCs w:val="22"/>
          <w:color w:val="auto"/>
        </w:rPr>
      </w:pPr>
    </w:p>
    <w:p>
      <w:pPr>
        <w:ind w:left="340" w:right="400" w:hanging="332"/>
        <w:spacing w:after="0" w:line="243"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The Company and Alnylam Pharmaceuticals, Inc. announced preliminary Phase 1 data of ALN-HSD, an RNAi therapeutic targeting </w:t>
      </w:r>
      <w:r>
        <w:rPr>
          <w:rFonts w:ascii="Arial" w:cs="Arial" w:eastAsia="Arial" w:hAnsi="Arial"/>
          <w:sz w:val="22"/>
          <w:szCs w:val="22"/>
          <w:i w:val="1"/>
          <w:iCs w:val="1"/>
          <w:color w:val="auto"/>
        </w:rPr>
        <w:t>HSD17B13</w:t>
      </w:r>
      <w:r>
        <w:rPr>
          <w:rFonts w:ascii="Arial" w:cs="Arial" w:eastAsia="Arial" w:hAnsi="Arial"/>
          <w:sz w:val="22"/>
          <w:szCs w:val="22"/>
          <w:color w:val="auto"/>
        </w:rPr>
        <w:t>, for the treatment of nonalcoholic steatohepatitis (NASH).</w:t>
      </w:r>
    </w:p>
    <w:p>
      <w:pPr>
        <w:ind w:left="340" w:right="280" w:hanging="332"/>
        <w:spacing w:after="0" w:line="245"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Intellia Therapeutics, Inc. and the Company announced positive interim results from the cardiomyopathy arm of the ongoing Phase 1 trial of NTLA-2001, an </w:t>
      </w:r>
      <w:r>
        <w:rPr>
          <w:rFonts w:ascii="Arial" w:cs="Arial" w:eastAsia="Arial" w:hAnsi="Arial"/>
          <w:sz w:val="22"/>
          <w:szCs w:val="22"/>
          <w:i w:val="1"/>
          <w:iCs w:val="1"/>
          <w:color w:val="auto"/>
        </w:rPr>
        <w:t>in vivo</w:t>
      </w:r>
      <w:r>
        <w:rPr>
          <w:rFonts w:ascii="Arial" w:cs="Arial" w:eastAsia="Arial" w:hAnsi="Arial"/>
          <w:sz w:val="22"/>
          <w:szCs w:val="22"/>
          <w:color w:val="auto"/>
        </w:rPr>
        <w:t xml:space="preserve"> CRISPR/Cas9 genome editing therapy, which is in development as a single-dose treatment for transthyretin (ATTR) amyloidosis.</w:t>
      </w:r>
    </w:p>
    <w:p>
      <w:pPr>
        <w:spacing w:after="0" w:line="1" w:lineRule="exact"/>
        <w:rPr>
          <w:rFonts w:ascii="Arial" w:cs="Arial" w:eastAsia="Arial" w:hAnsi="Arial"/>
          <w:sz w:val="22"/>
          <w:szCs w:val="22"/>
          <w:color w:val="auto"/>
        </w:rPr>
      </w:pPr>
    </w:p>
    <w:p>
      <w:pPr>
        <w:ind w:left="340" w:right="140" w:hanging="332"/>
        <w:spacing w:after="0" w:line="248"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has discontinued (i) further clinical development of fasinumab, an antibody to NGF, which was previously being studied in osteoarthritis pain of the knee or hip in collaboration with Teva and Mitsubishi Tanabe Pharma; and (ii) the Phase 3 study of REGN1908-1909, a multi-antibody therapy to Fel d 1, in cat allergy, due to futility.</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and Business Development Updates</w:t>
      </w:r>
    </w:p>
    <w:p>
      <w:pPr>
        <w:spacing w:after="0" w:line="154" w:lineRule="exact"/>
        <w:rPr>
          <w:sz w:val="20"/>
          <w:szCs w:val="20"/>
          <w:color w:val="auto"/>
        </w:rPr>
      </w:pPr>
    </w:p>
    <w:p>
      <w:pPr>
        <w:ind w:left="340" w:right="20" w:hanging="332"/>
        <w:spacing w:after="0" w:line="248" w:lineRule="auto"/>
        <w:tabs>
          <w:tab w:leader="none" w:pos="335" w:val="left"/>
        </w:tabs>
        <w:numPr>
          <w:ilvl w:val="0"/>
          <w:numId w:val="10"/>
        </w:numPr>
        <w:rPr>
          <w:rFonts w:ascii="Arial" w:cs="Arial" w:eastAsia="Arial" w:hAnsi="Arial"/>
          <w:sz w:val="22"/>
          <w:szCs w:val="22"/>
          <w:i w:val="1"/>
          <w:iCs w:val="1"/>
          <w:color w:val="auto"/>
        </w:rPr>
      </w:pPr>
      <w:r>
        <w:rPr>
          <w:rFonts w:ascii="Arial" w:cs="Arial" w:eastAsia="Arial" w:hAnsi="Arial"/>
          <w:sz w:val="22"/>
          <w:szCs w:val="22"/>
          <w:color w:val="auto"/>
        </w:rPr>
        <w:t>Effective July 1, 2022, the Company obtained the exclusive right to develop, commercialize, and manufacture Libtayo worldwide under an Amended and Restated Immuno-oncology License and Collaboration Agreement with Sanofi. Under the terms of the agreement, the Company made a $900 million up-front payment, and Sanofi is eligible to receive a $100 million regulatory milestone and up to an aggregate of $100 million in sales-based milestones upon achieving certain amounts of worldwide net product sales of Libtayo through 2023. The Company also pays Sanofi a royalty on net product sales of Libtayo.</w:t>
      </w:r>
    </w:p>
    <w:p>
      <w:pPr>
        <w:spacing w:after="0" w:line="4" w:lineRule="exact"/>
        <w:rPr>
          <w:rFonts w:ascii="Arial" w:cs="Arial" w:eastAsia="Arial" w:hAnsi="Arial"/>
          <w:sz w:val="22"/>
          <w:szCs w:val="22"/>
          <w:i w:val="1"/>
          <w:iCs w:val="1"/>
          <w:color w:val="auto"/>
        </w:rPr>
      </w:pPr>
    </w:p>
    <w:p>
      <w:pPr>
        <w:ind w:left="340" w:right="660" w:hanging="332"/>
        <w:spacing w:after="0" w:line="245" w:lineRule="auto"/>
        <w:tabs>
          <w:tab w:leader="none" w:pos="335" w:val="left"/>
        </w:tabs>
        <w:numPr>
          <w:ilvl w:val="0"/>
          <w:numId w:val="10"/>
        </w:numPr>
        <w:rPr>
          <w:rFonts w:ascii="Arial" w:cs="Arial" w:eastAsia="Arial" w:hAnsi="Arial"/>
          <w:sz w:val="22"/>
          <w:szCs w:val="22"/>
          <w:color w:val="auto"/>
        </w:rPr>
      </w:pPr>
      <w:r>
        <w:rPr>
          <w:rFonts w:ascii="Arial" w:cs="Arial" w:eastAsia="Arial" w:hAnsi="Arial"/>
          <w:sz w:val="22"/>
          <w:szCs w:val="22"/>
          <w:color w:val="auto"/>
        </w:rPr>
        <w:t>Pursuant to an amendment to the Antibody License and Collaboration Agreement, the percentage of the Company's share of profits used to reimburse Sanofi for its development balance reimbursement obligation increased from 10% to 20%.</w:t>
      </w:r>
    </w:p>
    <w:p>
      <w:pPr>
        <w:spacing w:after="0" w:line="1" w:lineRule="exact"/>
        <w:rPr>
          <w:rFonts w:ascii="Arial" w:cs="Arial" w:eastAsia="Arial" w:hAnsi="Arial"/>
          <w:sz w:val="22"/>
          <w:szCs w:val="22"/>
          <w:color w:val="auto"/>
        </w:rPr>
      </w:pPr>
    </w:p>
    <w:p>
      <w:pPr>
        <w:jc w:val="both"/>
        <w:ind w:left="340" w:right="340" w:hanging="332"/>
        <w:spacing w:after="0" w:line="248" w:lineRule="auto"/>
        <w:tabs>
          <w:tab w:leader="none" w:pos="335"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Company announced that Craig B. Thompson, M.D., was elected to the Board of Directors. Dr. Thompson most recently served as the President and Chief Executive Officer of Memorial Sloan Kettering Cancer Center (MSK) and continues to oversee the Craig Thompson Lab at MSK studying cellular metabolism and its role in disease.</w:t>
      </w:r>
    </w:p>
    <w:p>
      <w:pPr>
        <w:sectPr>
          <w:pgSz w:w="11900" w:h="16838" w:orient="portrait"/>
          <w:cols w:equalWidth="0" w:num="1">
            <w:col w:w="11200"/>
          </w:cols>
          <w:pgMar w:left="320" w:top="1045" w:right="37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00"/>
          </w:cols>
          <w:pgMar w:left="320" w:top="1045"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Third Quarter 2022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Arial" w:cs="Arial" w:eastAsia="Arial" w:hAnsi="Arial"/>
                <w:sz w:val="20"/>
                <w:szCs w:val="20"/>
                <w:b w:val="1"/>
                <w:bCs w:val="1"/>
                <w:color w:val="auto"/>
              </w:rPr>
              <w:t>Q3 2022</w:t>
            </w:r>
          </w:p>
        </w:tc>
        <w:tc>
          <w:tcPr>
            <w:tcW w:w="20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Arial" w:cs="Arial" w:eastAsia="Arial" w:hAnsi="Arial"/>
                <w:sz w:val="20"/>
                <w:szCs w:val="20"/>
                <w:b w:val="1"/>
                <w:bCs w:val="1"/>
                <w:color w:val="auto"/>
              </w:rPr>
              <w:t>Q3 2021</w:t>
            </w:r>
          </w:p>
        </w:tc>
        <w:tc>
          <w:tcPr>
            <w:tcW w:w="1540" w:type="dxa"/>
            <w:vAlign w:val="bottom"/>
          </w:tcPr>
          <w:p>
            <w:pPr>
              <w:jc w:val="right"/>
              <w:ind w:right="201"/>
              <w:spacing w:after="0"/>
              <w:rPr>
                <w:sz w:val="20"/>
                <w:szCs w:val="20"/>
                <w:color w:val="auto"/>
              </w:rPr>
            </w:pPr>
            <w:r>
              <w:rPr>
                <w:rFonts w:ascii="Arial" w:cs="Arial" w:eastAsia="Arial" w:hAnsi="Arial"/>
                <w:sz w:val="20"/>
                <w:szCs w:val="20"/>
                <w:b w:val="1"/>
                <w:bCs w:val="1"/>
                <w:color w:val="auto"/>
              </w:rPr>
              <w:t>% Change</w:t>
            </w:r>
          </w:p>
        </w:tc>
      </w:tr>
      <w:tr>
        <w:trPr>
          <w:trHeight w:val="237"/>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product sales:</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r>
      <w:tr>
        <w:trPr>
          <w:trHeight w:val="256"/>
        </w:trPr>
        <w:tc>
          <w:tcPr>
            <w:tcW w:w="3820" w:type="dxa"/>
            <w:vAlign w:val="bottom"/>
          </w:tcPr>
          <w:p>
            <w:pPr>
              <w:ind w:left="240"/>
              <w:spacing w:after="0"/>
              <w:rPr>
                <w:sz w:val="20"/>
                <w:szCs w:val="20"/>
                <w:color w:val="auto"/>
              </w:rPr>
            </w:pPr>
            <w:r>
              <w:rPr>
                <w:rFonts w:ascii="Arial" w:cs="Arial" w:eastAsia="Arial" w:hAnsi="Arial"/>
                <w:sz w:val="20"/>
                <w:szCs w:val="20"/>
                <w:color w:val="auto"/>
              </w:rPr>
              <w:t>EYLEA - U.S.</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1,629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1,473</w:t>
            </w:r>
          </w:p>
        </w:tc>
        <w:tc>
          <w:tcPr>
            <w:tcW w:w="100" w:type="dxa"/>
            <w:vAlign w:val="bottom"/>
          </w:tcPr>
          <w:p>
            <w:pPr>
              <w:spacing w:after="0"/>
              <w:rPr>
                <w:sz w:val="22"/>
                <w:szCs w:val="22"/>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11 %</w:t>
            </w:r>
          </w:p>
        </w:tc>
      </w:tr>
      <w:tr>
        <w:trPr>
          <w:trHeight w:val="257"/>
        </w:trPr>
        <w:tc>
          <w:tcPr>
            <w:tcW w:w="3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Libtayo - U.S.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22 %</w:t>
            </w:r>
          </w:p>
        </w:tc>
      </w:tr>
      <w:tr>
        <w:trPr>
          <w:trHeight w:val="257"/>
        </w:trPr>
        <w:tc>
          <w:tcPr>
            <w:tcW w:w="3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Libtayo - ROW**</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r>
      <w:tr>
        <w:trPr>
          <w:trHeight w:val="257"/>
        </w:trPr>
        <w:tc>
          <w:tcPr>
            <w:tcW w:w="3820" w:type="dxa"/>
            <w:vAlign w:val="bottom"/>
          </w:tcPr>
          <w:p>
            <w:pPr>
              <w:ind w:left="240"/>
              <w:spacing w:after="0" w:line="257"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45</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(33 %)</w:t>
            </w:r>
          </w:p>
        </w:tc>
      </w:tr>
      <w:tr>
        <w:trPr>
          <w:trHeight w:val="257"/>
        </w:trPr>
        <w:tc>
          <w:tcPr>
            <w:tcW w:w="3820" w:type="dxa"/>
            <w:vAlign w:val="bottom"/>
            <w:shd w:val="clear" w:color="auto" w:fill="CCEEFF"/>
          </w:tcPr>
          <w:p>
            <w:pPr>
              <w:ind w:left="240"/>
              <w:spacing w:after="0" w:line="257" w:lineRule="exact"/>
              <w:rPr>
                <w:sz w:val="20"/>
                <w:szCs w:val="20"/>
                <w:color w:val="auto"/>
              </w:rPr>
            </w:pPr>
            <w:r>
              <w:rPr>
                <w:rFonts w:ascii="Arial" w:cs="Arial" w:eastAsia="Arial" w:hAnsi="Arial"/>
                <w:sz w:val="20"/>
                <w:szCs w:val="20"/>
                <w:color w:val="auto"/>
              </w:rPr>
              <w:t>REGEN-COV</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677</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(100 %)</w:t>
            </w:r>
          </w:p>
        </w:tc>
      </w:tr>
      <w:tr>
        <w:trPr>
          <w:trHeight w:val="256"/>
        </w:trPr>
        <w:tc>
          <w:tcPr>
            <w:tcW w:w="3820" w:type="dxa"/>
            <w:vAlign w:val="bottom"/>
          </w:tcPr>
          <w:p>
            <w:pPr>
              <w:ind w:left="240"/>
              <w:spacing w:after="0" w:line="257" w:lineRule="exact"/>
              <w:rPr>
                <w:sz w:val="20"/>
                <w:szCs w:val="20"/>
                <w:color w:val="auto"/>
              </w:rPr>
            </w:pPr>
            <w:r>
              <w:rPr>
                <w:rFonts w:ascii="Arial" w:cs="Arial" w:eastAsia="Arial" w:hAnsi="Arial"/>
                <w:sz w:val="20"/>
                <w:szCs w:val="20"/>
                <w:color w:val="auto"/>
              </w:rPr>
              <w:t>Evkeeza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w:t>
            </w:r>
          </w:p>
        </w:tc>
        <w:tc>
          <w:tcPr>
            <w:tcW w:w="100" w:type="dxa"/>
            <w:vAlign w:val="bottom"/>
          </w:tcPr>
          <w:p>
            <w:pPr>
              <w:spacing w:after="0"/>
              <w:rPr>
                <w:sz w:val="22"/>
                <w:szCs w:val="22"/>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100 %</w:t>
            </w:r>
          </w:p>
        </w:tc>
      </w:tr>
      <w:tr>
        <w:trPr>
          <w:trHeight w:val="257"/>
        </w:trPr>
        <w:tc>
          <w:tcPr>
            <w:tcW w:w="3820" w:type="dxa"/>
            <w:vAlign w:val="bottom"/>
            <w:shd w:val="clear" w:color="auto" w:fill="CCEEFF"/>
          </w:tcPr>
          <w:p>
            <w:pPr>
              <w:ind w:left="240"/>
              <w:spacing w:after="0" w:line="257" w:lineRule="exact"/>
              <w:rPr>
                <w:sz w:val="20"/>
                <w:szCs w:val="20"/>
                <w:color w:val="auto"/>
              </w:rPr>
            </w:pPr>
            <w:r>
              <w:rPr>
                <w:rFonts w:ascii="Arial" w:cs="Arial" w:eastAsia="Arial" w:hAnsi="Arial"/>
                <w:sz w:val="20"/>
                <w:szCs w:val="20"/>
                <w:color w:val="auto"/>
              </w:rPr>
              <w:t>Inmazeb</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100 %</w:t>
            </w:r>
          </w:p>
        </w:tc>
      </w:tr>
      <w:tr>
        <w:trPr>
          <w:trHeight w:val="257"/>
        </w:trPr>
        <w:tc>
          <w:tcPr>
            <w:tcW w:w="3820" w:type="dxa"/>
            <w:vAlign w:val="bottom"/>
          </w:tcPr>
          <w:p>
            <w:pPr>
              <w:ind w:left="20"/>
              <w:spacing w:after="0"/>
              <w:rPr>
                <w:sz w:val="20"/>
                <w:szCs w:val="20"/>
                <w:color w:val="auto"/>
              </w:rPr>
            </w:pPr>
            <w:r>
              <w:rPr>
                <w:rFonts w:ascii="Arial" w:cs="Arial" w:eastAsia="Arial" w:hAnsi="Arial"/>
                <w:sz w:val="20"/>
                <w:szCs w:val="20"/>
                <w:color w:val="auto"/>
              </w:rPr>
              <w:t>Collaboration revenue:</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7"/>
        </w:trPr>
        <w:tc>
          <w:tcPr>
            <w:tcW w:w="3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Sanofi</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582</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22 %</w:t>
            </w:r>
          </w:p>
        </w:tc>
      </w:tr>
      <w:tr>
        <w:trPr>
          <w:trHeight w:val="256"/>
        </w:trPr>
        <w:tc>
          <w:tcPr>
            <w:tcW w:w="3820" w:type="dxa"/>
            <w:vAlign w:val="bottom"/>
          </w:tcPr>
          <w:p>
            <w:pPr>
              <w:ind w:left="240"/>
              <w:spacing w:after="0"/>
              <w:rPr>
                <w:sz w:val="20"/>
                <w:szCs w:val="20"/>
                <w:color w:val="auto"/>
              </w:rPr>
            </w:pPr>
            <w:r>
              <w:rPr>
                <w:rFonts w:ascii="Arial" w:cs="Arial" w:eastAsia="Arial" w:hAnsi="Arial"/>
                <w:sz w:val="20"/>
                <w:szCs w:val="20"/>
                <w:color w:val="auto"/>
              </w:rPr>
              <w:t>Bayer</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365</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(9 %)</w:t>
            </w:r>
          </w:p>
        </w:tc>
      </w:tr>
      <w:tr>
        <w:trPr>
          <w:trHeight w:val="257"/>
        </w:trPr>
        <w:tc>
          <w:tcPr>
            <w:tcW w:w="3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Roche</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(95 %)</w:t>
            </w:r>
          </w:p>
        </w:tc>
      </w:tr>
      <w:tr>
        <w:trPr>
          <w:trHeight w:val="257"/>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revenue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(15 %)</w:t>
            </w:r>
          </w:p>
        </w:tc>
      </w:tr>
      <w:tr>
        <w:trPr>
          <w:trHeight w:val="275"/>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3,453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(15 %)</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60" w:hanging="118"/>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23" w:lineRule="exact"/>
        <w:rPr>
          <w:sz w:val="20"/>
          <w:szCs w:val="20"/>
          <w:color w:val="auto"/>
        </w:rPr>
      </w:pPr>
    </w:p>
    <w:p>
      <w:pPr>
        <w:ind w:left="240" w:right="2980" w:firstLine="2"/>
        <w:spacing w:after="0" w:line="222" w:lineRule="auto"/>
        <w:tabs>
          <w:tab w:leader="none" w:pos="425" w:val="left"/>
        </w:tabs>
        <w:numPr>
          <w:ilvl w:val="0"/>
          <w:numId w:val="12"/>
        </w:numPr>
        <w:rPr>
          <w:rFonts w:ascii="Arial" w:cs="Arial" w:eastAsia="Arial" w:hAnsi="Arial"/>
          <w:sz w:val="18"/>
          <w:szCs w:val="18"/>
          <w:color w:val="auto"/>
        </w:rPr>
      </w:pPr>
      <w:r>
        <w:rPr>
          <w:rFonts w:ascii="Arial" w:cs="Arial" w:eastAsia="Arial" w:hAnsi="Arial"/>
          <w:sz w:val="16"/>
          <w:szCs w:val="16"/>
          <w:color w:val="auto"/>
        </w:rPr>
        <w:t>Rest of world (ROW). Effective July 1, 2022, the Company began recording net product sales of Libtayo outside the United States. Excluded from this line item is approximately $17 million of net product sales recorded by Sanofi in the third quarter of 2022 in connection with sales in certain markets (Sanofi will record net product sales in such markets during a transition period until inventory on hand as of July 1, 2022 is sold through to the end customers).</w:t>
      </w:r>
    </w:p>
    <w:p>
      <w:pPr>
        <w:spacing w:after="0" w:line="222"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color w:val="auto"/>
        </w:rPr>
        <w:t>Total revenues decreased 15% to $2.936 billion in the third quarter of 2022, compared to $3.453 billion in the third quarter of 2021. Total revenues excluding REGEN-COV and Ronapreve</w:t>
      </w:r>
      <w:r>
        <w:rPr>
          <w:rFonts w:ascii="Arial" w:cs="Arial" w:eastAsia="Arial" w:hAnsi="Arial"/>
          <w:sz w:val="28"/>
          <w:szCs w:val="28"/>
          <w:color w:val="auto"/>
          <w:vertAlign w:val="superscript"/>
        </w:rPr>
        <w:t>(b)</w:t>
      </w:r>
      <w:r>
        <w:rPr>
          <w:rFonts w:ascii="Arial" w:cs="Arial" w:eastAsia="Arial" w:hAnsi="Arial"/>
          <w:sz w:val="22"/>
          <w:szCs w:val="22"/>
          <w:color w:val="auto"/>
        </w:rPr>
        <w:t xml:space="preserve"> revenues for both periods increased by 11% to $2.930 billion in the third quarter of 2022, compared to the third quarter of 2021</w:t>
      </w:r>
      <w:r>
        <w:rPr>
          <w:rFonts w:ascii="Arial" w:cs="Arial" w:eastAsia="Arial" w:hAnsi="Arial"/>
          <w:sz w:val="12"/>
          <w:szCs w:val="12"/>
          <w:color w:val="auto"/>
        </w:rPr>
        <w:t>(a)</w:t>
      </w:r>
      <w:r>
        <w:rPr>
          <w:rFonts w:ascii="Arial" w:cs="Arial" w:eastAsia="Arial" w:hAnsi="Arial"/>
          <w:sz w:val="22"/>
          <w:szCs w:val="22"/>
          <w:color w:val="auto"/>
        </w:rPr>
        <w:t>. There have been no sales of REGEN-COV in the United States during 2022 as the Company had completed its final deliveries of drug product under its agreements with the U.S. government as of December 31, 2021.</w:t>
      </w:r>
    </w:p>
    <w:p>
      <w:pPr>
        <w:spacing w:after="0" w:line="12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Sanofi collaboration revenue increased by 22% to $711 million in the third quarter of 2022, compared to the third quarter of 2021. This increase was primarily due to the Company's share of profits from commercialization of antibodies, which were $551 million in the third quarter of 2022, compared to $387 million in the third quarter of 2021. The change in the Company's share of profits from commercialization of antibodies was driven by higher Dupixent profits, partly offset by a one-time payment of $57 million, recorded during the third quarter of 2022, in connection with the amended Antibody License and Collaboration Agreement as described above. In addition, in the third quarter of 2021, the Company earned a $50 million sales-based milestone from Sanofi based upon sales of antibodies outside the United States on a rolling twelve-month basis.</w:t>
      </w:r>
    </w:p>
    <w:p>
      <w:pPr>
        <w:spacing w:after="0" w:line="98" w:lineRule="exact"/>
        <w:rPr>
          <w:sz w:val="20"/>
          <w:szCs w:val="20"/>
          <w:color w:val="auto"/>
        </w:rPr>
      </w:pPr>
    </w:p>
    <w:p>
      <w:pPr>
        <w:ind w:right="380"/>
        <w:spacing w:after="0" w:line="285" w:lineRule="auto"/>
        <w:rPr>
          <w:sz w:val="20"/>
          <w:szCs w:val="20"/>
          <w:color w:val="auto"/>
        </w:rPr>
      </w:pPr>
      <w:r>
        <w:rPr>
          <w:rFonts w:ascii="Arial" w:cs="Arial" w:eastAsia="Arial" w:hAnsi="Arial"/>
          <w:sz w:val="22"/>
          <w:szCs w:val="22"/>
          <w:color w:val="auto"/>
        </w:rPr>
        <w:t>Roche collaboration revenue decreased in the third quarter of 2022, compared to the third quarter of 2021, due to lower sales of Ronapreve.</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043" w:right="37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4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20"/>
                <w:szCs w:val="20"/>
                <w:b w:val="1"/>
                <w:bCs w:val="1"/>
                <w:color w:val="auto"/>
              </w:rPr>
              <w:t>Q3 2022</w:t>
            </w:r>
          </w:p>
        </w:tc>
        <w:tc>
          <w:tcPr>
            <w:tcW w:w="14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b w:val="1"/>
                <w:bCs w:val="1"/>
                <w:color w:val="auto"/>
                <w:w w:val="98"/>
              </w:rPr>
              <w:t>Q3 2021</w:t>
            </w:r>
          </w:p>
        </w:tc>
        <w:tc>
          <w:tcPr>
            <w:tcW w:w="10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20"/>
                <w:szCs w:val="20"/>
                <w:b w:val="1"/>
                <w:bCs w:val="1"/>
                <w:color w:val="auto"/>
              </w:rPr>
              <w:t>% Change</w:t>
            </w:r>
          </w:p>
        </w:tc>
        <w:tc>
          <w:tcPr>
            <w:tcW w:w="14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20"/>
                <w:szCs w:val="20"/>
                <w:b w:val="1"/>
                <w:bCs w:val="1"/>
                <w:color w:val="auto"/>
              </w:rPr>
              <w:t>Q3 2022</w:t>
            </w:r>
          </w:p>
        </w:tc>
        <w:tc>
          <w:tcPr>
            <w:tcW w:w="160" w:type="dxa"/>
            <w:vAlign w:val="bottom"/>
          </w:tcPr>
          <w:p>
            <w:pPr>
              <w:spacing w:after="0"/>
              <w:rPr>
                <w:sz w:val="21"/>
                <w:szCs w:val="21"/>
                <w:color w:val="auto"/>
              </w:rPr>
            </w:pPr>
          </w:p>
        </w:tc>
        <w:tc>
          <w:tcPr>
            <w:tcW w:w="940" w:type="dxa"/>
            <w:vAlign w:val="bottom"/>
          </w:tcPr>
          <w:p>
            <w:pPr>
              <w:jc w:val="right"/>
              <w:ind w:right="61"/>
              <w:spacing w:after="0"/>
              <w:rPr>
                <w:sz w:val="20"/>
                <w:szCs w:val="20"/>
                <w:color w:val="auto"/>
              </w:rPr>
            </w:pPr>
            <w:r>
              <w:rPr>
                <w:rFonts w:ascii="Arial" w:cs="Arial" w:eastAsia="Arial" w:hAnsi="Arial"/>
                <w:sz w:val="20"/>
                <w:szCs w:val="20"/>
                <w:b w:val="1"/>
                <w:bCs w:val="1"/>
                <w:color w:val="auto"/>
                <w:w w:val="98"/>
              </w:rPr>
              <w:t>Q3 2021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911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665</w:t>
            </w: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37%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817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592</w:t>
            </w: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line="189" w:lineRule="exact"/>
              <w:rPr>
                <w:sz w:val="20"/>
                <w:szCs w:val="20"/>
                <w:color w:val="auto"/>
              </w:rPr>
            </w:pPr>
            <w:r>
              <w:rPr>
                <w:rFonts w:ascii="Arial" w:cs="Arial" w:eastAsia="Arial" w:hAnsi="Arial"/>
                <w:sz w:val="20"/>
                <w:szCs w:val="20"/>
                <w:color w:val="auto"/>
              </w:rPr>
              <w:t>Acquired in-process research and</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180" w:type="dxa"/>
            <w:vAlign w:val="bottom"/>
            <w:gridSpan w:val="2"/>
            <w:vMerge w:val="restart"/>
          </w:tcPr>
          <w:p>
            <w:pPr>
              <w:ind w:left="660"/>
              <w:spacing w:after="0"/>
              <w:rPr>
                <w:sz w:val="20"/>
                <w:szCs w:val="20"/>
                <w:color w:val="auto"/>
              </w:rPr>
            </w:pPr>
            <w:r>
              <w:rPr>
                <w:rFonts w:ascii="Arial" w:cs="Arial" w:eastAsia="Arial" w:hAnsi="Arial"/>
                <w:sz w:val="20"/>
                <w:szCs w:val="20"/>
                <w:color w:val="auto"/>
              </w:rPr>
              <w:t>n/a</w:t>
            </w:r>
          </w:p>
        </w:tc>
        <w:tc>
          <w:tcPr>
            <w:tcW w:w="140" w:type="dxa"/>
            <w:vAlign w:val="bottom"/>
          </w:tcPr>
          <w:p>
            <w:pPr>
              <w:spacing w:after="0"/>
              <w:rPr>
                <w:sz w:val="16"/>
                <w:szCs w:val="16"/>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4180" w:type="dxa"/>
            <w:vAlign w:val="bottom"/>
          </w:tcPr>
          <w:p>
            <w:pPr>
              <w:ind w:left="180"/>
              <w:spacing w:after="0" w:line="257" w:lineRule="exact"/>
              <w:rPr>
                <w:sz w:val="20"/>
                <w:szCs w:val="20"/>
                <w:color w:val="auto"/>
              </w:rPr>
            </w:pPr>
            <w:r>
              <w:rPr>
                <w:rFonts w:ascii="Arial" w:cs="Arial" w:eastAsia="Arial" w:hAnsi="Arial"/>
                <w:sz w:val="20"/>
                <w:szCs w:val="20"/>
                <w:color w:val="auto"/>
              </w:rPr>
              <w:t>development (IPR&amp;D)</w:t>
            </w:r>
            <w:r>
              <w:rPr>
                <w:rFonts w:ascii="Arial" w:cs="Arial" w:eastAsia="Arial" w:hAnsi="Arial"/>
                <w:sz w:val="25"/>
                <w:szCs w:val="25"/>
                <w:color w:val="auto"/>
                <w:vertAlign w:val="superscript"/>
              </w:rPr>
              <w:t>**</w:t>
            </w:r>
          </w:p>
        </w:tc>
        <w:tc>
          <w:tcPr>
            <w:tcW w:w="16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Selling, general, and administrative (SG&amp;A)</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445</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19%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391</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56"/>
        </w:trPr>
        <w:tc>
          <w:tcPr>
            <w:tcW w:w="418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141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239</w:t>
            </w:r>
          </w:p>
        </w:tc>
        <w:tc>
          <w:tcPr>
            <w:tcW w:w="1160" w:type="dxa"/>
            <w:vAlign w:val="bottom"/>
            <w:gridSpan w:val="2"/>
          </w:tcPr>
          <w:p>
            <w:pPr>
              <w:jc w:val="right"/>
              <w:ind w:right="21"/>
              <w:spacing w:after="0"/>
              <w:rPr>
                <w:sz w:val="20"/>
                <w:szCs w:val="20"/>
                <w:color w:val="auto"/>
              </w:rPr>
            </w:pPr>
            <w:r>
              <w:rPr>
                <w:rFonts w:ascii="Arial" w:cs="Arial" w:eastAsia="Arial" w:hAnsi="Arial"/>
                <w:sz w:val="20"/>
                <w:szCs w:val="20"/>
                <w:color w:val="auto"/>
              </w:rPr>
              <w:t>(41%)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109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224</w:t>
            </w:r>
          </w:p>
        </w:tc>
        <w:tc>
          <w:tcPr>
            <w:tcW w:w="1160" w:type="dxa"/>
            <w:vAlign w:val="bottom"/>
            <w:gridSpan w:val="2"/>
          </w:tcPr>
          <w:p>
            <w:pPr>
              <w:jc w:val="right"/>
              <w:ind w:right="21"/>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Cost of collaboration and contract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177</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214</w:t>
            </w:r>
          </w:p>
        </w:tc>
        <w:tc>
          <w:tcPr>
            <w:tcW w:w="1160" w:type="dxa"/>
            <w:vAlign w:val="bottom"/>
            <w:gridSpan w:val="2"/>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manufacturing (COCM)</w:t>
            </w:r>
          </w:p>
        </w:tc>
        <w:tc>
          <w:tcPr>
            <w:tcW w:w="16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60" w:type="dxa"/>
            <w:vAlign w:val="bottom"/>
            <w:vMerge w:val="continue"/>
            <w:shd w:val="clear" w:color="auto" w:fill="CCEEFF"/>
          </w:tcPr>
          <w:p>
            <w:pPr>
              <w:spacing w:after="0"/>
              <w:rPr>
                <w:sz w:val="22"/>
                <w:szCs w:val="22"/>
                <w:color w:val="auto"/>
              </w:rPr>
            </w:pPr>
          </w:p>
        </w:tc>
        <w:tc>
          <w:tcPr>
            <w:tcW w:w="1160" w:type="dxa"/>
            <w:vAlign w:val="bottom"/>
            <w:gridSpan w:val="2"/>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180" w:type="dxa"/>
            <w:vAlign w:val="bottom"/>
          </w:tcPr>
          <w:p>
            <w:pPr>
              <w:ind w:left="20"/>
              <w:spacing w:after="0"/>
              <w:rPr>
                <w:sz w:val="20"/>
                <w:szCs w:val="20"/>
                <w:color w:val="auto"/>
              </w:rPr>
            </w:pPr>
            <w:r>
              <w:rPr>
                <w:rFonts w:ascii="Arial" w:cs="Arial" w:eastAsia="Arial" w:hAnsi="Arial"/>
                <w:sz w:val="20"/>
                <w:szCs w:val="20"/>
                <w:color w:val="auto"/>
              </w:rPr>
              <w:t>Other operating (income) expense, net</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42</w:t>
            </w:r>
          </w:p>
        </w:tc>
        <w:tc>
          <w:tcPr>
            <w:tcW w:w="1160" w:type="dxa"/>
            <w:vAlign w:val="bottom"/>
            <w:gridSpan w:val="2"/>
          </w:tcPr>
          <w:p>
            <w:pPr>
              <w:jc w:val="right"/>
              <w:ind w:right="21"/>
              <w:spacing w:after="0"/>
              <w:rPr>
                <w:sz w:val="20"/>
                <w:szCs w:val="20"/>
                <w:color w:val="auto"/>
              </w:rPr>
            </w:pPr>
            <w:r>
              <w:rPr>
                <w:rFonts w:ascii="Arial" w:cs="Arial" w:eastAsia="Arial" w:hAnsi="Arial"/>
                <w:sz w:val="20"/>
                <w:szCs w:val="20"/>
                <w:color w:val="auto"/>
              </w:rPr>
              <w:t>(210%)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00" w:hanging="11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recorded.</w:t>
      </w:r>
    </w:p>
    <w:p>
      <w:pPr>
        <w:spacing w:after="0" w:line="23" w:lineRule="exact"/>
        <w:rPr>
          <w:sz w:val="20"/>
          <w:szCs w:val="20"/>
          <w:color w:val="auto"/>
        </w:rPr>
      </w:pPr>
    </w:p>
    <w:p>
      <w:pPr>
        <w:jc w:val="both"/>
        <w:ind w:left="180" w:right="280" w:firstLine="8"/>
        <w:spacing w:after="0" w:line="221" w:lineRule="auto"/>
        <w:tabs>
          <w:tab w:leader="none" w:pos="365" w:val="left"/>
        </w:tabs>
        <w:numPr>
          <w:ilvl w:val="0"/>
          <w:numId w:val="14"/>
        </w:numPr>
        <w:rPr>
          <w:rFonts w:ascii="Arial" w:cs="Arial" w:eastAsia="Arial" w:hAnsi="Arial"/>
          <w:sz w:val="18"/>
          <w:szCs w:val="18"/>
          <w:color w:val="auto"/>
        </w:rPr>
      </w:pPr>
      <w:r>
        <w:rPr>
          <w:rFonts w:ascii="Arial" w:cs="Arial" w:eastAsia="Arial" w:hAnsi="Arial"/>
          <w:sz w:val="16"/>
          <w:szCs w:val="16"/>
          <w:color w:val="auto"/>
        </w:rPr>
        <w:t>Beginning with the first quarter of 2022, the Company added this new line item to its Statements of Operations, which includes IPR&amp;D acquired in connection with asset acquisitions as well as up-front/opt-in payments related to license and collaboration agreements. Amounts recorded in this line would have historically been recorded to R&amp;D. This change does not affect previously reported non-GAAP results for the three and nine months ended September 30, 2021 as the Company recorded no such charges during either of these periods.</w:t>
      </w:r>
    </w:p>
    <w:p>
      <w:pPr>
        <w:spacing w:after="0" w:line="220" w:lineRule="exact"/>
        <w:rPr>
          <w:rFonts w:ascii="Arial" w:cs="Arial" w:eastAsia="Arial" w:hAnsi="Arial"/>
          <w:sz w:val="18"/>
          <w:szCs w:val="18"/>
          <w:color w:val="auto"/>
        </w:rPr>
      </w:pPr>
    </w:p>
    <w:p>
      <w:pPr>
        <w:ind w:left="660" w:right="120" w:hanging="328"/>
        <w:spacing w:after="0" w:line="253" w:lineRule="auto"/>
        <w:tabs>
          <w:tab w:leader="none" w:pos="655" w:val="left"/>
        </w:tabs>
        <w:numPr>
          <w:ilvl w:val="1"/>
          <w:numId w:val="14"/>
        </w:numPr>
        <w:rPr>
          <w:rFonts w:ascii="Arial" w:cs="Arial" w:eastAsia="Arial" w:hAnsi="Arial"/>
          <w:sz w:val="22"/>
          <w:szCs w:val="22"/>
          <w:color w:val="auto"/>
        </w:rPr>
      </w:pPr>
      <w:r>
        <w:rPr>
          <w:rFonts w:ascii="Arial" w:cs="Arial" w:eastAsia="Arial" w:hAnsi="Arial"/>
          <w:sz w:val="22"/>
          <w:szCs w:val="22"/>
          <w:color w:val="auto"/>
        </w:rPr>
        <w:t>GAAP and non-GAAP R&amp;D expenses increased in the third quarter of 2022, compared to the third quarter of 2021, partially driven by the impact of the amendments to the Sanofi collaboration agreements described above. The increase was also due to higher headcount and headcount-related costs, an increase in clinical manufacturing activities, and additional costs incurred in connection with the Company's oncology and earlier-stage pipeline.</w:t>
      </w:r>
    </w:p>
    <w:p>
      <w:pPr>
        <w:spacing w:after="0" w:line="30" w:lineRule="exact"/>
        <w:rPr>
          <w:rFonts w:ascii="Arial" w:cs="Arial" w:eastAsia="Arial" w:hAnsi="Arial"/>
          <w:sz w:val="22"/>
          <w:szCs w:val="22"/>
          <w:color w:val="auto"/>
        </w:rPr>
      </w:pPr>
    </w:p>
    <w:p>
      <w:pPr>
        <w:ind w:left="660" w:right="100" w:hanging="328"/>
        <w:spacing w:after="0" w:line="272" w:lineRule="auto"/>
        <w:tabs>
          <w:tab w:leader="none" w:pos="655" w:val="left"/>
        </w:tabs>
        <w:numPr>
          <w:ilvl w:val="1"/>
          <w:numId w:val="14"/>
        </w:numPr>
        <w:rPr>
          <w:rFonts w:ascii="Arial" w:cs="Arial" w:eastAsia="Arial" w:hAnsi="Arial"/>
          <w:sz w:val="22"/>
          <w:szCs w:val="22"/>
          <w:color w:val="auto"/>
        </w:rPr>
      </w:pPr>
      <w:r>
        <w:rPr>
          <w:rFonts w:ascii="Arial" w:cs="Arial" w:eastAsia="Arial" w:hAnsi="Arial"/>
          <w:sz w:val="22"/>
          <w:szCs w:val="22"/>
          <w:color w:val="auto"/>
        </w:rPr>
        <w:t>GAAP and non-GAAP SG&amp;A expenses increased in the third quarter of 2022, compared to the third quarter of 2021, primarily due to an increase in commercialization-related expenses for Libtayo.</w:t>
      </w:r>
    </w:p>
    <w:p>
      <w:pPr>
        <w:spacing w:after="0" w:line="20" w:lineRule="exact"/>
        <w:rPr>
          <w:rFonts w:ascii="Arial" w:cs="Arial" w:eastAsia="Arial" w:hAnsi="Arial"/>
          <w:sz w:val="22"/>
          <w:szCs w:val="22"/>
          <w:color w:val="auto"/>
        </w:rPr>
      </w:pPr>
    </w:p>
    <w:p>
      <w:pPr>
        <w:ind w:left="660" w:right="160" w:hanging="328"/>
        <w:spacing w:after="0" w:line="253" w:lineRule="auto"/>
        <w:tabs>
          <w:tab w:leader="none" w:pos="655" w:val="left"/>
        </w:tabs>
        <w:numPr>
          <w:ilvl w:val="1"/>
          <w:numId w:val="14"/>
        </w:numPr>
        <w:rPr>
          <w:rFonts w:ascii="Arial" w:cs="Arial" w:eastAsia="Arial" w:hAnsi="Arial"/>
          <w:sz w:val="22"/>
          <w:szCs w:val="22"/>
          <w:i w:val="1"/>
          <w:iCs w:val="1"/>
          <w:color w:val="auto"/>
        </w:rPr>
      </w:pPr>
      <w:r>
        <w:rPr>
          <w:rFonts w:ascii="Arial" w:cs="Arial" w:eastAsia="Arial" w:hAnsi="Arial"/>
          <w:sz w:val="22"/>
          <w:szCs w:val="22"/>
          <w:color w:val="auto"/>
        </w:rPr>
        <w:t>GAAP and non-GAAP COGS decreased in the third quarter of 2022, compared to the third quarter of 2021, primarily due to the Company not recognizing any REGEN-COV net product sales in the United States during 2022 and the Company no longer being obligated to pay Sanofi for their share of U.S. Libtayo gross profits following the acquisition of Libtayo worldwide rights.</w:t>
      </w:r>
    </w:p>
    <w:p>
      <w:pPr>
        <w:spacing w:after="0" w:line="40" w:lineRule="exact"/>
        <w:rPr>
          <w:rFonts w:ascii="Arial" w:cs="Arial" w:eastAsia="Arial" w:hAnsi="Arial"/>
          <w:sz w:val="22"/>
          <w:szCs w:val="22"/>
          <w:i w:val="1"/>
          <w:iCs w:val="1"/>
          <w:color w:val="auto"/>
        </w:rPr>
      </w:pPr>
    </w:p>
    <w:p>
      <w:pPr>
        <w:ind w:left="660" w:right="160" w:hanging="328"/>
        <w:spacing w:after="0" w:line="251" w:lineRule="auto"/>
        <w:tabs>
          <w:tab w:leader="none" w:pos="655" w:val="left"/>
        </w:tabs>
        <w:numPr>
          <w:ilvl w:val="1"/>
          <w:numId w:val="14"/>
        </w:numPr>
        <w:rPr>
          <w:rFonts w:ascii="Arial" w:cs="Arial" w:eastAsia="Arial" w:hAnsi="Arial"/>
          <w:sz w:val="22"/>
          <w:szCs w:val="22"/>
          <w:color w:val="auto"/>
        </w:rPr>
      </w:pPr>
      <w:r>
        <w:rPr>
          <w:rFonts w:ascii="Arial" w:cs="Arial" w:eastAsia="Arial" w:hAnsi="Arial"/>
          <w:sz w:val="22"/>
          <w:szCs w:val="22"/>
          <w:color w:val="auto"/>
        </w:rPr>
        <w:t>Other operating (income) expense, net, in the third quarter of 2022 included the recognition of $44 million (an increase to other operating income) as a result of discontinuing further clinical development of fasinumab related to the Company's Teva and Mitsubishi Tanabe Pharma collaborative arrangements. During the third quarter of 2021, the Company recognized a cumulative catch-up adjustment of $67 million (a reduction to other operating income) arising from an update to the estimate of the total R&amp;D costs expected to be incurred under the Sanofi Immuno-oncology collaboration agreement.</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39" w:lineRule="exact"/>
        <w:rPr>
          <w:sz w:val="20"/>
          <w:szCs w:val="20"/>
          <w:color w:val="auto"/>
        </w:rPr>
      </w:pPr>
    </w:p>
    <w:p>
      <w:pPr>
        <w:ind w:right="140"/>
        <w:spacing w:after="0" w:line="285" w:lineRule="auto"/>
        <w:rPr>
          <w:sz w:val="20"/>
          <w:szCs w:val="20"/>
          <w:color w:val="auto"/>
        </w:rPr>
      </w:pPr>
      <w:r>
        <w:rPr>
          <w:rFonts w:ascii="Arial" w:cs="Arial" w:eastAsia="Arial" w:hAnsi="Arial"/>
          <w:sz w:val="22"/>
          <w:szCs w:val="22"/>
          <w:color w:val="auto"/>
        </w:rPr>
        <w:t>GAAP other income (expense) included the recognition of net unrealized gains on equity securities of $254 million in the third quarter of 2022, compared to $29 million of net unrealized losses in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45" w:right="339" w:bottom="1440" w:gutter="0" w:footer="0" w:header="0"/>
        </w:sectPr>
      </w:pPr>
    </w:p>
    <w:bookmarkStart w:id="8" w:name="page9"/>
    <w:bookmarkEnd w:id="8"/>
    <w:p>
      <w:pPr>
        <w:ind w:right="20"/>
        <w:spacing w:after="0" w:line="251" w:lineRule="auto"/>
        <w:rPr>
          <w:sz w:val="20"/>
          <w:szCs w:val="20"/>
          <w:color w:val="auto"/>
        </w:rPr>
      </w:pPr>
      <w:r>
        <w:rPr>
          <w:rFonts w:ascii="Arial" w:cs="Arial" w:eastAsia="Arial" w:hAnsi="Arial"/>
          <w:sz w:val="22"/>
          <w:szCs w:val="22"/>
          <w:color w:val="auto"/>
        </w:rPr>
        <w:t>In the third quarter of 2022, the Company's GAAP effective tax rate (ETR) was 12.9%, compared to 10.2% in the third quarter of 2021. The GAAP ETR in the third quarter of 2022, compared to the third quarter of 2021, included a lower benefit from stock-based compensation and a higher benefit from the proportion of income earned in foreign jurisdictions with tax rates lower than the U.S. federal statutory rate (mainly due to no sales of REGEN-COV in the United States during 2022). In the third quarter of 2022, the non-GAAP ETR was 12.1%, compared to 10.8% in the third quarter of 2021.</w:t>
      </w:r>
    </w:p>
    <w:p>
      <w:pPr>
        <w:spacing w:after="0" w:line="100"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GAAP net income per diluted share was $11.66 in the third quarter of 2022, compared to $14.33 in the third quarter of 2021. Non-GAAP net income per diluted share was $11.14 in the third quarter of 2022, compared to $15.37 in the third quarter of 2021. A reconciliation of the Company's GAAP to non-GAAP results is included in Table 3 of this press release.</w:t>
      </w:r>
    </w:p>
    <w:p>
      <w:pPr>
        <w:spacing w:after="0" w:line="104" w:lineRule="exact"/>
        <w:rPr>
          <w:sz w:val="20"/>
          <w:szCs w:val="20"/>
          <w:color w:val="auto"/>
        </w:rPr>
      </w:pPr>
    </w:p>
    <w:p>
      <w:pPr>
        <w:ind w:right="120"/>
        <w:spacing w:after="0" w:line="257" w:lineRule="auto"/>
        <w:rPr>
          <w:sz w:val="20"/>
          <w:szCs w:val="20"/>
          <w:color w:val="auto"/>
        </w:rPr>
      </w:pPr>
      <w:r>
        <w:rPr>
          <w:rFonts w:ascii="Arial" w:cs="Arial" w:eastAsia="Arial" w:hAnsi="Arial"/>
          <w:sz w:val="22"/>
          <w:szCs w:val="22"/>
          <w:color w:val="auto"/>
        </w:rPr>
        <w:t>During the third quarter of 2022, the Company repurchased shares of common stock under its share repurchase program, and recorded the cost of the shares, or $913 million, as Treasury Stock. As of September 30, 2022, $1.186 billion remained available for share repurchases under the program.</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2022 Financial Guidance</w:t>
      </w:r>
      <w:r>
        <w:rPr>
          <w:rFonts w:ascii="Arial" w:cs="Arial" w:eastAsia="Arial" w:hAnsi="Arial"/>
          <w:sz w:val="12"/>
          <w:szCs w:val="12"/>
          <w:b w:val="1"/>
          <w:bCs w:val="1"/>
          <w:i w:val="1"/>
          <w:iCs w:val="1"/>
          <w:color w:val="auto"/>
        </w:rPr>
        <w:t>(d)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2022 financial guidance consists of the following components: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3660" w:type="dxa"/>
            <w:vAlign w:val="bottom"/>
          </w:tcPr>
          <w:p>
            <w:pPr>
              <w:spacing w:after="0"/>
              <w:rPr>
                <w:sz w:val="24"/>
                <w:szCs w:val="24"/>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96"/>
              </w:rPr>
              <w:t>GAAP</w:t>
            </w:r>
          </w:p>
        </w:tc>
        <w:tc>
          <w:tcPr>
            <w:tcW w:w="2620" w:type="dxa"/>
            <w:vAlign w:val="bottom"/>
          </w:tcPr>
          <w:p>
            <w:pPr>
              <w:jc w:val="center"/>
              <w:spacing w:after="0"/>
              <w:rPr>
                <w:sz w:val="20"/>
                <w:szCs w:val="20"/>
                <w:color w:val="auto"/>
              </w:rPr>
            </w:pPr>
            <w:r>
              <w:rPr>
                <w:rFonts w:ascii="Arial" w:cs="Arial" w:eastAsia="Arial" w:hAnsi="Arial"/>
                <w:sz w:val="20"/>
                <w:szCs w:val="20"/>
                <w:b w:val="1"/>
                <w:bCs w:val="1"/>
                <w:color w:val="auto"/>
                <w:w w:val="95"/>
              </w:rPr>
              <w:t>Non-GAAP</w:t>
            </w:r>
            <w:r>
              <w:rPr>
                <w:rFonts w:ascii="Arial" w:cs="Arial" w:eastAsia="Arial" w:hAnsi="Arial"/>
                <w:sz w:val="25"/>
                <w:szCs w:val="25"/>
                <w:b w:val="1"/>
                <w:bCs w:val="1"/>
                <w:color w:val="auto"/>
                <w:w w:val="95"/>
                <w:vertAlign w:val="superscript"/>
              </w:rPr>
              <w:t>(a)</w:t>
            </w:r>
          </w:p>
        </w:tc>
      </w:tr>
      <w:tr>
        <w:trPr>
          <w:trHeight w:val="183"/>
        </w:trPr>
        <w:tc>
          <w:tcPr>
            <w:tcW w:w="36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20"/>
                <w:szCs w:val="20"/>
                <w:color w:val="auto"/>
              </w:rPr>
              <w:t>R&amp;D</w:t>
            </w:r>
          </w:p>
        </w:tc>
        <w:tc>
          <w:tcPr>
            <w:tcW w:w="262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20"/>
                <w:szCs w:val="20"/>
                <w:color w:val="auto"/>
                <w:w w:val="98"/>
              </w:rPr>
              <w:t>$3.515–$3.600 billion</w:t>
            </w:r>
          </w:p>
        </w:tc>
        <w:tc>
          <w:tcPr>
            <w:tcW w:w="140" w:type="dxa"/>
            <w:vAlign w:val="bottom"/>
            <w:tcBorders>
              <w:top w:val="single" w:sz="8" w:color="CCEEFF"/>
            </w:tcBorders>
            <w:shd w:val="clear" w:color="auto" w:fill="CCEEFF"/>
          </w:tcPr>
          <w:p>
            <w:pPr>
              <w:spacing w:after="0"/>
              <w:rPr>
                <w:sz w:val="15"/>
                <w:szCs w:val="15"/>
                <w:color w:val="auto"/>
              </w:rPr>
            </w:pPr>
          </w:p>
        </w:tc>
        <w:tc>
          <w:tcPr>
            <w:tcW w:w="262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20"/>
                <w:szCs w:val="20"/>
                <w:color w:val="auto"/>
                <w:w w:val="97"/>
              </w:rPr>
              <w:t>$3.110–$3.170 billion</w:t>
            </w:r>
          </w:p>
        </w:tc>
      </w:tr>
      <w:tr>
        <w:trPr>
          <w:trHeight w:val="194"/>
        </w:trPr>
        <w:tc>
          <w:tcPr>
            <w:tcW w:w="36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jc w:val="center"/>
              <w:ind w:right="120"/>
              <w:spacing w:after="0" w:line="194" w:lineRule="exact"/>
              <w:rPr>
                <w:sz w:val="20"/>
                <w:szCs w:val="20"/>
                <w:color w:val="auto"/>
              </w:rPr>
            </w:pPr>
            <w:r>
              <w:rPr>
                <w:rFonts w:ascii="Arial" w:cs="Arial" w:eastAsia="Arial" w:hAnsi="Arial"/>
                <w:sz w:val="20"/>
                <w:szCs w:val="20"/>
                <w:i w:val="1"/>
                <w:iCs w:val="1"/>
                <w:color w:val="auto"/>
                <w:w w:val="98"/>
              </w:rPr>
              <w:t>(previously $3.485–$3.655</w:t>
            </w:r>
          </w:p>
        </w:tc>
        <w:tc>
          <w:tcPr>
            <w:tcW w:w="2620" w:type="dxa"/>
            <w:vAlign w:val="bottom"/>
            <w:shd w:val="clear" w:color="auto" w:fill="CCEEFF"/>
          </w:tcPr>
          <w:p>
            <w:pPr>
              <w:jc w:val="center"/>
              <w:spacing w:after="0" w:line="194" w:lineRule="exact"/>
              <w:rPr>
                <w:sz w:val="20"/>
                <w:szCs w:val="20"/>
                <w:color w:val="auto"/>
              </w:rPr>
            </w:pPr>
            <w:r>
              <w:rPr>
                <w:rFonts w:ascii="Arial" w:cs="Arial" w:eastAsia="Arial" w:hAnsi="Arial"/>
                <w:sz w:val="20"/>
                <w:szCs w:val="20"/>
                <w:i w:val="1"/>
                <w:iCs w:val="1"/>
                <w:color w:val="auto"/>
                <w:w w:val="99"/>
              </w:rPr>
              <w:t>(previously $3.100–$3.240</w:t>
            </w:r>
          </w:p>
        </w:tc>
      </w:tr>
      <w:tr>
        <w:trPr>
          <w:trHeight w:val="272"/>
        </w:trPr>
        <w:tc>
          <w:tcPr>
            <w:tcW w:w="3660" w:type="dxa"/>
            <w:vAlign w:val="bottom"/>
            <w:tcBorders>
              <w:bottom w:val="single" w:sz="8" w:color="CCEEFF"/>
            </w:tcBorders>
            <w:shd w:val="clear" w:color="auto" w:fill="CCEEFF"/>
          </w:tcPr>
          <w:p>
            <w:pPr>
              <w:spacing w:after="0"/>
              <w:rPr>
                <w:sz w:val="23"/>
                <w:szCs w:val="23"/>
                <w:color w:val="auto"/>
              </w:rPr>
            </w:pPr>
          </w:p>
        </w:tc>
        <w:tc>
          <w:tcPr>
            <w:tcW w:w="27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20"/>
                <w:szCs w:val="20"/>
                <w:i w:val="1"/>
                <w:iCs w:val="1"/>
                <w:color w:val="auto"/>
                <w:w w:val="96"/>
              </w:rPr>
              <w:t>billion)</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i w:val="1"/>
                <w:iCs w:val="1"/>
                <w:color w:val="auto"/>
              </w:rPr>
              <w:t>billion)</w:t>
            </w:r>
          </w:p>
        </w:tc>
      </w:tr>
      <w:tr>
        <w:trPr>
          <w:trHeight w:val="189"/>
        </w:trPr>
        <w:tc>
          <w:tcPr>
            <w:tcW w:w="3660" w:type="dxa"/>
            <w:vAlign w:val="bottom"/>
          </w:tcPr>
          <w:p>
            <w:pPr>
              <w:ind w:left="20"/>
              <w:spacing w:after="0" w:line="189" w:lineRule="exact"/>
              <w:rPr>
                <w:sz w:val="20"/>
                <w:szCs w:val="20"/>
                <w:color w:val="auto"/>
              </w:rPr>
            </w:pPr>
            <w:r>
              <w:rPr>
                <w:rFonts w:ascii="Arial" w:cs="Arial" w:eastAsia="Arial" w:hAnsi="Arial"/>
                <w:sz w:val="20"/>
                <w:szCs w:val="20"/>
                <w:color w:val="auto"/>
              </w:rPr>
              <w:t>SG&amp;A</w:t>
            </w:r>
          </w:p>
        </w:tc>
        <w:tc>
          <w:tcPr>
            <w:tcW w:w="2760" w:type="dxa"/>
            <w:vAlign w:val="bottom"/>
            <w:gridSpan w:val="2"/>
          </w:tcPr>
          <w:p>
            <w:pPr>
              <w:jc w:val="center"/>
              <w:ind w:right="120"/>
              <w:spacing w:after="0" w:line="189" w:lineRule="exact"/>
              <w:rPr>
                <w:sz w:val="20"/>
                <w:szCs w:val="20"/>
                <w:color w:val="auto"/>
              </w:rPr>
            </w:pPr>
            <w:r>
              <w:rPr>
                <w:rFonts w:ascii="Arial" w:cs="Arial" w:eastAsia="Arial" w:hAnsi="Arial"/>
                <w:sz w:val="20"/>
                <w:szCs w:val="20"/>
                <w:color w:val="auto"/>
                <w:w w:val="98"/>
              </w:rPr>
              <w:t>$2.010–$2.090 billion</w:t>
            </w:r>
          </w:p>
        </w:tc>
        <w:tc>
          <w:tcPr>
            <w:tcW w:w="2620" w:type="dxa"/>
            <w:vAlign w:val="bottom"/>
          </w:tcPr>
          <w:p>
            <w:pPr>
              <w:jc w:val="center"/>
              <w:spacing w:after="0" w:line="189" w:lineRule="exact"/>
              <w:rPr>
                <w:sz w:val="20"/>
                <w:szCs w:val="20"/>
                <w:color w:val="auto"/>
              </w:rPr>
            </w:pPr>
            <w:r>
              <w:rPr>
                <w:rFonts w:ascii="Arial" w:cs="Arial" w:eastAsia="Arial" w:hAnsi="Arial"/>
                <w:sz w:val="20"/>
                <w:szCs w:val="20"/>
                <w:color w:val="auto"/>
                <w:w w:val="99"/>
              </w:rPr>
              <w:t>$1.760–$1.820 billion</w:t>
            </w:r>
          </w:p>
        </w:tc>
      </w:tr>
      <w:tr>
        <w:trPr>
          <w:trHeight w:val="194"/>
        </w:trPr>
        <w:tc>
          <w:tcPr>
            <w:tcW w:w="3660" w:type="dxa"/>
            <w:vAlign w:val="bottom"/>
          </w:tcPr>
          <w:p>
            <w:pPr>
              <w:spacing w:after="0"/>
              <w:rPr>
                <w:sz w:val="16"/>
                <w:szCs w:val="16"/>
                <w:color w:val="auto"/>
              </w:rPr>
            </w:pPr>
          </w:p>
        </w:tc>
        <w:tc>
          <w:tcPr>
            <w:tcW w:w="2760" w:type="dxa"/>
            <w:vAlign w:val="bottom"/>
            <w:gridSpan w:val="2"/>
          </w:tcPr>
          <w:p>
            <w:pPr>
              <w:jc w:val="center"/>
              <w:ind w:right="120"/>
              <w:spacing w:after="0" w:line="194" w:lineRule="exact"/>
              <w:rPr>
                <w:sz w:val="20"/>
                <w:szCs w:val="20"/>
                <w:color w:val="auto"/>
              </w:rPr>
            </w:pPr>
            <w:r>
              <w:rPr>
                <w:rFonts w:ascii="Arial" w:cs="Arial" w:eastAsia="Arial" w:hAnsi="Arial"/>
                <w:sz w:val="20"/>
                <w:szCs w:val="20"/>
                <w:i w:val="1"/>
                <w:iCs w:val="1"/>
                <w:color w:val="auto"/>
                <w:w w:val="98"/>
              </w:rPr>
              <w:t>(previously $1.990–$2.110</w:t>
            </w:r>
          </w:p>
        </w:tc>
        <w:tc>
          <w:tcPr>
            <w:tcW w:w="2620" w:type="dxa"/>
            <w:vAlign w:val="bottom"/>
          </w:tcPr>
          <w:p>
            <w:pPr>
              <w:jc w:val="center"/>
              <w:spacing w:after="0" w:line="194" w:lineRule="exact"/>
              <w:rPr>
                <w:sz w:val="20"/>
                <w:szCs w:val="20"/>
                <w:color w:val="auto"/>
              </w:rPr>
            </w:pPr>
            <w:r>
              <w:rPr>
                <w:rFonts w:ascii="Arial" w:cs="Arial" w:eastAsia="Arial" w:hAnsi="Arial"/>
                <w:sz w:val="20"/>
                <w:szCs w:val="20"/>
                <w:i w:val="1"/>
                <w:iCs w:val="1"/>
                <w:color w:val="auto"/>
                <w:w w:val="99"/>
              </w:rPr>
              <w:t>(previously $1.740–$1.840</w:t>
            </w:r>
          </w:p>
        </w:tc>
      </w:tr>
      <w:tr>
        <w:trPr>
          <w:trHeight w:val="261"/>
        </w:trPr>
        <w:tc>
          <w:tcPr>
            <w:tcW w:w="3660" w:type="dxa"/>
            <w:vAlign w:val="bottom"/>
          </w:tcPr>
          <w:p>
            <w:pPr>
              <w:spacing w:after="0"/>
              <w:rPr>
                <w:sz w:val="22"/>
                <w:szCs w:val="2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20"/>
                <w:szCs w:val="20"/>
                <w:i w:val="1"/>
                <w:iCs w:val="1"/>
                <w:color w:val="auto"/>
                <w:w w:val="96"/>
              </w:rPr>
              <w:t>billion)</w:t>
            </w:r>
          </w:p>
        </w:tc>
        <w:tc>
          <w:tcPr>
            <w:tcW w:w="2620" w:type="dxa"/>
            <w:vAlign w:val="bottom"/>
          </w:tcPr>
          <w:p>
            <w:pPr>
              <w:jc w:val="center"/>
              <w:spacing w:after="0"/>
              <w:rPr>
                <w:sz w:val="20"/>
                <w:szCs w:val="20"/>
                <w:color w:val="auto"/>
              </w:rPr>
            </w:pPr>
            <w:r>
              <w:rPr>
                <w:rFonts w:ascii="Arial" w:cs="Arial" w:eastAsia="Arial" w:hAnsi="Arial"/>
                <w:sz w:val="20"/>
                <w:szCs w:val="20"/>
                <w:i w:val="1"/>
                <w:iCs w:val="1"/>
                <w:color w:val="auto"/>
              </w:rPr>
              <w:t>billion)</w:t>
            </w:r>
          </w:p>
        </w:tc>
      </w:tr>
      <w:tr>
        <w:trPr>
          <w:trHeight w:val="44"/>
        </w:trPr>
        <w:tc>
          <w:tcPr>
            <w:tcW w:w="36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189"/>
        </w:trPr>
        <w:tc>
          <w:tcPr>
            <w:tcW w:w="36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Gross margin on net product sales</w:t>
            </w:r>
            <w:r>
              <w:rPr>
                <w:rFonts w:ascii="Arial" w:cs="Arial" w:eastAsia="Arial" w:hAnsi="Arial"/>
                <w:sz w:val="21"/>
                <w:szCs w:val="21"/>
                <w:color w:val="auto"/>
                <w:vertAlign w:val="superscript"/>
              </w:rPr>
              <w:t>(e)</w:t>
            </w:r>
          </w:p>
        </w:tc>
        <w:tc>
          <w:tcPr>
            <w:tcW w:w="276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20"/>
                <w:szCs w:val="20"/>
                <w:color w:val="auto"/>
                <w:w w:val="98"/>
              </w:rPr>
              <w:t>90.5%–91%</w:t>
            </w:r>
          </w:p>
        </w:tc>
        <w:tc>
          <w:tcPr>
            <w:tcW w:w="262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color w:val="auto"/>
                <w:w w:val="98"/>
              </w:rPr>
              <w:t>92.5%–93%</w:t>
            </w:r>
          </w:p>
        </w:tc>
      </w:tr>
      <w:tr>
        <w:trPr>
          <w:trHeight w:val="277"/>
        </w:trPr>
        <w:tc>
          <w:tcPr>
            <w:tcW w:w="366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20"/>
                <w:szCs w:val="20"/>
                <w:i w:val="1"/>
                <w:iCs w:val="1"/>
                <w:color w:val="auto"/>
                <w:w w:val="98"/>
              </w:rPr>
              <w:t>(previously 90%–91%)</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i w:val="1"/>
                <w:iCs w:val="1"/>
                <w:color w:val="auto"/>
                <w:w w:val="98"/>
              </w:rPr>
              <w:t>(previously 92%–93%)</w:t>
            </w:r>
          </w:p>
        </w:tc>
      </w:tr>
      <w:tr>
        <w:trPr>
          <w:trHeight w:val="189"/>
        </w:trPr>
        <w:tc>
          <w:tcPr>
            <w:tcW w:w="3660" w:type="dxa"/>
            <w:vAlign w:val="bottom"/>
          </w:tcPr>
          <w:p>
            <w:pPr>
              <w:ind w:left="20"/>
              <w:spacing w:after="0" w:line="189" w:lineRule="exact"/>
              <w:rPr>
                <w:sz w:val="20"/>
                <w:szCs w:val="20"/>
                <w:color w:val="auto"/>
              </w:rPr>
            </w:pPr>
            <w:r>
              <w:rPr>
                <w:rFonts w:ascii="Arial" w:cs="Arial" w:eastAsia="Arial" w:hAnsi="Arial"/>
                <w:sz w:val="17"/>
                <w:szCs w:val="17"/>
                <w:color w:val="auto"/>
              </w:rPr>
              <w:t>COCM</w:t>
            </w:r>
            <w:r>
              <w:rPr>
                <w:rFonts w:ascii="Arial" w:cs="Arial" w:eastAsia="Arial" w:hAnsi="Arial"/>
                <w:sz w:val="21"/>
                <w:szCs w:val="21"/>
                <w:color w:val="auto"/>
                <w:vertAlign w:val="superscript"/>
              </w:rPr>
              <w:t>(f)</w:t>
            </w:r>
          </w:p>
        </w:tc>
        <w:tc>
          <w:tcPr>
            <w:tcW w:w="2760" w:type="dxa"/>
            <w:vAlign w:val="bottom"/>
            <w:gridSpan w:val="2"/>
          </w:tcPr>
          <w:p>
            <w:pPr>
              <w:jc w:val="center"/>
              <w:ind w:right="120"/>
              <w:spacing w:after="0" w:line="189" w:lineRule="exact"/>
              <w:rPr>
                <w:sz w:val="20"/>
                <w:szCs w:val="20"/>
                <w:color w:val="auto"/>
              </w:rPr>
            </w:pPr>
            <w:r>
              <w:rPr>
                <w:rFonts w:ascii="Arial" w:cs="Arial" w:eastAsia="Arial" w:hAnsi="Arial"/>
                <w:sz w:val="20"/>
                <w:szCs w:val="20"/>
                <w:color w:val="auto"/>
                <w:w w:val="98"/>
              </w:rPr>
              <w:t>$710–$740 million</w:t>
            </w:r>
          </w:p>
        </w:tc>
        <w:tc>
          <w:tcPr>
            <w:tcW w:w="2620" w:type="dxa"/>
            <w:vAlign w:val="bottom"/>
          </w:tcPr>
          <w:p>
            <w:pPr>
              <w:jc w:val="center"/>
              <w:spacing w:after="0" w:line="189" w:lineRule="exact"/>
              <w:rPr>
                <w:sz w:val="20"/>
                <w:szCs w:val="20"/>
                <w:color w:val="auto"/>
              </w:rPr>
            </w:pPr>
            <w:r>
              <w:rPr>
                <w:rFonts w:ascii="Arial" w:cs="Arial" w:eastAsia="Arial" w:hAnsi="Arial"/>
                <w:sz w:val="20"/>
                <w:szCs w:val="20"/>
                <w:color w:val="auto"/>
                <w:w w:val="76"/>
              </w:rPr>
              <w:t>*</w:t>
            </w:r>
          </w:p>
        </w:tc>
      </w:tr>
      <w:tr>
        <w:trPr>
          <w:trHeight w:val="194"/>
        </w:trPr>
        <w:tc>
          <w:tcPr>
            <w:tcW w:w="3660" w:type="dxa"/>
            <w:vAlign w:val="bottom"/>
          </w:tcPr>
          <w:p>
            <w:pPr>
              <w:spacing w:after="0"/>
              <w:rPr>
                <w:sz w:val="16"/>
                <w:szCs w:val="16"/>
                <w:color w:val="auto"/>
              </w:rPr>
            </w:pPr>
          </w:p>
        </w:tc>
        <w:tc>
          <w:tcPr>
            <w:tcW w:w="2760" w:type="dxa"/>
            <w:vAlign w:val="bottom"/>
            <w:gridSpan w:val="2"/>
          </w:tcPr>
          <w:p>
            <w:pPr>
              <w:jc w:val="center"/>
              <w:ind w:right="120"/>
              <w:spacing w:after="0" w:line="194" w:lineRule="exact"/>
              <w:rPr>
                <w:sz w:val="20"/>
                <w:szCs w:val="20"/>
                <w:color w:val="auto"/>
              </w:rPr>
            </w:pPr>
            <w:r>
              <w:rPr>
                <w:rFonts w:ascii="Arial" w:cs="Arial" w:eastAsia="Arial" w:hAnsi="Arial"/>
                <w:sz w:val="20"/>
                <w:szCs w:val="20"/>
                <w:i w:val="1"/>
                <w:iCs w:val="1"/>
                <w:color w:val="auto"/>
                <w:w w:val="98"/>
              </w:rPr>
              <w:t>(previously $710–$760</w:t>
            </w:r>
          </w:p>
        </w:tc>
        <w:tc>
          <w:tcPr>
            <w:tcW w:w="2620" w:type="dxa"/>
            <w:vAlign w:val="bottom"/>
          </w:tcPr>
          <w:p>
            <w:pPr>
              <w:spacing w:after="0"/>
              <w:rPr>
                <w:sz w:val="16"/>
                <w:szCs w:val="16"/>
                <w:color w:val="auto"/>
              </w:rPr>
            </w:pPr>
          </w:p>
        </w:tc>
      </w:tr>
      <w:tr>
        <w:trPr>
          <w:trHeight w:val="261"/>
        </w:trPr>
        <w:tc>
          <w:tcPr>
            <w:tcW w:w="3660" w:type="dxa"/>
            <w:vAlign w:val="bottom"/>
          </w:tcPr>
          <w:p>
            <w:pPr>
              <w:spacing w:after="0"/>
              <w:rPr>
                <w:sz w:val="22"/>
                <w:szCs w:val="2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20"/>
                <w:szCs w:val="20"/>
                <w:i w:val="1"/>
                <w:iCs w:val="1"/>
                <w:color w:val="auto"/>
                <w:w w:val="97"/>
              </w:rPr>
              <w:t>million)</w:t>
            </w:r>
          </w:p>
        </w:tc>
        <w:tc>
          <w:tcPr>
            <w:tcW w:w="2620" w:type="dxa"/>
            <w:vAlign w:val="bottom"/>
          </w:tcPr>
          <w:p>
            <w:pPr>
              <w:spacing w:after="0"/>
              <w:rPr>
                <w:sz w:val="22"/>
                <w:szCs w:val="22"/>
                <w:color w:val="auto"/>
              </w:rPr>
            </w:pPr>
          </w:p>
        </w:tc>
      </w:tr>
      <w:tr>
        <w:trPr>
          <w:trHeight w:val="44"/>
        </w:trPr>
        <w:tc>
          <w:tcPr>
            <w:tcW w:w="36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189"/>
        </w:trPr>
        <w:tc>
          <w:tcPr>
            <w:tcW w:w="36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Other operating (income) expense, net</w:t>
            </w:r>
          </w:p>
        </w:tc>
        <w:tc>
          <w:tcPr>
            <w:tcW w:w="276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20"/>
                <w:szCs w:val="20"/>
                <w:color w:val="auto"/>
                <w:w w:val="98"/>
              </w:rPr>
              <w:t>Approximately ($85) million</w:t>
            </w:r>
          </w:p>
        </w:tc>
        <w:tc>
          <w:tcPr>
            <w:tcW w:w="262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color w:val="auto"/>
                <w:w w:val="76"/>
              </w:rPr>
              <w:t>*</w:t>
            </w:r>
          </w:p>
        </w:tc>
      </w:tr>
      <w:tr>
        <w:trPr>
          <w:trHeight w:val="194"/>
        </w:trPr>
        <w:tc>
          <w:tcPr>
            <w:tcW w:w="36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jc w:val="center"/>
              <w:ind w:right="120"/>
              <w:spacing w:after="0" w:line="194" w:lineRule="exact"/>
              <w:rPr>
                <w:sz w:val="20"/>
                <w:szCs w:val="20"/>
                <w:color w:val="auto"/>
              </w:rPr>
            </w:pPr>
            <w:r>
              <w:rPr>
                <w:rFonts w:ascii="Arial" w:cs="Arial" w:eastAsia="Arial" w:hAnsi="Arial"/>
                <w:sz w:val="20"/>
                <w:szCs w:val="20"/>
                <w:i w:val="1"/>
                <w:iCs w:val="1"/>
                <w:color w:val="auto"/>
                <w:w w:val="98"/>
              </w:rPr>
              <w:t>(previously ($40)–($60)</w:t>
            </w:r>
          </w:p>
        </w:tc>
        <w:tc>
          <w:tcPr>
            <w:tcW w:w="2620" w:type="dxa"/>
            <w:vAlign w:val="bottom"/>
            <w:shd w:val="clear" w:color="auto" w:fill="CCEEFF"/>
          </w:tcPr>
          <w:p>
            <w:pPr>
              <w:spacing w:after="0"/>
              <w:rPr>
                <w:sz w:val="16"/>
                <w:szCs w:val="16"/>
                <w:color w:val="auto"/>
              </w:rPr>
            </w:pPr>
          </w:p>
        </w:tc>
      </w:tr>
      <w:tr>
        <w:trPr>
          <w:trHeight w:val="285"/>
        </w:trPr>
        <w:tc>
          <w:tcPr>
            <w:tcW w:w="366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20"/>
                <w:szCs w:val="20"/>
                <w:i w:val="1"/>
                <w:iCs w:val="1"/>
                <w:color w:val="auto"/>
                <w:w w:val="97"/>
              </w:rPr>
              <w:t>million)</w:t>
            </w:r>
          </w:p>
        </w:tc>
        <w:tc>
          <w:tcPr>
            <w:tcW w:w="2620" w:type="dxa"/>
            <w:vAlign w:val="bottom"/>
            <w:tcBorders>
              <w:bottom w:val="single" w:sz="8" w:color="CCEEFF"/>
            </w:tcBorders>
            <w:shd w:val="clear" w:color="auto" w:fill="CCEEFF"/>
          </w:tcPr>
          <w:p>
            <w:pPr>
              <w:spacing w:after="0"/>
              <w:rPr>
                <w:sz w:val="24"/>
                <w:szCs w:val="24"/>
                <w:color w:val="auto"/>
              </w:rPr>
            </w:pPr>
          </w:p>
        </w:tc>
      </w:tr>
      <w:tr>
        <w:trPr>
          <w:trHeight w:val="189"/>
        </w:trPr>
        <w:tc>
          <w:tcPr>
            <w:tcW w:w="3660" w:type="dxa"/>
            <w:vAlign w:val="bottom"/>
          </w:tcPr>
          <w:p>
            <w:pPr>
              <w:ind w:left="20"/>
              <w:spacing w:after="0" w:line="189" w:lineRule="exact"/>
              <w:rPr>
                <w:sz w:val="20"/>
                <w:szCs w:val="20"/>
                <w:color w:val="auto"/>
              </w:rPr>
            </w:pPr>
            <w:r>
              <w:rPr>
                <w:rFonts w:ascii="Arial" w:cs="Arial" w:eastAsia="Arial" w:hAnsi="Arial"/>
                <w:sz w:val="20"/>
                <w:szCs w:val="20"/>
                <w:color w:val="auto"/>
              </w:rPr>
              <w:t>Capital expenditures</w:t>
            </w:r>
          </w:p>
        </w:tc>
        <w:tc>
          <w:tcPr>
            <w:tcW w:w="2760" w:type="dxa"/>
            <w:vAlign w:val="bottom"/>
            <w:gridSpan w:val="2"/>
          </w:tcPr>
          <w:p>
            <w:pPr>
              <w:jc w:val="center"/>
              <w:ind w:right="120"/>
              <w:spacing w:after="0" w:line="189" w:lineRule="exact"/>
              <w:rPr>
                <w:sz w:val="20"/>
                <w:szCs w:val="20"/>
                <w:color w:val="auto"/>
              </w:rPr>
            </w:pPr>
            <w:r>
              <w:rPr>
                <w:rFonts w:ascii="Arial" w:cs="Arial" w:eastAsia="Arial" w:hAnsi="Arial"/>
                <w:sz w:val="20"/>
                <w:szCs w:val="20"/>
                <w:color w:val="auto"/>
                <w:w w:val="98"/>
              </w:rPr>
              <w:t>$580–$615 million</w:t>
            </w:r>
          </w:p>
        </w:tc>
        <w:tc>
          <w:tcPr>
            <w:tcW w:w="2620" w:type="dxa"/>
            <w:vAlign w:val="bottom"/>
          </w:tcPr>
          <w:p>
            <w:pPr>
              <w:jc w:val="center"/>
              <w:spacing w:after="0" w:line="189" w:lineRule="exact"/>
              <w:rPr>
                <w:sz w:val="20"/>
                <w:szCs w:val="20"/>
                <w:color w:val="auto"/>
              </w:rPr>
            </w:pPr>
            <w:r>
              <w:rPr>
                <w:rFonts w:ascii="Arial" w:cs="Arial" w:eastAsia="Arial" w:hAnsi="Arial"/>
                <w:sz w:val="20"/>
                <w:szCs w:val="20"/>
                <w:color w:val="auto"/>
                <w:w w:val="76"/>
              </w:rPr>
              <w:t>*</w:t>
            </w:r>
          </w:p>
        </w:tc>
      </w:tr>
      <w:tr>
        <w:trPr>
          <w:trHeight w:val="194"/>
        </w:trPr>
        <w:tc>
          <w:tcPr>
            <w:tcW w:w="3660" w:type="dxa"/>
            <w:vAlign w:val="bottom"/>
          </w:tcPr>
          <w:p>
            <w:pPr>
              <w:spacing w:after="0"/>
              <w:rPr>
                <w:sz w:val="16"/>
                <w:szCs w:val="16"/>
                <w:color w:val="auto"/>
              </w:rPr>
            </w:pPr>
          </w:p>
        </w:tc>
        <w:tc>
          <w:tcPr>
            <w:tcW w:w="2760" w:type="dxa"/>
            <w:vAlign w:val="bottom"/>
            <w:gridSpan w:val="2"/>
          </w:tcPr>
          <w:p>
            <w:pPr>
              <w:jc w:val="center"/>
              <w:ind w:right="120"/>
              <w:spacing w:after="0" w:line="194" w:lineRule="exact"/>
              <w:rPr>
                <w:sz w:val="20"/>
                <w:szCs w:val="20"/>
                <w:color w:val="auto"/>
              </w:rPr>
            </w:pPr>
            <w:r>
              <w:rPr>
                <w:rFonts w:ascii="Arial" w:cs="Arial" w:eastAsia="Arial" w:hAnsi="Arial"/>
                <w:sz w:val="20"/>
                <w:szCs w:val="20"/>
                <w:i w:val="1"/>
                <w:iCs w:val="1"/>
                <w:color w:val="auto"/>
                <w:w w:val="98"/>
              </w:rPr>
              <w:t>(previously $620–$670</w:t>
            </w:r>
          </w:p>
        </w:tc>
        <w:tc>
          <w:tcPr>
            <w:tcW w:w="2620" w:type="dxa"/>
            <w:vAlign w:val="bottom"/>
          </w:tcPr>
          <w:p>
            <w:pPr>
              <w:spacing w:after="0"/>
              <w:rPr>
                <w:sz w:val="16"/>
                <w:szCs w:val="16"/>
                <w:color w:val="auto"/>
              </w:rPr>
            </w:pPr>
          </w:p>
        </w:tc>
      </w:tr>
      <w:tr>
        <w:trPr>
          <w:trHeight w:val="261"/>
        </w:trPr>
        <w:tc>
          <w:tcPr>
            <w:tcW w:w="3660" w:type="dxa"/>
            <w:vAlign w:val="bottom"/>
          </w:tcPr>
          <w:p>
            <w:pPr>
              <w:spacing w:after="0"/>
              <w:rPr>
                <w:sz w:val="22"/>
                <w:szCs w:val="2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20"/>
                <w:szCs w:val="20"/>
                <w:i w:val="1"/>
                <w:iCs w:val="1"/>
                <w:color w:val="auto"/>
                <w:w w:val="97"/>
              </w:rPr>
              <w:t>million)</w:t>
            </w:r>
          </w:p>
        </w:tc>
        <w:tc>
          <w:tcPr>
            <w:tcW w:w="2620" w:type="dxa"/>
            <w:vAlign w:val="bottom"/>
          </w:tcPr>
          <w:p>
            <w:pPr>
              <w:spacing w:after="0"/>
              <w:rPr>
                <w:sz w:val="22"/>
                <w:szCs w:val="22"/>
                <w:color w:val="auto"/>
              </w:rPr>
            </w:pPr>
          </w:p>
        </w:tc>
      </w:tr>
      <w:tr>
        <w:trPr>
          <w:trHeight w:val="44"/>
        </w:trPr>
        <w:tc>
          <w:tcPr>
            <w:tcW w:w="36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189"/>
        </w:trPr>
        <w:tc>
          <w:tcPr>
            <w:tcW w:w="36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Effective tax rate</w:t>
            </w:r>
          </w:p>
        </w:tc>
        <w:tc>
          <w:tcPr>
            <w:tcW w:w="276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20"/>
                <w:szCs w:val="20"/>
                <w:color w:val="auto"/>
                <w:w w:val="99"/>
              </w:rPr>
              <w:t>12%–13%**</w:t>
            </w:r>
          </w:p>
        </w:tc>
        <w:tc>
          <w:tcPr>
            <w:tcW w:w="262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color w:val="auto"/>
                <w:w w:val="99"/>
              </w:rPr>
              <w:t>13%–14%**</w:t>
            </w:r>
          </w:p>
        </w:tc>
      </w:tr>
      <w:tr>
        <w:trPr>
          <w:trHeight w:val="261"/>
        </w:trPr>
        <w:tc>
          <w:tcPr>
            <w:tcW w:w="3660" w:type="dxa"/>
            <w:vAlign w:val="bottom"/>
            <w:shd w:val="clear" w:color="auto" w:fill="CCEEFF"/>
          </w:tcPr>
          <w:p>
            <w:pPr>
              <w:spacing w:after="0"/>
              <w:rPr>
                <w:sz w:val="22"/>
                <w:szCs w:val="22"/>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i w:val="1"/>
                <w:iCs w:val="1"/>
                <w:color w:val="auto"/>
                <w:w w:val="99"/>
              </w:rPr>
              <w:t>(unchanged)</w:t>
            </w:r>
          </w:p>
        </w:tc>
        <w:tc>
          <w:tcPr>
            <w:tcW w:w="2620" w:type="dxa"/>
            <w:vAlign w:val="bottom"/>
            <w:shd w:val="clear" w:color="auto" w:fill="CCEEFF"/>
          </w:tcPr>
          <w:p>
            <w:pPr>
              <w:jc w:val="center"/>
              <w:spacing w:after="0"/>
              <w:rPr>
                <w:sz w:val="20"/>
                <w:szCs w:val="20"/>
                <w:color w:val="auto"/>
              </w:rPr>
            </w:pPr>
            <w:r>
              <w:rPr>
                <w:rFonts w:ascii="Arial" w:cs="Arial" w:eastAsia="Arial" w:hAnsi="Arial"/>
                <w:sz w:val="20"/>
                <w:szCs w:val="20"/>
                <w:i w:val="1"/>
                <w:iCs w:val="1"/>
                <w:color w:val="auto"/>
                <w:w w:val="97"/>
              </w:rPr>
              <w:t>(unchanged)</w:t>
            </w:r>
          </w:p>
        </w:tc>
      </w:tr>
      <w:tr>
        <w:trPr>
          <w:trHeight w:val="36"/>
        </w:trPr>
        <w:tc>
          <w:tcPr>
            <w:tcW w:w="36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bl>
    <w:p>
      <w:pPr>
        <w:spacing w:after="0" w:line="107" w:lineRule="exact"/>
        <w:rPr>
          <w:sz w:val="20"/>
          <w:szCs w:val="20"/>
          <w:color w:val="auto"/>
        </w:rPr>
      </w:pPr>
    </w:p>
    <w:p>
      <w:pPr>
        <w:ind w:left="300" w:hanging="11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63" w:lineRule="exact"/>
        <w:rPr>
          <w:sz w:val="20"/>
          <w:szCs w:val="20"/>
          <w:color w:val="auto"/>
        </w:rPr>
      </w:pPr>
    </w:p>
    <w:p>
      <w:pPr>
        <w:ind w:left="180" w:right="2260" w:firstLine="8"/>
        <w:spacing w:after="0" w:line="221" w:lineRule="auto"/>
        <w:tabs>
          <w:tab w:leader="none" w:pos="365" w:val="left"/>
        </w:tabs>
        <w:numPr>
          <w:ilvl w:val="0"/>
          <w:numId w:val="16"/>
        </w:numPr>
        <w:rPr>
          <w:rFonts w:ascii="Arial" w:cs="Arial" w:eastAsia="Arial" w:hAnsi="Arial"/>
          <w:sz w:val="18"/>
          <w:szCs w:val="18"/>
          <w:color w:val="auto"/>
        </w:rPr>
      </w:pPr>
      <w:r>
        <w:rPr>
          <w:rFonts w:ascii="Arial" w:cs="Arial" w:eastAsia="Arial" w:hAnsi="Arial"/>
          <w:sz w:val="16"/>
          <w:szCs w:val="16"/>
          <w:color w:val="auto"/>
        </w:rPr>
        <w:t>ETR guidance excludes the impact of the provision requiring capitalization and amortization of R&amp;D expenses enacted as part of the Tax Cuts and Job Act (TCJA), as management's current expectation is it will be deferred or repealed in 2022. If this provision of the TCJA is not deferred or repealed, the Company would expect its ETR to be lower than the guidance disclosed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45"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A reconciliation of full year 2022 GAAP to non-GAAP financial guidance is included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60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Projected Range</w:t>
            </w:r>
          </w:p>
        </w:tc>
        <w:tc>
          <w:tcPr>
            <w:tcW w:w="1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2040" w:type="dxa"/>
            <w:vAlign w:val="bottom"/>
            <w:gridSpan w:val="2"/>
          </w:tcPr>
          <w:p>
            <w:pPr>
              <w:ind w:left="460"/>
              <w:spacing w:after="0"/>
              <w:rPr>
                <w:sz w:val="20"/>
                <w:szCs w:val="20"/>
                <w:color w:val="auto"/>
              </w:rPr>
            </w:pPr>
            <w:r>
              <w:rPr>
                <w:rFonts w:ascii="Arial" w:cs="Arial" w:eastAsia="Arial" w:hAnsi="Arial"/>
                <w:sz w:val="20"/>
                <w:szCs w:val="20"/>
                <w:b w:val="1"/>
                <w:bCs w:val="1"/>
                <w:color w:val="auto"/>
              </w:rPr>
              <w:t>Low</w:t>
            </w:r>
          </w:p>
        </w:tc>
        <w:tc>
          <w:tcPr>
            <w:tcW w:w="880" w:type="dxa"/>
            <w:vAlign w:val="bottom"/>
          </w:tcPr>
          <w:p>
            <w:pPr>
              <w:spacing w:after="0"/>
              <w:rPr>
                <w:sz w:val="21"/>
                <w:szCs w:val="21"/>
                <w:color w:val="auto"/>
              </w:rPr>
            </w:pPr>
          </w:p>
        </w:tc>
        <w:tc>
          <w:tcPr>
            <w:tcW w:w="1640" w:type="dxa"/>
            <w:vAlign w:val="bottom"/>
          </w:tcPr>
          <w:p>
            <w:pPr>
              <w:jc w:val="right"/>
              <w:ind w:right="94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50"/>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60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3,515</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top w:val="single" w:sz="8" w:color="auto"/>
            </w:tcBorders>
            <w:shd w:val="clear" w:color="auto" w:fill="CCEEFF"/>
          </w:tcPr>
          <w:p>
            <w:pPr>
              <w:jc w:val="center"/>
              <w:ind w:left="881"/>
              <w:spacing w:after="0"/>
              <w:rPr>
                <w:sz w:val="20"/>
                <w:szCs w:val="20"/>
                <w:color w:val="auto"/>
              </w:rPr>
            </w:pPr>
            <w:r>
              <w:rPr>
                <w:rFonts w:ascii="Arial" w:cs="Arial" w:eastAsia="Arial" w:hAnsi="Arial"/>
                <w:sz w:val="20"/>
                <w:szCs w:val="20"/>
                <w:color w:val="auto"/>
                <w:w w:val="99"/>
              </w:rPr>
              <w:t>3,600</w:t>
            </w:r>
          </w:p>
        </w:tc>
        <w:tc>
          <w:tcPr>
            <w:tcW w:w="0" w:type="dxa"/>
            <w:vAlign w:val="bottom"/>
          </w:tcPr>
          <w:p>
            <w:pPr>
              <w:spacing w:after="0"/>
              <w:rPr>
                <w:sz w:val="1"/>
                <w:szCs w:val="1"/>
                <w:color w:val="auto"/>
              </w:rPr>
            </w:pPr>
          </w:p>
        </w:tc>
      </w:tr>
      <w:tr>
        <w:trPr>
          <w:trHeight w:val="257"/>
        </w:trPr>
        <w:tc>
          <w:tcPr>
            <w:tcW w:w="534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(390)</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(415)</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Acquisition-related integration costs</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w:t>
            </w: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R&amp;D</w:t>
            </w:r>
          </w:p>
        </w:tc>
        <w:tc>
          <w:tcPr>
            <w:tcW w:w="6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3,110</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tcPr>
          <w:p>
            <w:pPr>
              <w:jc w:val="center"/>
              <w:ind w:left="881"/>
              <w:spacing w:after="0"/>
              <w:rPr>
                <w:sz w:val="20"/>
                <w:szCs w:val="20"/>
                <w:color w:val="auto"/>
              </w:rPr>
            </w:pPr>
            <w:r>
              <w:rPr>
                <w:rFonts w:ascii="Arial" w:cs="Arial" w:eastAsia="Arial" w:hAnsi="Arial"/>
                <w:sz w:val="20"/>
                <w:szCs w:val="20"/>
                <w:color w:val="auto"/>
                <w:w w:val="99"/>
              </w:rPr>
              <w:t>3,170</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Pr>
          <w:p>
            <w:pPr>
              <w:ind w:left="20"/>
              <w:spacing w:after="0"/>
              <w:rPr>
                <w:sz w:val="20"/>
                <w:szCs w:val="20"/>
                <w:color w:val="auto"/>
              </w:rPr>
            </w:pPr>
            <w:r>
              <w:rPr>
                <w:rFonts w:ascii="Arial" w:cs="Arial" w:eastAsia="Arial" w:hAnsi="Arial"/>
                <w:sz w:val="20"/>
                <w:szCs w:val="20"/>
                <w:color w:val="auto"/>
              </w:rPr>
              <w:t>GAAP SG&amp;A</w:t>
            </w:r>
          </w:p>
        </w:tc>
        <w:tc>
          <w:tcPr>
            <w:tcW w:w="600" w:type="dxa"/>
            <w:vAlign w:val="bottom"/>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Pr>
          <w:p>
            <w:pPr>
              <w:jc w:val="right"/>
              <w:spacing w:after="0"/>
              <w:rPr>
                <w:sz w:val="20"/>
                <w:szCs w:val="20"/>
                <w:color w:val="auto"/>
              </w:rPr>
            </w:pPr>
            <w:r>
              <w:rPr>
                <w:rFonts w:ascii="Arial" w:cs="Arial" w:eastAsia="Arial" w:hAnsi="Arial"/>
                <w:sz w:val="20"/>
                <w:szCs w:val="20"/>
                <w:color w:val="auto"/>
              </w:rPr>
              <w:t>2,010</w:t>
            </w:r>
          </w:p>
        </w:tc>
        <w:tc>
          <w:tcPr>
            <w:tcW w:w="120" w:type="dxa"/>
            <w:vAlign w:val="bottom"/>
          </w:tcPr>
          <w:p>
            <w:pPr>
              <w:spacing w:after="0"/>
              <w:rPr>
                <w:sz w:val="22"/>
                <w:szCs w:val="22"/>
                <w:color w:val="auto"/>
              </w:rPr>
            </w:pPr>
          </w:p>
        </w:tc>
        <w:tc>
          <w:tcPr>
            <w:tcW w:w="880" w:type="dxa"/>
            <w:vAlign w:val="bottom"/>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Pr>
          <w:p>
            <w:pPr>
              <w:jc w:val="center"/>
              <w:ind w:left="881"/>
              <w:spacing w:after="0"/>
              <w:rPr>
                <w:sz w:val="20"/>
                <w:szCs w:val="20"/>
                <w:color w:val="auto"/>
              </w:rPr>
            </w:pPr>
            <w:r>
              <w:rPr>
                <w:rFonts w:ascii="Arial" w:cs="Arial" w:eastAsia="Arial" w:hAnsi="Arial"/>
                <w:sz w:val="20"/>
                <w:szCs w:val="20"/>
                <w:color w:val="auto"/>
                <w:w w:val="99"/>
              </w:rPr>
              <w:t>2,090</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(260)</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Acquisition-related integration costs</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60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1,760</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CEEFF"/>
          </w:tcPr>
          <w:p>
            <w:pPr>
              <w:jc w:val="center"/>
              <w:ind w:left="881"/>
              <w:spacing w:after="0"/>
              <w:rPr>
                <w:sz w:val="20"/>
                <w:szCs w:val="20"/>
                <w:color w:val="auto"/>
              </w:rPr>
            </w:pPr>
            <w:r>
              <w:rPr>
                <w:rFonts w:ascii="Arial" w:cs="Arial" w:eastAsia="Arial" w:hAnsi="Arial"/>
                <w:sz w:val="20"/>
                <w:szCs w:val="20"/>
                <w:color w:val="auto"/>
                <w:w w:val="99"/>
              </w:rPr>
              <w:t>1,820</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90.5%</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center"/>
              <w:ind w:left="901"/>
              <w:spacing w:after="0"/>
              <w:rPr>
                <w:sz w:val="20"/>
                <w:szCs w:val="20"/>
                <w:color w:val="auto"/>
              </w:rPr>
            </w:pPr>
            <w:r>
              <w:rPr>
                <w:rFonts w:ascii="Arial" w:cs="Arial" w:eastAsia="Arial" w:hAnsi="Arial"/>
                <w:sz w:val="20"/>
                <w:szCs w:val="20"/>
                <w:color w:val="auto"/>
                <w:w w:val="99"/>
              </w:rPr>
              <w:t>91%</w:t>
            </w:r>
          </w:p>
        </w:tc>
        <w:tc>
          <w:tcPr>
            <w:tcW w:w="0" w:type="dxa"/>
            <w:vAlign w:val="bottom"/>
          </w:tcPr>
          <w:p>
            <w:pPr>
              <w:spacing w:after="0"/>
              <w:rPr>
                <w:sz w:val="1"/>
                <w:szCs w:val="1"/>
                <w:color w:val="auto"/>
              </w:rPr>
            </w:pPr>
          </w:p>
        </w:tc>
      </w:tr>
      <w:tr>
        <w:trPr>
          <w:trHeight w:val="257"/>
        </w:trPr>
        <w:tc>
          <w:tcPr>
            <w:tcW w:w="534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2"/>
                <w:szCs w:val="22"/>
                <w:color w:val="auto"/>
              </w:rPr>
            </w:pPr>
          </w:p>
        </w:tc>
        <w:tc>
          <w:tcPr>
            <w:tcW w:w="1920" w:type="dxa"/>
            <w:vAlign w:val="bottom"/>
          </w:tcPr>
          <w:p>
            <w:pPr>
              <w:jc w:val="right"/>
              <w:ind w:right="21"/>
              <w:spacing w:after="0"/>
              <w:rPr>
                <w:sz w:val="20"/>
                <w:szCs w:val="20"/>
                <w:color w:val="auto"/>
              </w:rPr>
            </w:pPr>
            <w:r>
              <w:rPr>
                <w:rFonts w:ascii="Arial" w:cs="Arial" w:eastAsia="Arial" w:hAnsi="Arial"/>
                <w:sz w:val="20"/>
                <w:szCs w:val="20"/>
                <w:color w:val="auto"/>
              </w:rPr>
              <w:t>&lt;1%</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center"/>
              <w:ind w:left="901"/>
              <w:spacing w:after="0"/>
              <w:rPr>
                <w:sz w:val="20"/>
                <w:szCs w:val="20"/>
                <w:color w:val="auto"/>
              </w:rPr>
            </w:pPr>
            <w:r>
              <w:rPr>
                <w:rFonts w:ascii="Arial" w:cs="Arial" w:eastAsia="Arial" w:hAnsi="Arial"/>
                <w:sz w:val="20"/>
                <w:szCs w:val="20"/>
                <w:color w:val="auto"/>
                <w:w w:val="98"/>
              </w:rPr>
              <w:t>&lt;1%</w:t>
            </w:r>
          </w:p>
        </w:tc>
        <w:tc>
          <w:tcPr>
            <w:tcW w:w="0" w:type="dxa"/>
            <w:vAlign w:val="bottom"/>
          </w:tcPr>
          <w:p>
            <w:pPr>
              <w:spacing w:after="0"/>
              <w:rPr>
                <w:sz w:val="1"/>
                <w:szCs w:val="1"/>
                <w:color w:val="auto"/>
              </w:rPr>
            </w:pPr>
          </w:p>
        </w:tc>
      </w:tr>
      <w:tr>
        <w:trPr>
          <w:trHeight w:val="256"/>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Charges related to REGEN-COV</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&lt;1%</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center"/>
              <w:ind w:left="901"/>
              <w:spacing w:after="0"/>
              <w:rPr>
                <w:sz w:val="20"/>
                <w:szCs w:val="20"/>
                <w:color w:val="auto"/>
              </w:rPr>
            </w:pPr>
            <w:r>
              <w:rPr>
                <w:rFonts w:ascii="Arial" w:cs="Arial" w:eastAsia="Arial" w:hAnsi="Arial"/>
                <w:sz w:val="20"/>
                <w:szCs w:val="20"/>
                <w:color w:val="auto"/>
                <w:w w:val="98"/>
              </w:rPr>
              <w:t>&lt;1%</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Intangible asset amortization expense</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&lt;1%</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901"/>
              <w:spacing w:after="0"/>
              <w:rPr>
                <w:sz w:val="20"/>
                <w:szCs w:val="20"/>
                <w:color w:val="auto"/>
              </w:rPr>
            </w:pPr>
            <w:r>
              <w:rPr>
                <w:rFonts w:ascii="Arial" w:cs="Arial" w:eastAsia="Arial" w:hAnsi="Arial"/>
                <w:sz w:val="20"/>
                <w:szCs w:val="20"/>
                <w:color w:val="auto"/>
                <w:w w:val="98"/>
              </w:rPr>
              <w:t>&lt;1%</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60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92.5%</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center"/>
              <w:ind w:left="901"/>
              <w:spacing w:after="0"/>
              <w:rPr>
                <w:sz w:val="20"/>
                <w:szCs w:val="20"/>
                <w:color w:val="auto"/>
              </w:rPr>
            </w:pPr>
            <w:r>
              <w:rPr>
                <w:rFonts w:ascii="Arial" w:cs="Arial" w:eastAsia="Arial" w:hAnsi="Arial"/>
                <w:sz w:val="20"/>
                <w:szCs w:val="20"/>
                <w:color w:val="auto"/>
                <w:w w:val="99"/>
              </w:rPr>
              <w:t>93%</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ETR</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12%</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center"/>
              <w:ind w:left="901"/>
              <w:spacing w:after="0"/>
              <w:rPr>
                <w:sz w:val="20"/>
                <w:szCs w:val="20"/>
                <w:color w:val="auto"/>
              </w:rPr>
            </w:pPr>
            <w:r>
              <w:rPr>
                <w:rFonts w:ascii="Arial" w:cs="Arial" w:eastAsia="Arial" w:hAnsi="Arial"/>
                <w:sz w:val="20"/>
                <w:szCs w:val="20"/>
                <w:color w:val="auto"/>
                <w:w w:val="99"/>
              </w:rPr>
              <w:t>13%</w:t>
            </w:r>
          </w:p>
        </w:tc>
        <w:tc>
          <w:tcPr>
            <w:tcW w:w="0" w:type="dxa"/>
            <w:vAlign w:val="bottom"/>
          </w:tcPr>
          <w:p>
            <w:pPr>
              <w:spacing w:after="0"/>
              <w:rPr>
                <w:sz w:val="1"/>
                <w:szCs w:val="1"/>
                <w:color w:val="auto"/>
              </w:rPr>
            </w:pPr>
          </w:p>
        </w:tc>
      </w:tr>
      <w:tr>
        <w:trPr>
          <w:trHeight w:val="189"/>
        </w:trPr>
        <w:tc>
          <w:tcPr>
            <w:tcW w:w="5340" w:type="dxa"/>
            <w:vAlign w:val="bottom"/>
          </w:tcPr>
          <w:p>
            <w:pPr>
              <w:ind w:left="220"/>
              <w:spacing w:after="0" w:line="189" w:lineRule="exact"/>
              <w:rPr>
                <w:sz w:val="20"/>
                <w:szCs w:val="20"/>
                <w:color w:val="auto"/>
              </w:rPr>
            </w:pPr>
            <w:r>
              <w:rPr>
                <w:rFonts w:ascii="Arial" w:cs="Arial" w:eastAsia="Arial" w:hAnsi="Arial"/>
                <w:sz w:val="20"/>
                <w:szCs w:val="20"/>
                <w:color w:val="auto"/>
              </w:rPr>
              <w:t>Income tax effect of GAAP to non-GAAP reconciling</w:t>
            </w:r>
          </w:p>
        </w:tc>
        <w:tc>
          <w:tcPr>
            <w:tcW w:w="600" w:type="dxa"/>
            <w:vAlign w:val="bottom"/>
          </w:tcPr>
          <w:p>
            <w:pPr>
              <w:spacing w:after="0"/>
              <w:rPr>
                <w:sz w:val="16"/>
                <w:szCs w:val="16"/>
                <w:color w:val="auto"/>
              </w:rPr>
            </w:pPr>
          </w:p>
        </w:tc>
        <w:tc>
          <w:tcPr>
            <w:tcW w:w="1920" w:type="dxa"/>
            <w:vAlign w:val="bottom"/>
            <w:vMerge w:val="restart"/>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vMerge w:val="restart"/>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items and other</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ETR</w:t>
            </w:r>
          </w:p>
        </w:tc>
        <w:tc>
          <w:tcPr>
            <w:tcW w:w="60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13%</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center"/>
              <w:ind w:left="901"/>
              <w:spacing w:after="0"/>
              <w:rPr>
                <w:sz w:val="20"/>
                <w:szCs w:val="20"/>
                <w:color w:val="auto"/>
              </w:rPr>
            </w:pPr>
            <w:r>
              <w:rPr>
                <w:rFonts w:ascii="Arial" w:cs="Arial" w:eastAsia="Arial" w:hAnsi="Arial"/>
                <w:sz w:val="20"/>
                <w:szCs w:val="20"/>
                <w:color w:val="auto"/>
                <w:w w:val="99"/>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00"/>
          </w:cols>
          <w:pgMar w:left="320" w:top="1045" w:right="1079" w:bottom="1440" w:gutter="0" w:footer="0" w:header="0"/>
        </w:sectPr>
      </w:pPr>
    </w:p>
    <w:bookmarkStart w:id="10" w:name="page11"/>
    <w:bookmarkEnd w:id="10"/>
    <w:p>
      <w:pPr>
        <w:ind w:left="394" w:right="80" w:hanging="394"/>
        <w:spacing w:after="0" w:line="216" w:lineRule="auto"/>
        <w:tabs>
          <w:tab w:leader="none" w:pos="394" w:val="left"/>
        </w:tabs>
        <w:numPr>
          <w:ilvl w:val="0"/>
          <w:numId w:val="17"/>
        </w:numPr>
        <w:rPr>
          <w:rFonts w:ascii="Arial" w:cs="Arial" w:eastAsia="Arial" w:hAnsi="Arial"/>
          <w:sz w:val="16"/>
          <w:szCs w:val="16"/>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This press release uses non-GAAP R&amp;D, non-GAAP SG&amp;A, non-GAAP COGS, non-GAAP gross margin on net product sales, non-GAAP other income (expense), net, non-GAAP ETR, non-GAAP net income, non-GAAP net income per share, total revenues excluding REGEN-COV and Ronapreve,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171" w:lineRule="exact"/>
        <w:rPr>
          <w:rFonts w:ascii="Arial" w:cs="Arial" w:eastAsia="Arial" w:hAnsi="Arial"/>
          <w:sz w:val="16"/>
          <w:szCs w:val="16"/>
          <w:color w:val="auto"/>
        </w:rPr>
      </w:pPr>
    </w:p>
    <w:p>
      <w:pPr>
        <w:ind w:left="394" w:right="160"/>
        <w:spacing w:after="0" w:line="224" w:lineRule="auto"/>
        <w:rPr>
          <w:rFonts w:ascii="Arial" w:cs="Arial" w:eastAsia="Arial" w:hAnsi="Arial"/>
          <w:sz w:val="16"/>
          <w:szCs w:val="16"/>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restructuring- or integration-related expenses).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72" w:lineRule="exact"/>
        <w:rPr>
          <w:rFonts w:ascii="Arial" w:cs="Arial" w:eastAsia="Arial" w:hAnsi="Arial"/>
          <w:sz w:val="16"/>
          <w:szCs w:val="16"/>
          <w:color w:val="auto"/>
        </w:rPr>
      </w:pPr>
    </w:p>
    <w:p>
      <w:pPr>
        <w:ind w:left="394" w:right="260" w:hanging="394"/>
        <w:spacing w:after="0" w:line="227" w:lineRule="auto"/>
        <w:tabs>
          <w:tab w:leader="none" w:pos="394" w:val="left"/>
        </w:tabs>
        <w:numPr>
          <w:ilvl w:val="0"/>
          <w:numId w:val="17"/>
        </w:numPr>
        <w:rPr>
          <w:rFonts w:ascii="Arial" w:cs="Arial" w:eastAsia="Arial" w:hAnsi="Arial"/>
          <w:sz w:val="16"/>
          <w:szCs w:val="16"/>
          <w:color w:val="auto"/>
        </w:rPr>
      </w:pPr>
      <w:r>
        <w:rPr>
          <w:rFonts w:ascii="Arial" w:cs="Arial" w:eastAsia="Arial" w:hAnsi="Arial"/>
          <w:sz w:val="20"/>
          <w:szCs w:val="20"/>
          <w:color w:val="auto"/>
        </w:rPr>
        <w:t>The casirivimab and imdevimab antibody cocktail is known as REGEN-COV in the United States and Ronapreve in other countries. The Company records net product sales of REGEN-COV in the United States and Roche records net product sales of Ronapreve outside the United States.</w:t>
      </w:r>
    </w:p>
    <w:p>
      <w:pPr>
        <w:spacing w:after="0" w:line="49" w:lineRule="exact"/>
        <w:rPr>
          <w:rFonts w:ascii="Arial" w:cs="Arial" w:eastAsia="Arial" w:hAnsi="Arial"/>
          <w:sz w:val="16"/>
          <w:szCs w:val="16"/>
          <w:color w:val="auto"/>
        </w:rPr>
      </w:pPr>
    </w:p>
    <w:p>
      <w:pPr>
        <w:ind w:left="394" w:right="280" w:hanging="394"/>
        <w:spacing w:after="0" w:line="223" w:lineRule="auto"/>
        <w:tabs>
          <w:tab w:leader="none" w:pos="394" w:val="left"/>
        </w:tabs>
        <w:numPr>
          <w:ilvl w:val="0"/>
          <w:numId w:val="17"/>
        </w:numPr>
        <w:rPr>
          <w:rFonts w:ascii="Arial" w:cs="Arial" w:eastAsia="Arial" w:hAnsi="Arial"/>
          <w:sz w:val="16"/>
          <w:szCs w:val="16"/>
          <w:color w:val="auto"/>
        </w:rPr>
      </w:pPr>
      <w:r>
        <w:rPr>
          <w:rFonts w:ascii="Arial" w:cs="Arial" w:eastAsia="Arial" w:hAnsi="Arial"/>
          <w:sz w:val="20"/>
          <w:szCs w:val="20"/>
          <w:color w:val="auto"/>
        </w:rPr>
        <w:t>The Company's collaborators provide it with estimates of the collaborators' respective sales and the Company's share of the profits or losses (if applicable) from commercialization of products for the most recent fiscal quarter. These estimates are revised, if necessary, in subsequent periods if the Company's actual share of the profits or losses differ from those estimates.</w:t>
      </w:r>
    </w:p>
    <w:p>
      <w:pPr>
        <w:spacing w:after="0" w:line="49" w:lineRule="exact"/>
        <w:rPr>
          <w:rFonts w:ascii="Arial" w:cs="Arial" w:eastAsia="Arial" w:hAnsi="Arial"/>
          <w:sz w:val="16"/>
          <w:szCs w:val="16"/>
          <w:color w:val="auto"/>
        </w:rPr>
      </w:pPr>
    </w:p>
    <w:p>
      <w:pPr>
        <w:ind w:left="394" w:right="840" w:hanging="394"/>
        <w:spacing w:after="0" w:line="234" w:lineRule="auto"/>
        <w:tabs>
          <w:tab w:leader="none" w:pos="394" w:val="left"/>
        </w:tabs>
        <w:numPr>
          <w:ilvl w:val="0"/>
          <w:numId w:val="17"/>
        </w:numPr>
        <w:rPr>
          <w:rFonts w:ascii="Arial" w:cs="Arial" w:eastAsia="Arial" w:hAnsi="Arial"/>
          <w:sz w:val="16"/>
          <w:szCs w:val="16"/>
          <w:color w:val="auto"/>
        </w:rPr>
      </w:pPr>
      <w:r>
        <w:rPr>
          <w:rFonts w:ascii="Arial" w:cs="Arial" w:eastAsia="Arial" w:hAnsi="Arial"/>
          <w:sz w:val="20"/>
          <w:szCs w:val="20"/>
          <w:color w:val="auto"/>
        </w:rPr>
        <w:t>The Company's 2022 financial guidance does not assume the completion of any significant business development transactions not completed as of the date of this press release.</w:t>
      </w:r>
    </w:p>
    <w:p>
      <w:pPr>
        <w:spacing w:after="0" w:line="51" w:lineRule="exact"/>
        <w:rPr>
          <w:rFonts w:ascii="Arial" w:cs="Arial" w:eastAsia="Arial" w:hAnsi="Arial"/>
          <w:sz w:val="16"/>
          <w:szCs w:val="16"/>
          <w:color w:val="auto"/>
        </w:rPr>
      </w:pPr>
    </w:p>
    <w:p>
      <w:pPr>
        <w:ind w:left="394" w:hanging="394"/>
        <w:spacing w:after="0" w:line="234" w:lineRule="auto"/>
        <w:tabs>
          <w:tab w:leader="none" w:pos="394" w:val="left"/>
        </w:tabs>
        <w:numPr>
          <w:ilvl w:val="0"/>
          <w:numId w:val="17"/>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51" w:lineRule="exact"/>
        <w:rPr>
          <w:rFonts w:ascii="Arial" w:cs="Arial" w:eastAsia="Arial" w:hAnsi="Arial"/>
          <w:sz w:val="16"/>
          <w:szCs w:val="16"/>
          <w:color w:val="auto"/>
        </w:rPr>
      </w:pPr>
    </w:p>
    <w:p>
      <w:pPr>
        <w:ind w:left="394" w:right="140" w:hanging="394"/>
        <w:spacing w:after="0" w:line="234" w:lineRule="auto"/>
        <w:tabs>
          <w:tab w:leader="none" w:pos="394" w:val="left"/>
        </w:tabs>
        <w:numPr>
          <w:ilvl w:val="0"/>
          <w:numId w:val="17"/>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94"/>
          </w:cols>
          <w:pgMar w:left="346" w:top="1090" w:right="35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15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Regeneron will host a conference call and simultaneous webcast to discuss its third quarter 2022 financial and operating results on Thursday, November 3, 2022,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Regeneron is a leading biotechnology company that invents, develops, and commercializes life-transforming medicines for people with serious diseases. Founded and led for nearly 35 years by physician-scientists, Regeneron's unique ability to repeatedly and consistently translate science into medicine has led to numerous FDA-approved treatments and product candidates in development, almost all of which were homegrown in Regeneron's laboratories. Regeneron's medicines and pipeline are designed to help patients with eye diseases, allergic and inflammatory diseases, cancer, cardiovascular and metabolic diseases, pain, hematologic conditions, infectious diseases, and rare diseases.</w:t>
      </w:r>
    </w:p>
    <w:p>
      <w:pPr>
        <w:spacing w:after="0" w:line="113" w:lineRule="exact"/>
        <w:rPr>
          <w:sz w:val="20"/>
          <w:szCs w:val="20"/>
          <w:color w:val="auto"/>
        </w:rPr>
      </w:pPr>
    </w:p>
    <w:p>
      <w:pPr>
        <w:ind w:right="340"/>
        <w:spacing w:after="0" w:line="253"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24" w:lineRule="exact"/>
        <w:rPr>
          <w:sz w:val="20"/>
          <w:szCs w:val="20"/>
          <w:color w:val="auto"/>
        </w:rPr>
      </w:pPr>
    </w:p>
    <w:p>
      <w:pPr>
        <w:ind w:right="540"/>
        <w:spacing w:after="0" w:line="371" w:lineRule="auto"/>
        <w:rPr>
          <w:sz w:val="20"/>
          <w:szCs w:val="20"/>
          <w:color w:val="auto"/>
        </w:rPr>
      </w:pPr>
      <w:r>
        <w:rPr>
          <w:rFonts w:ascii="Arial" w:cs="Arial" w:eastAsia="Arial" w:hAnsi="Arial"/>
          <w:sz w:val="22"/>
          <w:szCs w:val="22"/>
          <w:color w:val="auto"/>
        </w:rPr>
        <w:t xml:space="preserve">For additional information about Regeneron, please visit www.regeneron.com or follow @Regeneron on Twitter. </w:t>
      </w:r>
      <w:r>
        <w:rPr>
          <w:rFonts w:ascii="Arial" w:cs="Arial" w:eastAsia="Arial" w:hAnsi="Arial"/>
          <w:sz w:val="22"/>
          <w:szCs w:val="22"/>
          <w:b w:val="1"/>
          <w:bCs w:val="1"/>
          <w:color w:val="auto"/>
        </w:rPr>
        <w:t>Forward-Looking Statements and Use of Digital Media</w:t>
      </w:r>
    </w:p>
    <w:p>
      <w:pPr>
        <w:spacing w:after="0" w:line="1" w:lineRule="exact"/>
        <w:rPr>
          <w:sz w:val="20"/>
          <w:szCs w:val="20"/>
          <w:color w:val="auto"/>
        </w:rPr>
      </w:pPr>
    </w:p>
    <w:p>
      <w:pPr>
        <w:ind w:right="20"/>
        <w:spacing w:after="0" w:line="224"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 "Regeneron's Product Candidates") and research and clinical programs now underway or planned,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 </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(evinacumab), aflibercept 8 mg, pozelimab, odronextamab, itepekimab, fianlimab, garetosmab, linvoseltamab, REGN5713-5714-5715, Regeneron's other oncology programs (including its costimulatory</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80"/>
          </w:cols>
          <w:pgMar w:left="320" w:top="1043" w:right="399" w:bottom="1440" w:gutter="0" w:footer="0" w:header="0"/>
        </w:sectPr>
      </w:pPr>
    </w:p>
    <w:bookmarkStart w:id="12" w:name="page13"/>
    <w:bookmarkEnd w:id="12"/>
    <w:p>
      <w:pPr>
        <w:spacing w:after="0"/>
        <w:rPr>
          <w:sz w:val="20"/>
          <w:szCs w:val="20"/>
          <w:color w:val="auto"/>
        </w:rPr>
      </w:pPr>
      <w:r>
        <w:rPr>
          <w:rFonts w:ascii="Arial" w:cs="Arial" w:eastAsia="Arial" w:hAnsi="Arial"/>
          <w:sz w:val="21"/>
          <w:szCs w:val="21"/>
          <w:color w:val="auto"/>
        </w:rPr>
        <w:t>bispecific portfolio),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other operating (income) expense, net, capital expenditures, and GAAP and non-GAAP ETR; the potential for any license or collaboration agreement, including Regeneron's agreements with Sanofi and Bayer (or their respective affiliated companies, as applicable), to be cancelled or terminated; and risks associated with intellectual property of other parties and pending or future litigation relating thereto (including without limitation the patent litigation and other related proceedings relating to EYLEA, Praluent, and REGEN-COV</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(casirivimab and imdevimab)),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2021 and its Form 10-Q for the quarterly period ended September 30, 2022.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883" w:right="37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limitation any financial projection or guidance, whether as a result of new information, future events, or otherwise.</w:t>
      </w:r>
    </w:p>
    <w:p>
      <w:pPr>
        <w:spacing w:after="0" w:line="152"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7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080"/>
          </w:cols>
          <w:pgMar w:left="320" w:top="883" w:right="499" w:bottom="1440" w:gutter="0" w:footer="0" w:header="0"/>
        </w:sectPr>
      </w:pP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260"/>
          </w:cols>
          <w:pgMar w:left="320" w:top="883"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883" w:right="4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TABLE 1</w:t>
      </w:r>
    </w:p>
    <w:p>
      <w:pPr>
        <w:spacing w:after="0" w:line="248" w:lineRule="exact"/>
        <w:rPr>
          <w:sz w:val="20"/>
          <w:szCs w:val="20"/>
          <w:color w:val="auto"/>
        </w:rPr>
      </w:pPr>
    </w:p>
    <w:p>
      <w:pPr>
        <w:jc w:val="center"/>
        <w:ind w:left="1200" w:right="21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REGENERON PHARMACEUTICALS, INC. CONDENSED CONSOLIDATED BALANCE SHEETS (Unaudited) </w:t>
      </w:r>
      <w:r>
        <w:rPr>
          <w:rFonts w:ascii="Times New Roman" w:cs="Times New Roman" w:eastAsia="Times New Roman" w:hAnsi="Times New Roman"/>
          <w:sz w:val="18"/>
          <w:szCs w:val="18"/>
          <w:b w:val="1"/>
          <w:bCs w:val="1"/>
          <w:i w:val="1"/>
          <w:iCs w:val="1"/>
          <w:color w:val="auto"/>
        </w:rPr>
        <w:t>(In millions)</w:t>
      </w:r>
    </w:p>
    <w:p>
      <w:pPr>
        <w:spacing w:after="0" w:line="209" w:lineRule="exact"/>
        <w:rPr>
          <w:sz w:val="20"/>
          <w:szCs w:val="20"/>
          <w:color w:val="auto"/>
        </w:rPr>
      </w:pPr>
    </w:p>
    <w:tbl>
      <w:tblPr>
        <w:tblLayout w:type="fixed"/>
        <w:tblInd w:w="880" w:type="dxa"/>
        <w:tblCellMar>
          <w:top w:w="0" w:type="dxa"/>
          <w:left w:w="0" w:type="dxa"/>
          <w:bottom w:w="0" w:type="dxa"/>
          <w:right w:w="0" w:type="dxa"/>
        </w:tblCellMar>
      </w:tblPr>
      <w:tr>
        <w:trPr>
          <w:trHeight w:val="229"/>
        </w:trPr>
        <w:tc>
          <w:tcPr>
            <w:tcW w:w="44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48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marketable securities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12,532.7</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3,482.2</w:t>
            </w: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tax assets</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9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3,451.0</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19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18,768.8</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4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891" w:right="119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TABLE 2</w:t>
            </w: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7"/>
        </w:trPr>
        <w:tc>
          <w:tcPr>
            <w:tcW w:w="3820" w:type="dxa"/>
            <w:vAlign w:val="bottom"/>
          </w:tcPr>
          <w:p>
            <w:pPr>
              <w:spacing w:after="0"/>
              <w:rPr>
                <w:sz w:val="24"/>
                <w:szCs w:val="24"/>
                <w:color w:val="auto"/>
              </w:rPr>
            </w:pPr>
          </w:p>
        </w:tc>
        <w:tc>
          <w:tcPr>
            <w:tcW w:w="38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8860" w:type="dxa"/>
            <w:vAlign w:val="bottom"/>
            <w:gridSpan w:val="8"/>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(Unaudited)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3820" w:type="dxa"/>
            <w:vAlign w:val="bottom"/>
          </w:tcPr>
          <w:p>
            <w:pPr>
              <w:spacing w:after="0"/>
              <w:rPr>
                <w:sz w:val="20"/>
                <w:szCs w:val="20"/>
                <w:color w:val="auto"/>
              </w:rPr>
            </w:pPr>
          </w:p>
        </w:tc>
        <w:tc>
          <w:tcPr>
            <w:tcW w:w="38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3"/>
        </w:trPr>
        <w:tc>
          <w:tcPr>
            <w:tcW w:w="38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350"/>
              <w:spacing w:after="0" w:line="202"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38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38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2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8,142.0</w:t>
            </w:r>
          </w:p>
        </w:tc>
      </w:tr>
      <w:tr>
        <w:trPr>
          <w:trHeight w:val="22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2,783.0</w:t>
            </w:r>
          </w:p>
        </w:tc>
      </w:tr>
      <w:tr>
        <w:trPr>
          <w:trHeight w:val="230"/>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23"/>
        </w:trPr>
        <w:tc>
          <w:tcPr>
            <w:tcW w:w="38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11,120.0</w:t>
            </w: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r>
      <w:tr>
        <w:trPr>
          <w:trHeight w:val="230"/>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w:t>
            </w:r>
          </w:p>
        </w:tc>
      </w:tr>
      <w:tr>
        <w:trPr>
          <w:trHeight w:val="229"/>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w:t>
            </w:r>
          </w:p>
        </w:tc>
      </w:tr>
      <w:tr>
        <w:trPr>
          <w:trHeight w:val="23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r>
      <w:tr>
        <w:trPr>
          <w:trHeight w:val="229"/>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3"/>
        </w:trPr>
        <w:tc>
          <w:tcPr>
            <w:tcW w:w="38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4,812.9</w:t>
            </w:r>
          </w:p>
        </w:tc>
      </w:tr>
      <w:tr>
        <w:trPr>
          <w:trHeight w:val="250"/>
        </w:trPr>
        <w:tc>
          <w:tcPr>
            <w:tcW w:w="38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6,307.1</w:t>
            </w:r>
          </w:p>
        </w:tc>
      </w:tr>
      <w:tr>
        <w:trPr>
          <w:trHeight w:val="270"/>
        </w:trPr>
        <w:tc>
          <w:tcPr>
            <w:tcW w:w="38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r>
      <w:tr>
        <w:trPr>
          <w:trHeight w:val="23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5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3"/>
        </w:trPr>
        <w:tc>
          <w:tcPr>
            <w:tcW w:w="38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w:t>
            </w:r>
          </w:p>
        </w:tc>
      </w:tr>
      <w:tr>
        <w:trPr>
          <w:trHeight w:val="250"/>
        </w:trPr>
        <w:tc>
          <w:tcPr>
            <w:tcW w:w="382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6,822.4</w:t>
            </w:r>
          </w:p>
        </w:tc>
      </w:tr>
      <w:tr>
        <w:trPr>
          <w:trHeight w:val="270"/>
        </w:trPr>
        <w:tc>
          <w:tcPr>
            <w:tcW w:w="382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w:t>
            </w:r>
          </w:p>
        </w:tc>
      </w:tr>
      <w:tr>
        <w:trPr>
          <w:trHeight w:val="250"/>
        </w:trPr>
        <w:tc>
          <w:tcPr>
            <w:tcW w:w="382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5,846.3</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8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r>
      <w:tr>
        <w:trPr>
          <w:trHeight w:val="270"/>
        </w:trPr>
        <w:tc>
          <w:tcPr>
            <w:tcW w:w="38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9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3</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7"/>
        </w:trPr>
        <w:tc>
          <w:tcPr>
            <w:tcW w:w="60" w:type="dxa"/>
            <w:vAlign w:val="bottom"/>
          </w:tcPr>
          <w:p>
            <w:pPr>
              <w:spacing w:after="0"/>
              <w:rPr>
                <w:sz w:val="24"/>
                <w:szCs w:val="24"/>
                <w:color w:val="auto"/>
              </w:rPr>
            </w:pPr>
          </w:p>
        </w:tc>
        <w:tc>
          <w:tcPr>
            <w:tcW w:w="7560" w:type="dxa"/>
            <w:vAlign w:val="bottom"/>
            <w:gridSpan w:val="4"/>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160" w:type="dxa"/>
            <w:vAlign w:val="bottom"/>
            <w:gridSpan w:val="8"/>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FINANCIAL INFORMATION (Unaudited)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7560" w:type="dxa"/>
            <w:vAlign w:val="bottom"/>
            <w:gridSpan w:val="4"/>
          </w:tcPr>
          <w:p>
            <w:pPr>
              <w:jc w:val="center"/>
              <w:ind w:left="3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3"/>
        </w:trPr>
        <w:tc>
          <w:tcPr>
            <w:tcW w:w="6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7"/>
                <w:szCs w:val="17"/>
                <w:color w:val="auto"/>
              </w:rPr>
            </w:pPr>
          </w:p>
        </w:tc>
        <w:tc>
          <w:tcPr>
            <w:tcW w:w="198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20"/>
                <w:szCs w:val="20"/>
                <w:color w:val="auto"/>
              </w:rPr>
            </w:pPr>
          </w:p>
        </w:tc>
        <w:tc>
          <w:tcPr>
            <w:tcW w:w="19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60" w:type="dxa"/>
            <w:vAlign w:val="bottom"/>
          </w:tcPr>
          <w:p>
            <w:pPr>
              <w:spacing w:after="0"/>
              <w:rPr>
                <w:sz w:val="19"/>
                <w:szCs w:val="19"/>
                <w:color w:val="auto"/>
              </w:rPr>
            </w:pPr>
          </w:p>
        </w:tc>
        <w:tc>
          <w:tcPr>
            <w:tcW w:w="63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R&amp;D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r>
      <w:tr>
        <w:trPr>
          <w:trHeight w:val="229"/>
        </w:trPr>
        <w:tc>
          <w:tcPr>
            <w:tcW w:w="60" w:type="dxa"/>
            <w:vAlign w:val="bottom"/>
          </w:tcPr>
          <w:p>
            <w:pPr>
              <w:spacing w:after="0"/>
              <w:rPr>
                <w:sz w:val="19"/>
                <w:szCs w:val="19"/>
                <w:color w:val="auto"/>
              </w:rPr>
            </w:pPr>
          </w:p>
        </w:tc>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R&amp;D: Stock-based compensation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R&amp;D: Acquisition-related integration costs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R&amp;D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1,908.8</w:t>
            </w:r>
          </w:p>
        </w:tc>
      </w:tr>
      <w:tr>
        <w:trPr>
          <w:trHeight w:val="20"/>
        </w:trPr>
        <w:tc>
          <w:tcPr>
            <w:tcW w:w="60" w:type="dxa"/>
            <w:vAlign w:val="bottom"/>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6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29"/>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SG&amp;A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1,265.3</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SG&amp;A: Stock-based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9"/>
        </w:trPr>
        <w:tc>
          <w:tcPr>
            <w:tcW w:w="60" w:type="dxa"/>
            <w:vAlign w:val="bottom"/>
          </w:tcPr>
          <w:p>
            <w:pPr>
              <w:spacing w:after="0"/>
              <w:rPr>
                <w:sz w:val="19"/>
                <w:szCs w:val="19"/>
                <w:color w:val="auto"/>
              </w:rPr>
            </w:pPr>
          </w:p>
        </w:tc>
        <w:tc>
          <w:tcPr>
            <w:tcW w:w="6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SG&amp;A: Acquisition-related integration costs and other</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SG&amp;A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w:t>
            </w:r>
          </w:p>
        </w:tc>
      </w:tr>
      <w:tr>
        <w:trPr>
          <w:trHeight w:val="20"/>
        </w:trPr>
        <w:tc>
          <w:tcPr>
            <w:tcW w:w="6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29"/>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COGS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r>
      <w:tr>
        <w:trPr>
          <w:trHeight w:val="229"/>
        </w:trPr>
        <w:tc>
          <w:tcPr>
            <w:tcW w:w="60" w:type="dxa"/>
            <w:vAlign w:val="bottom"/>
          </w:tcPr>
          <w:p>
            <w:pPr>
              <w:spacing w:after="0"/>
              <w:rPr>
                <w:sz w:val="19"/>
                <w:szCs w:val="19"/>
                <w:color w:val="auto"/>
              </w:rPr>
            </w:pPr>
          </w:p>
        </w:tc>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COGS: Stock-based compensation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COGS: Intangible asset amortization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 w:type="dxa"/>
            <w:vAlign w:val="bottom"/>
          </w:tcPr>
          <w:p>
            <w:pPr>
              <w:spacing w:after="0"/>
              <w:rPr>
                <w:sz w:val="19"/>
                <w:szCs w:val="19"/>
                <w:color w:val="auto"/>
              </w:rPr>
            </w:pPr>
          </w:p>
        </w:tc>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COGS: Charges related to REGEN-COV</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0" w:type="dxa"/>
            <w:vAlign w:val="bottom"/>
          </w:tcPr>
          <w:p>
            <w:pPr>
              <w:spacing w:after="0"/>
              <w:rPr>
                <w:sz w:val="21"/>
                <w:szCs w:val="21"/>
                <w:color w:val="auto"/>
              </w:rPr>
            </w:pPr>
          </w:p>
        </w:tc>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COGS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w:t>
            </w:r>
          </w:p>
        </w:tc>
      </w:tr>
      <w:tr>
        <w:trPr>
          <w:trHeight w:val="20"/>
        </w:trPr>
        <w:tc>
          <w:tcPr>
            <w:tcW w:w="6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other income (expense),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r>
      <w:tr>
        <w:trPr>
          <w:trHeight w:val="243"/>
        </w:trPr>
        <w:tc>
          <w:tcPr>
            <w:tcW w:w="60" w:type="dxa"/>
            <w:vAlign w:val="bottom"/>
          </w:tcPr>
          <w:p>
            <w:pPr>
              <w:spacing w:after="0"/>
              <w:rPr>
                <w:sz w:val="21"/>
                <w:szCs w:val="21"/>
                <w:color w:val="auto"/>
              </w:rPr>
            </w:pPr>
          </w:p>
        </w:tc>
        <w:tc>
          <w:tcPr>
            <w:tcW w:w="6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income/expense: (Gains) losses on investments</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w:t>
            </w:r>
          </w:p>
        </w:tc>
      </w:tr>
      <w:tr>
        <w:trPr>
          <w:trHeight w:val="248"/>
        </w:trPr>
        <w:tc>
          <w:tcPr>
            <w:tcW w:w="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other income (expense),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6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5,846.3</w:t>
            </w:r>
          </w:p>
        </w:tc>
      </w:tr>
      <w:tr>
        <w:trPr>
          <w:trHeight w:val="230"/>
        </w:trPr>
        <w:tc>
          <w:tcPr>
            <w:tcW w:w="60" w:type="dxa"/>
            <w:vAlign w:val="bottom"/>
          </w:tcPr>
          <w:p>
            <w:pPr>
              <w:spacing w:after="0"/>
              <w:rPr>
                <w:sz w:val="19"/>
                <w:szCs w:val="19"/>
                <w:color w:val="auto"/>
              </w:rPr>
            </w:pPr>
          </w:p>
        </w:tc>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of GAAP to non-GAAP reconciling items above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effect of GAAP to non-GAAP reconciling items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5,776.9</w:t>
            </w:r>
          </w:p>
        </w:tc>
      </w:tr>
      <w:tr>
        <w:trPr>
          <w:trHeight w:val="20"/>
        </w:trPr>
        <w:tc>
          <w:tcPr>
            <w:tcW w:w="60" w:type="dxa"/>
            <w:vAlign w:val="bottom"/>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6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30"/>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r>
      <w:tr>
        <w:trPr>
          <w:trHeight w:val="162"/>
        </w:trPr>
        <w:tc>
          <w:tcPr>
            <w:tcW w:w="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Shares used in calculating: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320" w:top="891" w:right="3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10000" w:type="dxa"/>
            <w:vAlign w:val="bottom"/>
            <w:gridSpan w:val="9"/>
          </w:tcPr>
          <w:p>
            <w:pPr>
              <w:ind w:left="1580"/>
              <w:spacing w:after="0"/>
              <w:rPr>
                <w:sz w:val="20"/>
                <w:szCs w:val="20"/>
                <w:color w:val="auto"/>
              </w:rPr>
            </w:pPr>
            <w:r>
              <w:rPr>
                <w:rFonts w:ascii="Times New Roman" w:cs="Times New Roman" w:eastAsia="Times New Roman" w:hAnsi="Times New Roman"/>
                <w:sz w:val="18"/>
                <w:szCs w:val="18"/>
                <w:b w:val="1"/>
                <w:bCs w:val="1"/>
                <w:color w:val="auto"/>
              </w:rPr>
              <w:t xml:space="preserve">RECONCILIATION OF GAAP TO NON-GAAP FINANCIAL INFORMATION (Unaudited) </w:t>
            </w:r>
            <w:r>
              <w:rPr>
                <w:rFonts w:ascii="Times New Roman" w:cs="Times New Roman" w:eastAsia="Times New Roman" w:hAnsi="Times New Roman"/>
                <w:sz w:val="18"/>
                <w:szCs w:val="18"/>
                <w:b w:val="1"/>
                <w:bCs w:val="1"/>
                <w:i w:val="1"/>
                <w:iCs w:val="1"/>
                <w:color w:val="auto"/>
              </w:rPr>
              <w:t>(continued)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1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63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 reconciliation: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11,120.0</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REGEN-COV net product sales in the United States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3,530.1</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Global gross profit payment from Roche in connection with sales of Ronapreve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excluding REGEN-COV and Ronapreve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tax rate reconciliation: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ETR</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effect of GAAP to non-GAAP reconciling items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ETR</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6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Free cash flow reconciliation: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6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TABLE 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7"/>
        </w:trPr>
        <w:tc>
          <w:tcPr>
            <w:tcW w:w="7620" w:type="dxa"/>
            <w:vAlign w:val="bottom"/>
            <w:gridSpan w:val="4"/>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7620" w:type="dxa"/>
            <w:vAlign w:val="bottom"/>
            <w:gridSpan w:val="4"/>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COLLABORATION REVENUE (Unaudited)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6380" w:type="dxa"/>
            <w:vAlign w:val="bottom"/>
          </w:tcPr>
          <w:p>
            <w:pPr>
              <w:jc w:val="center"/>
              <w:ind w:left="479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3"/>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350"/>
              <w:spacing w:after="0" w:line="202"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63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Antibody:</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antibodies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w:t>
            </w:r>
          </w:p>
        </w:tc>
      </w:tr>
      <w:tr>
        <w:trPr>
          <w:trHeight w:val="229"/>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Sales-based milestone earned</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Immuno-oncology:</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76"/>
        </w:trPr>
        <w:tc>
          <w:tcPr>
            <w:tcW w:w="63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Regeneron's share of profits (losses) in connection with commercialization of</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6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Libtayo outside the United States</w:t>
            </w:r>
          </w:p>
        </w:tc>
        <w:tc>
          <w:tcPr>
            <w:tcW w:w="2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Reimbursement for manufacturing of ex-U.S. commercial supplies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2,019.8</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1,384.3</w:t>
            </w:r>
          </w:p>
        </w:tc>
      </w:tr>
      <w:tr>
        <w:trPr>
          <w:trHeight w:val="250"/>
        </w:trPr>
        <w:tc>
          <w:tcPr>
            <w:tcW w:w="6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5"/>
        </w:trPr>
        <w:tc>
          <w:tcPr>
            <w:tcW w:w="63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r>
      <w:tr>
        <w:trPr>
          <w:trHeight w:val="229"/>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for manufacturing of ex-U.S. commercial supplies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9"/>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One-time payment in connection with change in Japan arrangement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1,036.9</w:t>
            </w:r>
          </w:p>
        </w:tc>
      </w:tr>
      <w:tr>
        <w:trPr>
          <w:trHeight w:val="250"/>
        </w:trPr>
        <w:tc>
          <w:tcPr>
            <w:tcW w:w="6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collaboration 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 gross profit payment from Roche in connection with sales of Ronapreve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30"/>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3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2,783.0</w:t>
            </w:r>
          </w:p>
        </w:tc>
      </w:tr>
      <w:tr>
        <w:trPr>
          <w:trHeight w:val="21"/>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89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5</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7"/>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gridSpan w:val="20"/>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NET PRODUCT SALES OF REGENERON-DISCOVERED PRODUCTS (Unaudited)</w:t>
            </w:r>
          </w:p>
        </w:tc>
        <w:tc>
          <w:tcPr>
            <w:tcW w:w="146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8"/>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ROW</w:t>
            </w:r>
          </w:p>
        </w:tc>
        <w:tc>
          <w:tcPr>
            <w:tcW w:w="2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ROW</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23"/>
        </w:trPr>
        <w:tc>
          <w:tcPr>
            <w:tcW w:w="40" w:type="dxa"/>
            <w:vAlign w:val="bottom"/>
          </w:tcPr>
          <w:p>
            <w:pPr>
              <w:spacing w:after="0"/>
              <w:rPr>
                <w:sz w:val="19"/>
                <w:szCs w:val="19"/>
                <w:color w:val="auto"/>
              </w:rPr>
            </w:pPr>
          </w:p>
        </w:tc>
        <w:tc>
          <w:tcPr>
            <w:tcW w:w="17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7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2,372.3</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30"/>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44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8"/>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ROW</w:t>
            </w:r>
          </w:p>
        </w:tc>
        <w:tc>
          <w:tcPr>
            <w:tcW w:w="2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ROW</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23"/>
        </w:trPr>
        <w:tc>
          <w:tcPr>
            <w:tcW w:w="40" w:type="dxa"/>
            <w:vAlign w:val="bottom"/>
          </w:tcPr>
          <w:p>
            <w:pPr>
              <w:spacing w:after="0"/>
              <w:rPr>
                <w:sz w:val="19"/>
                <w:szCs w:val="19"/>
                <w:color w:val="auto"/>
              </w:rPr>
            </w:pPr>
          </w:p>
        </w:tc>
        <w:tc>
          <w:tcPr>
            <w:tcW w:w="17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7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6,812.8</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67" w:lineRule="exact"/>
        <w:rPr>
          <w:sz w:val="20"/>
          <w:szCs w:val="20"/>
          <w:color w:val="auto"/>
        </w:rPr>
      </w:pPr>
    </w:p>
    <w:p>
      <w:pPr>
        <w:jc w:val="both"/>
        <w:ind w:left="260" w:right="120" w:firstLine="2"/>
        <w:spacing w:after="0" w:line="221" w:lineRule="auto"/>
        <w:tabs>
          <w:tab w:leader="none" w:pos="3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Effective January 1, 2022, the Company and Bayer commenced sharing equally in profits and losses based on sales from Bayer to its distributor in Japan. Previously, the Company received from Bayer a tiered percentage of sales based on sales by Bayer's distributor in Japan. Consequently, the prior year net product sales amount has been revised for comparability purposes.</w:t>
      </w:r>
    </w:p>
    <w:p>
      <w:pPr>
        <w:spacing w:after="0" w:line="11" w:lineRule="exact"/>
        <w:rPr>
          <w:sz w:val="20"/>
          <w:szCs w:val="20"/>
          <w:color w:val="auto"/>
        </w:rPr>
      </w:pPr>
    </w:p>
    <w:p>
      <w:pPr>
        <w:ind w:left="260" w:right="140" w:firstLine="2"/>
        <w:spacing w:after="0" w:line="204" w:lineRule="auto"/>
        <w:tabs>
          <w:tab w:leader="none" w:pos="43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6" w:lineRule="exact"/>
        <w:rPr>
          <w:rFonts w:ascii="Times New Roman" w:cs="Times New Roman" w:eastAsia="Times New Roman" w:hAnsi="Times New Roman"/>
          <w:sz w:val="22"/>
          <w:szCs w:val="22"/>
          <w:color w:val="auto"/>
          <w:vertAlign w:val="superscript"/>
        </w:rPr>
      </w:pPr>
    </w:p>
    <w:p>
      <w:pPr>
        <w:ind w:left="260" w:right="280" w:firstLine="2"/>
        <w:spacing w:after="0" w:line="204" w:lineRule="auto"/>
        <w:tabs>
          <w:tab w:leader="none" w:pos="437"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records global net product sales of Dupixent and Kevzara. The Company records its share of profits/losses in connection with global sales of Dupixent and Kevzara.</w:t>
      </w:r>
    </w:p>
    <w:p>
      <w:pPr>
        <w:spacing w:after="0" w:line="6" w:lineRule="exact"/>
        <w:rPr>
          <w:rFonts w:ascii="Times New Roman" w:cs="Times New Roman" w:eastAsia="Times New Roman" w:hAnsi="Times New Roman"/>
          <w:sz w:val="22"/>
          <w:szCs w:val="22"/>
          <w:color w:val="auto"/>
          <w:vertAlign w:val="superscript"/>
        </w:rPr>
      </w:pPr>
    </w:p>
    <w:p>
      <w:pPr>
        <w:ind w:left="260" w:right="280" w:firstLine="2"/>
        <w:spacing w:after="0" w:line="208" w:lineRule="auto"/>
        <w:tabs>
          <w:tab w:leader="none" w:pos="43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Prior to July 1, 2022, Regeneron recorded net product sales of Libtayo in the United States and Sanofi recorded net product sales of Libtayo outside the United States. The parties equally shared profits/losses in connection with global sales of Libtayo. Effective July 1, 2022, the Company began recording net product sales of Libtayo outside the United States and pays Sanofi a royalty on global sales. Included in this line item is approximately $17 million of net product sales recorded by Sanofi in the third quarter of 2022 in connection with sales in certain markets (Sanofi will record net product sales in such markets during a transition period until inventory on hand as of July 1, 2022 is sold through to the end customers).</w:t>
      </w:r>
    </w:p>
    <w:p>
      <w:pPr>
        <w:spacing w:after="0" w:line="6" w:lineRule="exact"/>
        <w:rPr>
          <w:rFonts w:ascii="Times New Roman" w:cs="Times New Roman" w:eastAsia="Times New Roman" w:hAnsi="Times New Roman"/>
          <w:sz w:val="22"/>
          <w:szCs w:val="22"/>
          <w:color w:val="auto"/>
          <w:vertAlign w:val="superscript"/>
        </w:rPr>
      </w:pPr>
    </w:p>
    <w:p>
      <w:pPr>
        <w:ind w:left="260" w:right="160" w:firstLine="2"/>
        <w:spacing w:after="0" w:line="204" w:lineRule="auto"/>
        <w:tabs>
          <w:tab w:leader="none" w:pos="437"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Regeneron records net product sales of Praluent in the United States. Sanofi records net product sales of Praluent outside the United States and pays the Company a royalty on such sales.</w:t>
      </w:r>
    </w:p>
    <w:p>
      <w:pPr>
        <w:spacing w:after="0" w:line="6" w:lineRule="exact"/>
        <w:rPr>
          <w:rFonts w:ascii="Times New Roman" w:cs="Times New Roman" w:eastAsia="Times New Roman" w:hAnsi="Times New Roman"/>
          <w:sz w:val="22"/>
          <w:szCs w:val="22"/>
          <w:color w:val="auto"/>
          <w:vertAlign w:val="superscript"/>
        </w:rPr>
      </w:pPr>
    </w:p>
    <w:p>
      <w:pPr>
        <w:ind w:left="260" w:right="200" w:firstLine="2"/>
        <w:spacing w:after="0" w:line="204" w:lineRule="auto"/>
        <w:tabs>
          <w:tab w:leader="none" w:pos="43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Regeneron records net product sales of REGEN-COV in connection with its agreements with the U.S. government. Roche records net product sales of the antibody cocktail outside the United States and the parties share gross profits from global sales based on a pre-specified formula.</w:t>
      </w:r>
    </w:p>
    <w:p>
      <w:pPr>
        <w:spacing w:after="0" w:line="6" w:lineRule="exact"/>
        <w:rPr>
          <w:rFonts w:ascii="Times New Roman" w:cs="Times New Roman" w:eastAsia="Times New Roman" w:hAnsi="Times New Roman"/>
          <w:sz w:val="22"/>
          <w:szCs w:val="22"/>
          <w:color w:val="auto"/>
          <w:vertAlign w:val="superscript"/>
        </w:rPr>
      </w:pPr>
    </w:p>
    <w:p>
      <w:pPr>
        <w:ind w:left="260" w:right="240" w:firstLine="2"/>
        <w:spacing w:after="0" w:line="202" w:lineRule="auto"/>
        <w:tabs>
          <w:tab w:leader="none" w:pos="417"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Included in this line item are products which are sold by the Company and others. Refer to "Third Quarter 2022 Financial Results" section above for a complete listing of net product sales recorded by the Company. In addition, not included in this line item are net product sales of ARCALYST subsequent to the first quarter of 2021, which are recorded by Kiniksa; net product sales of ARCALYST were $27 million for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lvl w:ilvl="1">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2022-11-03T06:28:31Z</dcterms:created>
  <dcterms:modified xsi:type="dcterms:W3CDTF">2022-11-03T06:28:31Z</dcterms:modified>
</cp:coreProperties>
</file>