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53529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5352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1"/>
                <w:szCs w:val="21"/>
                <w:color w:val="0000EE"/>
                <w:w w:val="91"/>
              </w:rPr>
            </w:pPr>
            <w:hyperlink r:id="rId12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1"/>
                </w:rPr>
                <w:t>Van Plew Daniel P</w:t>
              </w:r>
            </w:hyperlink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</w:tcPr>
          <w:p>
            <w:pPr>
              <w:ind w:left="80"/>
              <w:spacing w:after="0" w:line="107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>REGENERON PHARMACEUTICALS</w:t>
              </w:r>
            </w:hyperlink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0000EE"/>
            </w:tcBorders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restart"/>
          </w:tcPr>
          <w:p>
            <w:pPr>
              <w:ind w:left="80"/>
              <w:spacing w:after="0" w:line="222" w:lineRule="exact"/>
              <w:rPr>
                <w:rFonts w:ascii="Arial" w:cs="Arial" w:eastAsia="Arial" w:hAnsi="Arial"/>
                <w:sz w:val="21"/>
                <w:szCs w:val="21"/>
                <w:color w:val="0000EE"/>
                <w:w w:val="97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INC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[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17"/>
                  <w:szCs w:val="17"/>
                  <w:color w:val="0000FF"/>
                  <w:w w:val="97"/>
                </w:rPr>
                <w:t>REGN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EE"/>
                  <w:w w:val="97"/>
                </w:rPr>
                <w:t xml:space="preserve"> </w:t>
              </w:r>
              <w:r>
                <w:rPr>
                  <w:rFonts w:ascii="Arial" w:cs="Arial" w:eastAsia="Arial" w:hAnsi="Arial"/>
                  <w:sz w:val="21"/>
                  <w:szCs w:val="21"/>
                  <w:color w:val="000000"/>
                  <w:w w:val="97"/>
                </w:rPr>
                <w:t>]</w:t>
              </w:r>
            </w:hyperlink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SVP &amp; GM, Indust Ops&amp;Prod Supp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777 OLD SAW MILL RIVER ROAD</w:t>
            </w:r>
          </w:p>
        </w:tc>
        <w:tc>
          <w:tcPr>
            <w:tcW w:w="1420" w:type="dxa"/>
            <w:vAlign w:val="bottom"/>
            <w:gridSpan w:val="6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12/14/2010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8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TARRYTOWN  NY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10591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</w:tcPr>
          <w:p>
            <w:pPr>
              <w:ind w:left="16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920" w:type="dxa"/>
            <w:vAlign w:val="bottom"/>
            <w:gridSpan w:val="3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6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6"/>
          </w:tcPr>
          <w:p>
            <w:pPr>
              <w:ind w:left="8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3"/>
            <w:vMerge w:val="restart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3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21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7"/>
          </w:tcPr>
          <w:p>
            <w:pPr>
              <w:jc w:val="right"/>
              <w:ind w:righ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0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Incentive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jc w:val="right"/>
              <w:ind w:right="4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8"/>
              </w:rPr>
              <w:t>3,264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  <w:vMerge w:val="restart"/>
          </w:tcPr>
          <w:p>
            <w:pPr>
              <w:ind w:left="2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jc w:val="right"/>
              <w:ind w:right="153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jc w:val="right"/>
              <w:ind w:right="99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3,264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buy)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Non-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Qualified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80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30.63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jc w:val="right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12/14/2010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60" w:type="dxa"/>
            <w:vAlign w:val="bottom"/>
          </w:tcPr>
          <w:p>
            <w:pPr>
              <w:jc w:val="right"/>
              <w:ind w:right="7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12/14/2020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right"/>
              <w:ind w:right="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8"/>
              </w:rPr>
              <w:t>31,736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31,736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Option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 w:line="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(right to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0"/>
          <w:szCs w:val="20"/>
          <w:color w:val="auto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The stock option award (combined incentive stock option and non-qualified stock option) vests in four equal annual installments, commencing one year after the date of grant.</w:t>
      </w:r>
    </w:p>
    <w:p>
      <w:pPr>
        <w:spacing w:after="0" w:line="51" w:lineRule="exact"/>
        <w:rPr>
          <w:rFonts w:ascii="Arial" w:cs="Arial" w:eastAsia="Arial" w:hAnsi="Arial"/>
          <w:sz w:val="13"/>
          <w:szCs w:val="13"/>
          <w:color w:val="008000"/>
        </w:rPr>
      </w:pPr>
    </w:p>
    <w:p>
      <w:pPr>
        <w:ind w:left="180" w:hanging="132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008000"/>
        </w:rPr>
      </w:pPr>
      <w:r>
        <w:rPr>
          <w:rFonts w:ascii="Arial" w:cs="Arial" w:eastAsia="Arial" w:hAnsi="Arial"/>
          <w:sz w:val="13"/>
          <w:szCs w:val="13"/>
          <w:color w:val="008000"/>
        </w:rPr>
        <w:t>Exercisable date, exercise date, exercise price, purchase price, sales price, and/or expiration date is not applicable in this case.</w:t>
      </w:r>
    </w:p>
    <w:p>
      <w:pPr>
        <w:spacing w:after="0" w:line="68" w:lineRule="exact"/>
        <w:rPr>
          <w:sz w:val="20"/>
          <w:szCs w:val="20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6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3"/>
              </w:rPr>
              <w:t>/s/**Daniel P. Van Plew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12/20/2010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0"/>
          <w:szCs w:val="20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411984" TargetMode="External"/><Relationship Id="rId13" Type="http://schemas.openxmlformats.org/officeDocument/2006/relationships/hyperlink" Target="http://www.sec.gov/cgi-bin/browse-edgar?action=getcompany&amp;CIK=0000872589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2019-12-18T10:15:51Z</dcterms:created>
  <dcterms:modified xsi:type="dcterms:W3CDTF">2019-12-18T10:15:51Z</dcterms:modified>
</cp:coreProperties>
</file>