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85" w:lineRule="exact"/>
        <w:rPr>
          <w:sz w:val="24"/>
          <w:szCs w:val="24"/>
          <w:color w:val="auto"/>
        </w:rPr>
      </w:pPr>
    </w:p>
    <w:p>
      <w:pPr>
        <w:ind w:left="480"/>
        <w:spacing w:after="0"/>
        <w:rPr>
          <w:sz w:val="20"/>
          <w:szCs w:val="20"/>
          <w:color w:val="auto"/>
        </w:rPr>
      </w:pPr>
      <w:r>
        <w:rPr>
          <w:rFonts w:ascii="Arial" w:cs="Arial" w:eastAsia="Arial" w:hAnsi="Arial"/>
          <w:sz w:val="18"/>
          <w:szCs w:val="18"/>
          <w:color w:val="auto"/>
        </w:rPr>
        <w:t>(Mark One)</w:t>
      </w:r>
    </w:p>
    <w:p>
      <w:pPr>
        <w:spacing w:after="0" w:line="36" w:lineRule="exact"/>
        <w:rPr>
          <w:sz w:val="24"/>
          <w:szCs w:val="24"/>
          <w:color w:val="auto"/>
        </w:rPr>
      </w:pPr>
    </w:p>
    <w:p>
      <w:pPr>
        <w:ind w:left="480" w:right="4560" w:hanging="472"/>
        <w:spacing w:after="0" w:line="299" w:lineRule="auto"/>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0" w:lineRule="exact"/>
        <w:rPr>
          <w:sz w:val="24"/>
          <w:szCs w:val="24"/>
          <w:color w:val="auto"/>
        </w:rPr>
      </w:pPr>
    </w:p>
    <w:p>
      <w:pPr>
        <w:ind w:left="480"/>
        <w:spacing w:after="0"/>
        <w:tabs>
          <w:tab w:leader="none" w:pos="310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September 30,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10795</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73" w:lineRule="exact"/>
        <w:rPr>
          <w:sz w:val="24"/>
          <w:szCs w:val="24"/>
          <w:color w:val="auto"/>
        </w:rPr>
      </w:pPr>
    </w:p>
    <w:p>
      <w:pPr>
        <w:jc w:val="center"/>
        <w:ind w:left="480"/>
        <w:spacing w:after="0"/>
        <w:rPr>
          <w:sz w:val="20"/>
          <w:szCs w:val="20"/>
          <w:color w:val="auto"/>
        </w:rPr>
      </w:pPr>
      <w:r>
        <w:rPr>
          <w:rFonts w:ascii="Arial" w:cs="Arial" w:eastAsia="Arial" w:hAnsi="Arial"/>
          <w:sz w:val="18"/>
          <w:szCs w:val="18"/>
          <w:color w:val="auto"/>
        </w:rPr>
        <w:t>OR</w:t>
      </w:r>
    </w:p>
    <w:p>
      <w:pPr>
        <w:spacing w:after="0" w:line="279" w:lineRule="exact"/>
        <w:rPr>
          <w:sz w:val="24"/>
          <w:szCs w:val="24"/>
          <w:color w:val="auto"/>
        </w:rPr>
      </w:pPr>
    </w:p>
    <w:p>
      <w:pPr>
        <w:ind w:left="480" w:right="4500" w:hanging="472"/>
        <w:spacing w:after="0" w:line="299" w:lineRule="auto"/>
        <w:tabs>
          <w:tab w:leader="none" w:pos="197"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 (d) OF THE SECURITIES EXCHANGE ACT OF 1934</w:t>
      </w:r>
    </w:p>
    <w:p>
      <w:pPr>
        <w:spacing w:after="0" w:line="214" w:lineRule="exact"/>
        <w:rPr>
          <w:sz w:val="24"/>
          <w:szCs w:val="24"/>
          <w:color w:val="auto"/>
        </w:rPr>
      </w:pPr>
    </w:p>
    <w:p>
      <w:pPr>
        <w:ind w:left="480"/>
        <w:spacing w:after="0"/>
        <w:rPr>
          <w:sz w:val="20"/>
          <w:szCs w:val="20"/>
          <w:color w:val="auto"/>
        </w:rPr>
      </w:pPr>
      <w:r>
        <w:rPr>
          <w:rFonts w:ascii="Arial" w:cs="Arial" w:eastAsia="Arial" w:hAnsi="Arial"/>
          <w:sz w:val="18"/>
          <w:szCs w:val="18"/>
          <w:color w:val="auto"/>
        </w:rPr>
        <w:t>For the transition period from ______________ to ______________</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0-19034</w:t>
      </w:r>
    </w:p>
    <w:p>
      <w:pPr>
        <w:spacing w:after="0" w:line="256"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REGENERON PHARMACEUTICALS, INC.</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5"/>
        </w:trPr>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0" w:type="dxa"/>
            <w:vAlign w:val="bottom"/>
            <w:gridSpan w:val="5"/>
          </w:tcPr>
          <w:p>
            <w:pPr>
              <w:jc w:val="center"/>
              <w:ind w:right="2100"/>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664"/>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gridSpan w:val="4"/>
          </w:tcPr>
          <w:p>
            <w:pPr>
              <w:jc w:val="center"/>
              <w:ind w:right="3992"/>
              <w:spacing w:after="0"/>
              <w:rPr>
                <w:sz w:val="20"/>
                <w:szCs w:val="20"/>
                <w:color w:val="auto"/>
              </w:rPr>
            </w:pPr>
            <w:r>
              <w:rPr>
                <w:rFonts w:ascii="Arial" w:cs="Arial" w:eastAsia="Arial" w:hAnsi="Arial"/>
                <w:sz w:val="18"/>
                <w:szCs w:val="18"/>
                <w:color w:val="auto"/>
                <w:w w:val="92"/>
              </w:rPr>
              <w:t>New York</w:t>
            </w:r>
          </w:p>
        </w:tc>
        <w:tc>
          <w:tcPr>
            <w:tcW w:w="2540" w:type="dxa"/>
            <w:vAlign w:val="bottom"/>
            <w:gridSpan w:val="3"/>
          </w:tcPr>
          <w:p>
            <w:pPr>
              <w:jc w:val="center"/>
              <w:spacing w:after="0"/>
              <w:rPr>
                <w:sz w:val="20"/>
                <w:szCs w:val="20"/>
                <w:color w:val="auto"/>
              </w:rPr>
            </w:pPr>
            <w:r>
              <w:rPr>
                <w:rFonts w:ascii="Arial" w:cs="Arial" w:eastAsia="Arial" w:hAnsi="Arial"/>
                <w:sz w:val="18"/>
                <w:szCs w:val="18"/>
                <w:color w:val="auto"/>
                <w:w w:val="89"/>
              </w:rPr>
              <w:t>13-3444607</w:t>
            </w: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8"/>
        </w:trPr>
        <w:tc>
          <w:tcPr>
            <w:tcW w:w="5820" w:type="dxa"/>
            <w:vAlign w:val="bottom"/>
            <w:gridSpan w:val="6"/>
          </w:tcPr>
          <w:p>
            <w:pPr>
              <w:jc w:val="center"/>
              <w:ind w:right="2972"/>
              <w:spacing w:after="0"/>
              <w:rPr>
                <w:sz w:val="20"/>
                <w:szCs w:val="20"/>
                <w:color w:val="auto"/>
              </w:rPr>
            </w:pPr>
            <w:r>
              <w:rPr>
                <w:rFonts w:ascii="Arial" w:cs="Arial" w:eastAsia="Arial" w:hAnsi="Arial"/>
                <w:sz w:val="18"/>
                <w:szCs w:val="18"/>
                <w:color w:val="auto"/>
                <w:w w:val="90"/>
              </w:rPr>
              <w:t>(State or other jurisdiction of</w:t>
            </w:r>
          </w:p>
        </w:tc>
        <w:tc>
          <w:tcPr>
            <w:tcW w:w="2540" w:type="dxa"/>
            <w:vAlign w:val="bottom"/>
            <w:gridSpan w:val="3"/>
          </w:tcPr>
          <w:p>
            <w:pPr>
              <w:jc w:val="center"/>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5820" w:type="dxa"/>
            <w:vAlign w:val="bottom"/>
            <w:gridSpan w:val="6"/>
          </w:tcPr>
          <w:p>
            <w:pPr>
              <w:jc w:val="center"/>
              <w:ind w:right="2972"/>
              <w:spacing w:after="0"/>
              <w:rPr>
                <w:sz w:val="20"/>
                <w:szCs w:val="20"/>
                <w:color w:val="auto"/>
              </w:rPr>
            </w:pPr>
            <w:r>
              <w:rPr>
                <w:rFonts w:ascii="Arial" w:cs="Arial" w:eastAsia="Arial" w:hAnsi="Arial"/>
                <w:sz w:val="18"/>
                <w:szCs w:val="18"/>
                <w:color w:val="auto"/>
                <w:w w:val="90"/>
              </w:rPr>
              <w:t>incorporation or organization)</w:t>
            </w: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53"/>
        </w:trPr>
        <w:tc>
          <w:tcPr>
            <w:tcW w:w="5820" w:type="dxa"/>
            <w:vAlign w:val="bottom"/>
            <w:gridSpan w:val="6"/>
          </w:tcPr>
          <w:p>
            <w:pPr>
              <w:jc w:val="center"/>
              <w:ind w:right="2972"/>
              <w:spacing w:after="0"/>
              <w:rPr>
                <w:sz w:val="20"/>
                <w:szCs w:val="20"/>
                <w:color w:val="auto"/>
              </w:rPr>
            </w:pPr>
            <w:r>
              <w:rPr>
                <w:rFonts w:ascii="Arial" w:cs="Arial" w:eastAsia="Arial" w:hAnsi="Arial"/>
                <w:sz w:val="18"/>
                <w:szCs w:val="18"/>
                <w:color w:val="auto"/>
                <w:w w:val="92"/>
              </w:rPr>
              <w:t>777 Old Saw Mill River Road</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4"/>
        </w:trPr>
        <w:tc>
          <w:tcPr>
            <w:tcW w:w="620" w:type="dxa"/>
            <w:vAlign w:val="bottom"/>
          </w:tcPr>
          <w:p>
            <w:pPr>
              <w:spacing w:after="0"/>
              <w:rPr>
                <w:sz w:val="15"/>
                <w:szCs w:val="15"/>
                <w:color w:val="auto"/>
              </w:rPr>
            </w:pPr>
          </w:p>
        </w:tc>
        <w:tc>
          <w:tcPr>
            <w:tcW w:w="1540" w:type="dxa"/>
            <w:vAlign w:val="bottom"/>
            <w:tcBorders>
              <w:bottom w:val="single" w:sz="8" w:color="auto"/>
            </w:tcBorders>
            <w:gridSpan w:val="3"/>
          </w:tcPr>
          <w:p>
            <w:pPr>
              <w:jc w:val="center"/>
              <w:spacing w:after="0" w:line="184" w:lineRule="exact"/>
              <w:rPr>
                <w:sz w:val="20"/>
                <w:szCs w:val="20"/>
                <w:color w:val="auto"/>
              </w:rPr>
            </w:pPr>
            <w:r>
              <w:rPr>
                <w:rFonts w:ascii="Arial" w:cs="Arial" w:eastAsia="Arial" w:hAnsi="Arial"/>
                <w:sz w:val="18"/>
                <w:szCs w:val="18"/>
                <w:color w:val="auto"/>
                <w:w w:val="91"/>
              </w:rPr>
              <w:t>Tarrytown, New York</w:t>
            </w:r>
          </w:p>
        </w:tc>
        <w:tc>
          <w:tcPr>
            <w:tcW w:w="366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Borders>
              <w:bottom w:val="single" w:sz="8" w:color="auto"/>
            </w:tcBorders>
          </w:tcPr>
          <w:p>
            <w:pPr>
              <w:jc w:val="center"/>
              <w:spacing w:after="0" w:line="184" w:lineRule="exact"/>
              <w:rPr>
                <w:sz w:val="20"/>
                <w:szCs w:val="20"/>
                <w:color w:val="auto"/>
              </w:rPr>
            </w:pPr>
            <w:r>
              <w:rPr>
                <w:rFonts w:ascii="Arial" w:cs="Arial" w:eastAsia="Arial" w:hAnsi="Arial"/>
                <w:sz w:val="18"/>
                <w:szCs w:val="18"/>
                <w:color w:val="auto"/>
                <w:w w:val="89"/>
              </w:rPr>
              <w:t>10591-6707</w:t>
            </w:r>
          </w:p>
        </w:tc>
        <w:tc>
          <w:tcPr>
            <w:tcW w:w="840" w:type="dxa"/>
            <w:vAlign w:val="bottom"/>
          </w:tcPr>
          <w:p>
            <w:pPr>
              <w:spacing w:after="0"/>
              <w:rPr>
                <w:sz w:val="15"/>
                <w:szCs w:val="15"/>
                <w:color w:val="auto"/>
              </w:rPr>
            </w:pPr>
          </w:p>
        </w:tc>
      </w:tr>
      <w:tr>
        <w:trPr>
          <w:trHeight w:val="235"/>
        </w:trPr>
        <w:tc>
          <w:tcPr>
            <w:tcW w:w="5820" w:type="dxa"/>
            <w:vAlign w:val="bottom"/>
            <w:gridSpan w:val="6"/>
          </w:tcPr>
          <w:p>
            <w:pPr>
              <w:jc w:val="center"/>
              <w:ind w:right="2952"/>
              <w:spacing w:after="0"/>
              <w:rPr>
                <w:sz w:val="20"/>
                <w:szCs w:val="20"/>
                <w:color w:val="auto"/>
              </w:rPr>
            </w:pPr>
            <w:r>
              <w:rPr>
                <w:rFonts w:ascii="Arial" w:cs="Arial" w:eastAsia="Arial" w:hAnsi="Arial"/>
                <w:sz w:val="18"/>
                <w:szCs w:val="18"/>
                <w:color w:val="auto"/>
                <w:w w:val="90"/>
              </w:rPr>
              <w:t>(Address of principal executive offices)</w:t>
            </w:r>
          </w:p>
        </w:tc>
        <w:tc>
          <w:tcPr>
            <w:tcW w:w="840" w:type="dxa"/>
            <w:vAlign w:val="bottom"/>
          </w:tcPr>
          <w:p>
            <w:pPr>
              <w:spacing w:after="0"/>
              <w:rPr>
                <w:sz w:val="20"/>
                <w:szCs w:val="20"/>
                <w:color w:val="auto"/>
              </w:rPr>
            </w:pPr>
          </w:p>
        </w:tc>
        <w:tc>
          <w:tcPr>
            <w:tcW w:w="1700" w:type="dxa"/>
            <w:vAlign w:val="bottom"/>
            <w:gridSpan w:val="2"/>
          </w:tcPr>
          <w:p>
            <w:pPr>
              <w:jc w:val="center"/>
              <w:ind w:right="840"/>
              <w:spacing w:after="0"/>
              <w:rPr>
                <w:sz w:val="20"/>
                <w:szCs w:val="20"/>
                <w:color w:val="auto"/>
              </w:rPr>
            </w:pPr>
            <w:r>
              <w:rPr>
                <w:rFonts w:ascii="Arial" w:cs="Arial" w:eastAsia="Arial" w:hAnsi="Arial"/>
                <w:sz w:val="18"/>
                <w:szCs w:val="18"/>
                <w:color w:val="auto"/>
                <w:w w:val="91"/>
              </w:rPr>
              <w:t>(Zip Code)</w:t>
            </w:r>
          </w:p>
        </w:tc>
      </w:tr>
    </w:tbl>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18"/>
          <w:szCs w:val="18"/>
          <w:u w:val="single" w:color="auto"/>
          <w:color w:val="auto"/>
        </w:rPr>
        <w:t>(914) 347-7000</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46"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580"/>
        <w:spacing w:after="0"/>
        <w:tabs>
          <w:tab w:leader="none" w:pos="5000" w:val="left"/>
          <w:tab w:leader="none" w:pos="616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19685</wp:posOffset>
            </wp:positionV>
            <wp:extent cx="2660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19685</wp:posOffset>
            </wp:positionV>
            <wp:extent cx="2660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59"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ind w:left="4580"/>
        <w:spacing w:after="0"/>
        <w:tabs>
          <w:tab w:leader="none" w:pos="5000" w:val="left"/>
          <w:tab w:leader="none" w:pos="616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19685</wp:posOffset>
            </wp:positionV>
            <wp:extent cx="2660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19685</wp:posOffset>
            </wp:positionV>
            <wp:extent cx="266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59"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1620" w:type="dxa"/>
            <w:vAlign w:val="bottom"/>
          </w:tcPr>
          <w:p>
            <w:pPr>
              <w:spacing w:after="0"/>
              <w:rPr>
                <w:sz w:val="20"/>
                <w:szCs w:val="20"/>
                <w:color w:val="auto"/>
              </w:rPr>
            </w:pPr>
            <w:r>
              <w:rPr>
                <w:rFonts w:ascii="Arial" w:cs="Arial" w:eastAsia="Arial" w:hAnsi="Arial"/>
                <w:sz w:val="18"/>
                <w:szCs w:val="18"/>
                <w:color w:val="auto"/>
                <w:w w:val="89"/>
              </w:rPr>
              <w:t>Large accelerated filer</w:t>
            </w:r>
          </w:p>
        </w:tc>
        <w:tc>
          <w:tcPr>
            <w:tcW w:w="3660" w:type="dxa"/>
            <w:vAlign w:val="bottom"/>
            <w:gridSpan w:val="3"/>
          </w:tcPr>
          <w:p>
            <w:pPr>
              <w:ind w:left="60"/>
              <w:spacing w:after="0"/>
              <w:rPr>
                <w:sz w:val="20"/>
                <w:szCs w:val="20"/>
                <w:color w:val="auto"/>
              </w:rPr>
            </w:pPr>
            <w:r>
              <w:rPr>
                <w:rFonts w:ascii="Arial" w:cs="Arial" w:eastAsia="Arial" w:hAnsi="Arial"/>
                <w:sz w:val="18"/>
                <w:szCs w:val="18"/>
                <w:color w:val="auto"/>
              </w:rPr>
              <w:t>X</w:t>
            </w: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 xml:space="preserve">Accelerated filer </w:t>
            </w:r>
            <w:r>
              <w:rPr>
                <w:rFonts w:ascii="Arial" w:cs="Arial" w:eastAsia="Arial" w:hAnsi="Arial"/>
                <w:sz w:val="21"/>
                <w:szCs w:val="21"/>
                <w:b w:val="1"/>
                <w:bCs w:val="1"/>
                <w:color w:val="auto"/>
              </w:rPr>
              <w:t>__</w:t>
            </w: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w w:val="96"/>
              </w:rPr>
              <w:t>Non-accelerated filer</w:t>
            </w:r>
          </w:p>
        </w:tc>
        <w:tc>
          <w:tcPr>
            <w:tcW w:w="240" w:type="dxa"/>
            <w:vAlign w:val="bottom"/>
            <w:tcBorders>
              <w:top w:val="single" w:sz="8" w:color="auto"/>
              <w:bottom w:val="single" w:sz="8" w:color="auto"/>
            </w:tcBorders>
          </w:tcPr>
          <w:p>
            <w:pPr>
              <w:spacing w:after="0"/>
              <w:rPr>
                <w:sz w:val="20"/>
                <w:szCs w:val="20"/>
                <w:color w:val="auto"/>
              </w:rPr>
            </w:pPr>
          </w:p>
        </w:tc>
        <w:tc>
          <w:tcPr>
            <w:tcW w:w="3420" w:type="dxa"/>
            <w:vAlign w:val="bottom"/>
            <w:gridSpan w:val="2"/>
          </w:tcPr>
          <w:p>
            <w:pPr>
              <w:ind w:left="40"/>
              <w:spacing w:after="0"/>
              <w:rPr>
                <w:sz w:val="20"/>
                <w:szCs w:val="20"/>
                <w:color w:val="auto"/>
              </w:rPr>
            </w:pPr>
            <w:r>
              <w:rPr>
                <w:rFonts w:ascii="Arial" w:cs="Arial" w:eastAsia="Arial" w:hAnsi="Arial"/>
                <w:sz w:val="18"/>
                <w:szCs w:val="18"/>
                <w:color w:val="auto"/>
                <w:w w:val="92"/>
              </w:rPr>
              <w:t>(Do not check if a smaller reporting company)</w:t>
            </w: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tcPr>
          <w:p>
            <w:pPr>
              <w:ind w:left="80"/>
              <w:spacing w:after="0" w:line="237" w:lineRule="exact"/>
              <w:rPr>
                <w:sz w:val="20"/>
                <w:szCs w:val="20"/>
                <w:color w:val="auto"/>
              </w:rPr>
            </w:pPr>
            <w:r>
              <w:rPr>
                <w:rFonts w:ascii="Arial" w:cs="Arial" w:eastAsia="Arial" w:hAnsi="Arial"/>
                <w:sz w:val="18"/>
                <w:szCs w:val="18"/>
                <w:color w:val="auto"/>
                <w:w w:val="89"/>
              </w:rPr>
              <w:t xml:space="preserve">Smaller reporting company </w:t>
            </w:r>
            <w:r>
              <w:rPr>
                <w:rFonts w:ascii="Arial" w:cs="Arial" w:eastAsia="Arial" w:hAnsi="Arial"/>
                <w:sz w:val="21"/>
                <w:szCs w:val="21"/>
                <w:b w:val="1"/>
                <w:bCs w:val="1"/>
                <w:color w:val="auto"/>
                <w:w w:val="89"/>
              </w:rPr>
              <w:t>__</w:t>
            </w:r>
          </w:p>
        </w:tc>
      </w:tr>
      <w:tr>
        <w:trPr>
          <w:trHeight w:val="444"/>
        </w:trPr>
        <w:tc>
          <w:tcPr>
            <w:tcW w:w="9140" w:type="dxa"/>
            <w:vAlign w:val="bottom"/>
            <w:gridSpan w:val="7"/>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r>
      <w:tr>
        <w:trPr>
          <w:trHeight w:val="237"/>
        </w:trPr>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20" w:type="dxa"/>
            <w:vAlign w:val="bottom"/>
          </w:tcPr>
          <w:p>
            <w:pPr>
              <w:ind w:left="2720"/>
              <w:spacing w:after="0"/>
              <w:rPr>
                <w:sz w:val="20"/>
                <w:szCs w:val="20"/>
                <w:color w:val="auto"/>
              </w:rPr>
            </w:pPr>
            <w:r>
              <w:rPr>
                <w:rFonts w:ascii="Arial" w:cs="Arial" w:eastAsia="Arial" w:hAnsi="Arial"/>
                <w:sz w:val="18"/>
                <w:szCs w:val="18"/>
                <w:color w:val="auto"/>
                <w:w w:val="90"/>
              </w:rPr>
              <w:t>Yes</w:t>
            </w:r>
          </w:p>
        </w:tc>
        <w:tc>
          <w:tcPr>
            <w:tcW w:w="400" w:type="dxa"/>
            <w:vAlign w:val="bottom"/>
          </w:tcPr>
          <w:p>
            <w:pPr>
              <w:spacing w:after="0"/>
              <w:rPr>
                <w:sz w:val="20"/>
                <w:szCs w:val="20"/>
                <w:color w:val="auto"/>
              </w:rPr>
            </w:pPr>
          </w:p>
        </w:tc>
        <w:tc>
          <w:tcPr>
            <w:tcW w:w="3860" w:type="dxa"/>
            <w:vAlign w:val="bottom"/>
            <w:gridSpan w:val="3"/>
          </w:tcPr>
          <w:p>
            <w:pPr>
              <w:ind w:left="880"/>
              <w:spacing w:after="0"/>
              <w:rPr>
                <w:sz w:val="20"/>
                <w:szCs w:val="20"/>
                <w:color w:val="auto"/>
              </w:rPr>
            </w:pPr>
            <w:r>
              <w:rPr>
                <w:rFonts w:ascii="Arial" w:cs="Arial" w:eastAsia="Arial" w:hAnsi="Arial"/>
                <w:sz w:val="18"/>
                <w:szCs w:val="18"/>
                <w:color w:val="auto"/>
              </w:rPr>
              <w:t>No   X</w:t>
            </w:r>
          </w:p>
        </w:tc>
      </w:tr>
      <w:tr>
        <w:trPr>
          <w:trHeight w:val="20"/>
        </w:trPr>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outstanding of each of the registrant’s classes of common stock as of October 15, 2010:</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Class of Common Stock</w:t>
            </w:r>
          </w:p>
        </w:tc>
        <w:tc>
          <w:tcPr>
            <w:tcW w:w="19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Number of Shares</w:t>
            </w:r>
          </w:p>
        </w:tc>
      </w:tr>
      <w:tr>
        <w:trPr>
          <w:trHeight w:val="20"/>
        </w:trPr>
        <w:tc>
          <w:tcPr>
            <w:tcW w:w="31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28"/>
        </w:trPr>
        <w:tc>
          <w:tcPr>
            <w:tcW w:w="6800" w:type="dxa"/>
            <w:vAlign w:val="bottom"/>
            <w:gridSpan w:val="3"/>
          </w:tcPr>
          <w:p>
            <w:pPr>
              <w:jc w:val="center"/>
              <w:ind w:left="1152"/>
              <w:spacing w:after="0"/>
              <w:rPr>
                <w:sz w:val="20"/>
                <w:szCs w:val="20"/>
                <w:color w:val="auto"/>
              </w:rPr>
            </w:pPr>
            <w:r>
              <w:rPr>
                <w:rFonts w:ascii="Arial" w:cs="Arial" w:eastAsia="Arial" w:hAnsi="Arial"/>
                <w:sz w:val="18"/>
                <w:szCs w:val="18"/>
                <w:color w:val="auto"/>
                <w:w w:val="87"/>
              </w:rPr>
              <w:t>Class A Stock, $0.001 par value</w:t>
            </w:r>
          </w:p>
        </w:tc>
        <w:tc>
          <w:tcPr>
            <w:tcW w:w="1280" w:type="dxa"/>
            <w:vAlign w:val="bottom"/>
          </w:tcPr>
          <w:p>
            <w:pPr>
              <w:jc w:val="right"/>
              <w:ind w:right="192"/>
              <w:spacing w:after="0"/>
              <w:rPr>
                <w:sz w:val="20"/>
                <w:szCs w:val="20"/>
                <w:color w:val="auto"/>
              </w:rPr>
            </w:pPr>
            <w:r>
              <w:rPr>
                <w:rFonts w:ascii="Arial" w:cs="Arial" w:eastAsia="Arial" w:hAnsi="Arial"/>
                <w:sz w:val="18"/>
                <w:szCs w:val="18"/>
                <w:color w:val="auto"/>
              </w:rPr>
              <w:t>2,181,831</w:t>
            </w:r>
          </w:p>
        </w:tc>
        <w:tc>
          <w:tcPr>
            <w:tcW w:w="3360" w:type="dxa"/>
            <w:vAlign w:val="bottom"/>
          </w:tcPr>
          <w:p>
            <w:pPr>
              <w:spacing w:after="0"/>
              <w:rPr>
                <w:sz w:val="19"/>
                <w:szCs w:val="19"/>
                <w:color w:val="auto"/>
              </w:rPr>
            </w:pPr>
          </w:p>
        </w:tc>
      </w:tr>
      <w:tr>
        <w:trPr>
          <w:trHeight w:val="222"/>
        </w:trPr>
        <w:tc>
          <w:tcPr>
            <w:tcW w:w="6800" w:type="dxa"/>
            <w:vAlign w:val="bottom"/>
            <w:gridSpan w:val="3"/>
          </w:tcPr>
          <w:p>
            <w:pPr>
              <w:jc w:val="center"/>
              <w:ind w:left="1152"/>
              <w:spacing w:after="0"/>
              <w:rPr>
                <w:sz w:val="20"/>
                <w:szCs w:val="20"/>
                <w:color w:val="auto"/>
              </w:rPr>
            </w:pPr>
            <w:r>
              <w:rPr>
                <w:rFonts w:ascii="Arial" w:cs="Arial" w:eastAsia="Arial" w:hAnsi="Arial"/>
                <w:sz w:val="18"/>
                <w:szCs w:val="18"/>
                <w:color w:val="auto"/>
                <w:w w:val="88"/>
              </w:rPr>
              <w:t>Common Stock, $0.001 par value</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80,111,128</w:t>
            </w:r>
          </w:p>
        </w:tc>
        <w:tc>
          <w:tcPr>
            <w:tcW w:w="3360" w:type="dxa"/>
            <w:vAlign w:val="bottom"/>
          </w:tcPr>
          <w:p>
            <w:pPr>
              <w:spacing w:after="0"/>
              <w:rPr>
                <w:sz w:val="19"/>
                <w:szCs w:val="19"/>
                <w:color w:val="auto"/>
              </w:rPr>
            </w:pPr>
          </w:p>
        </w:tc>
      </w:tr>
      <w:tr>
        <w:trPr>
          <w:trHeight w:val="363"/>
        </w:trPr>
        <w:tc>
          <w:tcPr>
            <w:tcW w:w="31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8"/>
              </w:rPr>
              <w:t>REGENERON PHARMACEUTICALS, INC.</w:t>
            </w:r>
          </w:p>
        </w:tc>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Table of Contents</w:t>
            </w:r>
          </w:p>
        </w:tc>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September 30, 2010</w:t>
            </w:r>
          </w:p>
        </w:tc>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560" w:type="dxa"/>
            <w:vAlign w:val="bottom"/>
            <w:gridSpan w:val="3"/>
          </w:tcPr>
          <w:p>
            <w:pPr>
              <w:ind w:left="1440"/>
              <w:spacing w:after="0"/>
              <w:rPr>
                <w:sz w:val="20"/>
                <w:szCs w:val="20"/>
                <w:color w:val="auto"/>
              </w:rPr>
            </w:pPr>
            <w:r>
              <w:rPr>
                <w:rFonts w:ascii="Arial" w:cs="Arial" w:eastAsia="Arial" w:hAnsi="Arial"/>
                <w:sz w:val="18"/>
                <w:szCs w:val="18"/>
                <w:b w:val="1"/>
                <w:bCs w:val="1"/>
                <w:color w:val="auto"/>
                <w:w w:val="87"/>
              </w:rPr>
              <w:t>Page Numbers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Borders>
              <w:top w:val="single" w:sz="8" w:color="C0C0C0"/>
            </w:tcBorders>
            <w:gridSpan w:val="3"/>
            <w:shd w:val="clear" w:color="auto" w:fill="C0C0C0"/>
          </w:tcPr>
          <w:p>
            <w:pPr>
              <w:spacing w:after="0"/>
              <w:rPr>
                <w:sz w:val="20"/>
                <w:szCs w:val="20"/>
                <w:color w:val="auto"/>
              </w:rPr>
            </w:pPr>
            <w:r>
              <w:rPr>
                <w:rFonts w:ascii="Arial" w:cs="Arial" w:eastAsia="Arial" w:hAnsi="Arial"/>
                <w:sz w:val="18"/>
                <w:szCs w:val="18"/>
                <w:b w:val="1"/>
                <w:bCs w:val="1"/>
                <w:color w:val="auto"/>
              </w:rPr>
              <w:t>PART I</w:t>
            </w:r>
          </w:p>
        </w:tc>
        <w:tc>
          <w:tcPr>
            <w:tcW w:w="8000" w:type="dxa"/>
            <w:vAlign w:val="bottom"/>
            <w:tcBorders>
              <w:top w:val="single" w:sz="8" w:color="C0C0C0"/>
            </w:tcBorders>
            <w:gridSpan w:val="9"/>
            <w:shd w:val="clear" w:color="auto" w:fill="C0C0C0"/>
          </w:tcPr>
          <w:p>
            <w:pPr>
              <w:spacing w:after="0"/>
              <w:rPr>
                <w:sz w:val="20"/>
                <w:szCs w:val="20"/>
                <w:color w:val="auto"/>
              </w:rPr>
            </w:pPr>
            <w:r>
              <w:rPr>
                <w:rFonts w:ascii="Arial" w:cs="Arial" w:eastAsia="Arial" w:hAnsi="Arial"/>
                <w:sz w:val="18"/>
                <w:szCs w:val="18"/>
                <w:b w:val="1"/>
                <w:bCs w:val="1"/>
                <w:color w:val="auto"/>
              </w:rPr>
              <w:t>FINANCIAL INFORMATION</w:t>
            </w:r>
          </w:p>
        </w:tc>
        <w:tc>
          <w:tcPr>
            <w:tcW w:w="1440" w:type="dxa"/>
            <w:vAlign w:val="bottom"/>
            <w:tcBorders>
              <w:top w:val="single" w:sz="8" w:color="C0C0C0"/>
            </w:tcBorders>
            <w:shd w:val="clear" w:color="auto" w:fill="C0C0C0"/>
          </w:tcPr>
          <w:p>
            <w:pPr>
              <w:spacing w:after="0"/>
              <w:rPr>
                <w:sz w:val="21"/>
                <w:szCs w:val="21"/>
                <w:color w:val="auto"/>
              </w:rPr>
            </w:pPr>
          </w:p>
        </w:tc>
        <w:tc>
          <w:tcPr>
            <w:tcW w:w="110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gridSpan w:val="3"/>
            <w:shd w:val="clear" w:color="auto" w:fill="C0C0C0"/>
          </w:tcPr>
          <w:p>
            <w:pPr>
              <w:spacing w:after="0" w:line="189" w:lineRule="exact"/>
              <w:rPr>
                <w:sz w:val="20"/>
                <w:szCs w:val="20"/>
                <w:color w:val="auto"/>
              </w:rPr>
            </w:pPr>
            <w:r>
              <w:rPr>
                <w:rFonts w:ascii="Arial" w:cs="Arial" w:eastAsia="Arial" w:hAnsi="Arial"/>
                <w:sz w:val="18"/>
                <w:szCs w:val="18"/>
                <w:color w:val="auto"/>
              </w:rPr>
              <w:t>Item 1</w:t>
            </w:r>
          </w:p>
        </w:tc>
        <w:tc>
          <w:tcPr>
            <w:tcW w:w="8000" w:type="dxa"/>
            <w:vAlign w:val="bottom"/>
            <w:gridSpan w:val="9"/>
            <w:shd w:val="clear" w:color="auto" w:fill="C0C0C0"/>
          </w:tcPr>
          <w:p>
            <w:pPr>
              <w:spacing w:after="0" w:line="189" w:lineRule="exact"/>
              <w:rPr>
                <w:sz w:val="20"/>
                <w:szCs w:val="20"/>
                <w:color w:val="auto"/>
              </w:rPr>
            </w:pPr>
            <w:r>
              <w:rPr>
                <w:rFonts w:ascii="Arial" w:cs="Arial" w:eastAsia="Arial" w:hAnsi="Arial"/>
                <w:sz w:val="18"/>
                <w:szCs w:val="18"/>
                <w:color w:val="auto"/>
              </w:rPr>
              <w:t>Financial Statements</w:t>
            </w:r>
          </w:p>
        </w:tc>
        <w:tc>
          <w:tcPr>
            <w:tcW w:w="1440" w:type="dxa"/>
            <w:vAlign w:val="bottom"/>
            <w:shd w:val="clear" w:color="auto" w:fill="C0C0C0"/>
          </w:tcPr>
          <w:p>
            <w:pPr>
              <w:spacing w:after="0"/>
              <w:rPr>
                <w:sz w:val="19"/>
                <w:szCs w:val="19"/>
                <w:color w:val="auto"/>
              </w:rPr>
            </w:pPr>
          </w:p>
        </w:tc>
        <w:tc>
          <w:tcPr>
            <w:tcW w:w="110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0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100" w:type="dxa"/>
            <w:vAlign w:val="bottom"/>
            <w:tcBorders>
              <w:top w:val="single" w:sz="8" w:color="C0C0C0"/>
            </w:tcBorders>
          </w:tcPr>
          <w:p>
            <w:pPr>
              <w:spacing w:after="0"/>
              <w:rPr>
                <w:sz w:val="21"/>
                <w:szCs w:val="21"/>
                <w:color w:val="auto"/>
              </w:rPr>
            </w:pPr>
          </w:p>
        </w:tc>
        <w:tc>
          <w:tcPr>
            <w:tcW w:w="2420" w:type="dxa"/>
            <w:vAlign w:val="bottom"/>
            <w:tcBorders>
              <w:top w:val="single" w:sz="8" w:color="C0C0C0"/>
            </w:tcBorders>
          </w:tcPr>
          <w:p>
            <w:pPr>
              <w:spacing w:after="0"/>
              <w:rPr>
                <w:sz w:val="21"/>
                <w:szCs w:val="21"/>
                <w:color w:val="auto"/>
              </w:rPr>
            </w:pPr>
          </w:p>
        </w:tc>
        <w:tc>
          <w:tcPr>
            <w:tcW w:w="220" w:type="dxa"/>
            <w:vAlign w:val="bottom"/>
            <w:tcBorders>
              <w:top w:val="single" w:sz="8" w:color="C0C0C0"/>
            </w:tcBorders>
          </w:tcPr>
          <w:p>
            <w:pPr>
              <w:spacing w:after="0"/>
              <w:rPr>
                <w:sz w:val="21"/>
                <w:szCs w:val="21"/>
                <w:color w:val="auto"/>
              </w:rPr>
            </w:pPr>
          </w:p>
        </w:tc>
        <w:tc>
          <w:tcPr>
            <w:tcW w:w="3540" w:type="dxa"/>
            <w:vAlign w:val="bottom"/>
            <w:tcBorders>
              <w:top w:val="single" w:sz="8" w:color="C0C0C0"/>
            </w:tcBorders>
          </w:tcPr>
          <w:p>
            <w:pPr>
              <w:spacing w:after="0"/>
              <w:rPr>
                <w:sz w:val="21"/>
                <w:szCs w:val="21"/>
                <w:color w:val="auto"/>
              </w:rPr>
            </w:pPr>
          </w:p>
        </w:tc>
        <w:tc>
          <w:tcPr>
            <w:tcW w:w="1440" w:type="dxa"/>
            <w:vAlign w:val="bottom"/>
            <w:tcBorders>
              <w:top w:val="single" w:sz="8" w:color="C0C0C0"/>
            </w:tcBorders>
          </w:tcPr>
          <w:p>
            <w:pPr>
              <w:spacing w:after="0"/>
              <w:rPr>
                <w:sz w:val="21"/>
                <w:szCs w:val="21"/>
                <w:color w:val="auto"/>
              </w:rPr>
            </w:pPr>
          </w:p>
        </w:tc>
        <w:tc>
          <w:tcPr>
            <w:tcW w:w="110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8000" w:type="dxa"/>
            <w:vAlign w:val="bottom"/>
            <w:gridSpan w:val="9"/>
            <w:shd w:val="clear" w:color="auto" w:fill="C0C0C0"/>
          </w:tcPr>
          <w:p>
            <w:pPr>
              <w:spacing w:after="0"/>
              <w:rPr>
                <w:sz w:val="20"/>
                <w:szCs w:val="20"/>
                <w:color w:val="auto"/>
              </w:rPr>
            </w:pPr>
            <w:r>
              <w:rPr>
                <w:rFonts w:ascii="Arial" w:cs="Arial" w:eastAsia="Arial" w:hAnsi="Arial"/>
                <w:sz w:val="18"/>
                <w:szCs w:val="18"/>
                <w:color w:val="auto"/>
              </w:rPr>
              <w:t>Condensed balance sheets (unaudited) at September 30, 2010</w:t>
            </w:r>
          </w:p>
        </w:tc>
        <w:tc>
          <w:tcPr>
            <w:tcW w:w="1440" w:type="dxa"/>
            <w:vAlign w:val="bottom"/>
            <w:shd w:val="clear" w:color="auto" w:fill="C0C0C0"/>
          </w:tcPr>
          <w:p>
            <w:pPr>
              <w:spacing w:after="0"/>
              <w:rPr>
                <w:sz w:val="19"/>
                <w:szCs w:val="19"/>
                <w:color w:val="auto"/>
              </w:rPr>
            </w:pPr>
          </w:p>
        </w:tc>
        <w:tc>
          <w:tcPr>
            <w:tcW w:w="110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300" w:type="dxa"/>
            <w:vAlign w:val="bottom"/>
            <w:shd w:val="clear" w:color="auto" w:fill="C0C0C0"/>
          </w:tcPr>
          <w:p>
            <w:pPr>
              <w:spacing w:after="0"/>
              <w:rPr>
                <w:sz w:val="22"/>
                <w:szCs w:val="22"/>
                <w:color w:val="auto"/>
              </w:rPr>
            </w:pPr>
          </w:p>
        </w:tc>
        <w:tc>
          <w:tcPr>
            <w:tcW w:w="8000" w:type="dxa"/>
            <w:vAlign w:val="bottom"/>
            <w:gridSpan w:val="9"/>
            <w:shd w:val="clear" w:color="auto" w:fill="C0C0C0"/>
          </w:tcPr>
          <w:p>
            <w:pPr>
              <w:spacing w:after="0"/>
              <w:rPr>
                <w:sz w:val="20"/>
                <w:szCs w:val="20"/>
                <w:color w:val="auto"/>
              </w:rPr>
            </w:pPr>
            <w:r>
              <w:rPr>
                <w:rFonts w:ascii="Arial" w:cs="Arial" w:eastAsia="Arial" w:hAnsi="Arial"/>
                <w:sz w:val="18"/>
                <w:szCs w:val="18"/>
                <w:color w:val="auto"/>
              </w:rPr>
              <w:t>and December 31, 2009</w:t>
            </w:r>
          </w:p>
        </w:tc>
        <w:tc>
          <w:tcPr>
            <w:tcW w:w="2540" w:type="dxa"/>
            <w:vAlign w:val="bottom"/>
            <w:gridSpan w:val="2"/>
            <w:shd w:val="clear" w:color="auto" w:fill="C0C0C0"/>
          </w:tcPr>
          <w:p>
            <w:pPr>
              <w:ind w:left="21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8000" w:type="dxa"/>
            <w:vAlign w:val="bottom"/>
            <w:gridSpan w:val="9"/>
            <w:shd w:val="clear" w:color="auto" w:fill="C0C0C0"/>
          </w:tcPr>
          <w:p>
            <w:pPr>
              <w:spacing w:after="0"/>
              <w:rPr>
                <w:sz w:val="20"/>
                <w:szCs w:val="20"/>
                <w:color w:val="auto"/>
              </w:rPr>
            </w:pPr>
            <w:r>
              <w:rPr>
                <w:rFonts w:ascii="Arial" w:cs="Arial" w:eastAsia="Arial" w:hAnsi="Arial"/>
                <w:sz w:val="18"/>
                <w:szCs w:val="18"/>
                <w:color w:val="auto"/>
              </w:rPr>
              <w:t>Condensed statements of operations (unaudited) for the three</w:t>
            </w:r>
          </w:p>
        </w:tc>
        <w:tc>
          <w:tcPr>
            <w:tcW w:w="1440" w:type="dxa"/>
            <w:vAlign w:val="bottom"/>
            <w:shd w:val="clear" w:color="auto" w:fill="C0C0C0"/>
          </w:tcPr>
          <w:p>
            <w:pPr>
              <w:spacing w:after="0"/>
              <w:rPr>
                <w:sz w:val="19"/>
                <w:szCs w:val="19"/>
                <w:color w:val="auto"/>
              </w:rPr>
            </w:pPr>
          </w:p>
        </w:tc>
        <w:tc>
          <w:tcPr>
            <w:tcW w:w="110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300" w:type="dxa"/>
            <w:vAlign w:val="bottom"/>
            <w:shd w:val="clear" w:color="auto" w:fill="C0C0C0"/>
          </w:tcPr>
          <w:p>
            <w:pPr>
              <w:spacing w:after="0"/>
              <w:rPr>
                <w:sz w:val="22"/>
                <w:szCs w:val="22"/>
                <w:color w:val="auto"/>
              </w:rPr>
            </w:pPr>
          </w:p>
        </w:tc>
        <w:tc>
          <w:tcPr>
            <w:tcW w:w="8000" w:type="dxa"/>
            <w:vAlign w:val="bottom"/>
            <w:gridSpan w:val="9"/>
            <w:shd w:val="clear" w:color="auto" w:fill="C0C0C0"/>
          </w:tcPr>
          <w:p>
            <w:pPr>
              <w:spacing w:after="0"/>
              <w:rPr>
                <w:sz w:val="20"/>
                <w:szCs w:val="20"/>
                <w:color w:val="auto"/>
              </w:rPr>
            </w:pPr>
            <w:r>
              <w:rPr>
                <w:rFonts w:ascii="Arial" w:cs="Arial" w:eastAsia="Arial" w:hAnsi="Arial"/>
                <w:sz w:val="18"/>
                <w:szCs w:val="18"/>
                <w:color w:val="auto"/>
              </w:rPr>
              <w:t>and nine months ended September 30, 2010 and 2009</w:t>
            </w:r>
          </w:p>
        </w:tc>
        <w:tc>
          <w:tcPr>
            <w:tcW w:w="2540" w:type="dxa"/>
            <w:vAlign w:val="bottom"/>
            <w:gridSpan w:val="2"/>
            <w:shd w:val="clear" w:color="auto" w:fill="C0C0C0"/>
          </w:tcPr>
          <w:p>
            <w:pPr>
              <w:ind w:left="21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8000" w:type="dxa"/>
            <w:vAlign w:val="bottom"/>
            <w:gridSpan w:val="9"/>
            <w:shd w:val="clear" w:color="auto" w:fill="C0C0C0"/>
          </w:tcPr>
          <w:p>
            <w:pPr>
              <w:spacing w:after="0"/>
              <w:rPr>
                <w:sz w:val="20"/>
                <w:szCs w:val="20"/>
                <w:color w:val="auto"/>
              </w:rPr>
            </w:pPr>
            <w:r>
              <w:rPr>
                <w:rFonts w:ascii="Arial" w:cs="Arial" w:eastAsia="Arial" w:hAnsi="Arial"/>
                <w:sz w:val="18"/>
                <w:szCs w:val="18"/>
                <w:color w:val="auto"/>
              </w:rPr>
              <w:t>Condensed statements of stockholders’ equity (unaudited) for</w:t>
            </w:r>
          </w:p>
        </w:tc>
        <w:tc>
          <w:tcPr>
            <w:tcW w:w="1440" w:type="dxa"/>
            <w:vAlign w:val="bottom"/>
            <w:shd w:val="clear" w:color="auto" w:fill="C0C0C0"/>
          </w:tcPr>
          <w:p>
            <w:pPr>
              <w:spacing w:after="0"/>
              <w:rPr>
                <w:sz w:val="19"/>
                <w:szCs w:val="19"/>
                <w:color w:val="auto"/>
              </w:rPr>
            </w:pPr>
          </w:p>
        </w:tc>
        <w:tc>
          <w:tcPr>
            <w:tcW w:w="110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300" w:type="dxa"/>
            <w:vAlign w:val="bottom"/>
            <w:shd w:val="clear" w:color="auto" w:fill="C0C0C0"/>
          </w:tcPr>
          <w:p>
            <w:pPr>
              <w:spacing w:after="0"/>
              <w:rPr>
                <w:sz w:val="22"/>
                <w:szCs w:val="22"/>
                <w:color w:val="auto"/>
              </w:rPr>
            </w:pPr>
          </w:p>
        </w:tc>
        <w:tc>
          <w:tcPr>
            <w:tcW w:w="8000" w:type="dxa"/>
            <w:vAlign w:val="bottom"/>
            <w:gridSpan w:val="9"/>
            <w:shd w:val="clear" w:color="auto" w:fill="C0C0C0"/>
          </w:tcPr>
          <w:p>
            <w:pPr>
              <w:spacing w:after="0"/>
              <w:rPr>
                <w:sz w:val="20"/>
                <w:szCs w:val="20"/>
                <w:color w:val="auto"/>
              </w:rPr>
            </w:pPr>
            <w:r>
              <w:rPr>
                <w:rFonts w:ascii="Arial" w:cs="Arial" w:eastAsia="Arial" w:hAnsi="Arial"/>
                <w:sz w:val="18"/>
                <w:szCs w:val="18"/>
                <w:color w:val="auto"/>
              </w:rPr>
              <w:t>the nine months ended September 30, 2010 and 2009</w:t>
            </w:r>
          </w:p>
        </w:tc>
        <w:tc>
          <w:tcPr>
            <w:tcW w:w="2540" w:type="dxa"/>
            <w:vAlign w:val="bottom"/>
            <w:gridSpan w:val="2"/>
            <w:shd w:val="clear" w:color="auto" w:fill="C0C0C0"/>
          </w:tcPr>
          <w:p>
            <w:pPr>
              <w:ind w:left="21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8000" w:type="dxa"/>
            <w:vAlign w:val="bottom"/>
            <w:gridSpan w:val="9"/>
            <w:shd w:val="clear" w:color="auto" w:fill="C0C0C0"/>
          </w:tcPr>
          <w:p>
            <w:pPr>
              <w:spacing w:after="0"/>
              <w:rPr>
                <w:sz w:val="20"/>
                <w:szCs w:val="20"/>
                <w:color w:val="auto"/>
              </w:rPr>
            </w:pPr>
            <w:r>
              <w:rPr>
                <w:rFonts w:ascii="Arial" w:cs="Arial" w:eastAsia="Arial" w:hAnsi="Arial"/>
                <w:sz w:val="18"/>
                <w:szCs w:val="18"/>
                <w:color w:val="auto"/>
              </w:rPr>
              <w:t>Condensed statements of cash flows (unaudited) for the</w:t>
            </w:r>
          </w:p>
        </w:tc>
        <w:tc>
          <w:tcPr>
            <w:tcW w:w="1440" w:type="dxa"/>
            <w:vAlign w:val="bottom"/>
            <w:shd w:val="clear" w:color="auto" w:fill="C0C0C0"/>
          </w:tcPr>
          <w:p>
            <w:pPr>
              <w:spacing w:after="0"/>
              <w:rPr>
                <w:sz w:val="19"/>
                <w:szCs w:val="19"/>
                <w:color w:val="auto"/>
              </w:rPr>
            </w:pPr>
          </w:p>
        </w:tc>
        <w:tc>
          <w:tcPr>
            <w:tcW w:w="110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300" w:type="dxa"/>
            <w:vAlign w:val="bottom"/>
            <w:shd w:val="clear" w:color="auto" w:fill="C0C0C0"/>
          </w:tcPr>
          <w:p>
            <w:pPr>
              <w:spacing w:after="0"/>
              <w:rPr>
                <w:sz w:val="22"/>
                <w:szCs w:val="22"/>
                <w:color w:val="auto"/>
              </w:rPr>
            </w:pPr>
          </w:p>
        </w:tc>
        <w:tc>
          <w:tcPr>
            <w:tcW w:w="8000" w:type="dxa"/>
            <w:vAlign w:val="bottom"/>
            <w:gridSpan w:val="9"/>
            <w:shd w:val="clear" w:color="auto" w:fill="C0C0C0"/>
          </w:tcPr>
          <w:p>
            <w:pPr>
              <w:spacing w:after="0"/>
              <w:rPr>
                <w:sz w:val="20"/>
                <w:szCs w:val="20"/>
                <w:color w:val="auto"/>
              </w:rPr>
            </w:pPr>
            <w:r>
              <w:rPr>
                <w:rFonts w:ascii="Arial" w:cs="Arial" w:eastAsia="Arial" w:hAnsi="Arial"/>
                <w:sz w:val="18"/>
                <w:szCs w:val="18"/>
                <w:color w:val="auto"/>
              </w:rPr>
              <w:t>nine months ended September 30, 2010 and 2009</w:t>
            </w:r>
          </w:p>
        </w:tc>
        <w:tc>
          <w:tcPr>
            <w:tcW w:w="2540" w:type="dxa"/>
            <w:vAlign w:val="bottom"/>
            <w:gridSpan w:val="2"/>
            <w:shd w:val="clear" w:color="auto" w:fill="C0C0C0"/>
          </w:tcPr>
          <w:p>
            <w:pPr>
              <w:ind w:left="210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000" w:type="dxa"/>
            <w:vAlign w:val="bottom"/>
            <w:gridSpan w:val="9"/>
            <w:shd w:val="clear" w:color="auto" w:fill="C0C0C0"/>
          </w:tcPr>
          <w:p>
            <w:pPr>
              <w:spacing w:after="0"/>
              <w:rPr>
                <w:sz w:val="20"/>
                <w:szCs w:val="20"/>
                <w:color w:val="auto"/>
              </w:rPr>
            </w:pPr>
            <w:r>
              <w:rPr>
                <w:rFonts w:ascii="Arial" w:cs="Arial" w:eastAsia="Arial" w:hAnsi="Arial"/>
                <w:sz w:val="18"/>
                <w:szCs w:val="18"/>
                <w:color w:val="auto"/>
              </w:rPr>
              <w:t>Notes to condensed financial statements (unaudited)</w:t>
            </w:r>
          </w:p>
        </w:tc>
        <w:tc>
          <w:tcPr>
            <w:tcW w:w="2540" w:type="dxa"/>
            <w:vAlign w:val="bottom"/>
            <w:gridSpan w:val="2"/>
            <w:shd w:val="clear" w:color="auto" w:fill="C0C0C0"/>
          </w:tcPr>
          <w:p>
            <w:pPr>
              <w:ind w:left="2100"/>
              <w:spacing w:after="0"/>
              <w:rPr>
                <w:sz w:val="20"/>
                <w:szCs w:val="20"/>
                <w:color w:val="auto"/>
              </w:rPr>
            </w:pPr>
            <w:r>
              <w:rPr>
                <w:rFonts w:ascii="Arial" w:cs="Arial" w:eastAsia="Arial" w:hAnsi="Arial"/>
                <w:sz w:val="18"/>
                <w:szCs w:val="18"/>
                <w:color w:val="auto"/>
              </w:rPr>
              <w:t>7-13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3"/>
            <w:shd w:val="clear" w:color="auto" w:fill="C0C0C0"/>
          </w:tcPr>
          <w:p>
            <w:pPr>
              <w:spacing w:after="0" w:line="189" w:lineRule="exact"/>
              <w:rPr>
                <w:sz w:val="20"/>
                <w:szCs w:val="20"/>
                <w:color w:val="auto"/>
              </w:rPr>
            </w:pPr>
            <w:r>
              <w:rPr>
                <w:rFonts w:ascii="Arial" w:cs="Arial" w:eastAsia="Arial" w:hAnsi="Arial"/>
                <w:sz w:val="18"/>
                <w:szCs w:val="18"/>
                <w:color w:val="auto"/>
              </w:rPr>
              <w:t>Item 2</w:t>
            </w:r>
          </w:p>
        </w:tc>
        <w:tc>
          <w:tcPr>
            <w:tcW w:w="8000" w:type="dxa"/>
            <w:vAlign w:val="bottom"/>
            <w:gridSpan w:val="9"/>
            <w:shd w:val="clear" w:color="auto" w:fill="C0C0C0"/>
          </w:tcPr>
          <w:p>
            <w:pPr>
              <w:spacing w:after="0" w:line="189" w:lineRule="exact"/>
              <w:rPr>
                <w:sz w:val="20"/>
                <w:szCs w:val="20"/>
                <w:color w:val="auto"/>
              </w:rPr>
            </w:pPr>
            <w:r>
              <w:rPr>
                <w:rFonts w:ascii="Arial" w:cs="Arial" w:eastAsia="Arial" w:hAnsi="Arial"/>
                <w:sz w:val="18"/>
                <w:szCs w:val="18"/>
                <w:color w:val="auto"/>
              </w:rPr>
              <w:t>Management's Discussion and Analysis of Financial Condition</w:t>
            </w:r>
          </w:p>
        </w:tc>
        <w:tc>
          <w:tcPr>
            <w:tcW w:w="1440" w:type="dxa"/>
            <w:vAlign w:val="bottom"/>
            <w:shd w:val="clear" w:color="auto" w:fill="C0C0C0"/>
          </w:tcPr>
          <w:p>
            <w:pPr>
              <w:spacing w:after="0"/>
              <w:rPr>
                <w:sz w:val="16"/>
                <w:szCs w:val="16"/>
                <w:color w:val="auto"/>
              </w:rPr>
            </w:pPr>
          </w:p>
        </w:tc>
        <w:tc>
          <w:tcPr>
            <w:tcW w:w="110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0" w:type="dxa"/>
            <w:vAlign w:val="bottom"/>
            <w:tcBorders>
              <w:top w:val="single" w:sz="8" w:color="auto"/>
              <w:bottom w:val="single" w:sz="8" w:color="C0C0C0"/>
            </w:tcBorders>
            <w:shd w:val="clear" w:color="auto" w:fill="C0C0C0"/>
          </w:tcPr>
          <w:p>
            <w:pPr>
              <w:spacing w:after="0"/>
              <w:rPr>
                <w:sz w:val="22"/>
                <w:szCs w:val="22"/>
                <w:color w:val="auto"/>
              </w:rPr>
            </w:pPr>
          </w:p>
        </w:tc>
        <w:tc>
          <w:tcPr>
            <w:tcW w:w="120" w:type="dxa"/>
            <w:vAlign w:val="bottom"/>
            <w:tcBorders>
              <w:top w:val="single" w:sz="8" w:color="C0C0C0"/>
              <w:bottom w:val="single" w:sz="8" w:color="C0C0C0"/>
            </w:tcBorders>
            <w:shd w:val="clear" w:color="auto" w:fill="C0C0C0"/>
          </w:tcPr>
          <w:p>
            <w:pPr>
              <w:spacing w:after="0"/>
              <w:rPr>
                <w:sz w:val="22"/>
                <w:szCs w:val="22"/>
                <w:color w:val="auto"/>
              </w:rPr>
            </w:pPr>
          </w:p>
        </w:tc>
        <w:tc>
          <w:tcPr>
            <w:tcW w:w="300" w:type="dxa"/>
            <w:vAlign w:val="bottom"/>
            <w:tcBorders>
              <w:top w:val="single" w:sz="8" w:color="C0C0C0"/>
              <w:bottom w:val="single" w:sz="8" w:color="C0C0C0"/>
            </w:tcBorders>
            <w:shd w:val="clear" w:color="auto" w:fill="C0C0C0"/>
          </w:tcPr>
          <w:p>
            <w:pPr>
              <w:spacing w:after="0"/>
              <w:rPr>
                <w:sz w:val="22"/>
                <w:szCs w:val="22"/>
                <w:color w:val="auto"/>
              </w:rPr>
            </w:pPr>
          </w:p>
        </w:tc>
        <w:tc>
          <w:tcPr>
            <w:tcW w:w="1820" w:type="dxa"/>
            <w:vAlign w:val="bottom"/>
            <w:tcBorders>
              <w:top w:val="single" w:sz="8" w:color="auto"/>
              <w:bottom w:val="single" w:sz="8" w:color="auto"/>
            </w:tcBorders>
            <w:gridSpan w:val="6"/>
            <w:shd w:val="clear" w:color="auto" w:fill="C0C0C0"/>
          </w:tcPr>
          <w:p>
            <w:pPr>
              <w:spacing w:after="0"/>
              <w:rPr>
                <w:sz w:val="20"/>
                <w:szCs w:val="20"/>
                <w:color w:val="auto"/>
              </w:rPr>
            </w:pPr>
            <w:r>
              <w:rPr>
                <w:rFonts w:ascii="Arial" w:cs="Arial" w:eastAsia="Arial" w:hAnsi="Arial"/>
                <w:sz w:val="18"/>
                <w:szCs w:val="18"/>
                <w:color w:val="auto"/>
                <w:w w:val="86"/>
              </w:rPr>
              <w:t>and Results of Operations</w:t>
            </w:r>
          </w:p>
        </w:tc>
        <w:tc>
          <w:tcPr>
            <w:tcW w:w="2640" w:type="dxa"/>
            <w:vAlign w:val="bottom"/>
            <w:tcBorders>
              <w:top w:val="single" w:sz="8" w:color="auto"/>
              <w:bottom w:val="single" w:sz="8" w:color="C0C0C0"/>
            </w:tcBorders>
            <w:gridSpan w:val="2"/>
            <w:shd w:val="clear" w:color="auto" w:fill="C0C0C0"/>
          </w:tcPr>
          <w:p>
            <w:pPr>
              <w:spacing w:after="0"/>
              <w:rPr>
                <w:sz w:val="22"/>
                <w:szCs w:val="22"/>
                <w:color w:val="auto"/>
              </w:rPr>
            </w:pPr>
          </w:p>
        </w:tc>
        <w:tc>
          <w:tcPr>
            <w:tcW w:w="3540" w:type="dxa"/>
            <w:vAlign w:val="bottom"/>
            <w:tcBorders>
              <w:top w:val="single" w:sz="8" w:color="C0C0C0"/>
              <w:bottom w:val="single" w:sz="8" w:color="C0C0C0"/>
            </w:tcBorders>
            <w:shd w:val="clear" w:color="auto" w:fill="C0C0C0"/>
          </w:tcPr>
          <w:p>
            <w:pPr>
              <w:spacing w:after="0"/>
              <w:rPr>
                <w:sz w:val="22"/>
                <w:szCs w:val="22"/>
                <w:color w:val="auto"/>
              </w:rPr>
            </w:pPr>
          </w:p>
        </w:tc>
        <w:tc>
          <w:tcPr>
            <w:tcW w:w="2540" w:type="dxa"/>
            <w:vAlign w:val="bottom"/>
            <w:tcBorders>
              <w:top w:val="single" w:sz="8" w:color="C0C0C0"/>
              <w:bottom w:val="single" w:sz="8" w:color="C0C0C0"/>
            </w:tcBorders>
            <w:gridSpan w:val="2"/>
            <w:shd w:val="clear" w:color="auto" w:fill="C0C0C0"/>
          </w:tcPr>
          <w:p>
            <w:pPr>
              <w:ind w:left="2100"/>
              <w:spacing w:after="0"/>
              <w:rPr>
                <w:sz w:val="20"/>
                <w:szCs w:val="20"/>
                <w:color w:val="auto"/>
              </w:rPr>
            </w:pPr>
            <w:r>
              <w:rPr>
                <w:rFonts w:ascii="Arial" w:cs="Arial" w:eastAsia="Arial" w:hAnsi="Arial"/>
                <w:sz w:val="18"/>
                <w:szCs w:val="18"/>
                <w:color w:val="auto"/>
                <w:w w:val="91"/>
              </w:rPr>
              <w:t>14-38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gridSpan w:val="3"/>
            <w:shd w:val="clear" w:color="auto" w:fill="C0C0C0"/>
          </w:tcPr>
          <w:p>
            <w:pPr>
              <w:spacing w:after="0" w:line="189" w:lineRule="exact"/>
              <w:rPr>
                <w:sz w:val="20"/>
                <w:szCs w:val="20"/>
                <w:color w:val="auto"/>
              </w:rPr>
            </w:pPr>
            <w:r>
              <w:rPr>
                <w:rFonts w:ascii="Arial" w:cs="Arial" w:eastAsia="Arial" w:hAnsi="Arial"/>
                <w:sz w:val="18"/>
                <w:szCs w:val="18"/>
                <w:color w:val="auto"/>
              </w:rPr>
              <w:t>Item 3</w:t>
            </w:r>
          </w:p>
        </w:tc>
        <w:tc>
          <w:tcPr>
            <w:tcW w:w="8000" w:type="dxa"/>
            <w:vAlign w:val="bottom"/>
            <w:gridSpan w:val="9"/>
            <w:shd w:val="clear" w:color="auto" w:fill="C0C0C0"/>
          </w:tcPr>
          <w:p>
            <w:pPr>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2540" w:type="dxa"/>
            <w:vAlign w:val="bottom"/>
            <w:gridSpan w:val="2"/>
            <w:shd w:val="clear" w:color="auto" w:fill="C0C0C0"/>
          </w:tcPr>
          <w:p>
            <w:pPr>
              <w:ind w:left="2100"/>
              <w:spacing w:after="0" w:line="189"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0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20" w:type="dxa"/>
            <w:vAlign w:val="bottom"/>
            <w:tcBorders>
              <w:top w:val="single" w:sz="8" w:color="auto"/>
            </w:tcBorders>
          </w:tcPr>
          <w:p>
            <w:pPr>
              <w:spacing w:after="0"/>
              <w:rPr>
                <w:sz w:val="21"/>
                <w:szCs w:val="21"/>
                <w:color w:val="auto"/>
              </w:rPr>
            </w:pPr>
          </w:p>
        </w:tc>
        <w:tc>
          <w:tcPr>
            <w:tcW w:w="220" w:type="dxa"/>
            <w:vAlign w:val="bottom"/>
            <w:tcBorders>
              <w:top w:val="single" w:sz="8" w:color="C0C0C0"/>
            </w:tcBorders>
          </w:tcPr>
          <w:p>
            <w:pPr>
              <w:spacing w:after="0"/>
              <w:rPr>
                <w:sz w:val="21"/>
                <w:szCs w:val="21"/>
                <w:color w:val="auto"/>
              </w:rPr>
            </w:pPr>
          </w:p>
        </w:tc>
        <w:tc>
          <w:tcPr>
            <w:tcW w:w="3540" w:type="dxa"/>
            <w:vAlign w:val="bottom"/>
            <w:tcBorders>
              <w:top w:val="single" w:sz="8" w:color="C0C0C0"/>
            </w:tcBorders>
          </w:tcPr>
          <w:p>
            <w:pPr>
              <w:spacing w:after="0"/>
              <w:rPr>
                <w:sz w:val="21"/>
                <w:szCs w:val="21"/>
                <w:color w:val="auto"/>
              </w:rPr>
            </w:pPr>
          </w:p>
        </w:tc>
        <w:tc>
          <w:tcPr>
            <w:tcW w:w="1440" w:type="dxa"/>
            <w:vAlign w:val="bottom"/>
            <w:tcBorders>
              <w:top w:val="single" w:sz="8" w:color="C0C0C0"/>
            </w:tcBorders>
          </w:tcPr>
          <w:p>
            <w:pPr>
              <w:spacing w:after="0"/>
              <w:rPr>
                <w:sz w:val="21"/>
                <w:szCs w:val="21"/>
                <w:color w:val="auto"/>
              </w:rPr>
            </w:pPr>
          </w:p>
        </w:tc>
        <w:tc>
          <w:tcPr>
            <w:tcW w:w="110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gridSpan w:val="3"/>
            <w:shd w:val="clear" w:color="auto" w:fill="C0C0C0"/>
          </w:tcPr>
          <w:p>
            <w:pPr>
              <w:spacing w:after="0" w:line="189" w:lineRule="exact"/>
              <w:rPr>
                <w:sz w:val="20"/>
                <w:szCs w:val="20"/>
                <w:color w:val="auto"/>
              </w:rPr>
            </w:pPr>
            <w:r>
              <w:rPr>
                <w:rFonts w:ascii="Arial" w:cs="Arial" w:eastAsia="Arial" w:hAnsi="Arial"/>
                <w:sz w:val="18"/>
                <w:szCs w:val="18"/>
                <w:color w:val="auto"/>
              </w:rPr>
              <w:t>Item 4</w:t>
            </w:r>
          </w:p>
        </w:tc>
        <w:tc>
          <w:tcPr>
            <w:tcW w:w="8000" w:type="dxa"/>
            <w:vAlign w:val="bottom"/>
            <w:gridSpan w:val="9"/>
            <w:shd w:val="clear" w:color="auto" w:fill="C0C0C0"/>
          </w:tcPr>
          <w:p>
            <w:pPr>
              <w:spacing w:after="0" w:line="189" w:lineRule="exact"/>
              <w:rPr>
                <w:sz w:val="20"/>
                <w:szCs w:val="20"/>
                <w:color w:val="auto"/>
              </w:rPr>
            </w:pPr>
            <w:r>
              <w:rPr>
                <w:rFonts w:ascii="Arial" w:cs="Arial" w:eastAsia="Arial" w:hAnsi="Arial"/>
                <w:sz w:val="18"/>
                <w:szCs w:val="18"/>
                <w:color w:val="auto"/>
              </w:rPr>
              <w:t>Controls and Procedures</w:t>
            </w:r>
          </w:p>
        </w:tc>
        <w:tc>
          <w:tcPr>
            <w:tcW w:w="2540" w:type="dxa"/>
            <w:vAlign w:val="bottom"/>
            <w:gridSpan w:val="2"/>
            <w:shd w:val="clear" w:color="auto" w:fill="C0C0C0"/>
          </w:tcPr>
          <w:p>
            <w:pPr>
              <w:ind w:left="2100"/>
              <w:spacing w:after="0" w:line="189"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0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 w:type="dxa"/>
            <w:vAlign w:val="bottom"/>
            <w:tcBorders>
              <w:top w:val="single" w:sz="8" w:color="C0C0C0"/>
            </w:tcBorders>
          </w:tcPr>
          <w:p>
            <w:pPr>
              <w:spacing w:after="0"/>
              <w:rPr>
                <w:sz w:val="21"/>
                <w:szCs w:val="21"/>
                <w:color w:val="auto"/>
              </w:rPr>
            </w:pPr>
          </w:p>
        </w:tc>
        <w:tc>
          <w:tcPr>
            <w:tcW w:w="2420" w:type="dxa"/>
            <w:vAlign w:val="bottom"/>
            <w:tcBorders>
              <w:top w:val="single" w:sz="8" w:color="C0C0C0"/>
            </w:tcBorders>
          </w:tcPr>
          <w:p>
            <w:pPr>
              <w:spacing w:after="0"/>
              <w:rPr>
                <w:sz w:val="21"/>
                <w:szCs w:val="21"/>
                <w:color w:val="auto"/>
              </w:rPr>
            </w:pPr>
          </w:p>
        </w:tc>
        <w:tc>
          <w:tcPr>
            <w:tcW w:w="220" w:type="dxa"/>
            <w:vAlign w:val="bottom"/>
            <w:tcBorders>
              <w:top w:val="single" w:sz="8" w:color="C0C0C0"/>
            </w:tcBorders>
          </w:tcPr>
          <w:p>
            <w:pPr>
              <w:spacing w:after="0"/>
              <w:rPr>
                <w:sz w:val="21"/>
                <w:szCs w:val="21"/>
                <w:color w:val="auto"/>
              </w:rPr>
            </w:pPr>
          </w:p>
        </w:tc>
        <w:tc>
          <w:tcPr>
            <w:tcW w:w="3540" w:type="dxa"/>
            <w:vAlign w:val="bottom"/>
            <w:tcBorders>
              <w:top w:val="single" w:sz="8" w:color="C0C0C0"/>
            </w:tcBorders>
          </w:tcPr>
          <w:p>
            <w:pPr>
              <w:spacing w:after="0"/>
              <w:rPr>
                <w:sz w:val="21"/>
                <w:szCs w:val="21"/>
                <w:color w:val="auto"/>
              </w:rPr>
            </w:pPr>
          </w:p>
        </w:tc>
        <w:tc>
          <w:tcPr>
            <w:tcW w:w="1440" w:type="dxa"/>
            <w:vAlign w:val="bottom"/>
            <w:tcBorders>
              <w:top w:val="single" w:sz="8" w:color="C0C0C0"/>
            </w:tcBorders>
          </w:tcPr>
          <w:p>
            <w:pPr>
              <w:spacing w:after="0"/>
              <w:rPr>
                <w:sz w:val="21"/>
                <w:szCs w:val="21"/>
                <w:color w:val="auto"/>
              </w:rPr>
            </w:pPr>
          </w:p>
        </w:tc>
        <w:tc>
          <w:tcPr>
            <w:tcW w:w="110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6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PART II</w:t>
            </w:r>
          </w:p>
        </w:tc>
        <w:tc>
          <w:tcPr>
            <w:tcW w:w="8000" w:type="dxa"/>
            <w:vAlign w:val="bottom"/>
            <w:gridSpan w:val="9"/>
            <w:shd w:val="clear" w:color="auto" w:fill="C0C0C0"/>
          </w:tcPr>
          <w:p>
            <w:pPr>
              <w:spacing w:after="0"/>
              <w:rPr>
                <w:sz w:val="20"/>
                <w:szCs w:val="20"/>
                <w:color w:val="auto"/>
              </w:rPr>
            </w:pPr>
            <w:r>
              <w:rPr>
                <w:rFonts w:ascii="Arial" w:cs="Arial" w:eastAsia="Arial" w:hAnsi="Arial"/>
                <w:sz w:val="18"/>
                <w:szCs w:val="18"/>
                <w:b w:val="1"/>
                <w:bCs w:val="1"/>
                <w:color w:val="auto"/>
              </w:rPr>
              <w:t>OTHER INFORMATION</w:t>
            </w:r>
          </w:p>
        </w:tc>
        <w:tc>
          <w:tcPr>
            <w:tcW w:w="144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gridSpan w:val="3"/>
            <w:shd w:val="clear" w:color="auto" w:fill="C0C0C0"/>
          </w:tcPr>
          <w:p>
            <w:pPr>
              <w:spacing w:after="0" w:line="189" w:lineRule="exact"/>
              <w:rPr>
                <w:sz w:val="20"/>
                <w:szCs w:val="20"/>
                <w:color w:val="auto"/>
              </w:rPr>
            </w:pPr>
            <w:r>
              <w:rPr>
                <w:rFonts w:ascii="Arial" w:cs="Arial" w:eastAsia="Arial" w:hAnsi="Arial"/>
                <w:sz w:val="18"/>
                <w:szCs w:val="18"/>
                <w:color w:val="auto"/>
              </w:rPr>
              <w:t>Item 1</w:t>
            </w:r>
          </w:p>
        </w:tc>
        <w:tc>
          <w:tcPr>
            <w:tcW w:w="8000" w:type="dxa"/>
            <w:vAlign w:val="bottom"/>
            <w:gridSpan w:val="9"/>
            <w:shd w:val="clear" w:color="auto" w:fill="C0C0C0"/>
          </w:tcPr>
          <w:p>
            <w:pPr>
              <w:spacing w:after="0" w:line="189" w:lineRule="exact"/>
              <w:rPr>
                <w:sz w:val="20"/>
                <w:szCs w:val="20"/>
                <w:color w:val="auto"/>
              </w:rPr>
            </w:pPr>
            <w:r>
              <w:rPr>
                <w:rFonts w:ascii="Arial" w:cs="Arial" w:eastAsia="Arial" w:hAnsi="Arial"/>
                <w:sz w:val="18"/>
                <w:szCs w:val="18"/>
                <w:color w:val="auto"/>
              </w:rPr>
              <w:t>Legal Proceedings</w:t>
            </w:r>
          </w:p>
        </w:tc>
        <w:tc>
          <w:tcPr>
            <w:tcW w:w="2540" w:type="dxa"/>
            <w:vAlign w:val="bottom"/>
            <w:gridSpan w:val="2"/>
            <w:shd w:val="clear" w:color="auto" w:fill="C0C0C0"/>
          </w:tcPr>
          <w:p>
            <w:pPr>
              <w:ind w:left="2100"/>
              <w:spacing w:after="0" w:line="189"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0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100" w:type="dxa"/>
            <w:vAlign w:val="bottom"/>
            <w:tcBorders>
              <w:top w:val="single" w:sz="8" w:color="C0C0C0"/>
            </w:tcBorders>
          </w:tcPr>
          <w:p>
            <w:pPr>
              <w:spacing w:after="0"/>
              <w:rPr>
                <w:sz w:val="21"/>
                <w:szCs w:val="21"/>
                <w:color w:val="auto"/>
              </w:rPr>
            </w:pPr>
          </w:p>
        </w:tc>
        <w:tc>
          <w:tcPr>
            <w:tcW w:w="2420" w:type="dxa"/>
            <w:vAlign w:val="bottom"/>
            <w:tcBorders>
              <w:top w:val="single" w:sz="8" w:color="C0C0C0"/>
            </w:tcBorders>
          </w:tcPr>
          <w:p>
            <w:pPr>
              <w:spacing w:after="0"/>
              <w:rPr>
                <w:sz w:val="21"/>
                <w:szCs w:val="21"/>
                <w:color w:val="auto"/>
              </w:rPr>
            </w:pPr>
          </w:p>
        </w:tc>
        <w:tc>
          <w:tcPr>
            <w:tcW w:w="220" w:type="dxa"/>
            <w:vAlign w:val="bottom"/>
            <w:tcBorders>
              <w:top w:val="single" w:sz="8" w:color="C0C0C0"/>
            </w:tcBorders>
          </w:tcPr>
          <w:p>
            <w:pPr>
              <w:spacing w:after="0"/>
              <w:rPr>
                <w:sz w:val="21"/>
                <w:szCs w:val="21"/>
                <w:color w:val="auto"/>
              </w:rPr>
            </w:pPr>
          </w:p>
        </w:tc>
        <w:tc>
          <w:tcPr>
            <w:tcW w:w="3540" w:type="dxa"/>
            <w:vAlign w:val="bottom"/>
            <w:tcBorders>
              <w:top w:val="single" w:sz="8" w:color="C0C0C0"/>
            </w:tcBorders>
          </w:tcPr>
          <w:p>
            <w:pPr>
              <w:spacing w:after="0"/>
              <w:rPr>
                <w:sz w:val="21"/>
                <w:szCs w:val="21"/>
                <w:color w:val="auto"/>
              </w:rPr>
            </w:pPr>
          </w:p>
        </w:tc>
        <w:tc>
          <w:tcPr>
            <w:tcW w:w="1440" w:type="dxa"/>
            <w:vAlign w:val="bottom"/>
            <w:tcBorders>
              <w:top w:val="single" w:sz="8" w:color="C0C0C0"/>
            </w:tcBorders>
          </w:tcPr>
          <w:p>
            <w:pPr>
              <w:spacing w:after="0"/>
              <w:rPr>
                <w:sz w:val="21"/>
                <w:szCs w:val="21"/>
                <w:color w:val="auto"/>
              </w:rPr>
            </w:pPr>
          </w:p>
        </w:tc>
        <w:tc>
          <w:tcPr>
            <w:tcW w:w="110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gridSpan w:val="3"/>
            <w:shd w:val="clear" w:color="auto" w:fill="C0C0C0"/>
          </w:tcPr>
          <w:p>
            <w:pPr>
              <w:spacing w:after="0" w:line="189" w:lineRule="exact"/>
              <w:rPr>
                <w:sz w:val="20"/>
                <w:szCs w:val="20"/>
                <w:color w:val="auto"/>
              </w:rPr>
            </w:pPr>
            <w:r>
              <w:rPr>
                <w:rFonts w:ascii="Arial" w:cs="Arial" w:eastAsia="Arial" w:hAnsi="Arial"/>
                <w:sz w:val="18"/>
                <w:szCs w:val="18"/>
                <w:color w:val="auto"/>
              </w:rPr>
              <w:t>Item 1A</w:t>
            </w:r>
          </w:p>
        </w:tc>
        <w:tc>
          <w:tcPr>
            <w:tcW w:w="8000" w:type="dxa"/>
            <w:vAlign w:val="bottom"/>
            <w:gridSpan w:val="9"/>
            <w:shd w:val="clear" w:color="auto" w:fill="C0C0C0"/>
          </w:tcPr>
          <w:p>
            <w:pPr>
              <w:spacing w:after="0" w:line="189" w:lineRule="exact"/>
              <w:rPr>
                <w:sz w:val="20"/>
                <w:szCs w:val="20"/>
                <w:color w:val="auto"/>
              </w:rPr>
            </w:pPr>
            <w:r>
              <w:rPr>
                <w:rFonts w:ascii="Arial" w:cs="Arial" w:eastAsia="Arial" w:hAnsi="Arial"/>
                <w:sz w:val="18"/>
                <w:szCs w:val="18"/>
                <w:color w:val="auto"/>
              </w:rPr>
              <w:t>Risk Factors</w:t>
            </w:r>
          </w:p>
        </w:tc>
        <w:tc>
          <w:tcPr>
            <w:tcW w:w="2540" w:type="dxa"/>
            <w:vAlign w:val="bottom"/>
            <w:gridSpan w:val="2"/>
            <w:shd w:val="clear" w:color="auto" w:fill="C0C0C0"/>
          </w:tcPr>
          <w:p>
            <w:pPr>
              <w:ind w:left="2100"/>
              <w:spacing w:after="0" w:line="189" w:lineRule="exact"/>
              <w:rPr>
                <w:sz w:val="20"/>
                <w:szCs w:val="20"/>
                <w:color w:val="auto"/>
              </w:rPr>
            </w:pPr>
            <w:r>
              <w:rPr>
                <w:rFonts w:ascii="Arial" w:cs="Arial" w:eastAsia="Arial" w:hAnsi="Arial"/>
                <w:sz w:val="18"/>
                <w:szCs w:val="18"/>
                <w:color w:val="auto"/>
                <w:w w:val="91"/>
              </w:rPr>
              <w:t>39-55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0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100" w:type="dxa"/>
            <w:vAlign w:val="bottom"/>
            <w:tcBorders>
              <w:top w:val="single" w:sz="8" w:color="C0C0C0"/>
            </w:tcBorders>
          </w:tcPr>
          <w:p>
            <w:pPr>
              <w:spacing w:after="0"/>
              <w:rPr>
                <w:sz w:val="21"/>
                <w:szCs w:val="21"/>
                <w:color w:val="auto"/>
              </w:rPr>
            </w:pPr>
          </w:p>
        </w:tc>
        <w:tc>
          <w:tcPr>
            <w:tcW w:w="2420" w:type="dxa"/>
            <w:vAlign w:val="bottom"/>
            <w:tcBorders>
              <w:top w:val="single" w:sz="8" w:color="C0C0C0"/>
            </w:tcBorders>
          </w:tcPr>
          <w:p>
            <w:pPr>
              <w:spacing w:after="0"/>
              <w:rPr>
                <w:sz w:val="21"/>
                <w:szCs w:val="21"/>
                <w:color w:val="auto"/>
              </w:rPr>
            </w:pPr>
          </w:p>
        </w:tc>
        <w:tc>
          <w:tcPr>
            <w:tcW w:w="220" w:type="dxa"/>
            <w:vAlign w:val="bottom"/>
            <w:tcBorders>
              <w:top w:val="single" w:sz="8" w:color="C0C0C0"/>
            </w:tcBorders>
          </w:tcPr>
          <w:p>
            <w:pPr>
              <w:spacing w:after="0"/>
              <w:rPr>
                <w:sz w:val="21"/>
                <w:szCs w:val="21"/>
                <w:color w:val="auto"/>
              </w:rPr>
            </w:pPr>
          </w:p>
        </w:tc>
        <w:tc>
          <w:tcPr>
            <w:tcW w:w="3540" w:type="dxa"/>
            <w:vAlign w:val="bottom"/>
            <w:tcBorders>
              <w:top w:val="single" w:sz="8" w:color="C0C0C0"/>
            </w:tcBorders>
          </w:tcPr>
          <w:p>
            <w:pPr>
              <w:spacing w:after="0"/>
              <w:rPr>
                <w:sz w:val="21"/>
                <w:szCs w:val="21"/>
                <w:color w:val="auto"/>
              </w:rPr>
            </w:pPr>
          </w:p>
        </w:tc>
        <w:tc>
          <w:tcPr>
            <w:tcW w:w="1440" w:type="dxa"/>
            <w:vAlign w:val="bottom"/>
            <w:tcBorders>
              <w:top w:val="single" w:sz="8" w:color="C0C0C0"/>
            </w:tcBorders>
          </w:tcPr>
          <w:p>
            <w:pPr>
              <w:spacing w:after="0"/>
              <w:rPr>
                <w:sz w:val="21"/>
                <w:szCs w:val="21"/>
                <w:color w:val="auto"/>
              </w:rPr>
            </w:pPr>
          </w:p>
        </w:tc>
        <w:tc>
          <w:tcPr>
            <w:tcW w:w="110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gridSpan w:val="3"/>
            <w:shd w:val="clear" w:color="auto" w:fill="C0C0C0"/>
          </w:tcPr>
          <w:p>
            <w:pPr>
              <w:spacing w:after="0" w:line="189" w:lineRule="exact"/>
              <w:rPr>
                <w:sz w:val="20"/>
                <w:szCs w:val="20"/>
                <w:color w:val="auto"/>
              </w:rPr>
            </w:pPr>
            <w:r>
              <w:rPr>
                <w:rFonts w:ascii="Arial" w:cs="Arial" w:eastAsia="Arial" w:hAnsi="Arial"/>
                <w:sz w:val="18"/>
                <w:szCs w:val="18"/>
                <w:color w:val="auto"/>
              </w:rPr>
              <w:t>Item 6</w:t>
            </w:r>
          </w:p>
        </w:tc>
        <w:tc>
          <w:tcPr>
            <w:tcW w:w="8000" w:type="dxa"/>
            <w:vAlign w:val="bottom"/>
            <w:gridSpan w:val="9"/>
            <w:shd w:val="clear" w:color="auto" w:fill="C0C0C0"/>
          </w:tcPr>
          <w:p>
            <w:pPr>
              <w:spacing w:after="0" w:line="189" w:lineRule="exact"/>
              <w:rPr>
                <w:sz w:val="20"/>
                <w:szCs w:val="20"/>
                <w:color w:val="auto"/>
              </w:rPr>
            </w:pPr>
            <w:r>
              <w:rPr>
                <w:rFonts w:ascii="Arial" w:cs="Arial" w:eastAsia="Arial" w:hAnsi="Arial"/>
                <w:sz w:val="18"/>
                <w:szCs w:val="18"/>
                <w:color w:val="auto"/>
              </w:rPr>
              <w:t>Exhibits</w:t>
            </w:r>
          </w:p>
        </w:tc>
        <w:tc>
          <w:tcPr>
            <w:tcW w:w="2540" w:type="dxa"/>
            <w:vAlign w:val="bottom"/>
            <w:gridSpan w:val="2"/>
            <w:shd w:val="clear" w:color="auto" w:fill="C0C0C0"/>
          </w:tcPr>
          <w:p>
            <w:pPr>
              <w:ind w:left="2100"/>
              <w:spacing w:after="0" w:line="189"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0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C0C0C0"/>
            </w:tcBorders>
          </w:tcPr>
          <w:p>
            <w:pPr>
              <w:spacing w:after="0"/>
              <w:rPr>
                <w:sz w:val="21"/>
                <w:szCs w:val="21"/>
                <w:color w:val="auto"/>
              </w:rPr>
            </w:pPr>
          </w:p>
        </w:tc>
        <w:tc>
          <w:tcPr>
            <w:tcW w:w="42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100" w:type="dxa"/>
            <w:vAlign w:val="bottom"/>
            <w:tcBorders>
              <w:top w:val="single" w:sz="8" w:color="C0C0C0"/>
            </w:tcBorders>
          </w:tcPr>
          <w:p>
            <w:pPr>
              <w:spacing w:after="0"/>
              <w:rPr>
                <w:sz w:val="21"/>
                <w:szCs w:val="21"/>
                <w:color w:val="auto"/>
              </w:rPr>
            </w:pPr>
          </w:p>
        </w:tc>
        <w:tc>
          <w:tcPr>
            <w:tcW w:w="2420" w:type="dxa"/>
            <w:vAlign w:val="bottom"/>
            <w:tcBorders>
              <w:top w:val="single" w:sz="8" w:color="C0C0C0"/>
            </w:tcBorders>
          </w:tcPr>
          <w:p>
            <w:pPr>
              <w:spacing w:after="0"/>
              <w:rPr>
                <w:sz w:val="21"/>
                <w:szCs w:val="21"/>
                <w:color w:val="auto"/>
              </w:rPr>
            </w:pPr>
          </w:p>
        </w:tc>
        <w:tc>
          <w:tcPr>
            <w:tcW w:w="220" w:type="dxa"/>
            <w:vAlign w:val="bottom"/>
            <w:tcBorders>
              <w:top w:val="single" w:sz="8" w:color="C0C0C0"/>
            </w:tcBorders>
          </w:tcPr>
          <w:p>
            <w:pPr>
              <w:spacing w:after="0"/>
              <w:rPr>
                <w:sz w:val="21"/>
                <w:szCs w:val="21"/>
                <w:color w:val="auto"/>
              </w:rPr>
            </w:pPr>
          </w:p>
        </w:tc>
        <w:tc>
          <w:tcPr>
            <w:tcW w:w="3540" w:type="dxa"/>
            <w:vAlign w:val="bottom"/>
            <w:tcBorders>
              <w:top w:val="single" w:sz="8" w:color="C0C0C0"/>
            </w:tcBorders>
          </w:tcPr>
          <w:p>
            <w:pPr>
              <w:spacing w:after="0"/>
              <w:rPr>
                <w:sz w:val="21"/>
                <w:szCs w:val="21"/>
                <w:color w:val="auto"/>
              </w:rPr>
            </w:pPr>
          </w:p>
        </w:tc>
        <w:tc>
          <w:tcPr>
            <w:tcW w:w="1440" w:type="dxa"/>
            <w:vAlign w:val="bottom"/>
            <w:tcBorders>
              <w:top w:val="single" w:sz="8" w:color="C0C0C0"/>
            </w:tcBorders>
          </w:tcPr>
          <w:p>
            <w:pPr>
              <w:spacing w:after="0"/>
              <w:rPr>
                <w:sz w:val="21"/>
                <w:szCs w:val="21"/>
                <w:color w:val="auto"/>
              </w:rPr>
            </w:pPr>
          </w:p>
        </w:tc>
        <w:tc>
          <w:tcPr>
            <w:tcW w:w="110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860" w:type="dxa"/>
            <w:vAlign w:val="bottom"/>
            <w:gridSpan w:val="12"/>
            <w:shd w:val="clear" w:color="auto" w:fill="C0C0C0"/>
          </w:tcPr>
          <w:p>
            <w:pPr>
              <w:spacing w:after="0"/>
              <w:rPr>
                <w:sz w:val="20"/>
                <w:szCs w:val="20"/>
                <w:color w:val="auto"/>
              </w:rPr>
            </w:pPr>
            <w:r>
              <w:rPr>
                <w:rFonts w:ascii="Arial" w:cs="Arial" w:eastAsia="Arial" w:hAnsi="Arial"/>
                <w:sz w:val="18"/>
                <w:szCs w:val="18"/>
                <w:b w:val="1"/>
                <w:bCs w:val="1"/>
                <w:color w:val="auto"/>
              </w:rPr>
              <w:t>SIGNATURE PAGE</w:t>
            </w:r>
          </w:p>
        </w:tc>
        <w:tc>
          <w:tcPr>
            <w:tcW w:w="2540" w:type="dxa"/>
            <w:vAlign w:val="bottom"/>
            <w:gridSpan w:val="2"/>
            <w:shd w:val="clear" w:color="auto" w:fill="C0C0C0"/>
          </w:tcPr>
          <w:p>
            <w:pPr>
              <w:ind w:left="210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SEPTEMBER 30, 2010 AND DECEMBER 31, 2009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September 30,</w:t>
            </w:r>
          </w:p>
        </w:tc>
        <w:tc>
          <w:tcPr>
            <w:tcW w:w="22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2"/>
              </w:rPr>
              <w:t>December 31,</w:t>
            </w:r>
          </w:p>
        </w:tc>
      </w:tr>
      <w:tr>
        <w:trPr>
          <w:trHeight w:val="252"/>
        </w:trPr>
        <w:tc>
          <w:tcPr>
            <w:tcW w:w="8580" w:type="dxa"/>
            <w:vAlign w:val="bottom"/>
            <w:tcBorders>
              <w:bottom w:val="single" w:sz="8" w:color="C0C0C0"/>
            </w:tcBorders>
          </w:tcPr>
          <w:p>
            <w:pPr>
              <w:ind w:left="396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0C0C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C0C0C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auto"/>
            </w:tcBorders>
          </w:tcPr>
          <w:p>
            <w:pPr>
              <w:spacing w:after="0"/>
              <w:rPr>
                <w:sz w:val="21"/>
                <w:szCs w:val="21"/>
                <w:color w:val="auto"/>
              </w:rPr>
            </w:pPr>
          </w:p>
        </w:tc>
      </w:tr>
      <w:tr>
        <w:trPr>
          <w:trHeight w:val="243"/>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r>
      <w:tr>
        <w:trPr>
          <w:trHeight w:val="235"/>
        </w:trPr>
        <w:tc>
          <w:tcPr>
            <w:tcW w:w="858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325,286</w:t>
            </w:r>
          </w:p>
        </w:tc>
        <w:tc>
          <w:tcPr>
            <w:tcW w:w="4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207,075</w:t>
            </w:r>
          </w:p>
        </w:tc>
        <w:tc>
          <w:tcPr>
            <w:tcW w:w="100" w:type="dxa"/>
            <w:vAlign w:val="bottom"/>
          </w:tcPr>
          <w:p>
            <w:pPr>
              <w:spacing w:after="0"/>
              <w:rPr>
                <w:sz w:val="20"/>
                <w:szCs w:val="20"/>
                <w:color w:val="auto"/>
              </w:rPr>
            </w:pPr>
          </w:p>
        </w:tc>
      </w:tr>
      <w:tr>
        <w:trPr>
          <w:trHeight w:val="251"/>
        </w:trPr>
        <w:tc>
          <w:tcPr>
            <w:tcW w:w="8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153,767</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134,255</w:t>
            </w:r>
          </w:p>
        </w:tc>
        <w:tc>
          <w:tcPr>
            <w:tcW w:w="100" w:type="dxa"/>
            <w:vAlign w:val="bottom"/>
            <w:shd w:val="clear" w:color="auto" w:fill="C0C0C0"/>
          </w:tcPr>
          <w:p>
            <w:pPr>
              <w:spacing w:after="0"/>
              <w:rPr>
                <w:sz w:val="21"/>
                <w:szCs w:val="21"/>
                <w:color w:val="auto"/>
              </w:rPr>
            </w:pPr>
          </w:p>
        </w:tc>
      </w:tr>
      <w:tr>
        <w:trPr>
          <w:trHeight w:val="235"/>
        </w:trPr>
        <w:tc>
          <w:tcPr>
            <w:tcW w:w="8580" w:type="dxa"/>
            <w:vAlign w:val="bottom"/>
          </w:tcPr>
          <w:p>
            <w:pPr>
              <w:ind w:left="320"/>
              <w:spacing w:after="0"/>
              <w:rPr>
                <w:sz w:val="20"/>
                <w:szCs w:val="20"/>
                <w:color w:val="auto"/>
              </w:rPr>
            </w:pPr>
            <w:r>
              <w:rPr>
                <w:rFonts w:ascii="Arial" w:cs="Arial" w:eastAsia="Arial" w:hAnsi="Arial"/>
                <w:sz w:val="18"/>
                <w:szCs w:val="18"/>
                <w:color w:val="auto"/>
              </w:rPr>
              <w:t>Accounts receivable from the sanofi-aventis Group</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79,239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62,703</w:t>
            </w:r>
          </w:p>
        </w:tc>
        <w:tc>
          <w:tcPr>
            <w:tcW w:w="100" w:type="dxa"/>
            <w:vAlign w:val="bottom"/>
          </w:tcPr>
          <w:p>
            <w:pPr>
              <w:spacing w:after="0"/>
              <w:rPr>
                <w:sz w:val="20"/>
                <w:szCs w:val="20"/>
                <w:color w:val="auto"/>
              </w:rPr>
            </w:pPr>
          </w:p>
        </w:tc>
      </w:tr>
      <w:tr>
        <w:trPr>
          <w:trHeight w:val="251"/>
        </w:trPr>
        <w:tc>
          <w:tcPr>
            <w:tcW w:w="8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Accounts receivable - other</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3,048</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2,865</w:t>
            </w:r>
          </w:p>
        </w:tc>
        <w:tc>
          <w:tcPr>
            <w:tcW w:w="100" w:type="dxa"/>
            <w:vAlign w:val="bottom"/>
            <w:shd w:val="clear" w:color="auto" w:fill="C0C0C0"/>
          </w:tcPr>
          <w:p>
            <w:pPr>
              <w:spacing w:after="0"/>
              <w:rPr>
                <w:sz w:val="21"/>
                <w:szCs w:val="21"/>
                <w:color w:val="auto"/>
              </w:rPr>
            </w:pPr>
          </w:p>
        </w:tc>
      </w:tr>
      <w:tr>
        <w:trPr>
          <w:trHeight w:val="237"/>
        </w:trPr>
        <w:tc>
          <w:tcPr>
            <w:tcW w:w="858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14,379</w:t>
            </w:r>
          </w:p>
        </w:tc>
        <w:tc>
          <w:tcPr>
            <w:tcW w:w="22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18,610</w:t>
            </w:r>
          </w:p>
        </w:tc>
        <w:tc>
          <w:tcPr>
            <w:tcW w:w="100" w:type="dxa"/>
            <w:vAlign w:val="bottom"/>
            <w:tcBorders>
              <w:bottom w:val="single" w:sz="8" w:color="auto"/>
            </w:tcBorders>
          </w:tcPr>
          <w:p>
            <w:pPr>
              <w:spacing w:after="0"/>
              <w:rPr>
                <w:sz w:val="20"/>
                <w:szCs w:val="20"/>
                <w:color w:val="auto"/>
              </w:rPr>
            </w:pPr>
          </w:p>
        </w:tc>
      </w:tr>
      <w:tr>
        <w:trPr>
          <w:trHeight w:val="243"/>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575,719</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425,508</w:t>
            </w:r>
          </w:p>
        </w:tc>
        <w:tc>
          <w:tcPr>
            <w:tcW w:w="100" w:type="dxa"/>
            <w:vAlign w:val="bottom"/>
            <w:shd w:val="clear" w:color="auto" w:fill="C0C0C0"/>
          </w:tcPr>
          <w:p>
            <w:pPr>
              <w:spacing w:after="0"/>
              <w:rPr>
                <w:sz w:val="21"/>
                <w:szCs w:val="21"/>
                <w:color w:val="auto"/>
              </w:rPr>
            </w:pPr>
          </w:p>
        </w:tc>
      </w:tr>
      <w:tr>
        <w:trPr>
          <w:trHeight w:val="243"/>
        </w:trPr>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3,400</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0C0C0"/>
          </w:tcPr>
          <w:p>
            <w:pPr>
              <w:spacing w:after="0"/>
              <w:rPr>
                <w:sz w:val="21"/>
                <w:szCs w:val="21"/>
                <w:color w:val="auto"/>
              </w:rPr>
            </w:pPr>
          </w:p>
        </w:tc>
      </w:tr>
      <w:tr>
        <w:trPr>
          <w:trHeight w:val="235"/>
        </w:trPr>
        <w:tc>
          <w:tcPr>
            <w:tcW w:w="8580" w:type="dxa"/>
            <w:vAlign w:val="bottom"/>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37,956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47,080</w:t>
            </w:r>
          </w:p>
        </w:tc>
        <w:tc>
          <w:tcPr>
            <w:tcW w:w="100" w:type="dxa"/>
            <w:vAlign w:val="bottom"/>
          </w:tcPr>
          <w:p>
            <w:pPr>
              <w:spacing w:after="0"/>
              <w:rPr>
                <w:sz w:val="20"/>
                <w:szCs w:val="20"/>
                <w:color w:val="auto"/>
              </w:rPr>
            </w:pPr>
          </w:p>
        </w:tc>
      </w:tr>
      <w:tr>
        <w:trPr>
          <w:trHeight w:val="235"/>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Property, plant, and equipment, at cost, net of accumulated</w:t>
            </w:r>
          </w:p>
        </w:tc>
        <w:tc>
          <w:tcPr>
            <w:tcW w:w="22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9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r>
      <w:tr>
        <w:trPr>
          <w:trHeight w:val="259"/>
        </w:trPr>
        <w:tc>
          <w:tcPr>
            <w:tcW w:w="8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318,498</w:t>
            </w:r>
          </w:p>
        </w:tc>
        <w:tc>
          <w:tcPr>
            <w:tcW w:w="22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259,676</w:t>
            </w:r>
          </w:p>
        </w:tc>
        <w:tc>
          <w:tcPr>
            <w:tcW w:w="100" w:type="dxa"/>
            <w:vAlign w:val="bottom"/>
            <w:shd w:val="clear" w:color="auto" w:fill="C0C0C0"/>
          </w:tcPr>
          <w:p>
            <w:pPr>
              <w:spacing w:after="0"/>
              <w:rPr>
                <w:sz w:val="22"/>
                <w:szCs w:val="22"/>
                <w:color w:val="auto"/>
              </w:rPr>
            </w:pPr>
          </w:p>
        </w:tc>
      </w:tr>
      <w:tr>
        <w:trPr>
          <w:trHeight w:val="237"/>
        </w:trPr>
        <w:tc>
          <w:tcPr>
            <w:tcW w:w="85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6,860</w:t>
            </w:r>
          </w:p>
        </w:tc>
        <w:tc>
          <w:tcPr>
            <w:tcW w:w="22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100" w:type="dxa"/>
            <w:vAlign w:val="bottom"/>
            <w:tcBorders>
              <w:bottom w:val="single" w:sz="8" w:color="auto"/>
            </w:tcBorders>
          </w:tcPr>
          <w:p>
            <w:pPr>
              <w:spacing w:after="0"/>
              <w:rPr>
                <w:sz w:val="20"/>
                <w:szCs w:val="20"/>
                <w:color w:val="auto"/>
              </w:rPr>
            </w:pPr>
          </w:p>
        </w:tc>
      </w:tr>
      <w:tr>
        <w:trPr>
          <w:trHeight w:val="250"/>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assets</w:t>
            </w:r>
          </w:p>
        </w:tc>
        <w:tc>
          <w:tcPr>
            <w:tcW w:w="460" w:type="dxa"/>
            <w:vAlign w:val="bottom"/>
            <w:gridSpan w:val="2"/>
            <w:shd w:val="clear" w:color="auto" w:fill="C0C0C0"/>
          </w:tcPr>
          <w:p>
            <w:pPr>
              <w:jc w:val="right"/>
              <w:ind w:right="78"/>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942,433</w:t>
            </w:r>
          </w:p>
        </w:tc>
        <w:tc>
          <w:tcPr>
            <w:tcW w:w="46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741,202</w:t>
            </w:r>
          </w:p>
        </w:tc>
        <w:tc>
          <w:tcPr>
            <w:tcW w:w="100" w:type="dxa"/>
            <w:vAlign w:val="bottom"/>
            <w:shd w:val="clear" w:color="auto" w:fill="C0C0C0"/>
          </w:tcPr>
          <w:p>
            <w:pPr>
              <w:spacing w:after="0"/>
              <w:rPr>
                <w:sz w:val="21"/>
                <w:szCs w:val="21"/>
                <w:color w:val="auto"/>
              </w:rPr>
            </w:pPr>
          </w:p>
        </w:tc>
      </w:tr>
      <w:tr>
        <w:trPr>
          <w:trHeight w:val="230"/>
        </w:trPr>
        <w:tc>
          <w:tcPr>
            <w:tcW w:w="8580" w:type="dxa"/>
            <w:vAlign w:val="bottom"/>
            <w:tcBorders>
              <w:top w:val="single" w:sz="8" w:color="C0C0C0"/>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43"/>
        </w:trPr>
        <w:tc>
          <w:tcPr>
            <w:tcW w:w="8580" w:type="dxa"/>
            <w:vAlign w:val="bottom"/>
            <w:shd w:val="clear" w:color="auto" w:fill="C0C0C0"/>
          </w:tcPr>
          <w:p>
            <w:pPr>
              <w:ind w:left="24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r>
      <w:tr>
        <w:trPr>
          <w:trHeight w:val="235"/>
        </w:trPr>
        <w:tc>
          <w:tcPr>
            <w:tcW w:w="85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1"/>
        </w:trPr>
        <w:tc>
          <w:tcPr>
            <w:tcW w:w="8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gridSpan w:val="2"/>
            <w:shd w:val="clear" w:color="auto" w:fill="C0C0C0"/>
          </w:tcPr>
          <w:p>
            <w:pPr>
              <w:jc w:val="right"/>
              <w:ind w:right="78"/>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74,976</w:t>
            </w:r>
          </w:p>
        </w:tc>
        <w:tc>
          <w:tcPr>
            <w:tcW w:w="46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49,031</w:t>
            </w:r>
          </w:p>
        </w:tc>
        <w:tc>
          <w:tcPr>
            <w:tcW w:w="100" w:type="dxa"/>
            <w:vAlign w:val="bottom"/>
            <w:shd w:val="clear" w:color="auto" w:fill="C0C0C0"/>
          </w:tcPr>
          <w:p>
            <w:pPr>
              <w:spacing w:after="0"/>
              <w:rPr>
                <w:sz w:val="21"/>
                <w:szCs w:val="21"/>
                <w:color w:val="auto"/>
              </w:rPr>
            </w:pPr>
          </w:p>
        </w:tc>
      </w:tr>
      <w:tr>
        <w:trPr>
          <w:trHeight w:val="235"/>
        </w:trPr>
        <w:tc>
          <w:tcPr>
            <w:tcW w:w="8580" w:type="dxa"/>
            <w:vAlign w:val="bottom"/>
          </w:tcPr>
          <w:p>
            <w:pPr>
              <w:ind w:left="320"/>
              <w:spacing w:after="0"/>
              <w:rPr>
                <w:sz w:val="20"/>
                <w:szCs w:val="20"/>
                <w:color w:val="auto"/>
              </w:rPr>
            </w:pPr>
            <w:r>
              <w:rPr>
                <w:rFonts w:ascii="Arial" w:cs="Arial" w:eastAsia="Arial" w:hAnsi="Arial"/>
                <w:sz w:val="18"/>
                <w:szCs w:val="18"/>
                <w:color w:val="auto"/>
              </w:rPr>
              <w:t>Deferred revenue from sanofi-aventis, current portion</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19,335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17,523</w:t>
            </w:r>
          </w:p>
        </w:tc>
        <w:tc>
          <w:tcPr>
            <w:tcW w:w="100" w:type="dxa"/>
            <w:vAlign w:val="bottom"/>
          </w:tcPr>
          <w:p>
            <w:pPr>
              <w:spacing w:after="0"/>
              <w:rPr>
                <w:sz w:val="20"/>
                <w:szCs w:val="20"/>
                <w:color w:val="auto"/>
              </w:rPr>
            </w:pPr>
          </w:p>
        </w:tc>
      </w:tr>
      <w:tr>
        <w:trPr>
          <w:trHeight w:val="251"/>
        </w:trPr>
        <w:tc>
          <w:tcPr>
            <w:tcW w:w="8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Deferred revenue - other, current portion</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38,888</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27,021</w:t>
            </w:r>
          </w:p>
        </w:tc>
        <w:tc>
          <w:tcPr>
            <w:tcW w:w="100" w:type="dxa"/>
            <w:vAlign w:val="bottom"/>
            <w:shd w:val="clear" w:color="auto" w:fill="C0C0C0"/>
          </w:tcPr>
          <w:p>
            <w:pPr>
              <w:spacing w:after="0"/>
              <w:rPr>
                <w:sz w:val="21"/>
                <w:szCs w:val="21"/>
                <w:color w:val="auto"/>
              </w:rPr>
            </w:pPr>
          </w:p>
        </w:tc>
      </w:tr>
      <w:tr>
        <w:trPr>
          <w:trHeight w:val="237"/>
        </w:trPr>
        <w:tc>
          <w:tcPr>
            <w:tcW w:w="858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Facility lease obligations, current portion</w:t>
            </w:r>
          </w:p>
        </w:tc>
        <w:tc>
          <w:tcPr>
            <w:tcW w:w="22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22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43"/>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133,833</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93,575</w:t>
            </w:r>
          </w:p>
        </w:tc>
        <w:tc>
          <w:tcPr>
            <w:tcW w:w="100" w:type="dxa"/>
            <w:vAlign w:val="bottom"/>
            <w:shd w:val="clear" w:color="auto" w:fill="C0C0C0"/>
          </w:tcPr>
          <w:p>
            <w:pPr>
              <w:spacing w:after="0"/>
              <w:rPr>
                <w:sz w:val="21"/>
                <w:szCs w:val="21"/>
                <w:color w:val="auto"/>
              </w:rPr>
            </w:pPr>
          </w:p>
        </w:tc>
      </w:tr>
      <w:tr>
        <w:trPr>
          <w:trHeight w:val="243"/>
        </w:trPr>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Deferred revenue from sanofi-aventis</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99,726</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90,933</w:t>
            </w:r>
          </w:p>
        </w:tc>
        <w:tc>
          <w:tcPr>
            <w:tcW w:w="100" w:type="dxa"/>
            <w:vAlign w:val="bottom"/>
            <w:shd w:val="clear" w:color="auto" w:fill="C0C0C0"/>
          </w:tcPr>
          <w:p>
            <w:pPr>
              <w:spacing w:after="0"/>
              <w:rPr>
                <w:sz w:val="21"/>
                <w:szCs w:val="21"/>
                <w:color w:val="auto"/>
              </w:rPr>
            </w:pPr>
          </w:p>
        </w:tc>
      </w:tr>
      <w:tr>
        <w:trPr>
          <w:trHeight w:val="235"/>
        </w:trPr>
        <w:tc>
          <w:tcPr>
            <w:tcW w:w="8580" w:type="dxa"/>
            <w:vAlign w:val="bottom"/>
          </w:tcPr>
          <w:p>
            <w:pPr>
              <w:spacing w:after="0"/>
              <w:rPr>
                <w:sz w:val="20"/>
                <w:szCs w:val="20"/>
                <w:color w:val="auto"/>
              </w:rPr>
            </w:pPr>
            <w:r>
              <w:rPr>
                <w:rFonts w:ascii="Arial" w:cs="Arial" w:eastAsia="Arial" w:hAnsi="Arial"/>
                <w:sz w:val="18"/>
                <w:szCs w:val="18"/>
                <w:color w:val="auto"/>
              </w:rPr>
              <w:t>Deferred revenue - other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197,139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46,951</w:t>
            </w:r>
          </w:p>
        </w:tc>
        <w:tc>
          <w:tcPr>
            <w:tcW w:w="100" w:type="dxa"/>
            <w:vAlign w:val="bottom"/>
          </w:tcPr>
          <w:p>
            <w:pPr>
              <w:spacing w:after="0"/>
              <w:rPr>
                <w:sz w:val="20"/>
                <w:szCs w:val="20"/>
                <w:color w:val="auto"/>
              </w:rPr>
            </w:pPr>
          </w:p>
        </w:tc>
      </w:tr>
      <w:tr>
        <w:trPr>
          <w:trHeight w:val="251"/>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Facility lease obligations</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158,382</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109,022</w:t>
            </w:r>
          </w:p>
        </w:tc>
        <w:tc>
          <w:tcPr>
            <w:tcW w:w="100" w:type="dxa"/>
            <w:vAlign w:val="bottom"/>
            <w:shd w:val="clear" w:color="auto" w:fill="C0C0C0"/>
          </w:tcPr>
          <w:p>
            <w:pPr>
              <w:spacing w:after="0"/>
              <w:rPr>
                <w:sz w:val="21"/>
                <w:szCs w:val="21"/>
                <w:color w:val="auto"/>
              </w:rPr>
            </w:pPr>
          </w:p>
        </w:tc>
      </w:tr>
      <w:tr>
        <w:trPr>
          <w:trHeight w:val="237"/>
        </w:trPr>
        <w:tc>
          <w:tcPr>
            <w:tcW w:w="85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 long term liabilities</w:t>
            </w:r>
          </w:p>
        </w:tc>
        <w:tc>
          <w:tcPr>
            <w:tcW w:w="22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5,289</w:t>
            </w:r>
          </w:p>
        </w:tc>
        <w:tc>
          <w:tcPr>
            <w:tcW w:w="22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100" w:type="dxa"/>
            <w:vAlign w:val="bottom"/>
            <w:tcBorders>
              <w:bottom w:val="single" w:sz="8" w:color="auto"/>
            </w:tcBorders>
          </w:tcPr>
          <w:p>
            <w:pPr>
              <w:spacing w:after="0"/>
              <w:rPr>
                <w:sz w:val="20"/>
                <w:szCs w:val="20"/>
                <w:color w:val="auto"/>
              </w:rPr>
            </w:pPr>
          </w:p>
        </w:tc>
      </w:tr>
      <w:tr>
        <w:trPr>
          <w:trHeight w:val="237"/>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0C0C0"/>
          </w:tcPr>
          <w:p>
            <w:pPr>
              <w:spacing w:after="0"/>
              <w:rPr>
                <w:sz w:val="20"/>
                <w:szCs w:val="20"/>
                <w:color w:val="auto"/>
              </w:rPr>
            </w:pPr>
          </w:p>
        </w:tc>
        <w:tc>
          <w:tcPr>
            <w:tcW w:w="240" w:type="dxa"/>
            <w:vAlign w:val="bottom"/>
            <w:tcBorders>
              <w:bottom w:val="single" w:sz="8" w:color="auto"/>
            </w:tcBorders>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594,369</w:t>
            </w:r>
          </w:p>
        </w:tc>
        <w:tc>
          <w:tcPr>
            <w:tcW w:w="220" w:type="dxa"/>
            <w:vAlign w:val="bottom"/>
            <w:shd w:val="clear" w:color="auto" w:fill="C0C0C0"/>
          </w:tcPr>
          <w:p>
            <w:pPr>
              <w:spacing w:after="0"/>
              <w:rPr>
                <w:sz w:val="20"/>
                <w:szCs w:val="20"/>
                <w:color w:val="auto"/>
              </w:rPr>
            </w:pPr>
          </w:p>
        </w:tc>
        <w:tc>
          <w:tcPr>
            <w:tcW w:w="24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344,440</w:t>
            </w:r>
          </w:p>
        </w:tc>
        <w:tc>
          <w:tcPr>
            <w:tcW w:w="100" w:type="dxa"/>
            <w:vAlign w:val="bottom"/>
            <w:tcBorders>
              <w:bottom w:val="single" w:sz="8" w:color="auto"/>
            </w:tcBorders>
            <w:shd w:val="clear" w:color="auto" w:fill="C0C0C0"/>
          </w:tcPr>
          <w:p>
            <w:pPr>
              <w:spacing w:after="0"/>
              <w:rPr>
                <w:sz w:val="20"/>
                <w:szCs w:val="20"/>
                <w:color w:val="auto"/>
              </w:rPr>
            </w:pPr>
          </w:p>
        </w:tc>
      </w:tr>
      <w:tr>
        <w:trPr>
          <w:trHeight w:val="230"/>
        </w:trPr>
        <w:tc>
          <w:tcPr>
            <w:tcW w:w="8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r>
      <w:tr>
        <w:trPr>
          <w:trHeight w:val="243"/>
        </w:trPr>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100" w:type="dxa"/>
            <w:vAlign w:val="bottom"/>
          </w:tcPr>
          <w:p>
            <w:pPr>
              <w:spacing w:after="0"/>
              <w:rPr>
                <w:sz w:val="21"/>
                <w:szCs w:val="21"/>
                <w:color w:val="auto"/>
              </w:rPr>
            </w:pPr>
          </w:p>
        </w:tc>
      </w:tr>
      <w:tr>
        <w:trPr>
          <w:trHeight w:val="228"/>
        </w:trPr>
        <w:tc>
          <w:tcPr>
            <w:tcW w:w="8580" w:type="dxa"/>
            <w:vAlign w:val="bottom"/>
          </w:tcPr>
          <w:p>
            <w:pPr>
              <w:ind w:left="320"/>
              <w:spacing w:after="0"/>
              <w:rPr>
                <w:sz w:val="20"/>
                <w:szCs w:val="20"/>
                <w:color w:val="auto"/>
              </w:rPr>
            </w:pPr>
            <w:r>
              <w:rPr>
                <w:rFonts w:ascii="Arial" w:cs="Arial" w:eastAsia="Arial" w:hAnsi="Arial"/>
                <w:sz w:val="18"/>
                <w:szCs w:val="18"/>
                <w:color w:val="auto"/>
              </w:rPr>
              <w:t>Preferred stock, $.01 par value; 30,000,000 shares authorized; issued and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1"/>
        </w:trPr>
        <w:tc>
          <w:tcPr>
            <w:tcW w:w="8580" w:type="dxa"/>
            <w:vAlign w:val="bottom"/>
          </w:tcPr>
          <w:p>
            <w:pPr>
              <w:ind w:left="620"/>
              <w:spacing w:after="0"/>
              <w:rPr>
                <w:sz w:val="20"/>
                <w:szCs w:val="20"/>
                <w:color w:val="auto"/>
              </w:rPr>
            </w:pPr>
            <w:r>
              <w:rPr>
                <w:rFonts w:ascii="Arial" w:cs="Arial" w:eastAsia="Arial" w:hAnsi="Arial"/>
                <w:sz w:val="18"/>
                <w:szCs w:val="18"/>
                <w:color w:val="auto"/>
              </w:rPr>
              <w:t>outstanding - none</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5"/>
        </w:trPr>
        <w:tc>
          <w:tcPr>
            <w:tcW w:w="8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Class A Stock, convertible, $.001 par value; 40,000,000 shares authorized;</w:t>
            </w:r>
          </w:p>
        </w:tc>
        <w:tc>
          <w:tcPr>
            <w:tcW w:w="22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9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r>
      <w:tr>
        <w:trPr>
          <w:trHeight w:val="259"/>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shares issued and outstanding - 2,181,831 in 2010 and 2,244,698 in 2009</w:t>
            </w:r>
          </w:p>
        </w:tc>
        <w:tc>
          <w:tcPr>
            <w:tcW w:w="22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0C0C0"/>
          </w:tcPr>
          <w:p>
            <w:pPr>
              <w:spacing w:after="0"/>
              <w:rPr>
                <w:sz w:val="22"/>
                <w:szCs w:val="22"/>
                <w:color w:val="auto"/>
              </w:rPr>
            </w:pPr>
          </w:p>
        </w:tc>
      </w:tr>
      <w:tr>
        <w:trPr>
          <w:trHeight w:val="228"/>
        </w:trPr>
        <w:tc>
          <w:tcPr>
            <w:tcW w:w="8580" w:type="dxa"/>
            <w:vAlign w:val="bottom"/>
          </w:tcPr>
          <w:p>
            <w:pPr>
              <w:ind w:left="320"/>
              <w:spacing w:after="0"/>
              <w:rPr>
                <w:sz w:val="20"/>
                <w:szCs w:val="20"/>
                <w:color w:val="auto"/>
              </w:rPr>
            </w:pPr>
            <w:r>
              <w:rPr>
                <w:rFonts w:ascii="Arial" w:cs="Arial" w:eastAsia="Arial" w:hAnsi="Arial"/>
                <w:sz w:val="18"/>
                <w:szCs w:val="18"/>
                <w:color w:val="auto"/>
              </w:rPr>
              <w:t>Common Stock, $.001 par value; 160,000,000 shares authorized;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1"/>
        </w:trPr>
        <w:tc>
          <w:tcPr>
            <w:tcW w:w="8580" w:type="dxa"/>
            <w:vAlign w:val="bottom"/>
          </w:tcPr>
          <w:p>
            <w:pPr>
              <w:ind w:left="620"/>
              <w:spacing w:after="0"/>
              <w:rPr>
                <w:sz w:val="20"/>
                <w:szCs w:val="20"/>
                <w:color w:val="auto"/>
              </w:rPr>
            </w:pPr>
            <w:r>
              <w:rPr>
                <w:rFonts w:ascii="Arial" w:cs="Arial" w:eastAsia="Arial" w:hAnsi="Arial"/>
                <w:sz w:val="18"/>
                <w:szCs w:val="18"/>
                <w:color w:val="auto"/>
              </w:rPr>
              <w:t>shares issued and outstanding - 80,042,523 in 2010 and 78,860,862 in 2009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r>
      <w:tr>
        <w:trPr>
          <w:trHeight w:val="251"/>
        </w:trPr>
        <w:tc>
          <w:tcPr>
            <w:tcW w:w="8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1,379,123</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1,336,732</w:t>
            </w:r>
          </w:p>
        </w:tc>
        <w:tc>
          <w:tcPr>
            <w:tcW w:w="100" w:type="dxa"/>
            <w:vAlign w:val="bottom"/>
            <w:shd w:val="clear" w:color="auto" w:fill="C0C0C0"/>
          </w:tcPr>
          <w:p>
            <w:pPr>
              <w:spacing w:after="0"/>
              <w:rPr>
                <w:sz w:val="21"/>
                <w:szCs w:val="21"/>
                <w:color w:val="auto"/>
              </w:rPr>
            </w:pPr>
          </w:p>
        </w:tc>
      </w:tr>
      <w:tr>
        <w:trPr>
          <w:trHeight w:val="235"/>
        </w:trPr>
        <w:tc>
          <w:tcPr>
            <w:tcW w:w="858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(1,030,966)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(941,095)</w:t>
            </w:r>
          </w:p>
        </w:tc>
      </w:tr>
      <w:tr>
        <w:trPr>
          <w:trHeight w:val="251"/>
        </w:trPr>
        <w:tc>
          <w:tcPr>
            <w:tcW w:w="8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Accumulated other comprehensive (loss) income</w:t>
            </w:r>
          </w:p>
        </w:tc>
        <w:tc>
          <w:tcPr>
            <w:tcW w:w="220" w:type="dxa"/>
            <w:vAlign w:val="bottom"/>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auto"/>
            </w:tcBorders>
            <w:shd w:val="clear" w:color="auto" w:fill="C0C0C0"/>
          </w:tcPr>
          <w:p>
            <w:pPr>
              <w:spacing w:after="0"/>
              <w:rPr>
                <w:sz w:val="21"/>
                <w:szCs w:val="21"/>
                <w:color w:val="auto"/>
              </w:rPr>
            </w:pPr>
          </w:p>
        </w:tc>
      </w:tr>
      <w:tr>
        <w:trPr>
          <w:trHeight w:val="230"/>
        </w:trPr>
        <w:tc>
          <w:tcPr>
            <w:tcW w:w="8580" w:type="dxa"/>
            <w:vAlign w:val="bottom"/>
            <w:tcBorders>
              <w:bottom w:val="single" w:sz="8" w:color="C0C0C0"/>
            </w:tcBorders>
          </w:tcPr>
          <w:p>
            <w:pPr>
              <w:ind w:left="6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348,064</w:t>
            </w:r>
          </w:p>
        </w:tc>
        <w:tc>
          <w:tcPr>
            <w:tcW w:w="22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396,762</w:t>
            </w:r>
          </w:p>
        </w:tc>
        <w:tc>
          <w:tcPr>
            <w:tcW w:w="100" w:type="dxa"/>
            <w:vAlign w:val="bottom"/>
            <w:tcBorders>
              <w:bottom w:val="single" w:sz="8" w:color="auto"/>
            </w:tcBorders>
          </w:tcPr>
          <w:p>
            <w:pPr>
              <w:spacing w:after="0"/>
              <w:rPr>
                <w:sz w:val="20"/>
                <w:szCs w:val="20"/>
                <w:color w:val="auto"/>
              </w:rPr>
            </w:pPr>
          </w:p>
        </w:tc>
      </w:tr>
      <w:tr>
        <w:trPr>
          <w:trHeight w:val="250"/>
        </w:trPr>
        <w:tc>
          <w:tcPr>
            <w:tcW w:w="8580" w:type="dxa"/>
            <w:vAlign w:val="bottom"/>
            <w:tcBorders>
              <w:bottom w:val="single" w:sz="8" w:color="C0C0C0"/>
            </w:tcBorders>
            <w:shd w:val="clear" w:color="auto" w:fill="C0C0C0"/>
          </w:tcPr>
          <w:p>
            <w:pPr>
              <w:ind w:left="6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0C0C0"/>
            </w:tcBorders>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jc w:val="right"/>
              <w:ind w:right="78"/>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942,433</w:t>
            </w:r>
          </w:p>
        </w:tc>
        <w:tc>
          <w:tcPr>
            <w:tcW w:w="220" w:type="dxa"/>
            <w:vAlign w:val="bottom"/>
            <w:tcBorders>
              <w:bottom w:val="single" w:sz="8" w:color="C0C0C0"/>
            </w:tcBorders>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741,202</w:t>
            </w:r>
          </w:p>
        </w:tc>
        <w:tc>
          <w:tcPr>
            <w:tcW w:w="100" w:type="dxa"/>
            <w:vAlign w:val="bottom"/>
            <w:tcBorders>
              <w:bottom w:val="single" w:sz="8" w:color="auto"/>
            </w:tcBorders>
            <w:shd w:val="clear" w:color="auto" w:fill="C0C0C0"/>
          </w:tcPr>
          <w:p>
            <w:pPr>
              <w:spacing w:after="0"/>
              <w:rPr>
                <w:sz w:val="21"/>
                <w:szCs w:val="2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4"/>
          </w:tcPr>
          <w:p>
            <w:pPr>
              <w:jc w:val="right"/>
              <w:ind w:right="32"/>
              <w:spacing w:after="0"/>
              <w:rPr>
                <w:sz w:val="20"/>
                <w:szCs w:val="20"/>
                <w:color w:val="auto"/>
              </w:rPr>
            </w:pPr>
            <w:r>
              <w:rPr>
                <w:rFonts w:ascii="Arial" w:cs="Arial" w:eastAsia="Arial" w:hAnsi="Arial"/>
                <w:sz w:val="18"/>
                <w:szCs w:val="18"/>
                <w:b w:val="1"/>
                <w:bCs w:val="1"/>
                <w:color w:val="auto"/>
                <w:w w:val="87"/>
              </w:rPr>
              <w:t>Three months ended September 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4"/>
          </w:tcPr>
          <w:p>
            <w:pPr>
              <w:jc w:val="right"/>
              <w:ind w:right="32"/>
              <w:spacing w:after="0"/>
              <w:rPr>
                <w:sz w:val="20"/>
                <w:szCs w:val="20"/>
                <w:color w:val="auto"/>
              </w:rPr>
            </w:pPr>
            <w:r>
              <w:rPr>
                <w:rFonts w:ascii="Arial" w:cs="Arial" w:eastAsia="Arial" w:hAnsi="Arial"/>
                <w:sz w:val="18"/>
                <w:szCs w:val="18"/>
                <w:b w:val="1"/>
                <w:bCs w:val="1"/>
                <w:color w:val="auto"/>
                <w:w w:val="86"/>
              </w:rPr>
              <w:t>Nine months ended September 30,</w:t>
            </w:r>
          </w:p>
        </w:tc>
      </w:tr>
      <w:tr>
        <w:trPr>
          <w:trHeight w:val="252"/>
        </w:trPr>
        <w:tc>
          <w:tcPr>
            <w:tcW w:w="4700" w:type="dxa"/>
            <w:vAlign w:val="bottom"/>
            <w:tcBorders>
              <w:bottom w:val="single" w:sz="8" w:color="C0C0C0"/>
            </w:tcBorders>
          </w:tcPr>
          <w:p>
            <w:pPr>
              <w:spacing w:after="0"/>
              <w:rPr>
                <w:sz w:val="21"/>
                <w:szCs w:val="21"/>
                <w:color w:val="auto"/>
              </w:rPr>
            </w:pPr>
          </w:p>
        </w:tc>
        <w:tc>
          <w:tcPr>
            <w:tcW w:w="80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C0C0C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C0C0C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2009</w:t>
            </w:r>
          </w:p>
        </w:tc>
      </w:tr>
      <w:tr>
        <w:trPr>
          <w:trHeight w:val="243"/>
        </w:trPr>
        <w:tc>
          <w:tcPr>
            <w:tcW w:w="4700" w:type="dxa"/>
            <w:vAlign w:val="bottom"/>
            <w:shd w:val="clear" w:color="auto" w:fill="C0C0C0"/>
          </w:tcPr>
          <w:p>
            <w:pPr>
              <w:spacing w:after="0"/>
              <w:rPr>
                <w:sz w:val="20"/>
                <w:szCs w:val="20"/>
                <w:color w:val="auto"/>
              </w:rPr>
            </w:pPr>
            <w:r>
              <w:rPr>
                <w:rFonts w:ascii="Arial" w:cs="Arial" w:eastAsia="Arial" w:hAnsi="Arial"/>
                <w:sz w:val="18"/>
                <w:szCs w:val="18"/>
                <w:color w:val="auto"/>
              </w:rPr>
              <w:t>Revenues</w:t>
            </w:r>
          </w:p>
        </w:tc>
        <w:tc>
          <w:tcPr>
            <w:tcW w:w="8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r>
      <w:tr>
        <w:trPr>
          <w:trHeight w:val="235"/>
        </w:trPr>
        <w:tc>
          <w:tcPr>
            <w:tcW w:w="4700" w:type="dxa"/>
            <w:vAlign w:val="bottom"/>
          </w:tcPr>
          <w:p>
            <w:pPr>
              <w:ind w:left="320"/>
              <w:spacing w:after="0"/>
              <w:rPr>
                <w:sz w:val="20"/>
                <w:szCs w:val="20"/>
                <w:color w:val="auto"/>
              </w:rPr>
            </w:pPr>
            <w:r>
              <w:rPr>
                <w:rFonts w:ascii="Arial" w:cs="Arial" w:eastAsia="Arial" w:hAnsi="Arial"/>
                <w:sz w:val="18"/>
                <w:szCs w:val="18"/>
                <w:color w:val="auto"/>
              </w:rPr>
              <w:t>Sanofi-aventis collaboration revenue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75,583</w:t>
            </w:r>
          </w:p>
        </w:tc>
        <w:tc>
          <w:tcPr>
            <w:tcW w:w="220" w:type="dxa"/>
            <w:vAlign w:val="bottom"/>
          </w:tcPr>
          <w:p>
            <w:pPr>
              <w:spacing w:after="0"/>
              <w:rPr>
                <w:sz w:val="20"/>
                <w:szCs w:val="20"/>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68,536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229,195</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178,928</w:t>
            </w:r>
          </w:p>
        </w:tc>
      </w:tr>
      <w:tr>
        <w:trPr>
          <w:trHeight w:val="251"/>
        </w:trPr>
        <w:tc>
          <w:tcPr>
            <w:tcW w:w="47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Other collaboration revenue</w:t>
            </w:r>
          </w:p>
        </w:tc>
        <w:tc>
          <w:tcPr>
            <w:tcW w:w="8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13,761</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32,153</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40,483</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54,947</w:t>
            </w:r>
          </w:p>
        </w:tc>
      </w:tr>
      <w:tr>
        <w:trPr>
          <w:trHeight w:val="235"/>
        </w:trPr>
        <w:tc>
          <w:tcPr>
            <w:tcW w:w="4700" w:type="dxa"/>
            <w:vAlign w:val="bottom"/>
          </w:tcPr>
          <w:p>
            <w:pPr>
              <w:ind w:left="320"/>
              <w:spacing w:after="0"/>
              <w:rPr>
                <w:sz w:val="20"/>
                <w:szCs w:val="20"/>
                <w:color w:val="auto"/>
              </w:rPr>
            </w:pPr>
            <w:r>
              <w:rPr>
                <w:rFonts w:ascii="Arial" w:cs="Arial" w:eastAsia="Arial" w:hAnsi="Arial"/>
                <w:sz w:val="18"/>
                <w:szCs w:val="18"/>
                <w:color w:val="auto"/>
              </w:rPr>
              <w:t>Technology licensing</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10,037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30,112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51"/>
        </w:trPr>
        <w:tc>
          <w:tcPr>
            <w:tcW w:w="47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Net product sales</w:t>
            </w:r>
          </w:p>
        </w:tc>
        <w:tc>
          <w:tcPr>
            <w:tcW w:w="8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4,936</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4,973</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19,985</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13,364</w:t>
            </w:r>
          </w:p>
        </w:tc>
      </w:tr>
      <w:tr>
        <w:trPr>
          <w:trHeight w:val="237"/>
        </w:trPr>
        <w:tc>
          <w:tcPr>
            <w:tcW w:w="470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Contract research and other</w:t>
            </w:r>
          </w:p>
        </w:tc>
        <w:tc>
          <w:tcPr>
            <w:tcW w:w="8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220" w:type="dxa"/>
            <w:vAlign w:val="bottom"/>
            <w:tcBorders>
              <w:bottom w:val="single" w:sz="8" w:color="C0C0C0"/>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2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w:t>
            </w:r>
          </w:p>
        </w:tc>
        <w:tc>
          <w:tcPr>
            <w:tcW w:w="220" w:type="dxa"/>
            <w:vAlign w:val="bottom"/>
            <w:tcBorders>
              <w:bottom w:val="single" w:sz="8" w:color="C0C0C0"/>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5,229</w:t>
            </w:r>
          </w:p>
        </w:tc>
      </w:tr>
      <w:tr>
        <w:trPr>
          <w:trHeight w:val="237"/>
        </w:trPr>
        <w:tc>
          <w:tcPr>
            <w:tcW w:w="470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1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105,979</w:t>
            </w:r>
          </w:p>
        </w:tc>
        <w:tc>
          <w:tcPr>
            <w:tcW w:w="220" w:type="dxa"/>
            <w:vAlign w:val="bottom"/>
            <w:shd w:val="clear" w:color="auto" w:fill="C0C0C0"/>
          </w:tcPr>
          <w:p>
            <w:pPr>
              <w:spacing w:after="0"/>
              <w:rPr>
                <w:sz w:val="20"/>
                <w:szCs w:val="20"/>
                <w:color w:val="auto"/>
              </w:rPr>
            </w:pPr>
          </w:p>
        </w:tc>
        <w:tc>
          <w:tcPr>
            <w:tcW w:w="280" w:type="dxa"/>
            <w:vAlign w:val="bottom"/>
            <w:tcBorders>
              <w:bottom w:val="single" w:sz="8" w:color="auto"/>
            </w:tcBorders>
            <w:shd w:val="clear" w:color="auto" w:fill="C0C0C0"/>
          </w:tcPr>
          <w:p>
            <w:pPr>
              <w:spacing w:after="0"/>
              <w:rPr>
                <w:sz w:val="20"/>
                <w:szCs w:val="20"/>
                <w:color w:val="auto"/>
              </w:rPr>
            </w:pP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117,455</w:t>
            </w:r>
          </w:p>
        </w:tc>
        <w:tc>
          <w:tcPr>
            <w:tcW w:w="22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1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325,399</w:t>
            </w:r>
          </w:p>
        </w:tc>
        <w:tc>
          <w:tcPr>
            <w:tcW w:w="220" w:type="dxa"/>
            <w:vAlign w:val="bottom"/>
            <w:shd w:val="clear" w:color="auto" w:fill="C0C0C0"/>
          </w:tcPr>
          <w:p>
            <w:pPr>
              <w:spacing w:after="0"/>
              <w:rPr>
                <w:sz w:val="20"/>
                <w:szCs w:val="20"/>
                <w:color w:val="auto"/>
              </w:rPr>
            </w:pPr>
          </w:p>
        </w:tc>
        <w:tc>
          <w:tcPr>
            <w:tcW w:w="280" w:type="dxa"/>
            <w:vAlign w:val="bottom"/>
            <w:tcBorders>
              <w:bottom w:val="single" w:sz="8" w:color="auto"/>
            </w:tcBorders>
            <w:shd w:val="clear" w:color="auto" w:fill="C0C0C0"/>
          </w:tcPr>
          <w:p>
            <w:pPr>
              <w:spacing w:after="0"/>
              <w:rPr>
                <w:sz w:val="20"/>
                <w:szCs w:val="20"/>
                <w:color w:val="auto"/>
              </w:rPr>
            </w:pP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282,468</w:t>
            </w:r>
          </w:p>
        </w:tc>
      </w:tr>
      <w:tr>
        <w:trPr>
          <w:trHeight w:val="230"/>
        </w:trPr>
        <w:tc>
          <w:tcPr>
            <w:tcW w:w="4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4700" w:type="dxa"/>
            <w:vAlign w:val="bottom"/>
            <w:shd w:val="clear" w:color="auto" w:fill="C0C0C0"/>
          </w:tcPr>
          <w:p>
            <w:pPr>
              <w:spacing w:after="0"/>
              <w:rPr>
                <w:sz w:val="20"/>
                <w:szCs w:val="20"/>
                <w:color w:val="auto"/>
              </w:rPr>
            </w:pPr>
            <w:r>
              <w:rPr>
                <w:rFonts w:ascii="Arial" w:cs="Arial" w:eastAsia="Arial" w:hAnsi="Arial"/>
                <w:sz w:val="18"/>
                <w:szCs w:val="18"/>
                <w:color w:val="auto"/>
              </w:rPr>
              <w:t>Expenses</w:t>
            </w:r>
          </w:p>
        </w:tc>
        <w:tc>
          <w:tcPr>
            <w:tcW w:w="8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r>
      <w:tr>
        <w:trPr>
          <w:trHeight w:val="235"/>
        </w:trPr>
        <w:tc>
          <w:tcPr>
            <w:tcW w:w="470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122,043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105,434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364,040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279,972</w:t>
            </w:r>
          </w:p>
        </w:tc>
      </w:tr>
      <w:tr>
        <w:trPr>
          <w:trHeight w:val="251"/>
        </w:trPr>
        <w:tc>
          <w:tcPr>
            <w:tcW w:w="47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15,658</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12,840</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44,560</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35,892</w:t>
            </w:r>
          </w:p>
        </w:tc>
      </w:tr>
      <w:tr>
        <w:trPr>
          <w:trHeight w:val="237"/>
        </w:trPr>
        <w:tc>
          <w:tcPr>
            <w:tcW w:w="470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Cost of goods sold</w:t>
            </w:r>
          </w:p>
        </w:tc>
        <w:tc>
          <w:tcPr>
            <w:tcW w:w="8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Borders>
              <w:bottom w:val="single" w:sz="8" w:color="C0C0C0"/>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2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220" w:type="dxa"/>
            <w:vAlign w:val="bottom"/>
            <w:tcBorders>
              <w:bottom w:val="single" w:sz="8" w:color="C0C0C0"/>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r>
      <w:tr>
        <w:trPr>
          <w:trHeight w:val="237"/>
        </w:trPr>
        <w:tc>
          <w:tcPr>
            <w:tcW w:w="470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1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138,073</w:t>
            </w:r>
          </w:p>
        </w:tc>
        <w:tc>
          <w:tcPr>
            <w:tcW w:w="220" w:type="dxa"/>
            <w:vAlign w:val="bottom"/>
            <w:shd w:val="clear" w:color="auto" w:fill="C0C0C0"/>
          </w:tcPr>
          <w:p>
            <w:pPr>
              <w:spacing w:after="0"/>
              <w:rPr>
                <w:sz w:val="20"/>
                <w:szCs w:val="20"/>
                <w:color w:val="auto"/>
              </w:rPr>
            </w:pPr>
          </w:p>
        </w:tc>
        <w:tc>
          <w:tcPr>
            <w:tcW w:w="280" w:type="dxa"/>
            <w:vAlign w:val="bottom"/>
            <w:tcBorders>
              <w:bottom w:val="single" w:sz="8" w:color="auto"/>
            </w:tcBorders>
            <w:shd w:val="clear" w:color="auto" w:fill="C0C0C0"/>
          </w:tcPr>
          <w:p>
            <w:pPr>
              <w:spacing w:after="0"/>
              <w:rPr>
                <w:sz w:val="20"/>
                <w:szCs w:val="20"/>
                <w:color w:val="auto"/>
              </w:rPr>
            </w:pP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118,746</w:t>
            </w:r>
          </w:p>
        </w:tc>
        <w:tc>
          <w:tcPr>
            <w:tcW w:w="22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1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410,094</w:t>
            </w:r>
          </w:p>
        </w:tc>
        <w:tc>
          <w:tcPr>
            <w:tcW w:w="220" w:type="dxa"/>
            <w:vAlign w:val="bottom"/>
            <w:shd w:val="clear" w:color="auto" w:fill="C0C0C0"/>
          </w:tcPr>
          <w:p>
            <w:pPr>
              <w:spacing w:after="0"/>
              <w:rPr>
                <w:sz w:val="20"/>
                <w:szCs w:val="20"/>
                <w:color w:val="auto"/>
              </w:rPr>
            </w:pPr>
          </w:p>
        </w:tc>
        <w:tc>
          <w:tcPr>
            <w:tcW w:w="280" w:type="dxa"/>
            <w:vAlign w:val="bottom"/>
            <w:tcBorders>
              <w:bottom w:val="single" w:sz="8" w:color="auto"/>
            </w:tcBorders>
            <w:shd w:val="clear" w:color="auto" w:fill="C0C0C0"/>
          </w:tcPr>
          <w:p>
            <w:pPr>
              <w:spacing w:after="0"/>
              <w:rPr>
                <w:sz w:val="20"/>
                <w:szCs w:val="20"/>
                <w:color w:val="auto"/>
              </w:rPr>
            </w:pP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317,163</w:t>
            </w:r>
          </w:p>
        </w:tc>
      </w:tr>
      <w:tr>
        <w:trPr>
          <w:trHeight w:val="230"/>
        </w:trPr>
        <w:tc>
          <w:tcPr>
            <w:tcW w:w="4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7"/>
        </w:trPr>
        <w:tc>
          <w:tcPr>
            <w:tcW w:w="4700" w:type="dxa"/>
            <w:vAlign w:val="bottom"/>
            <w:shd w:val="clear" w:color="auto" w:fill="C0C0C0"/>
          </w:tcPr>
          <w:p>
            <w:pPr>
              <w:spacing w:after="0"/>
              <w:rPr>
                <w:sz w:val="20"/>
                <w:szCs w:val="20"/>
                <w:color w:val="auto"/>
              </w:rPr>
            </w:pPr>
            <w:r>
              <w:rPr>
                <w:rFonts w:ascii="Arial" w:cs="Arial" w:eastAsia="Arial" w:hAnsi="Arial"/>
                <w:sz w:val="18"/>
                <w:szCs w:val="18"/>
                <w:color w:val="auto"/>
              </w:rPr>
              <w:t>Loss from operations</w:t>
            </w:r>
          </w:p>
        </w:tc>
        <w:tc>
          <w:tcPr>
            <w:tcW w:w="80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1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(32,094)</w:t>
            </w:r>
          </w:p>
        </w:tc>
        <w:tc>
          <w:tcPr>
            <w:tcW w:w="220" w:type="dxa"/>
            <w:vAlign w:val="bottom"/>
            <w:shd w:val="clear" w:color="auto" w:fill="C0C0C0"/>
          </w:tcPr>
          <w:p>
            <w:pPr>
              <w:spacing w:after="0"/>
              <w:rPr>
                <w:sz w:val="20"/>
                <w:szCs w:val="20"/>
                <w:color w:val="auto"/>
              </w:rPr>
            </w:pPr>
          </w:p>
        </w:tc>
        <w:tc>
          <w:tcPr>
            <w:tcW w:w="280" w:type="dxa"/>
            <w:vAlign w:val="bottom"/>
            <w:tcBorders>
              <w:bottom w:val="single" w:sz="8" w:color="auto"/>
            </w:tcBorders>
            <w:shd w:val="clear" w:color="auto" w:fill="C0C0C0"/>
          </w:tcPr>
          <w:p>
            <w:pPr>
              <w:spacing w:after="0"/>
              <w:rPr>
                <w:sz w:val="20"/>
                <w:szCs w:val="20"/>
                <w:color w:val="auto"/>
              </w:rPr>
            </w:pP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(1,291)</w:t>
            </w:r>
          </w:p>
        </w:tc>
        <w:tc>
          <w:tcPr>
            <w:tcW w:w="22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1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(84,695)</w:t>
            </w:r>
          </w:p>
        </w:tc>
        <w:tc>
          <w:tcPr>
            <w:tcW w:w="220" w:type="dxa"/>
            <w:vAlign w:val="bottom"/>
            <w:shd w:val="clear" w:color="auto" w:fill="C0C0C0"/>
          </w:tcPr>
          <w:p>
            <w:pPr>
              <w:spacing w:after="0"/>
              <w:rPr>
                <w:sz w:val="20"/>
                <w:szCs w:val="20"/>
                <w:color w:val="auto"/>
              </w:rPr>
            </w:pPr>
          </w:p>
        </w:tc>
        <w:tc>
          <w:tcPr>
            <w:tcW w:w="280" w:type="dxa"/>
            <w:vAlign w:val="bottom"/>
            <w:tcBorders>
              <w:bottom w:val="single" w:sz="8" w:color="auto"/>
            </w:tcBorders>
            <w:shd w:val="clear" w:color="auto" w:fill="C0C0C0"/>
          </w:tcPr>
          <w:p>
            <w:pPr>
              <w:spacing w:after="0"/>
              <w:rPr>
                <w:sz w:val="20"/>
                <w:szCs w:val="20"/>
                <w:color w:val="auto"/>
              </w:rPr>
            </w:pP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(34,695)</w:t>
            </w:r>
          </w:p>
        </w:tc>
      </w:tr>
      <w:tr>
        <w:trPr>
          <w:trHeight w:val="230"/>
        </w:trPr>
        <w:tc>
          <w:tcPr>
            <w:tcW w:w="4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470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8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r>
      <w:tr>
        <w:trPr>
          <w:trHeight w:val="235"/>
        </w:trPr>
        <w:tc>
          <w:tcPr>
            <w:tcW w:w="4700" w:type="dxa"/>
            <w:vAlign w:val="bottom"/>
          </w:tcPr>
          <w:p>
            <w:pPr>
              <w:ind w:left="320"/>
              <w:spacing w:after="0"/>
              <w:rPr>
                <w:sz w:val="20"/>
                <w:szCs w:val="20"/>
                <w:color w:val="auto"/>
              </w:rPr>
            </w:pPr>
            <w:r>
              <w:rPr>
                <w:rFonts w:ascii="Arial" w:cs="Arial" w:eastAsia="Arial" w:hAnsi="Arial"/>
                <w:sz w:val="18"/>
                <w:szCs w:val="18"/>
                <w:color w:val="auto"/>
              </w:rPr>
              <w:t>Investment income</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3,935</w:t>
            </w:r>
          </w:p>
        </w:tc>
      </w:tr>
      <w:tr>
        <w:trPr>
          <w:trHeight w:val="244"/>
        </w:trPr>
        <w:tc>
          <w:tcPr>
            <w:tcW w:w="47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(2,234)</w:t>
            </w:r>
          </w:p>
        </w:tc>
        <w:tc>
          <w:tcPr>
            <w:tcW w:w="220" w:type="dxa"/>
            <w:vAlign w:val="bottom"/>
            <w:shd w:val="clear" w:color="auto" w:fill="C0C0C0"/>
          </w:tcPr>
          <w:p>
            <w:pPr>
              <w:spacing w:after="0"/>
              <w:rPr>
                <w:sz w:val="21"/>
                <w:szCs w:val="21"/>
                <w:color w:val="auto"/>
              </w:rPr>
            </w:pPr>
          </w:p>
        </w:tc>
        <w:tc>
          <w:tcPr>
            <w:tcW w:w="28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(581)</w:t>
            </w:r>
          </w:p>
        </w:tc>
        <w:tc>
          <w:tcPr>
            <w:tcW w:w="2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(6,660)</w:t>
            </w:r>
          </w:p>
        </w:tc>
        <w:tc>
          <w:tcPr>
            <w:tcW w:w="220" w:type="dxa"/>
            <w:vAlign w:val="bottom"/>
            <w:shd w:val="clear" w:color="auto" w:fill="C0C0C0"/>
          </w:tcPr>
          <w:p>
            <w:pPr>
              <w:spacing w:after="0"/>
              <w:rPr>
                <w:sz w:val="21"/>
                <w:szCs w:val="21"/>
                <w:color w:val="auto"/>
              </w:rPr>
            </w:pPr>
          </w:p>
        </w:tc>
        <w:tc>
          <w:tcPr>
            <w:tcW w:w="28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(581)</w:t>
            </w:r>
          </w:p>
        </w:tc>
      </w:tr>
      <w:tr>
        <w:trPr>
          <w:trHeight w:val="237"/>
        </w:trPr>
        <w:tc>
          <w:tcPr>
            <w:tcW w:w="4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w:t>
            </w:r>
          </w:p>
        </w:tc>
      </w:tr>
      <w:tr>
        <w:trPr>
          <w:trHeight w:val="230"/>
        </w:trPr>
        <w:tc>
          <w:tcPr>
            <w:tcW w:w="4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470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(33,875)</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(1,015)</w:t>
            </w:r>
          </w:p>
        </w:tc>
        <w:tc>
          <w:tcPr>
            <w:tcW w:w="3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(89,871)</w:t>
            </w:r>
          </w:p>
        </w:tc>
        <w:tc>
          <w:tcPr>
            <w:tcW w:w="50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(31,341)</w:t>
            </w:r>
          </w:p>
        </w:tc>
      </w:tr>
      <w:tr>
        <w:trPr>
          <w:trHeight w:val="230"/>
        </w:trPr>
        <w:tc>
          <w:tcPr>
            <w:tcW w:w="4700" w:type="dxa"/>
            <w:vAlign w:val="bottom"/>
            <w:tcBorders>
              <w:top w:val="single" w:sz="8" w:color="C0C0C0"/>
            </w:tcBorders>
          </w:tcPr>
          <w:p>
            <w:pPr>
              <w:spacing w:after="0"/>
              <w:rPr>
                <w:sz w:val="19"/>
                <w:szCs w:val="19"/>
                <w:color w:val="auto"/>
              </w:rPr>
            </w:pPr>
          </w:p>
        </w:tc>
        <w:tc>
          <w:tcPr>
            <w:tcW w:w="80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43"/>
        </w:trPr>
        <w:tc>
          <w:tcPr>
            <w:tcW w:w="470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basic and diluted</w:t>
            </w:r>
          </w:p>
        </w:tc>
        <w:tc>
          <w:tcPr>
            <w:tcW w:w="9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(0.41)</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(0.01)</w:t>
            </w:r>
          </w:p>
        </w:tc>
        <w:tc>
          <w:tcPr>
            <w:tcW w:w="3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(1.10)</w:t>
            </w:r>
          </w:p>
        </w:tc>
        <w:tc>
          <w:tcPr>
            <w:tcW w:w="50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(0.39)</w:t>
            </w:r>
          </w:p>
        </w:tc>
      </w:tr>
      <w:tr>
        <w:trPr>
          <w:trHeight w:val="243"/>
        </w:trPr>
        <w:tc>
          <w:tcPr>
            <w:tcW w:w="4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470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8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81,638</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79,866</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81,433</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79,663</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STOCKHOLDERS' EQUITY (Unaudited)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2010 and 2009</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ind w:right="12"/>
              <w:spacing w:after="0"/>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2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2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3"/>
          </w:tcPr>
          <w:p>
            <w:pPr>
              <w:ind w:left="200"/>
              <w:spacing w:after="0"/>
              <w:rPr>
                <w:sz w:val="20"/>
                <w:szCs w:val="20"/>
                <w:color w:val="auto"/>
              </w:rPr>
            </w:pPr>
            <w:r>
              <w:rPr>
                <w:rFonts w:ascii="Arial" w:cs="Arial" w:eastAsia="Arial" w:hAnsi="Arial"/>
                <w:sz w:val="14"/>
                <w:szCs w:val="14"/>
                <w:b w:val="1"/>
                <w:bCs w:val="1"/>
                <w:color w:val="auto"/>
                <w:w w:val="87"/>
              </w:rPr>
              <w:t>Class A Stock</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5"/>
          </w:tcPr>
          <w:p>
            <w:pPr>
              <w:jc w:val="right"/>
              <w:ind w:right="32"/>
              <w:spacing w:after="0"/>
              <w:rPr>
                <w:sz w:val="20"/>
                <w:szCs w:val="20"/>
                <w:color w:val="auto"/>
              </w:rPr>
            </w:pPr>
            <w:r>
              <w:rPr>
                <w:rFonts w:ascii="Arial" w:cs="Arial" w:eastAsia="Arial" w:hAnsi="Arial"/>
                <w:sz w:val="14"/>
                <w:szCs w:val="14"/>
                <w:b w:val="1"/>
                <w:bCs w:val="1"/>
                <w:color w:val="auto"/>
                <w:w w:val="93"/>
              </w:rPr>
              <w:t>Common Stock</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Paid-in</w:t>
            </w:r>
          </w:p>
        </w:tc>
        <w:tc>
          <w:tcPr>
            <w:tcW w:w="80" w:type="dxa"/>
            <w:vAlign w:val="bottom"/>
          </w:tcPr>
          <w:p>
            <w:pPr>
              <w:spacing w:after="0"/>
              <w:rPr>
                <w:sz w:val="21"/>
                <w:szCs w:val="2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Stockholders'</w:t>
            </w:r>
          </w:p>
        </w:tc>
        <w:tc>
          <w:tcPr>
            <w:tcW w:w="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b w:val="1"/>
                <w:bCs w:val="1"/>
                <w:color w:val="auto"/>
                <w:w w:val="83"/>
              </w:rPr>
              <w:t>Comprehensive</w:t>
            </w:r>
          </w:p>
        </w:tc>
      </w:tr>
      <w:tr>
        <w:trPr>
          <w:trHeight w:val="41"/>
        </w:trPr>
        <w:tc>
          <w:tcPr>
            <w:tcW w:w="2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196"/>
        </w:trPr>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7"/>
                <w:szCs w:val="17"/>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6"/>
              </w:rPr>
              <w:t>Shares</w:t>
            </w:r>
          </w:p>
        </w:tc>
        <w:tc>
          <w:tcPr>
            <w:tcW w:w="100" w:type="dxa"/>
            <w:vAlign w:val="bottom"/>
          </w:tcPr>
          <w:p>
            <w:pPr>
              <w:spacing w:after="0"/>
              <w:rPr>
                <w:sz w:val="17"/>
                <w:szCs w:val="17"/>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Deficit</w:t>
            </w:r>
          </w:p>
        </w:tc>
        <w:tc>
          <w:tcPr>
            <w:tcW w:w="80" w:type="dxa"/>
            <w:vAlign w:val="bottom"/>
          </w:tcPr>
          <w:p>
            <w:pPr>
              <w:spacing w:after="0"/>
              <w:rPr>
                <w:sz w:val="17"/>
                <w:szCs w:val="17"/>
                <w:color w:val="auto"/>
              </w:rPr>
            </w:pPr>
          </w:p>
        </w:tc>
        <w:tc>
          <w:tcPr>
            <w:tcW w:w="1000" w:type="dxa"/>
            <w:vAlign w:val="bottom"/>
          </w:tcPr>
          <w:p>
            <w:pPr>
              <w:jc w:val="center"/>
              <w:ind w:right="12"/>
              <w:spacing w:after="0"/>
              <w:rPr>
                <w:sz w:val="20"/>
                <w:szCs w:val="20"/>
                <w:color w:val="auto"/>
              </w:rPr>
            </w:pPr>
            <w:r>
              <w:rPr>
                <w:rFonts w:ascii="Arial" w:cs="Arial" w:eastAsia="Arial" w:hAnsi="Arial"/>
                <w:sz w:val="14"/>
                <w:szCs w:val="14"/>
                <w:b w:val="1"/>
                <w:bCs w:val="1"/>
                <w:color w:val="auto"/>
                <w:w w:val="84"/>
              </w:rPr>
              <w:t>Income (Loss)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Equity</w:t>
            </w:r>
          </w:p>
        </w:tc>
        <w:tc>
          <w:tcPr>
            <w:tcW w:w="80" w:type="dxa"/>
            <w:vAlign w:val="bottom"/>
          </w:tcPr>
          <w:p>
            <w:pPr>
              <w:spacing w:after="0"/>
              <w:rPr>
                <w:sz w:val="17"/>
                <w:szCs w:val="17"/>
                <w:color w:val="auto"/>
              </w:rPr>
            </w:pPr>
          </w:p>
        </w:tc>
        <w:tc>
          <w:tcPr>
            <w:tcW w:w="1000" w:type="dxa"/>
            <w:vAlign w:val="bottom"/>
          </w:tcPr>
          <w:p>
            <w:pPr>
              <w:jc w:val="right"/>
              <w:ind w:right="332"/>
              <w:spacing w:after="0"/>
              <w:rPr>
                <w:sz w:val="20"/>
                <w:szCs w:val="20"/>
                <w:color w:val="auto"/>
              </w:rPr>
            </w:pPr>
            <w:r>
              <w:rPr>
                <w:rFonts w:ascii="Arial" w:cs="Arial" w:eastAsia="Arial" w:hAnsi="Arial"/>
                <w:sz w:val="14"/>
                <w:szCs w:val="14"/>
                <w:b w:val="1"/>
                <w:bCs w:val="1"/>
                <w:color w:val="auto"/>
              </w:rPr>
              <w:t>Loss</w:t>
            </w:r>
          </w:p>
        </w:tc>
      </w:tr>
      <w:tr>
        <w:trPr>
          <w:trHeight w:val="41"/>
        </w:trPr>
        <w:tc>
          <w:tcPr>
            <w:tcW w:w="2920" w:type="dxa"/>
            <w:vAlign w:val="bottom"/>
            <w:tcBorders>
              <w:bottom w:val="single" w:sz="8" w:color="C0C0C0"/>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17"/>
        </w:trPr>
        <w:tc>
          <w:tcPr>
            <w:tcW w:w="29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December 31, 2009</w:t>
            </w:r>
          </w:p>
        </w:tc>
        <w:tc>
          <w:tcPr>
            <w:tcW w:w="70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2,245</w:t>
            </w:r>
          </w:p>
        </w:tc>
        <w:tc>
          <w:tcPr>
            <w:tcW w:w="560" w:type="dxa"/>
            <w:vAlign w:val="bottom"/>
            <w:tcBorders>
              <w:bottom w:val="single" w:sz="8" w:color="C0C0C0"/>
            </w:tcBorders>
            <w:gridSpan w:val="2"/>
            <w:shd w:val="clear" w:color="auto" w:fill="C0C0C0"/>
          </w:tcPr>
          <w:p>
            <w:pPr>
              <w:ind w:lef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C0C0C0"/>
            </w:tcBorders>
            <w:shd w:val="clear" w:color="auto" w:fill="C0C0C0"/>
          </w:tcPr>
          <w:p>
            <w:pPr>
              <w:spacing w:after="0"/>
              <w:rPr>
                <w:sz w:val="18"/>
                <w:szCs w:val="18"/>
                <w:color w:val="auto"/>
              </w:rPr>
            </w:pPr>
          </w:p>
        </w:tc>
        <w:tc>
          <w:tcPr>
            <w:tcW w:w="50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4"/>
                <w:szCs w:val="14"/>
                <w:color w:val="auto"/>
                <w:w w:val="83"/>
              </w:rPr>
              <w:t>78,861</w:t>
            </w:r>
          </w:p>
        </w:tc>
        <w:tc>
          <w:tcPr>
            <w:tcW w:w="300" w:type="dxa"/>
            <w:vAlign w:val="bottom"/>
            <w:tcBorders>
              <w:bottom w:val="single" w:sz="8" w:color="C0C0C0"/>
            </w:tcBorders>
            <w:gridSpan w:val="2"/>
            <w:shd w:val="clear" w:color="auto" w:fill="C0C0C0"/>
          </w:tcPr>
          <w:p>
            <w:pPr>
              <w:ind w:left="1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79</w:t>
            </w:r>
          </w:p>
        </w:tc>
        <w:tc>
          <w:tcPr>
            <w:tcW w:w="3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3"/>
              </w:rPr>
              <w:t>1,336,732</w:t>
            </w:r>
          </w:p>
        </w:tc>
        <w:tc>
          <w:tcPr>
            <w:tcW w:w="20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(941,095)</w:t>
            </w:r>
          </w:p>
        </w:tc>
        <w:tc>
          <w:tcPr>
            <w:tcW w:w="22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0C0C0"/>
            </w:tcBorders>
            <w:shd w:val="clear" w:color="auto" w:fill="C0C0C0"/>
          </w:tcPr>
          <w:p>
            <w:pPr>
              <w:jc w:val="right"/>
              <w:ind w:right="112"/>
              <w:spacing w:after="0"/>
              <w:rPr>
                <w:sz w:val="20"/>
                <w:szCs w:val="20"/>
                <w:color w:val="auto"/>
              </w:rPr>
            </w:pPr>
            <w:r>
              <w:rPr>
                <w:rFonts w:ascii="Arial" w:cs="Arial" w:eastAsia="Arial" w:hAnsi="Arial"/>
                <w:sz w:val="14"/>
                <w:szCs w:val="14"/>
                <w:color w:val="auto"/>
              </w:rPr>
              <w:t>1,044</w:t>
            </w:r>
          </w:p>
        </w:tc>
        <w:tc>
          <w:tcPr>
            <w:tcW w:w="30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396,762</w:t>
            </w:r>
          </w:p>
        </w:tc>
        <w:tc>
          <w:tcPr>
            <w:tcW w:w="22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1000" w:type="dxa"/>
            <w:vAlign w:val="bottom"/>
            <w:tcBorders>
              <w:bottom w:val="single" w:sz="8" w:color="C0C0C0"/>
            </w:tcBorders>
            <w:shd w:val="clear" w:color="auto" w:fill="C0C0C0"/>
          </w:tcPr>
          <w:p>
            <w:pPr>
              <w:spacing w:after="0"/>
              <w:rPr>
                <w:sz w:val="18"/>
                <w:szCs w:val="18"/>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4"/>
                <w:szCs w:val="14"/>
                <w:color w:val="auto"/>
              </w:rPr>
              <w:t>Issuance of Common Stock in connection with</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3"/>
        </w:trPr>
        <w:tc>
          <w:tcPr>
            <w:tcW w:w="2920" w:type="dxa"/>
            <w:vAlign w:val="bottom"/>
          </w:tcPr>
          <w:p>
            <w:pPr>
              <w:ind w:left="240"/>
              <w:spacing w:after="0"/>
              <w:rPr>
                <w:sz w:val="20"/>
                <w:szCs w:val="20"/>
                <w:color w:val="auto"/>
              </w:rPr>
            </w:pPr>
            <w:r>
              <w:rPr>
                <w:rFonts w:ascii="Arial" w:cs="Arial" w:eastAsia="Arial" w:hAnsi="Arial"/>
                <w:sz w:val="14"/>
                <w:szCs w:val="14"/>
                <w:color w:val="auto"/>
                <w:w w:val="88"/>
              </w:rPr>
              <w:t>exercise of stock options, net of shares tendered</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13,193</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ind w:right="72"/>
              <w:spacing w:after="0"/>
              <w:rPr>
                <w:sz w:val="20"/>
                <w:szCs w:val="20"/>
                <w:color w:val="auto"/>
              </w:rPr>
            </w:pPr>
            <w:r>
              <w:rPr>
                <w:rFonts w:ascii="Arial" w:cs="Arial" w:eastAsia="Arial" w:hAnsi="Arial"/>
                <w:sz w:val="14"/>
                <w:szCs w:val="14"/>
                <w:color w:val="auto"/>
              </w:rPr>
              <w:t>13,194</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41"/>
        </w:trPr>
        <w:tc>
          <w:tcPr>
            <w:tcW w:w="2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2"/>
        </w:trPr>
        <w:tc>
          <w:tcPr>
            <w:tcW w:w="2920" w:type="dxa"/>
            <w:vAlign w:val="bottom"/>
            <w:shd w:val="clear" w:color="auto" w:fill="C0C0C0"/>
          </w:tcPr>
          <w:p>
            <w:pPr>
              <w:spacing w:after="0"/>
              <w:rPr>
                <w:sz w:val="20"/>
                <w:szCs w:val="20"/>
                <w:color w:val="auto"/>
              </w:rPr>
            </w:pPr>
            <w:r>
              <w:rPr>
                <w:rFonts w:ascii="Arial" w:cs="Arial" w:eastAsia="Arial" w:hAnsi="Arial"/>
                <w:sz w:val="14"/>
                <w:szCs w:val="14"/>
                <w:color w:val="auto"/>
              </w:rPr>
              <w:t>Issuance of Common Stock in connection with</w:t>
            </w:r>
          </w:p>
        </w:tc>
        <w:tc>
          <w:tcPr>
            <w:tcW w:w="2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0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000" w:type="dxa"/>
            <w:vAlign w:val="bottom"/>
            <w:shd w:val="clear" w:color="auto" w:fill="C0C0C0"/>
          </w:tcPr>
          <w:p>
            <w:pPr>
              <w:spacing w:after="0"/>
              <w:rPr>
                <w:sz w:val="17"/>
                <w:szCs w:val="17"/>
                <w:color w:val="auto"/>
              </w:rPr>
            </w:pPr>
          </w:p>
        </w:tc>
      </w:tr>
      <w:tr>
        <w:trPr>
          <w:trHeight w:val="264"/>
        </w:trPr>
        <w:tc>
          <w:tcPr>
            <w:tcW w:w="29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Company 401(k) Savings Plan contribution</w:t>
            </w:r>
          </w:p>
        </w:tc>
        <w:tc>
          <w:tcPr>
            <w:tcW w:w="220" w:type="dxa"/>
            <w:vAlign w:val="bottom"/>
            <w:tcBorders>
              <w:bottom w:val="single" w:sz="8" w:color="C0C0C0"/>
            </w:tcBorders>
            <w:shd w:val="clear" w:color="auto" w:fill="C0C0C0"/>
          </w:tcPr>
          <w:p>
            <w:pPr>
              <w:spacing w:after="0"/>
              <w:rPr>
                <w:sz w:val="22"/>
                <w:szCs w:val="22"/>
                <w:color w:val="auto"/>
              </w:rPr>
            </w:pPr>
          </w:p>
        </w:tc>
        <w:tc>
          <w:tcPr>
            <w:tcW w:w="48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34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50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28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2,867</w:t>
            </w:r>
          </w:p>
        </w:tc>
        <w:tc>
          <w:tcPr>
            <w:tcW w:w="20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84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100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86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2,867</w:t>
            </w:r>
          </w:p>
        </w:tc>
        <w:tc>
          <w:tcPr>
            <w:tcW w:w="22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1000" w:type="dxa"/>
            <w:vAlign w:val="bottom"/>
            <w:tcBorders>
              <w:bottom w:val="single" w:sz="8" w:color="C0C0C0"/>
            </w:tcBorders>
            <w:shd w:val="clear" w:color="auto" w:fill="C0C0C0"/>
          </w:tcPr>
          <w:p>
            <w:pPr>
              <w:spacing w:after="0"/>
              <w:rPr>
                <w:sz w:val="22"/>
                <w:szCs w:val="22"/>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4"/>
                <w:szCs w:val="14"/>
                <w:color w:val="auto"/>
              </w:rPr>
              <w:t>Issuance of restricted Common Stock under</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3"/>
        </w:trPr>
        <w:tc>
          <w:tcPr>
            <w:tcW w:w="2920" w:type="dxa"/>
            <w:vAlign w:val="bottom"/>
          </w:tcPr>
          <w:p>
            <w:pPr>
              <w:ind w:left="240"/>
              <w:spacing w:after="0"/>
              <w:rPr>
                <w:sz w:val="20"/>
                <w:szCs w:val="20"/>
                <w:color w:val="auto"/>
              </w:rPr>
            </w:pPr>
            <w:r>
              <w:rPr>
                <w:rFonts w:ascii="Arial" w:cs="Arial" w:eastAsia="Arial" w:hAnsi="Arial"/>
                <w:sz w:val="14"/>
                <w:szCs w:val="14"/>
                <w:color w:val="auto"/>
              </w:rPr>
              <w:t>Long-Term Incentive Plan</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41"/>
        </w:trPr>
        <w:tc>
          <w:tcPr>
            <w:tcW w:w="2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3"/>
        </w:trPr>
        <w:tc>
          <w:tcPr>
            <w:tcW w:w="29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w w:val="99"/>
              </w:rPr>
              <w:t>Conversion of Class A Stock to Common Stock</w:t>
            </w:r>
          </w:p>
        </w:tc>
        <w:tc>
          <w:tcPr>
            <w:tcW w:w="7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(63)</w:t>
            </w:r>
          </w:p>
        </w:tc>
        <w:tc>
          <w:tcPr>
            <w:tcW w:w="220" w:type="dxa"/>
            <w:vAlign w:val="bottom"/>
            <w:tcBorders>
              <w:bottom w:val="single" w:sz="8" w:color="C0C0C0"/>
            </w:tcBorders>
            <w:shd w:val="clear" w:color="auto" w:fill="C0C0C0"/>
          </w:tcPr>
          <w:p>
            <w:pPr>
              <w:spacing w:after="0"/>
              <w:rPr>
                <w:sz w:val="19"/>
                <w:szCs w:val="19"/>
                <w:color w:val="auto"/>
              </w:rPr>
            </w:pPr>
          </w:p>
        </w:tc>
        <w:tc>
          <w:tcPr>
            <w:tcW w:w="3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84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00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86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000" w:type="dxa"/>
            <w:vAlign w:val="bottom"/>
            <w:tcBorders>
              <w:bottom w:val="single" w:sz="8" w:color="C0C0C0"/>
            </w:tcBorders>
            <w:shd w:val="clear" w:color="auto" w:fill="C0C0C0"/>
          </w:tcPr>
          <w:p>
            <w:pPr>
              <w:spacing w:after="0"/>
              <w:rPr>
                <w:sz w:val="19"/>
                <w:szCs w:val="19"/>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26,331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72"/>
              <w:spacing w:after="0"/>
              <w:rPr>
                <w:sz w:val="20"/>
                <w:szCs w:val="20"/>
                <w:color w:val="auto"/>
              </w:rPr>
            </w:pPr>
            <w:r>
              <w:rPr>
                <w:rFonts w:ascii="Arial" w:cs="Arial" w:eastAsia="Arial" w:hAnsi="Arial"/>
                <w:sz w:val="14"/>
                <w:szCs w:val="14"/>
                <w:color w:val="auto"/>
              </w:rPr>
              <w:t>26,331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1"/>
        </w:trPr>
        <w:tc>
          <w:tcPr>
            <w:tcW w:w="2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3"/>
        </w:trPr>
        <w:tc>
          <w:tcPr>
            <w:tcW w:w="29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Net loss</w:t>
            </w:r>
          </w:p>
        </w:tc>
        <w:tc>
          <w:tcPr>
            <w:tcW w:w="220" w:type="dxa"/>
            <w:vAlign w:val="bottom"/>
            <w:tcBorders>
              <w:bottom w:val="single" w:sz="8" w:color="C0C0C0"/>
            </w:tcBorders>
            <w:shd w:val="clear" w:color="auto" w:fill="C0C0C0"/>
          </w:tcPr>
          <w:p>
            <w:pPr>
              <w:spacing w:after="0"/>
              <w:rPr>
                <w:sz w:val="19"/>
                <w:szCs w:val="19"/>
                <w:color w:val="auto"/>
              </w:rPr>
            </w:pPr>
          </w:p>
        </w:tc>
        <w:tc>
          <w:tcPr>
            <w:tcW w:w="4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3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8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(89,871)</w:t>
            </w:r>
          </w:p>
        </w:tc>
        <w:tc>
          <w:tcPr>
            <w:tcW w:w="2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00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86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(89,871)</w:t>
            </w:r>
          </w:p>
        </w:tc>
        <w:tc>
          <w:tcPr>
            <w:tcW w:w="2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(89,871)</w:t>
            </w:r>
          </w:p>
        </w:tc>
      </w:tr>
      <w:tr>
        <w:trPr>
          <w:trHeight w:val="202"/>
        </w:trPr>
        <w:tc>
          <w:tcPr>
            <w:tcW w:w="2920" w:type="dxa"/>
            <w:vAlign w:val="bottom"/>
          </w:tcPr>
          <w:p>
            <w:pPr>
              <w:spacing w:after="0"/>
              <w:rPr>
                <w:sz w:val="20"/>
                <w:szCs w:val="20"/>
                <w:color w:val="auto"/>
              </w:rPr>
            </w:pPr>
            <w:r>
              <w:rPr>
                <w:rFonts w:ascii="Arial" w:cs="Arial" w:eastAsia="Arial" w:hAnsi="Arial"/>
                <w:sz w:val="14"/>
                <w:szCs w:val="14"/>
                <w:color w:val="auto"/>
              </w:rPr>
              <w:t>Change in net unrealized gain (loss) on</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3"/>
        </w:trPr>
        <w:tc>
          <w:tcPr>
            <w:tcW w:w="2920" w:type="dxa"/>
            <w:vAlign w:val="bottom"/>
          </w:tcPr>
          <w:p>
            <w:pPr>
              <w:ind w:left="240"/>
              <w:spacing w:after="0"/>
              <w:rPr>
                <w:sz w:val="20"/>
                <w:szCs w:val="20"/>
                <w:color w:val="auto"/>
              </w:rPr>
            </w:pPr>
            <w:r>
              <w:rPr>
                <w:rFonts w:ascii="Arial" w:cs="Arial" w:eastAsia="Arial" w:hAnsi="Arial"/>
                <w:sz w:val="14"/>
                <w:szCs w:val="14"/>
                <w:color w:val="auto"/>
              </w:rPr>
              <w:t>marketable securities</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(1,219)</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(1,219)</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(1,219)</w:t>
            </w:r>
          </w:p>
        </w:tc>
      </w:tr>
      <w:tr>
        <w:trPr>
          <w:trHeight w:val="41"/>
        </w:trPr>
        <w:tc>
          <w:tcPr>
            <w:tcW w:w="2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3"/>
        </w:trPr>
        <w:tc>
          <w:tcPr>
            <w:tcW w:w="2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5"/>
        </w:trPr>
        <w:tc>
          <w:tcPr>
            <w:tcW w:w="29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September 30, 2010</w:t>
            </w:r>
          </w:p>
        </w:tc>
        <w:tc>
          <w:tcPr>
            <w:tcW w:w="70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2,182</w:t>
            </w:r>
          </w:p>
        </w:tc>
        <w:tc>
          <w:tcPr>
            <w:tcW w:w="560" w:type="dxa"/>
            <w:vAlign w:val="bottom"/>
            <w:tcBorders>
              <w:bottom w:val="single" w:sz="8" w:color="C0C0C0"/>
            </w:tcBorders>
            <w:gridSpan w:val="2"/>
            <w:shd w:val="clear" w:color="auto" w:fill="C0C0C0"/>
          </w:tcPr>
          <w:p>
            <w:pPr>
              <w:ind w:lef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C0C0C0"/>
            </w:tcBorders>
            <w:shd w:val="clear" w:color="auto" w:fill="C0C0C0"/>
          </w:tcPr>
          <w:p>
            <w:pPr>
              <w:spacing w:after="0"/>
              <w:rPr>
                <w:sz w:val="21"/>
                <w:szCs w:val="21"/>
                <w:color w:val="auto"/>
              </w:rPr>
            </w:pPr>
          </w:p>
        </w:tc>
        <w:tc>
          <w:tcPr>
            <w:tcW w:w="50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4"/>
                <w:szCs w:val="14"/>
                <w:color w:val="auto"/>
                <w:w w:val="83"/>
              </w:rPr>
              <w:t>80,043</w:t>
            </w:r>
          </w:p>
        </w:tc>
        <w:tc>
          <w:tcPr>
            <w:tcW w:w="300" w:type="dxa"/>
            <w:vAlign w:val="bottom"/>
            <w:tcBorders>
              <w:bottom w:val="single" w:sz="8" w:color="C0C0C0"/>
            </w:tcBorders>
            <w:gridSpan w:val="2"/>
            <w:shd w:val="clear" w:color="auto" w:fill="C0C0C0"/>
          </w:tcPr>
          <w:p>
            <w:pPr>
              <w:ind w:left="1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80</w:t>
            </w:r>
          </w:p>
        </w:tc>
        <w:tc>
          <w:tcPr>
            <w:tcW w:w="3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3"/>
              </w:rPr>
              <w:t>1,379,123</w:t>
            </w:r>
          </w:p>
        </w:tc>
        <w:tc>
          <w:tcPr>
            <w:tcW w:w="20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(1,030,966)</w:t>
            </w:r>
          </w:p>
        </w:tc>
        <w:tc>
          <w:tcPr>
            <w:tcW w:w="22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(175)</w:t>
            </w:r>
          </w:p>
        </w:tc>
        <w:tc>
          <w:tcPr>
            <w:tcW w:w="30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348,064</w:t>
            </w:r>
          </w:p>
        </w:tc>
        <w:tc>
          <w:tcPr>
            <w:tcW w:w="22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(91,090)</w:t>
            </w:r>
          </w:p>
        </w:tc>
      </w:tr>
      <w:tr>
        <w:trPr>
          <w:trHeight w:val="230"/>
        </w:trPr>
        <w:tc>
          <w:tcPr>
            <w:tcW w:w="2920" w:type="dxa"/>
            <w:vAlign w:val="bottom"/>
            <w:tcBorders>
              <w:top w:val="single" w:sz="8" w:color="C0C0C0"/>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Borders>
              <w:top w:val="single" w:sz="8" w:color="C0C0C0"/>
            </w:tcBorders>
          </w:tcPr>
          <w:p>
            <w:pPr>
              <w:spacing w:after="0"/>
              <w:rPr>
                <w:sz w:val="19"/>
                <w:szCs w:val="19"/>
                <w:color w:val="auto"/>
              </w:rPr>
            </w:pPr>
          </w:p>
        </w:tc>
        <w:tc>
          <w:tcPr>
            <w:tcW w:w="100" w:type="dxa"/>
            <w:vAlign w:val="bottom"/>
            <w:tcBorders>
              <w:top w:val="single" w:sz="8" w:color="C0C0C0"/>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Borders>
              <w:top w:val="single" w:sz="8" w:color="C0C0C0"/>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23"/>
        </w:trPr>
        <w:tc>
          <w:tcPr>
            <w:tcW w:w="29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December 31, 2008</w:t>
            </w:r>
          </w:p>
        </w:tc>
        <w:tc>
          <w:tcPr>
            <w:tcW w:w="70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2,249</w:t>
            </w:r>
          </w:p>
        </w:tc>
        <w:tc>
          <w:tcPr>
            <w:tcW w:w="560" w:type="dxa"/>
            <w:vAlign w:val="bottom"/>
            <w:tcBorders>
              <w:bottom w:val="single" w:sz="8" w:color="C0C0C0"/>
            </w:tcBorders>
            <w:gridSpan w:val="2"/>
            <w:shd w:val="clear" w:color="auto" w:fill="C0C0C0"/>
          </w:tcPr>
          <w:p>
            <w:pPr>
              <w:ind w:lef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4"/>
                <w:szCs w:val="14"/>
                <w:color w:val="auto"/>
                <w:w w:val="83"/>
              </w:rPr>
              <w:t>77,642</w:t>
            </w:r>
          </w:p>
        </w:tc>
        <w:tc>
          <w:tcPr>
            <w:tcW w:w="300" w:type="dxa"/>
            <w:vAlign w:val="bottom"/>
            <w:tcBorders>
              <w:bottom w:val="single" w:sz="8" w:color="C0C0C0"/>
            </w:tcBorders>
            <w:gridSpan w:val="2"/>
            <w:shd w:val="clear" w:color="auto" w:fill="C0C0C0"/>
          </w:tcPr>
          <w:p>
            <w:pPr>
              <w:ind w:left="1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78</w:t>
            </w:r>
          </w:p>
        </w:tc>
        <w:tc>
          <w:tcPr>
            <w:tcW w:w="3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3"/>
              </w:rPr>
              <w:t>1,294,813</w:t>
            </w:r>
          </w:p>
        </w:tc>
        <w:tc>
          <w:tcPr>
            <w:tcW w:w="2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(873,265)</w:t>
            </w:r>
          </w:p>
        </w:tc>
        <w:tc>
          <w:tcPr>
            <w:tcW w:w="2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(114)</w:t>
            </w:r>
          </w:p>
        </w:tc>
        <w:tc>
          <w:tcPr>
            <w:tcW w:w="30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421,514</w:t>
            </w:r>
          </w:p>
        </w:tc>
        <w:tc>
          <w:tcPr>
            <w:tcW w:w="2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000" w:type="dxa"/>
            <w:vAlign w:val="bottom"/>
            <w:tcBorders>
              <w:bottom w:val="single" w:sz="8" w:color="C0C0C0"/>
            </w:tcBorders>
            <w:shd w:val="clear" w:color="auto" w:fill="C0C0C0"/>
          </w:tcPr>
          <w:p>
            <w:pPr>
              <w:spacing w:after="0"/>
              <w:rPr>
                <w:sz w:val="19"/>
                <w:szCs w:val="19"/>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4"/>
                <w:szCs w:val="14"/>
                <w:color w:val="auto"/>
              </w:rPr>
              <w:t>Issuance of Common Stock in connection with</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3"/>
        </w:trPr>
        <w:tc>
          <w:tcPr>
            <w:tcW w:w="2920" w:type="dxa"/>
            <w:vAlign w:val="bottom"/>
          </w:tcPr>
          <w:p>
            <w:pPr>
              <w:ind w:left="240"/>
              <w:spacing w:after="0"/>
              <w:rPr>
                <w:sz w:val="20"/>
                <w:szCs w:val="20"/>
                <w:color w:val="auto"/>
              </w:rPr>
            </w:pPr>
            <w:r>
              <w:rPr>
                <w:rFonts w:ascii="Arial" w:cs="Arial" w:eastAsia="Arial" w:hAnsi="Arial"/>
                <w:sz w:val="14"/>
                <w:szCs w:val="14"/>
                <w:color w:val="auto"/>
                <w:w w:val="88"/>
              </w:rPr>
              <w:t>exercise of stock options, net of shares tendered</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4,626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ind w:right="72"/>
              <w:spacing w:after="0"/>
              <w:rPr>
                <w:sz w:val="20"/>
                <w:szCs w:val="20"/>
                <w:color w:val="auto"/>
              </w:rPr>
            </w:pPr>
            <w:r>
              <w:rPr>
                <w:rFonts w:ascii="Arial" w:cs="Arial" w:eastAsia="Arial" w:hAnsi="Arial"/>
                <w:sz w:val="14"/>
                <w:szCs w:val="14"/>
                <w:color w:val="auto"/>
              </w:rPr>
              <w:t>4,626</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41"/>
        </w:trPr>
        <w:tc>
          <w:tcPr>
            <w:tcW w:w="2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2"/>
        </w:trPr>
        <w:tc>
          <w:tcPr>
            <w:tcW w:w="2920" w:type="dxa"/>
            <w:vAlign w:val="bottom"/>
            <w:shd w:val="clear" w:color="auto" w:fill="C0C0C0"/>
          </w:tcPr>
          <w:p>
            <w:pPr>
              <w:spacing w:after="0"/>
              <w:rPr>
                <w:sz w:val="20"/>
                <w:szCs w:val="20"/>
                <w:color w:val="auto"/>
              </w:rPr>
            </w:pPr>
            <w:r>
              <w:rPr>
                <w:rFonts w:ascii="Arial" w:cs="Arial" w:eastAsia="Arial" w:hAnsi="Arial"/>
                <w:sz w:val="14"/>
                <w:szCs w:val="14"/>
                <w:color w:val="auto"/>
              </w:rPr>
              <w:t>Issuance of Common Stock in connection with</w:t>
            </w:r>
          </w:p>
        </w:tc>
        <w:tc>
          <w:tcPr>
            <w:tcW w:w="2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0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000" w:type="dxa"/>
            <w:vAlign w:val="bottom"/>
            <w:shd w:val="clear" w:color="auto" w:fill="C0C0C0"/>
          </w:tcPr>
          <w:p>
            <w:pPr>
              <w:spacing w:after="0"/>
              <w:rPr>
                <w:sz w:val="17"/>
                <w:szCs w:val="17"/>
                <w:color w:val="auto"/>
              </w:rPr>
            </w:pPr>
          </w:p>
        </w:tc>
      </w:tr>
      <w:tr>
        <w:trPr>
          <w:trHeight w:val="264"/>
        </w:trPr>
        <w:tc>
          <w:tcPr>
            <w:tcW w:w="29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Company 401(k) Savings Plan contribution</w:t>
            </w:r>
          </w:p>
        </w:tc>
        <w:tc>
          <w:tcPr>
            <w:tcW w:w="220" w:type="dxa"/>
            <w:vAlign w:val="bottom"/>
            <w:tcBorders>
              <w:bottom w:val="single" w:sz="8" w:color="C0C0C0"/>
            </w:tcBorders>
            <w:shd w:val="clear" w:color="auto" w:fill="C0C0C0"/>
          </w:tcPr>
          <w:p>
            <w:pPr>
              <w:spacing w:after="0"/>
              <w:rPr>
                <w:sz w:val="22"/>
                <w:szCs w:val="22"/>
                <w:color w:val="auto"/>
              </w:rPr>
            </w:pPr>
          </w:p>
        </w:tc>
        <w:tc>
          <w:tcPr>
            <w:tcW w:w="48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34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50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28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1,391</w:t>
            </w:r>
          </w:p>
        </w:tc>
        <w:tc>
          <w:tcPr>
            <w:tcW w:w="20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84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100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86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1,391</w:t>
            </w:r>
          </w:p>
        </w:tc>
        <w:tc>
          <w:tcPr>
            <w:tcW w:w="22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1000" w:type="dxa"/>
            <w:vAlign w:val="bottom"/>
            <w:tcBorders>
              <w:bottom w:val="single" w:sz="8" w:color="C0C0C0"/>
            </w:tcBorders>
            <w:shd w:val="clear" w:color="auto" w:fill="C0C0C0"/>
          </w:tcPr>
          <w:p>
            <w:pPr>
              <w:spacing w:after="0"/>
              <w:rPr>
                <w:sz w:val="22"/>
                <w:szCs w:val="22"/>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4"/>
                <w:szCs w:val="14"/>
                <w:color w:val="auto"/>
                <w:w w:val="99"/>
              </w:rPr>
              <w:t>Conversion of Class A Stock to Common Stock</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1"/>
        </w:trPr>
        <w:tc>
          <w:tcPr>
            <w:tcW w:w="2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3"/>
        </w:trPr>
        <w:tc>
          <w:tcPr>
            <w:tcW w:w="29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Stock-based compensation expense</w:t>
            </w:r>
          </w:p>
        </w:tc>
        <w:tc>
          <w:tcPr>
            <w:tcW w:w="220" w:type="dxa"/>
            <w:vAlign w:val="bottom"/>
            <w:tcBorders>
              <w:bottom w:val="single" w:sz="8" w:color="C0C0C0"/>
            </w:tcBorders>
            <w:shd w:val="clear" w:color="auto" w:fill="C0C0C0"/>
          </w:tcPr>
          <w:p>
            <w:pPr>
              <w:spacing w:after="0"/>
              <w:rPr>
                <w:sz w:val="19"/>
                <w:szCs w:val="19"/>
                <w:color w:val="auto"/>
              </w:rPr>
            </w:pPr>
          </w:p>
        </w:tc>
        <w:tc>
          <w:tcPr>
            <w:tcW w:w="4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3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22,602</w:t>
            </w:r>
          </w:p>
        </w:tc>
        <w:tc>
          <w:tcPr>
            <w:tcW w:w="2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84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00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86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22,602</w:t>
            </w:r>
          </w:p>
        </w:tc>
        <w:tc>
          <w:tcPr>
            <w:tcW w:w="2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000" w:type="dxa"/>
            <w:vAlign w:val="bottom"/>
            <w:tcBorders>
              <w:bottom w:val="single" w:sz="8" w:color="C0C0C0"/>
            </w:tcBorders>
            <w:shd w:val="clear" w:color="auto" w:fill="C0C0C0"/>
          </w:tcPr>
          <w:p>
            <w:pPr>
              <w:spacing w:after="0"/>
              <w:rPr>
                <w:sz w:val="19"/>
                <w:szCs w:val="19"/>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4"/>
                <w:szCs w:val="14"/>
                <w:color w:val="auto"/>
              </w:rPr>
              <w:t>Net loss</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(31,341)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(31,341)</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(31,341)</w:t>
            </w:r>
          </w:p>
        </w:tc>
      </w:tr>
      <w:tr>
        <w:trPr>
          <w:trHeight w:val="41"/>
        </w:trPr>
        <w:tc>
          <w:tcPr>
            <w:tcW w:w="2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2"/>
        </w:trPr>
        <w:tc>
          <w:tcPr>
            <w:tcW w:w="2920" w:type="dxa"/>
            <w:vAlign w:val="bottom"/>
            <w:shd w:val="clear" w:color="auto" w:fill="C0C0C0"/>
          </w:tcPr>
          <w:p>
            <w:pPr>
              <w:spacing w:after="0"/>
              <w:rPr>
                <w:sz w:val="20"/>
                <w:szCs w:val="20"/>
                <w:color w:val="auto"/>
              </w:rPr>
            </w:pPr>
            <w:r>
              <w:rPr>
                <w:rFonts w:ascii="Arial" w:cs="Arial" w:eastAsia="Arial" w:hAnsi="Arial"/>
                <w:sz w:val="14"/>
                <w:szCs w:val="14"/>
                <w:color w:val="auto"/>
              </w:rPr>
              <w:t>Change in net unrealized gain (loss) on</w:t>
            </w:r>
          </w:p>
        </w:tc>
        <w:tc>
          <w:tcPr>
            <w:tcW w:w="2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0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000" w:type="dxa"/>
            <w:vAlign w:val="bottom"/>
            <w:shd w:val="clear" w:color="auto" w:fill="C0C0C0"/>
          </w:tcPr>
          <w:p>
            <w:pPr>
              <w:spacing w:after="0"/>
              <w:rPr>
                <w:sz w:val="17"/>
                <w:szCs w:val="17"/>
                <w:color w:val="auto"/>
              </w:rPr>
            </w:pPr>
          </w:p>
        </w:tc>
      </w:tr>
      <w:tr>
        <w:trPr>
          <w:trHeight w:val="284"/>
        </w:trPr>
        <w:tc>
          <w:tcPr>
            <w:tcW w:w="29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marketable securities</w:t>
            </w:r>
          </w:p>
        </w:tc>
        <w:tc>
          <w:tcPr>
            <w:tcW w:w="220" w:type="dxa"/>
            <w:vAlign w:val="bottom"/>
            <w:tcBorders>
              <w:bottom w:val="single" w:sz="8" w:color="C0C0C0"/>
            </w:tcBorders>
            <w:shd w:val="clear" w:color="auto" w:fill="C0C0C0"/>
          </w:tcPr>
          <w:p>
            <w:pPr>
              <w:spacing w:after="0"/>
              <w:rPr>
                <w:sz w:val="24"/>
                <w:szCs w:val="24"/>
                <w:color w:val="auto"/>
              </w:rPr>
            </w:pPr>
          </w:p>
        </w:tc>
        <w:tc>
          <w:tcPr>
            <w:tcW w:w="480" w:type="dxa"/>
            <w:vAlign w:val="bottom"/>
            <w:tcBorders>
              <w:bottom w:val="single" w:sz="8" w:color="C0C0C0"/>
            </w:tcBorders>
            <w:shd w:val="clear" w:color="auto" w:fill="C0C0C0"/>
          </w:tcPr>
          <w:p>
            <w:pPr>
              <w:spacing w:after="0"/>
              <w:rPr>
                <w:sz w:val="24"/>
                <w:szCs w:val="24"/>
                <w:color w:val="auto"/>
              </w:rPr>
            </w:pPr>
          </w:p>
        </w:tc>
        <w:tc>
          <w:tcPr>
            <w:tcW w:w="220" w:type="dxa"/>
            <w:vAlign w:val="bottom"/>
            <w:tcBorders>
              <w:bottom w:val="single" w:sz="8" w:color="C0C0C0"/>
            </w:tcBorders>
            <w:shd w:val="clear" w:color="auto" w:fill="C0C0C0"/>
          </w:tcPr>
          <w:p>
            <w:pPr>
              <w:spacing w:after="0"/>
              <w:rPr>
                <w:sz w:val="24"/>
                <w:szCs w:val="24"/>
                <w:color w:val="auto"/>
              </w:rPr>
            </w:pPr>
          </w:p>
        </w:tc>
        <w:tc>
          <w:tcPr>
            <w:tcW w:w="34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220" w:type="dxa"/>
            <w:vAlign w:val="bottom"/>
            <w:tcBorders>
              <w:bottom w:val="single" w:sz="8" w:color="C0C0C0"/>
            </w:tcBorders>
            <w:shd w:val="clear" w:color="auto" w:fill="C0C0C0"/>
          </w:tcPr>
          <w:p>
            <w:pPr>
              <w:spacing w:after="0"/>
              <w:rPr>
                <w:sz w:val="24"/>
                <w:szCs w:val="24"/>
                <w:color w:val="auto"/>
              </w:rPr>
            </w:pPr>
          </w:p>
        </w:tc>
        <w:tc>
          <w:tcPr>
            <w:tcW w:w="38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200" w:type="dxa"/>
            <w:vAlign w:val="bottom"/>
            <w:tcBorders>
              <w:bottom w:val="single" w:sz="8" w:color="C0C0C0"/>
            </w:tcBorders>
            <w:shd w:val="clear" w:color="auto" w:fill="C0C0C0"/>
          </w:tcPr>
          <w:p>
            <w:pPr>
              <w:spacing w:after="0"/>
              <w:rPr>
                <w:sz w:val="24"/>
                <w:szCs w:val="24"/>
                <w:color w:val="auto"/>
              </w:rPr>
            </w:pPr>
          </w:p>
        </w:tc>
        <w:tc>
          <w:tcPr>
            <w:tcW w:w="280" w:type="dxa"/>
            <w:vAlign w:val="bottom"/>
            <w:tcBorders>
              <w:bottom w:val="single" w:sz="8" w:color="C0C0C0"/>
            </w:tcBorders>
            <w:shd w:val="clear" w:color="auto" w:fill="C0C0C0"/>
          </w:tcPr>
          <w:p>
            <w:pPr>
              <w:spacing w:after="0"/>
              <w:rPr>
                <w:sz w:val="24"/>
                <w:szCs w:val="24"/>
                <w:color w:val="auto"/>
              </w:rPr>
            </w:pPr>
          </w:p>
        </w:tc>
        <w:tc>
          <w:tcPr>
            <w:tcW w:w="22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600" w:type="dxa"/>
            <w:vAlign w:val="bottom"/>
            <w:tcBorders>
              <w:bottom w:val="single" w:sz="8" w:color="C0C0C0"/>
            </w:tcBorders>
            <w:shd w:val="clear" w:color="auto" w:fill="C0C0C0"/>
          </w:tcPr>
          <w:p>
            <w:pPr>
              <w:spacing w:after="0"/>
              <w:rPr>
                <w:sz w:val="24"/>
                <w:szCs w:val="24"/>
                <w:color w:val="auto"/>
              </w:rPr>
            </w:pPr>
          </w:p>
        </w:tc>
        <w:tc>
          <w:tcPr>
            <w:tcW w:w="20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840" w:type="dxa"/>
            <w:vAlign w:val="bottom"/>
            <w:tcBorders>
              <w:bottom w:val="single" w:sz="8" w:color="C0C0C0"/>
            </w:tcBorders>
            <w:shd w:val="clear" w:color="auto" w:fill="C0C0C0"/>
          </w:tcPr>
          <w:p>
            <w:pPr>
              <w:spacing w:after="0"/>
              <w:rPr>
                <w:sz w:val="24"/>
                <w:szCs w:val="24"/>
                <w:color w:val="auto"/>
              </w:rPr>
            </w:pPr>
          </w:p>
        </w:tc>
        <w:tc>
          <w:tcPr>
            <w:tcW w:w="22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1000" w:type="dxa"/>
            <w:vAlign w:val="bottom"/>
            <w:tcBorders>
              <w:bottom w:val="single" w:sz="8" w:color="C0C0C0"/>
            </w:tcBorders>
            <w:shd w:val="clear" w:color="auto" w:fill="C0C0C0"/>
          </w:tcPr>
          <w:p>
            <w:pPr>
              <w:jc w:val="right"/>
              <w:ind w:right="112"/>
              <w:spacing w:after="0"/>
              <w:rPr>
                <w:sz w:val="20"/>
                <w:szCs w:val="20"/>
                <w:color w:val="auto"/>
              </w:rPr>
            </w:pPr>
            <w:r>
              <w:rPr>
                <w:rFonts w:ascii="Arial" w:cs="Arial" w:eastAsia="Arial" w:hAnsi="Arial"/>
                <w:sz w:val="14"/>
                <w:szCs w:val="14"/>
                <w:color w:val="auto"/>
              </w:rPr>
              <w:t>3,651</w:t>
            </w:r>
          </w:p>
        </w:tc>
        <w:tc>
          <w:tcPr>
            <w:tcW w:w="22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86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3,651</w:t>
            </w:r>
          </w:p>
        </w:tc>
        <w:tc>
          <w:tcPr>
            <w:tcW w:w="22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1000" w:type="dxa"/>
            <w:vAlign w:val="bottom"/>
            <w:tcBorders>
              <w:bottom w:val="single" w:sz="8" w:color="C0C0C0"/>
            </w:tcBorders>
            <w:shd w:val="clear" w:color="auto" w:fill="C0C0C0"/>
          </w:tcPr>
          <w:p>
            <w:pPr>
              <w:jc w:val="right"/>
              <w:ind w:right="112"/>
              <w:spacing w:after="0"/>
              <w:rPr>
                <w:sz w:val="20"/>
                <w:szCs w:val="20"/>
                <w:color w:val="auto"/>
              </w:rPr>
            </w:pPr>
            <w:r>
              <w:rPr>
                <w:rFonts w:ascii="Arial" w:cs="Arial" w:eastAsia="Arial" w:hAnsi="Arial"/>
                <w:sz w:val="14"/>
                <w:szCs w:val="14"/>
                <w:color w:val="auto"/>
              </w:rPr>
              <w:t>3,651</w:t>
            </w:r>
          </w:p>
        </w:tc>
      </w:tr>
      <w:tr>
        <w:trPr>
          <w:trHeight w:val="223"/>
        </w:trPr>
        <w:tc>
          <w:tcPr>
            <w:tcW w:w="2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23"/>
        </w:trPr>
        <w:tc>
          <w:tcPr>
            <w:tcW w:w="29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September 30, 2009</w:t>
            </w:r>
          </w:p>
        </w:tc>
        <w:tc>
          <w:tcPr>
            <w:tcW w:w="220" w:type="dxa"/>
            <w:vAlign w:val="bottom"/>
            <w:tcBorders>
              <w:bottom w:val="single" w:sz="8" w:color="C0C0C0"/>
            </w:tcBorders>
            <w:shd w:val="clear" w:color="auto" w:fill="C0C0C0"/>
          </w:tcPr>
          <w:p>
            <w:pPr>
              <w:spacing w:after="0"/>
              <w:rPr>
                <w:sz w:val="19"/>
                <w:szCs w:val="19"/>
                <w:color w:val="auto"/>
              </w:rPr>
            </w:pPr>
          </w:p>
        </w:tc>
        <w:tc>
          <w:tcPr>
            <w:tcW w:w="4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2,247</w:t>
            </w:r>
          </w:p>
        </w:tc>
        <w:tc>
          <w:tcPr>
            <w:tcW w:w="560" w:type="dxa"/>
            <w:vAlign w:val="bottom"/>
            <w:tcBorders>
              <w:bottom w:val="single" w:sz="8" w:color="C0C0C0"/>
            </w:tcBorders>
            <w:gridSpan w:val="2"/>
            <w:shd w:val="clear" w:color="auto" w:fill="C0C0C0"/>
          </w:tcPr>
          <w:p>
            <w:pPr>
              <w:ind w:lef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4"/>
                <w:szCs w:val="14"/>
                <w:color w:val="auto"/>
                <w:w w:val="83"/>
              </w:rPr>
              <w:t>78,243</w:t>
            </w:r>
          </w:p>
        </w:tc>
        <w:tc>
          <w:tcPr>
            <w:tcW w:w="300" w:type="dxa"/>
            <w:vAlign w:val="bottom"/>
            <w:tcBorders>
              <w:bottom w:val="single" w:sz="8" w:color="C0C0C0"/>
            </w:tcBorders>
            <w:gridSpan w:val="2"/>
            <w:shd w:val="clear" w:color="auto" w:fill="C0C0C0"/>
          </w:tcPr>
          <w:p>
            <w:pPr>
              <w:ind w:left="1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78</w:t>
            </w:r>
          </w:p>
        </w:tc>
        <w:tc>
          <w:tcPr>
            <w:tcW w:w="3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3"/>
              </w:rPr>
              <w:t>1,323,432</w:t>
            </w:r>
          </w:p>
        </w:tc>
        <w:tc>
          <w:tcPr>
            <w:tcW w:w="2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(904,606)</w:t>
            </w:r>
          </w:p>
        </w:tc>
        <w:tc>
          <w:tcPr>
            <w:tcW w:w="2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0C0C0"/>
            </w:tcBorders>
            <w:shd w:val="clear" w:color="auto" w:fill="C0C0C0"/>
          </w:tcPr>
          <w:p>
            <w:pPr>
              <w:jc w:val="right"/>
              <w:ind w:right="112"/>
              <w:spacing w:after="0"/>
              <w:rPr>
                <w:sz w:val="20"/>
                <w:szCs w:val="20"/>
                <w:color w:val="auto"/>
              </w:rPr>
            </w:pPr>
            <w:r>
              <w:rPr>
                <w:rFonts w:ascii="Arial" w:cs="Arial" w:eastAsia="Arial" w:hAnsi="Arial"/>
                <w:sz w:val="14"/>
                <w:szCs w:val="14"/>
                <w:color w:val="auto"/>
              </w:rPr>
              <w:t>3,537</w:t>
            </w:r>
          </w:p>
        </w:tc>
        <w:tc>
          <w:tcPr>
            <w:tcW w:w="30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422,443</w:t>
            </w:r>
          </w:p>
        </w:tc>
        <w:tc>
          <w:tcPr>
            <w:tcW w:w="2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(27,690)</w:t>
            </w:r>
          </w:p>
        </w:tc>
      </w:tr>
      <w:tr>
        <w:trPr>
          <w:trHeight w:val="27"/>
        </w:trPr>
        <w:tc>
          <w:tcPr>
            <w:tcW w:w="292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60" w:type="dxa"/>
            <w:vAlign w:val="bottom"/>
            <w:gridSpan w:val="4"/>
          </w:tcPr>
          <w:p>
            <w:pPr>
              <w:jc w:val="right"/>
              <w:ind w:right="72"/>
              <w:spacing w:after="0"/>
              <w:rPr>
                <w:sz w:val="20"/>
                <w:szCs w:val="20"/>
                <w:color w:val="auto"/>
              </w:rPr>
            </w:pPr>
            <w:r>
              <w:rPr>
                <w:rFonts w:ascii="Arial" w:cs="Arial" w:eastAsia="Arial" w:hAnsi="Arial"/>
                <w:sz w:val="18"/>
                <w:szCs w:val="18"/>
                <w:b w:val="1"/>
                <w:bCs w:val="1"/>
                <w:color w:val="auto"/>
                <w:w w:val="87"/>
              </w:rPr>
              <w:t>Nine months ended September 30,</w:t>
            </w:r>
          </w:p>
        </w:tc>
      </w:tr>
      <w:tr>
        <w:trPr>
          <w:trHeight w:val="252"/>
        </w:trPr>
        <w:tc>
          <w:tcPr>
            <w:tcW w:w="832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C0C0C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2009</w:t>
            </w:r>
          </w:p>
        </w:tc>
      </w:tr>
      <w:tr>
        <w:trPr>
          <w:trHeight w:val="243"/>
        </w:trPr>
        <w:tc>
          <w:tcPr>
            <w:tcW w:w="832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r>
      <w:tr>
        <w:trPr>
          <w:trHeight w:val="237"/>
        </w:trPr>
        <w:tc>
          <w:tcPr>
            <w:tcW w:w="8320" w:type="dxa"/>
            <w:vAlign w:val="bottom"/>
          </w:tcPr>
          <w:p>
            <w:pPr>
              <w:ind w:left="320"/>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(89,871)</w:t>
            </w:r>
          </w:p>
        </w:tc>
        <w:tc>
          <w:tcPr>
            <w:tcW w:w="22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(31,341)</w:t>
            </w:r>
          </w:p>
        </w:tc>
      </w:tr>
      <w:tr>
        <w:trPr>
          <w:trHeight w:val="228"/>
        </w:trPr>
        <w:tc>
          <w:tcPr>
            <w:tcW w:w="8320" w:type="dxa"/>
            <w:vAlign w:val="bottom"/>
            <w:tcBorders>
              <w:top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Adjustments to reconcile net loss to net cash</w:t>
            </w:r>
          </w:p>
        </w:tc>
        <w:tc>
          <w:tcPr>
            <w:tcW w:w="200" w:type="dxa"/>
            <w:vAlign w:val="bottom"/>
            <w:tcBorders>
              <w:top w:val="single" w:sz="8" w:color="C0C0C0"/>
            </w:tcBorders>
            <w:shd w:val="clear" w:color="auto" w:fill="C0C0C0"/>
          </w:tcPr>
          <w:p>
            <w:pPr>
              <w:spacing w:after="0"/>
              <w:rPr>
                <w:sz w:val="19"/>
                <w:szCs w:val="19"/>
                <w:color w:val="auto"/>
              </w:rPr>
            </w:pPr>
          </w:p>
        </w:tc>
        <w:tc>
          <w:tcPr>
            <w:tcW w:w="140" w:type="dxa"/>
            <w:vAlign w:val="bottom"/>
            <w:tcBorders>
              <w:top w:val="single" w:sz="8" w:color="auto"/>
            </w:tcBorders>
            <w:shd w:val="clear" w:color="auto" w:fill="C0C0C0"/>
          </w:tcPr>
          <w:p>
            <w:pPr>
              <w:spacing w:after="0"/>
              <w:rPr>
                <w:sz w:val="19"/>
                <w:szCs w:val="19"/>
                <w:color w:val="auto"/>
              </w:rPr>
            </w:pPr>
          </w:p>
        </w:tc>
        <w:tc>
          <w:tcPr>
            <w:tcW w:w="1200" w:type="dxa"/>
            <w:vAlign w:val="bottom"/>
            <w:tcBorders>
              <w:top w:val="single" w:sz="8" w:color="auto"/>
            </w:tcBorders>
            <w:shd w:val="clear" w:color="auto" w:fill="C0C0C0"/>
          </w:tcPr>
          <w:p>
            <w:pPr>
              <w:spacing w:after="0"/>
              <w:rPr>
                <w:sz w:val="19"/>
                <w:szCs w:val="19"/>
                <w:color w:val="auto"/>
              </w:rPr>
            </w:pPr>
          </w:p>
        </w:tc>
        <w:tc>
          <w:tcPr>
            <w:tcW w:w="220" w:type="dxa"/>
            <w:vAlign w:val="bottom"/>
            <w:tcBorders>
              <w:top w:val="single" w:sz="8" w:color="C0C0C0"/>
            </w:tcBorders>
            <w:shd w:val="clear" w:color="auto" w:fill="C0C0C0"/>
          </w:tcPr>
          <w:p>
            <w:pPr>
              <w:spacing w:after="0"/>
              <w:rPr>
                <w:sz w:val="19"/>
                <w:szCs w:val="19"/>
                <w:color w:val="auto"/>
              </w:rPr>
            </w:pPr>
          </w:p>
        </w:tc>
        <w:tc>
          <w:tcPr>
            <w:tcW w:w="300" w:type="dxa"/>
            <w:vAlign w:val="bottom"/>
            <w:tcBorders>
              <w:top w:val="single" w:sz="8" w:color="auto"/>
            </w:tcBorders>
            <w:shd w:val="clear" w:color="auto" w:fill="C0C0C0"/>
          </w:tcPr>
          <w:p>
            <w:pPr>
              <w:spacing w:after="0"/>
              <w:rPr>
                <w:sz w:val="19"/>
                <w:szCs w:val="19"/>
                <w:color w:val="auto"/>
              </w:rPr>
            </w:pPr>
          </w:p>
        </w:tc>
        <w:tc>
          <w:tcPr>
            <w:tcW w:w="1040" w:type="dxa"/>
            <w:vAlign w:val="bottom"/>
            <w:tcBorders>
              <w:top w:val="single" w:sz="8" w:color="auto"/>
            </w:tcBorders>
            <w:shd w:val="clear" w:color="auto" w:fill="C0C0C0"/>
          </w:tcPr>
          <w:p>
            <w:pPr>
              <w:spacing w:after="0"/>
              <w:rPr>
                <w:sz w:val="19"/>
                <w:szCs w:val="19"/>
                <w:color w:val="auto"/>
              </w:rPr>
            </w:pPr>
          </w:p>
        </w:tc>
      </w:tr>
      <w:tr>
        <w:trPr>
          <w:trHeight w:val="259"/>
        </w:trPr>
        <w:tc>
          <w:tcPr>
            <w:tcW w:w="8320" w:type="dxa"/>
            <w:vAlign w:val="bottom"/>
            <w:shd w:val="clear" w:color="auto" w:fill="C0C0C0"/>
          </w:tcPr>
          <w:p>
            <w:pPr>
              <w:ind w:left="620"/>
              <w:spacing w:after="0"/>
              <w:rPr>
                <w:sz w:val="20"/>
                <w:szCs w:val="20"/>
                <w:color w:val="auto"/>
              </w:rPr>
            </w:pPr>
            <w:r>
              <w:rPr>
                <w:rFonts w:ascii="Arial" w:cs="Arial" w:eastAsia="Arial" w:hAnsi="Arial"/>
                <w:sz w:val="18"/>
                <w:szCs w:val="18"/>
                <w:color w:val="auto"/>
              </w:rPr>
              <w:t>provided by (used in) operating activities</w:t>
            </w:r>
          </w:p>
        </w:tc>
        <w:tc>
          <w:tcPr>
            <w:tcW w:w="2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20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300" w:type="dxa"/>
            <w:vAlign w:val="bottom"/>
            <w:shd w:val="clear" w:color="auto" w:fill="C0C0C0"/>
          </w:tcPr>
          <w:p>
            <w:pPr>
              <w:spacing w:after="0"/>
              <w:rPr>
                <w:sz w:val="22"/>
                <w:szCs w:val="22"/>
                <w:color w:val="auto"/>
              </w:rPr>
            </w:pPr>
          </w:p>
        </w:tc>
        <w:tc>
          <w:tcPr>
            <w:tcW w:w="1040" w:type="dxa"/>
            <w:vAlign w:val="bottom"/>
            <w:shd w:val="clear" w:color="auto" w:fill="C0C0C0"/>
          </w:tcPr>
          <w:p>
            <w:pPr>
              <w:spacing w:after="0"/>
              <w:rPr>
                <w:sz w:val="22"/>
                <w:szCs w:val="22"/>
                <w:color w:val="auto"/>
              </w:rPr>
            </w:pPr>
          </w:p>
        </w:tc>
      </w:tr>
      <w:tr>
        <w:trPr>
          <w:trHeight w:val="235"/>
        </w:trPr>
        <w:tc>
          <w:tcPr>
            <w:tcW w:w="8320" w:type="dxa"/>
            <w:vAlign w:val="bottom"/>
          </w:tcPr>
          <w:p>
            <w:pPr>
              <w:ind w:left="6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13,601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9,312</w:t>
            </w:r>
          </w:p>
        </w:tc>
      </w:tr>
      <w:tr>
        <w:trPr>
          <w:trHeight w:val="251"/>
        </w:trPr>
        <w:tc>
          <w:tcPr>
            <w:tcW w:w="8320" w:type="dxa"/>
            <w:vAlign w:val="bottom"/>
            <w:shd w:val="clear" w:color="auto" w:fill="C0C0C0"/>
          </w:tcPr>
          <w:p>
            <w:pPr>
              <w:ind w:left="620"/>
              <w:spacing w:after="0"/>
              <w:rPr>
                <w:sz w:val="20"/>
                <w:szCs w:val="20"/>
                <w:color w:val="auto"/>
              </w:rPr>
            </w:pPr>
            <w:r>
              <w:rPr>
                <w:rFonts w:ascii="Arial" w:cs="Arial" w:eastAsia="Arial" w:hAnsi="Arial"/>
                <w:sz w:val="18"/>
                <w:szCs w:val="18"/>
                <w:color w:val="auto"/>
              </w:rPr>
              <w:t>Non-cash compensation expense</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26,331</w:t>
            </w: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22,602</w:t>
            </w:r>
          </w:p>
        </w:tc>
      </w:tr>
      <w:tr>
        <w:trPr>
          <w:trHeight w:val="235"/>
        </w:trPr>
        <w:tc>
          <w:tcPr>
            <w:tcW w:w="8320" w:type="dxa"/>
            <w:vAlign w:val="bottom"/>
          </w:tcPr>
          <w:p>
            <w:pPr>
              <w:ind w:left="620"/>
              <w:spacing w:after="0"/>
              <w:rPr>
                <w:sz w:val="20"/>
                <w:szCs w:val="20"/>
                <w:color w:val="auto"/>
              </w:rPr>
            </w:pPr>
            <w:r>
              <w:rPr>
                <w:rFonts w:ascii="Arial" w:cs="Arial" w:eastAsia="Arial" w:hAnsi="Arial"/>
                <w:sz w:val="18"/>
                <w:szCs w:val="18"/>
                <w:color w:val="auto"/>
              </w:rPr>
              <w:t>Net realized loss (gain) on marketable securities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51"/>
        </w:trPr>
        <w:tc>
          <w:tcPr>
            <w:tcW w:w="8320" w:type="dxa"/>
            <w:vAlign w:val="bottom"/>
            <w:shd w:val="clear" w:color="auto" w:fill="C0C0C0"/>
          </w:tcPr>
          <w:p>
            <w:pPr>
              <w:ind w:left="62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r>
      <w:tr>
        <w:trPr>
          <w:trHeight w:val="235"/>
        </w:trPr>
        <w:tc>
          <w:tcPr>
            <w:tcW w:w="8320" w:type="dxa"/>
            <w:vAlign w:val="bottom"/>
          </w:tcPr>
          <w:p>
            <w:pPr>
              <w:ind w:left="920"/>
              <w:spacing w:after="0"/>
              <w:rPr>
                <w:sz w:val="20"/>
                <w:szCs w:val="20"/>
                <w:color w:val="auto"/>
              </w:rPr>
            </w:pPr>
            <w:r>
              <w:rPr>
                <w:rFonts w:ascii="Arial" w:cs="Arial" w:eastAsia="Arial" w:hAnsi="Arial"/>
                <w:sz w:val="18"/>
                <w:szCs w:val="18"/>
                <w:color w:val="auto"/>
              </w:rPr>
              <w:t>Increase in accounts receivable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(16,719)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(32,554)</w:t>
            </w:r>
          </w:p>
        </w:tc>
      </w:tr>
      <w:tr>
        <w:trPr>
          <w:trHeight w:val="251"/>
        </w:trPr>
        <w:tc>
          <w:tcPr>
            <w:tcW w:w="8320" w:type="dxa"/>
            <w:vAlign w:val="bottom"/>
            <w:shd w:val="clear" w:color="auto" w:fill="C0C0C0"/>
          </w:tcPr>
          <w:p>
            <w:pPr>
              <w:ind w:left="920"/>
              <w:spacing w:after="0"/>
              <w:rPr>
                <w:sz w:val="20"/>
                <w:szCs w:val="20"/>
                <w:color w:val="auto"/>
              </w:rPr>
            </w:pPr>
            <w:r>
              <w:rPr>
                <w:rFonts w:ascii="Arial" w:cs="Arial" w:eastAsia="Arial" w:hAnsi="Arial"/>
                <w:sz w:val="18"/>
                <w:szCs w:val="18"/>
                <w:color w:val="auto"/>
              </w:rPr>
              <w:t>Decrease (increase) in prepaid expenses and other assets</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3,446</w:t>
            </w: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(370)</w:t>
            </w:r>
          </w:p>
        </w:tc>
      </w:tr>
      <w:tr>
        <w:trPr>
          <w:trHeight w:val="235"/>
        </w:trPr>
        <w:tc>
          <w:tcPr>
            <w:tcW w:w="8320" w:type="dxa"/>
            <w:vAlign w:val="bottom"/>
          </w:tcPr>
          <w:p>
            <w:pPr>
              <w:ind w:left="920"/>
              <w:spacing w:after="0"/>
              <w:rPr>
                <w:sz w:val="20"/>
                <w:szCs w:val="20"/>
                <w:color w:val="auto"/>
              </w:rPr>
            </w:pPr>
            <w:r>
              <w:rPr>
                <w:rFonts w:ascii="Arial" w:cs="Arial" w:eastAsia="Arial" w:hAnsi="Arial"/>
                <w:sz w:val="18"/>
                <w:szCs w:val="18"/>
                <w:color w:val="auto"/>
              </w:rPr>
              <w:t>Increase (decrease) in deferred revenue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172,660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(11,379)</w:t>
            </w:r>
          </w:p>
        </w:tc>
      </w:tr>
      <w:tr>
        <w:trPr>
          <w:trHeight w:val="235"/>
        </w:trPr>
        <w:tc>
          <w:tcPr>
            <w:tcW w:w="8320" w:type="dxa"/>
            <w:vAlign w:val="bottom"/>
            <w:shd w:val="clear" w:color="auto" w:fill="C0C0C0"/>
          </w:tcPr>
          <w:p>
            <w:pPr>
              <w:ind w:left="920"/>
              <w:spacing w:after="0"/>
              <w:rPr>
                <w:sz w:val="20"/>
                <w:szCs w:val="20"/>
                <w:color w:val="auto"/>
              </w:rPr>
            </w:pPr>
            <w:r>
              <w:rPr>
                <w:rFonts w:ascii="Arial" w:cs="Arial" w:eastAsia="Arial" w:hAnsi="Arial"/>
                <w:sz w:val="18"/>
                <w:szCs w:val="18"/>
                <w:color w:val="auto"/>
              </w:rPr>
              <w:t>Increase in accounts payable, accrued expenses,</w:t>
            </w:r>
          </w:p>
        </w:tc>
        <w:tc>
          <w:tcPr>
            <w:tcW w:w="2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40" w:type="dxa"/>
            <w:vAlign w:val="bottom"/>
            <w:shd w:val="clear" w:color="auto" w:fill="C0C0C0"/>
          </w:tcPr>
          <w:p>
            <w:pPr>
              <w:spacing w:after="0"/>
              <w:rPr>
                <w:sz w:val="20"/>
                <w:szCs w:val="20"/>
                <w:color w:val="auto"/>
              </w:rPr>
            </w:pPr>
          </w:p>
        </w:tc>
      </w:tr>
      <w:tr>
        <w:trPr>
          <w:trHeight w:val="259"/>
        </w:trPr>
        <w:tc>
          <w:tcPr>
            <w:tcW w:w="8320" w:type="dxa"/>
            <w:vAlign w:val="bottom"/>
            <w:shd w:val="clear" w:color="auto" w:fill="C0C0C0"/>
          </w:tcPr>
          <w:p>
            <w:pPr>
              <w:ind w:left="1240"/>
              <w:spacing w:after="0"/>
              <w:rPr>
                <w:sz w:val="20"/>
                <w:szCs w:val="20"/>
                <w:color w:val="auto"/>
              </w:rPr>
            </w:pPr>
            <w:r>
              <w:rPr>
                <w:rFonts w:ascii="Arial" w:cs="Arial" w:eastAsia="Arial" w:hAnsi="Arial"/>
                <w:sz w:val="18"/>
                <w:szCs w:val="18"/>
                <w:color w:val="auto"/>
              </w:rPr>
              <w:t>and other liabilities</w:t>
            </w:r>
          </w:p>
        </w:tc>
        <w:tc>
          <w:tcPr>
            <w:tcW w:w="200" w:type="dxa"/>
            <w:vAlign w:val="bottom"/>
            <w:shd w:val="clear" w:color="auto" w:fill="C0C0C0"/>
          </w:tcPr>
          <w:p>
            <w:pPr>
              <w:spacing w:after="0"/>
              <w:rPr>
                <w:sz w:val="22"/>
                <w:szCs w:val="22"/>
                <w:color w:val="auto"/>
              </w:rPr>
            </w:pPr>
          </w:p>
        </w:tc>
        <w:tc>
          <w:tcPr>
            <w:tcW w:w="140" w:type="dxa"/>
            <w:vAlign w:val="bottom"/>
            <w:tcBorders>
              <w:bottom w:val="single" w:sz="8" w:color="auto"/>
            </w:tcBorders>
            <w:shd w:val="clear" w:color="auto" w:fill="C0C0C0"/>
          </w:tcPr>
          <w:p>
            <w:pPr>
              <w:spacing w:after="0"/>
              <w:rPr>
                <w:sz w:val="22"/>
                <w:szCs w:val="22"/>
                <w:color w:val="auto"/>
              </w:rPr>
            </w:pPr>
          </w:p>
        </w:tc>
        <w:tc>
          <w:tcPr>
            <w:tcW w:w="12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28,353</w:t>
            </w:r>
          </w:p>
        </w:tc>
        <w:tc>
          <w:tcPr>
            <w:tcW w:w="220" w:type="dxa"/>
            <w:vAlign w:val="bottom"/>
            <w:shd w:val="clear" w:color="auto" w:fill="C0C0C0"/>
          </w:tcPr>
          <w:p>
            <w:pPr>
              <w:spacing w:after="0"/>
              <w:rPr>
                <w:sz w:val="22"/>
                <w:szCs w:val="22"/>
                <w:color w:val="auto"/>
              </w:rPr>
            </w:pPr>
          </w:p>
        </w:tc>
        <w:tc>
          <w:tcPr>
            <w:tcW w:w="300" w:type="dxa"/>
            <w:vAlign w:val="bottom"/>
            <w:tcBorders>
              <w:bottom w:val="single" w:sz="8" w:color="auto"/>
            </w:tcBorders>
            <w:shd w:val="clear" w:color="auto" w:fill="C0C0C0"/>
          </w:tcPr>
          <w:p>
            <w:pPr>
              <w:spacing w:after="0"/>
              <w:rPr>
                <w:sz w:val="22"/>
                <w:szCs w:val="22"/>
                <w:color w:val="auto"/>
              </w:rPr>
            </w:pPr>
          </w:p>
        </w:tc>
        <w:tc>
          <w:tcPr>
            <w:tcW w:w="10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17,960</w:t>
            </w:r>
          </w:p>
        </w:tc>
      </w:tr>
      <w:tr>
        <w:trPr>
          <w:trHeight w:val="230"/>
        </w:trPr>
        <w:tc>
          <w:tcPr>
            <w:tcW w:w="8320" w:type="dxa"/>
            <w:vAlign w:val="bottom"/>
            <w:tcBorders>
              <w:bottom w:val="single" w:sz="8" w:color="C0C0C0"/>
            </w:tcBorders>
          </w:tcPr>
          <w:p>
            <w:pPr>
              <w:ind w:left="1540"/>
              <w:spacing w:after="0"/>
              <w:rPr>
                <w:sz w:val="20"/>
                <w:szCs w:val="20"/>
                <w:color w:val="auto"/>
              </w:rPr>
            </w:pPr>
            <w:r>
              <w:rPr>
                <w:rFonts w:ascii="Arial" w:cs="Arial" w:eastAsia="Arial" w:hAnsi="Arial"/>
                <w:sz w:val="18"/>
                <w:szCs w:val="18"/>
                <w:color w:val="auto"/>
              </w:rPr>
              <w:t>Total adjustments</w:t>
            </w:r>
          </w:p>
        </w:tc>
        <w:tc>
          <w:tcPr>
            <w:tcW w:w="20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227,914</w:t>
            </w:r>
          </w:p>
        </w:tc>
        <w:tc>
          <w:tcPr>
            <w:tcW w:w="220" w:type="dxa"/>
            <w:vAlign w:val="bottom"/>
            <w:tcBorders>
              <w:bottom w:val="single" w:sz="8" w:color="C0C0C0"/>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5,515</w:t>
            </w:r>
          </w:p>
        </w:tc>
      </w:tr>
      <w:tr>
        <w:trPr>
          <w:trHeight w:val="237"/>
        </w:trPr>
        <w:tc>
          <w:tcPr>
            <w:tcW w:w="8320" w:type="dxa"/>
            <w:vAlign w:val="bottom"/>
            <w:shd w:val="clear" w:color="auto" w:fill="C0C0C0"/>
          </w:tcPr>
          <w:p>
            <w:pPr>
              <w:ind w:left="154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shd w:val="clear" w:color="auto" w:fill="C0C0C0"/>
          </w:tcPr>
          <w:p>
            <w:pPr>
              <w:spacing w:after="0"/>
              <w:rPr>
                <w:sz w:val="20"/>
                <w:szCs w:val="20"/>
                <w:color w:val="auto"/>
              </w:rPr>
            </w:pPr>
          </w:p>
        </w:tc>
        <w:tc>
          <w:tcPr>
            <w:tcW w:w="140" w:type="dxa"/>
            <w:vAlign w:val="bottom"/>
            <w:tcBorders>
              <w:bottom w:val="single" w:sz="8" w:color="auto"/>
            </w:tcBorders>
            <w:shd w:val="clear" w:color="auto" w:fill="C0C0C0"/>
          </w:tcPr>
          <w:p>
            <w:pPr>
              <w:spacing w:after="0"/>
              <w:rPr>
                <w:sz w:val="20"/>
                <w:szCs w:val="20"/>
                <w:color w:val="auto"/>
              </w:rPr>
            </w:pPr>
          </w:p>
        </w:tc>
        <w:tc>
          <w:tcPr>
            <w:tcW w:w="12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138,043</w:t>
            </w:r>
          </w:p>
        </w:tc>
        <w:tc>
          <w:tcPr>
            <w:tcW w:w="220" w:type="dxa"/>
            <w:vAlign w:val="bottom"/>
            <w:shd w:val="clear" w:color="auto" w:fill="C0C0C0"/>
          </w:tcPr>
          <w:p>
            <w:pPr>
              <w:spacing w:after="0"/>
              <w:rPr>
                <w:sz w:val="20"/>
                <w:szCs w:val="20"/>
                <w:color w:val="auto"/>
              </w:rPr>
            </w:pPr>
          </w:p>
        </w:tc>
        <w:tc>
          <w:tcPr>
            <w:tcW w:w="300" w:type="dxa"/>
            <w:vAlign w:val="bottom"/>
            <w:tcBorders>
              <w:bottom w:val="single" w:sz="8" w:color="auto"/>
            </w:tcBorders>
            <w:shd w:val="clear" w:color="auto" w:fill="C0C0C0"/>
          </w:tcPr>
          <w:p>
            <w:pPr>
              <w:spacing w:after="0"/>
              <w:rPr>
                <w:sz w:val="20"/>
                <w:szCs w:val="20"/>
                <w:color w:val="auto"/>
              </w:rPr>
            </w:pPr>
          </w:p>
        </w:tc>
        <w:tc>
          <w:tcPr>
            <w:tcW w:w="10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(25,826)</w:t>
            </w:r>
          </w:p>
        </w:tc>
      </w:tr>
      <w:tr>
        <w:trPr>
          <w:trHeight w:val="230"/>
        </w:trPr>
        <w:tc>
          <w:tcPr>
            <w:tcW w:w="8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3"/>
        </w:trPr>
        <w:tc>
          <w:tcPr>
            <w:tcW w:w="832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r>
      <w:tr>
        <w:trPr>
          <w:trHeight w:val="235"/>
        </w:trPr>
        <w:tc>
          <w:tcPr>
            <w:tcW w:w="8320" w:type="dxa"/>
            <w:vAlign w:val="bottom"/>
          </w:tcPr>
          <w:p>
            <w:pPr>
              <w:ind w:left="320"/>
              <w:spacing w:after="0"/>
              <w:rPr>
                <w:sz w:val="20"/>
                <w:szCs w:val="20"/>
                <w:color w:val="auto"/>
              </w:rPr>
            </w:pPr>
            <w:r>
              <w:rPr>
                <w:rFonts w:ascii="Arial" w:cs="Arial" w:eastAsia="Arial" w:hAnsi="Arial"/>
                <w:sz w:val="18"/>
                <w:szCs w:val="18"/>
                <w:color w:val="auto"/>
              </w:rPr>
              <w:t>Purchases of marketable securities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(241,665)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(190,666)</w:t>
            </w:r>
          </w:p>
        </w:tc>
      </w:tr>
      <w:tr>
        <w:trPr>
          <w:trHeight w:val="251"/>
        </w:trPr>
        <w:tc>
          <w:tcPr>
            <w:tcW w:w="83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Sales or maturities of marketable securities</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230,513</w:t>
            </w: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284,934</w:t>
            </w:r>
          </w:p>
        </w:tc>
      </w:tr>
      <w:tr>
        <w:trPr>
          <w:trHeight w:val="235"/>
        </w:trPr>
        <w:tc>
          <w:tcPr>
            <w:tcW w:w="8320" w:type="dxa"/>
            <w:vAlign w:val="bottom"/>
          </w:tcPr>
          <w:p>
            <w:pPr>
              <w:ind w:left="3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(67,427)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(75,002)</w:t>
            </w:r>
          </w:p>
        </w:tc>
      </w:tr>
      <w:tr>
        <w:trPr>
          <w:trHeight w:val="251"/>
        </w:trPr>
        <w:tc>
          <w:tcPr>
            <w:tcW w:w="83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(Increase) decrease in restricted cash</w:t>
            </w:r>
          </w:p>
        </w:tc>
        <w:tc>
          <w:tcPr>
            <w:tcW w:w="20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0C0C0"/>
          </w:tcPr>
          <w:p>
            <w:pPr>
              <w:spacing w:after="0"/>
              <w:rPr>
                <w:sz w:val="21"/>
                <w:szCs w:val="21"/>
                <w:color w:val="auto"/>
              </w:rPr>
            </w:pPr>
          </w:p>
        </w:tc>
        <w:tc>
          <w:tcPr>
            <w:tcW w:w="30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50</w:t>
            </w:r>
          </w:p>
        </w:tc>
      </w:tr>
      <w:tr>
        <w:trPr>
          <w:trHeight w:val="230"/>
        </w:trPr>
        <w:tc>
          <w:tcPr>
            <w:tcW w:w="8320" w:type="dxa"/>
            <w:vAlign w:val="bottom"/>
          </w:tcPr>
          <w:p>
            <w:pPr>
              <w:ind w:left="1540"/>
              <w:spacing w:after="0"/>
              <w:rPr>
                <w:sz w:val="20"/>
                <w:szCs w:val="20"/>
                <w:color w:val="auto"/>
              </w:rPr>
            </w:pPr>
            <w:r>
              <w:rPr>
                <w:rFonts w:ascii="Arial" w:cs="Arial" w:eastAsia="Arial" w:hAnsi="Arial"/>
                <w:sz w:val="18"/>
                <w:szCs w:val="18"/>
                <w:color w:val="auto"/>
              </w:rPr>
              <w:t>Net cash (used in) provided by investing activities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(80,379)</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19,316</w:t>
            </w:r>
          </w:p>
        </w:tc>
      </w:tr>
      <w:tr>
        <w:trPr>
          <w:trHeight w:val="230"/>
        </w:trPr>
        <w:tc>
          <w:tcPr>
            <w:tcW w:w="8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3"/>
        </w:trPr>
        <w:tc>
          <w:tcPr>
            <w:tcW w:w="832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r>
      <w:tr>
        <w:trPr>
          <w:trHeight w:val="235"/>
        </w:trPr>
        <w:tc>
          <w:tcPr>
            <w:tcW w:w="8320" w:type="dxa"/>
            <w:vAlign w:val="bottom"/>
          </w:tcPr>
          <w:p>
            <w:pPr>
              <w:ind w:left="320"/>
              <w:spacing w:after="0"/>
              <w:rPr>
                <w:sz w:val="20"/>
                <w:szCs w:val="20"/>
                <w:color w:val="auto"/>
              </w:rPr>
            </w:pPr>
            <w:r>
              <w:rPr>
                <w:rFonts w:ascii="Arial" w:cs="Arial" w:eastAsia="Arial" w:hAnsi="Arial"/>
                <w:sz w:val="18"/>
                <w:szCs w:val="18"/>
                <w:color w:val="auto"/>
              </w:rPr>
              <w:t>Proceeds in connection with facility lease obligations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47,544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5,182</w:t>
            </w:r>
          </w:p>
        </w:tc>
      </w:tr>
      <w:tr>
        <w:trPr>
          <w:trHeight w:val="251"/>
        </w:trPr>
        <w:tc>
          <w:tcPr>
            <w:tcW w:w="83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Payments in connection with facility lease obligations</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(757)</w:t>
            </w: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(773)</w:t>
            </w:r>
          </w:p>
        </w:tc>
      </w:tr>
      <w:tr>
        <w:trPr>
          <w:trHeight w:val="237"/>
        </w:trPr>
        <w:tc>
          <w:tcPr>
            <w:tcW w:w="832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Net proceeds from the issuance of Common Stock</w:t>
            </w:r>
          </w:p>
        </w:tc>
        <w:tc>
          <w:tcPr>
            <w:tcW w:w="20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13,760</w:t>
            </w:r>
          </w:p>
        </w:tc>
        <w:tc>
          <w:tcPr>
            <w:tcW w:w="220" w:type="dxa"/>
            <w:vAlign w:val="bottom"/>
            <w:tcBorders>
              <w:bottom w:val="single" w:sz="8" w:color="C0C0C0"/>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4,626</w:t>
            </w:r>
          </w:p>
        </w:tc>
      </w:tr>
      <w:tr>
        <w:trPr>
          <w:trHeight w:val="237"/>
        </w:trPr>
        <w:tc>
          <w:tcPr>
            <w:tcW w:w="8320" w:type="dxa"/>
            <w:vAlign w:val="bottom"/>
            <w:shd w:val="clear" w:color="auto" w:fill="C0C0C0"/>
          </w:tcPr>
          <w:p>
            <w:pPr>
              <w:ind w:left="154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0C0C0"/>
          </w:tcPr>
          <w:p>
            <w:pPr>
              <w:spacing w:after="0"/>
              <w:rPr>
                <w:sz w:val="20"/>
                <w:szCs w:val="20"/>
                <w:color w:val="auto"/>
              </w:rPr>
            </w:pPr>
          </w:p>
        </w:tc>
        <w:tc>
          <w:tcPr>
            <w:tcW w:w="140" w:type="dxa"/>
            <w:vAlign w:val="bottom"/>
            <w:tcBorders>
              <w:bottom w:val="single" w:sz="8" w:color="auto"/>
            </w:tcBorders>
            <w:shd w:val="clear" w:color="auto" w:fill="C0C0C0"/>
          </w:tcPr>
          <w:p>
            <w:pPr>
              <w:spacing w:after="0"/>
              <w:rPr>
                <w:sz w:val="20"/>
                <w:szCs w:val="20"/>
                <w:color w:val="auto"/>
              </w:rPr>
            </w:pPr>
          </w:p>
        </w:tc>
        <w:tc>
          <w:tcPr>
            <w:tcW w:w="12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60,547</w:t>
            </w:r>
          </w:p>
        </w:tc>
        <w:tc>
          <w:tcPr>
            <w:tcW w:w="220" w:type="dxa"/>
            <w:vAlign w:val="bottom"/>
            <w:shd w:val="clear" w:color="auto" w:fill="C0C0C0"/>
          </w:tcPr>
          <w:p>
            <w:pPr>
              <w:spacing w:after="0"/>
              <w:rPr>
                <w:sz w:val="20"/>
                <w:szCs w:val="20"/>
                <w:color w:val="auto"/>
              </w:rPr>
            </w:pPr>
          </w:p>
        </w:tc>
        <w:tc>
          <w:tcPr>
            <w:tcW w:w="300" w:type="dxa"/>
            <w:vAlign w:val="bottom"/>
            <w:tcBorders>
              <w:bottom w:val="single" w:sz="8" w:color="auto"/>
            </w:tcBorders>
            <w:shd w:val="clear" w:color="auto" w:fill="C0C0C0"/>
          </w:tcPr>
          <w:p>
            <w:pPr>
              <w:spacing w:after="0"/>
              <w:rPr>
                <w:sz w:val="20"/>
                <w:szCs w:val="20"/>
                <w:color w:val="auto"/>
              </w:rPr>
            </w:pPr>
          </w:p>
        </w:tc>
        <w:tc>
          <w:tcPr>
            <w:tcW w:w="10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9,035</w:t>
            </w:r>
          </w:p>
        </w:tc>
      </w:tr>
      <w:tr>
        <w:trPr>
          <w:trHeight w:val="230"/>
        </w:trPr>
        <w:tc>
          <w:tcPr>
            <w:tcW w:w="8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3"/>
        </w:trPr>
        <w:tc>
          <w:tcPr>
            <w:tcW w:w="8320" w:type="dxa"/>
            <w:vAlign w:val="bottom"/>
            <w:shd w:val="clear" w:color="auto" w:fill="C0C0C0"/>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118,211</w:t>
            </w: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2,525</w:t>
            </w:r>
          </w:p>
        </w:tc>
      </w:tr>
      <w:tr>
        <w:trPr>
          <w:trHeight w:val="243"/>
        </w:trPr>
        <w:tc>
          <w:tcPr>
            <w:tcW w:w="8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7"/>
        </w:trPr>
        <w:tc>
          <w:tcPr>
            <w:tcW w:w="832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shd w:val="clear" w:color="auto" w:fill="C0C0C0"/>
          </w:tcPr>
          <w:p>
            <w:pPr>
              <w:spacing w:after="0"/>
              <w:rPr>
                <w:sz w:val="20"/>
                <w:szCs w:val="20"/>
                <w:color w:val="auto"/>
              </w:rPr>
            </w:pPr>
          </w:p>
        </w:tc>
        <w:tc>
          <w:tcPr>
            <w:tcW w:w="140" w:type="dxa"/>
            <w:vAlign w:val="bottom"/>
            <w:tcBorders>
              <w:bottom w:val="single" w:sz="8" w:color="auto"/>
            </w:tcBorders>
            <w:shd w:val="clear" w:color="auto" w:fill="C0C0C0"/>
          </w:tcPr>
          <w:p>
            <w:pPr>
              <w:spacing w:after="0"/>
              <w:rPr>
                <w:sz w:val="20"/>
                <w:szCs w:val="20"/>
                <w:color w:val="auto"/>
              </w:rPr>
            </w:pPr>
          </w:p>
        </w:tc>
        <w:tc>
          <w:tcPr>
            <w:tcW w:w="12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207,075</w:t>
            </w:r>
          </w:p>
        </w:tc>
        <w:tc>
          <w:tcPr>
            <w:tcW w:w="220" w:type="dxa"/>
            <w:vAlign w:val="bottom"/>
            <w:shd w:val="clear" w:color="auto" w:fill="C0C0C0"/>
          </w:tcPr>
          <w:p>
            <w:pPr>
              <w:spacing w:after="0"/>
              <w:rPr>
                <w:sz w:val="20"/>
                <w:szCs w:val="20"/>
                <w:color w:val="auto"/>
              </w:rPr>
            </w:pPr>
          </w:p>
        </w:tc>
        <w:tc>
          <w:tcPr>
            <w:tcW w:w="300" w:type="dxa"/>
            <w:vAlign w:val="bottom"/>
            <w:tcBorders>
              <w:bottom w:val="single" w:sz="8" w:color="auto"/>
            </w:tcBorders>
            <w:shd w:val="clear" w:color="auto" w:fill="C0C0C0"/>
          </w:tcPr>
          <w:p>
            <w:pPr>
              <w:spacing w:after="0"/>
              <w:rPr>
                <w:sz w:val="20"/>
                <w:szCs w:val="20"/>
                <w:color w:val="auto"/>
              </w:rPr>
            </w:pPr>
          </w:p>
        </w:tc>
        <w:tc>
          <w:tcPr>
            <w:tcW w:w="10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247,796</w:t>
            </w:r>
          </w:p>
        </w:tc>
      </w:tr>
      <w:tr>
        <w:trPr>
          <w:trHeight w:val="230"/>
        </w:trPr>
        <w:tc>
          <w:tcPr>
            <w:tcW w:w="8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8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325,286</w:t>
            </w:r>
          </w:p>
        </w:tc>
        <w:tc>
          <w:tcPr>
            <w:tcW w:w="22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250,321</w:t>
            </w: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28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2009 Condensed Balance S 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2009.</w:t>
      </w:r>
    </w:p>
    <w:p>
      <w:pPr>
        <w:spacing w:after="0" w:line="226"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Effective in the first quarter of 2010, the estimated useful lives of certain capitalized laboratory and other equipment, which is a component of property, plant, and equipment, were extended. The effect of this change in estimate was to lower depreciation expense by $1.0 million and $3.0 million and to lower the Company’s net loss per share by $0.02 and $0.04 for the three and nine months ended September 30, 2010,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ARCALYST</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(rilonacept) Product Revenue</w:t>
      </w:r>
    </w:p>
    <w:p>
      <w:pPr>
        <w:spacing w:after="0" w:line="214" w:lineRule="exact"/>
        <w:rPr>
          <w:sz w:val="20"/>
          <w:szCs w:val="20"/>
          <w:color w:val="auto"/>
        </w:rPr>
      </w:pPr>
    </w:p>
    <w:p>
      <w:pPr>
        <w:jc w:val="both"/>
        <w:ind w:firstLine="419"/>
        <w:spacing w:after="0" w:line="216" w:lineRule="auto"/>
        <w:rPr>
          <w:sz w:val="20"/>
          <w:szCs w:val="20"/>
          <w:color w:val="auto"/>
        </w:rPr>
      </w:pPr>
      <w:r>
        <w:rPr>
          <w:rFonts w:ascii="Arial" w:cs="Arial" w:eastAsia="Arial" w:hAnsi="Arial"/>
          <w:sz w:val="17"/>
          <w:szCs w:val="17"/>
          <w:color w:val="auto"/>
        </w:rPr>
        <w:t>In February 2008, the Company received marketing approval from the U.S. Food and Drug Administration (“FDA”) for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Injection for Subcutaneous Use for the treatment of Cryopyrin-Associated Periodic Syndromes (“CAPS”). The Company had limited historical return experience for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beginning with initial sales in 2008 through the end of 2009; therefore,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 were deferred until the right of return no longer existed and rebates could be reasonably estimated. Effective in the first quarter of 2010, the Company determined that it had accumulated sufficient historical data to reasonably estimate both product returns and rebates of ARCALYST</w:t>
      </w:r>
      <w:r>
        <w:rPr>
          <w:rFonts w:ascii="Arial" w:cs="Arial" w:eastAsia="Arial" w:hAnsi="Arial"/>
          <w:sz w:val="23"/>
          <w:szCs w:val="23"/>
          <w:color w:val="auto"/>
          <w:vertAlign w:val="superscript"/>
        </w:rPr>
        <w:t>®</w:t>
      </w:r>
      <w:r>
        <w:rPr>
          <w:rFonts w:ascii="Arial" w:cs="Arial" w:eastAsia="Arial" w:hAnsi="Arial"/>
          <w:sz w:val="17"/>
          <w:szCs w:val="17"/>
          <w:color w:val="auto"/>
        </w:rPr>
        <w:t>. As a result, $4.8 million of previously deferred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 were recognized as revenue in the first quarter of 2010.</w:t>
      </w:r>
    </w:p>
    <w:p>
      <w:pPr>
        <w:spacing w:after="0" w:line="263" w:lineRule="exact"/>
        <w:rPr>
          <w:sz w:val="20"/>
          <w:szCs w:val="20"/>
          <w:color w:val="auto"/>
        </w:rPr>
      </w:pPr>
    </w:p>
    <w:p>
      <w:pPr>
        <w:jc w:val="both"/>
        <w:ind w:firstLine="365"/>
        <w:spacing w:after="0" w:line="216" w:lineRule="auto"/>
        <w:rPr>
          <w:sz w:val="20"/>
          <w:szCs w:val="20"/>
          <w:color w:val="auto"/>
        </w:rPr>
      </w:pPr>
      <w:r>
        <w:rPr>
          <w:rFonts w:ascii="Arial" w:cs="Arial" w:eastAsia="Arial" w:hAnsi="Arial"/>
          <w:sz w:val="17"/>
          <w:szCs w:val="17"/>
          <w:color w:val="auto"/>
        </w:rPr>
        <w:t>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 totaled $4.9 million and $5.0 million for the three months ended September 30, 2010 and 2009, respectively, and $20.0 million and $13.4 million for the nine months ended September 30, 2010 and 2009, respectively.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 during the first nine months of 2010 included $15.2 million of net product sales made during this period and $4.8 million of previously deferred net product sales, as described above. There was no deferred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 revenue at September 30, 2010. At September 30, 2009, deferred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 revenue was $5.0 million. The effect of this change in estimate related to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 revenue was to lower the Company’s net loss per share by $0.06 for the nine months ended September 30, 2010.</w:t>
      </w:r>
    </w:p>
    <w:p>
      <w:pPr>
        <w:spacing w:after="0" w:line="263" w:lineRule="exact"/>
        <w:rPr>
          <w:sz w:val="20"/>
          <w:szCs w:val="20"/>
          <w:color w:val="auto"/>
        </w:rPr>
      </w:pPr>
    </w:p>
    <w:p>
      <w:pPr>
        <w:jc w:val="both"/>
        <w:ind w:firstLine="324"/>
        <w:spacing w:after="0" w:line="206" w:lineRule="auto"/>
        <w:rPr>
          <w:sz w:val="20"/>
          <w:szCs w:val="20"/>
          <w:color w:val="auto"/>
        </w:rPr>
      </w:pPr>
      <w:r>
        <w:rPr>
          <w:rFonts w:ascii="Arial" w:cs="Arial" w:eastAsia="Arial" w:hAnsi="Arial"/>
          <w:sz w:val="18"/>
          <w:szCs w:val="18"/>
          <w:color w:val="auto"/>
        </w:rPr>
        <w:t>Cost of goods sold related to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sales, which consisted primarily of royalties, totaled $0.4 million and $0.5 million for the three months ended September 30, 2010 and 2009, respectively, and $1.5 million and $1.3 million for the nine months ended September 30, 2010 and 2009, respectively. To date,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shipments to the Company’s customers have consisted of supplies of inventory manufactured and expensed prior to FDA approval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for the treatment of CAPS; therefore, the costs of these supplies were not included in costs of goods sold. At both September 30, 2010 and December 31, 2009, the Company had $0.4 million of inventori ed work-in-process costs related to ARCALYST</w:t>
      </w:r>
      <w:r>
        <w:rPr>
          <w:rFonts w:ascii="Arial" w:cs="Arial" w:eastAsia="Arial" w:hAnsi="Arial"/>
          <w:sz w:val="24"/>
          <w:szCs w:val="24"/>
          <w:color w:val="auto"/>
          <w:vertAlign w:val="superscript"/>
        </w:rPr>
        <w:t>®</w:t>
      </w:r>
      <w:r>
        <w:rPr>
          <w:rFonts w:ascii="Arial" w:cs="Arial" w:eastAsia="Arial" w:hAnsi="Arial"/>
          <w:sz w:val="18"/>
          <w:szCs w:val="18"/>
          <w:color w:val="auto"/>
        </w:rPr>
        <w:t>, which is included in prepaid expenses and other current assets.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 Share Data</w:t>
      </w:r>
    </w:p>
    <w:p>
      <w:pPr>
        <w:spacing w:after="0" w:line="285" w:lineRule="exact"/>
        <w:rPr>
          <w:sz w:val="20"/>
          <w:szCs w:val="20"/>
          <w:color w:val="auto"/>
        </w:rPr>
      </w:pPr>
    </w:p>
    <w:p>
      <w:pPr>
        <w:jc w:val="both"/>
        <w:ind w:right="40" w:firstLine="284"/>
        <w:spacing w:after="0" w:line="294" w:lineRule="auto"/>
        <w:rPr>
          <w:sz w:val="20"/>
          <w:szCs w:val="20"/>
          <w:color w:val="auto"/>
        </w:rPr>
      </w:pPr>
      <w:r>
        <w:rPr>
          <w:rFonts w:ascii="Arial" w:cs="Arial" w:eastAsia="Arial" w:hAnsi="Arial"/>
          <w:sz w:val="16"/>
          <w:szCs w:val="16"/>
          <w:color w:val="auto"/>
        </w:rPr>
        <w:t>The Company’s basic and diluted net loss per share amounts have been computed by dividing net loss by the weighted average number of shares of Common Stock and Class A Stock outstanding. Net loss per share is presented on a combined basis, inclusive of Common Stock and Class A Stock outstanding, as each class of stock has equivalent economic rights. For the three and nine months ended September 30, 2010 and 2009, the Company reported net losses; therefore, no common stock equivalents were included in the computation of diluted net loss per share for these periods, since such inclusion would have been antidilutive. The calculations of basic and diluted net loss per share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8"/>
                <w:szCs w:val="18"/>
                <w:b w:val="1"/>
                <w:bCs w:val="1"/>
                <w:color w:val="auto"/>
                <w:w w:val="89"/>
              </w:rPr>
              <w:t>Three Months Ended September 30,</w:t>
            </w:r>
          </w:p>
        </w:tc>
      </w:tr>
      <w:tr>
        <w:trPr>
          <w:trHeight w:val="237"/>
        </w:trPr>
        <w:tc>
          <w:tcPr>
            <w:tcW w:w="6120" w:type="dxa"/>
            <w:vAlign w:val="bottom"/>
            <w:tcBorders>
              <w:bottom w:val="single" w:sz="8" w:color="C0C0C0"/>
            </w:tcBorders>
          </w:tcPr>
          <w:p>
            <w:pPr>
              <w:spacing w:after="0"/>
              <w:rPr>
                <w:sz w:val="20"/>
                <w:szCs w:val="20"/>
                <w:color w:val="auto"/>
              </w:rPr>
            </w:pPr>
          </w:p>
        </w:tc>
        <w:tc>
          <w:tcPr>
            <w:tcW w:w="2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C0C0C0"/>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2009</w:t>
            </w:r>
          </w:p>
        </w:tc>
      </w:tr>
      <w:tr>
        <w:trPr>
          <w:trHeight w:val="243"/>
        </w:trPr>
        <w:tc>
          <w:tcPr>
            <w:tcW w:w="6120" w:type="dxa"/>
            <w:vAlign w:val="bottom"/>
            <w:shd w:val="clear" w:color="auto" w:fill="C0C0C0"/>
          </w:tcPr>
          <w:p>
            <w:pPr>
              <w:spacing w:after="0"/>
              <w:rPr>
                <w:sz w:val="20"/>
                <w:szCs w:val="20"/>
                <w:color w:val="auto"/>
              </w:rPr>
            </w:pPr>
            <w:r>
              <w:rPr>
                <w:rFonts w:ascii="Arial" w:cs="Arial" w:eastAsia="Arial" w:hAnsi="Arial"/>
                <w:sz w:val="18"/>
                <w:szCs w:val="18"/>
                <w:color w:val="auto"/>
              </w:rPr>
              <w:t>Net loss (Numerator)</w:t>
            </w:r>
          </w:p>
        </w:tc>
        <w:tc>
          <w:tcPr>
            <w:tcW w:w="24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(33,875)</w:t>
            </w:r>
          </w:p>
        </w:tc>
        <w:tc>
          <w:tcPr>
            <w:tcW w:w="52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(1,015)</w:t>
            </w:r>
          </w:p>
        </w:tc>
      </w:tr>
      <w:tr>
        <w:trPr>
          <w:trHeight w:val="243"/>
        </w:trPr>
        <w:tc>
          <w:tcPr>
            <w:tcW w:w="6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6120" w:type="dxa"/>
            <w:vAlign w:val="bottom"/>
            <w:shd w:val="clear" w:color="auto" w:fill="C0C0C0"/>
          </w:tcPr>
          <w:p>
            <w:pPr>
              <w:spacing w:after="0"/>
              <w:rPr>
                <w:sz w:val="20"/>
                <w:szCs w:val="20"/>
                <w:color w:val="auto"/>
              </w:rPr>
            </w:pPr>
            <w:r>
              <w:rPr>
                <w:rFonts w:ascii="Arial" w:cs="Arial" w:eastAsia="Arial" w:hAnsi="Arial"/>
                <w:sz w:val="18"/>
                <w:szCs w:val="18"/>
                <w:color w:val="auto"/>
              </w:rPr>
              <w:t>Weighted-average shares, in thousands (Denominator)</w:t>
            </w:r>
          </w:p>
        </w:tc>
        <w:tc>
          <w:tcPr>
            <w:tcW w:w="2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3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81,638</w:t>
            </w: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79,866</w:t>
            </w:r>
          </w:p>
        </w:tc>
      </w:tr>
      <w:tr>
        <w:trPr>
          <w:trHeight w:val="243"/>
        </w:trPr>
        <w:tc>
          <w:tcPr>
            <w:tcW w:w="6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6120" w:type="dxa"/>
            <w:vAlign w:val="bottom"/>
            <w:shd w:val="clear" w:color="auto" w:fill="C0C0C0"/>
          </w:tcPr>
          <w:p>
            <w:pPr>
              <w:spacing w:after="0"/>
              <w:rPr>
                <w:sz w:val="20"/>
                <w:szCs w:val="20"/>
                <w:color w:val="auto"/>
              </w:rPr>
            </w:pPr>
            <w:r>
              <w:rPr>
                <w:rFonts w:ascii="Arial" w:cs="Arial" w:eastAsia="Arial" w:hAnsi="Arial"/>
                <w:sz w:val="18"/>
                <w:szCs w:val="18"/>
                <w:color w:val="auto"/>
              </w:rPr>
              <w:t>Basic and diluted net loss per share</w:t>
            </w:r>
          </w:p>
        </w:tc>
        <w:tc>
          <w:tcPr>
            <w:tcW w:w="24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(0.41)</w:t>
            </w:r>
          </w:p>
        </w:tc>
        <w:tc>
          <w:tcPr>
            <w:tcW w:w="52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(0.01)</w:t>
            </w:r>
          </w:p>
        </w:tc>
      </w:tr>
      <w:tr>
        <w:trPr>
          <w:trHeight w:val="480"/>
        </w:trPr>
        <w:tc>
          <w:tcPr>
            <w:tcW w:w="6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37"/>
        </w:trPr>
        <w:tc>
          <w:tcPr>
            <w:tcW w:w="6120" w:type="dxa"/>
            <w:vAlign w:val="bottom"/>
            <w:tcBorders>
              <w:bottom w:val="single" w:sz="8" w:color="C0C0C0"/>
            </w:tcBorders>
          </w:tcPr>
          <w:p>
            <w:pPr>
              <w:spacing w:after="0"/>
              <w:rPr>
                <w:sz w:val="20"/>
                <w:szCs w:val="20"/>
                <w:color w:val="auto"/>
              </w:rPr>
            </w:pPr>
          </w:p>
        </w:tc>
        <w:tc>
          <w:tcPr>
            <w:tcW w:w="2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C0C0C0"/>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2009</w:t>
            </w:r>
          </w:p>
        </w:tc>
      </w:tr>
      <w:tr>
        <w:trPr>
          <w:trHeight w:val="243"/>
        </w:trPr>
        <w:tc>
          <w:tcPr>
            <w:tcW w:w="6120" w:type="dxa"/>
            <w:vAlign w:val="bottom"/>
            <w:shd w:val="clear" w:color="auto" w:fill="C0C0C0"/>
          </w:tcPr>
          <w:p>
            <w:pPr>
              <w:spacing w:after="0"/>
              <w:rPr>
                <w:sz w:val="20"/>
                <w:szCs w:val="20"/>
                <w:color w:val="auto"/>
              </w:rPr>
            </w:pPr>
            <w:r>
              <w:rPr>
                <w:rFonts w:ascii="Arial" w:cs="Arial" w:eastAsia="Arial" w:hAnsi="Arial"/>
                <w:sz w:val="18"/>
                <w:szCs w:val="18"/>
                <w:color w:val="auto"/>
              </w:rPr>
              <w:t>Net loss (Numerator)</w:t>
            </w:r>
          </w:p>
        </w:tc>
        <w:tc>
          <w:tcPr>
            <w:tcW w:w="24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(89,871)</w:t>
            </w:r>
          </w:p>
        </w:tc>
        <w:tc>
          <w:tcPr>
            <w:tcW w:w="52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(31,341)</w:t>
            </w:r>
          </w:p>
        </w:tc>
      </w:tr>
      <w:tr>
        <w:trPr>
          <w:trHeight w:val="243"/>
        </w:trPr>
        <w:tc>
          <w:tcPr>
            <w:tcW w:w="6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6120" w:type="dxa"/>
            <w:vAlign w:val="bottom"/>
            <w:shd w:val="clear" w:color="auto" w:fill="C0C0C0"/>
          </w:tcPr>
          <w:p>
            <w:pPr>
              <w:spacing w:after="0"/>
              <w:rPr>
                <w:sz w:val="20"/>
                <w:szCs w:val="20"/>
                <w:color w:val="auto"/>
              </w:rPr>
            </w:pPr>
            <w:r>
              <w:rPr>
                <w:rFonts w:ascii="Arial" w:cs="Arial" w:eastAsia="Arial" w:hAnsi="Arial"/>
                <w:sz w:val="18"/>
                <w:szCs w:val="18"/>
                <w:color w:val="auto"/>
              </w:rPr>
              <w:t>Weighted-average shares, in thousands (Denominator)</w:t>
            </w:r>
          </w:p>
        </w:tc>
        <w:tc>
          <w:tcPr>
            <w:tcW w:w="2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3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81,433</w:t>
            </w: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79,663</w:t>
            </w:r>
          </w:p>
        </w:tc>
      </w:tr>
      <w:tr>
        <w:trPr>
          <w:trHeight w:val="243"/>
        </w:trPr>
        <w:tc>
          <w:tcPr>
            <w:tcW w:w="6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6120" w:type="dxa"/>
            <w:vAlign w:val="bottom"/>
            <w:shd w:val="clear" w:color="auto" w:fill="C0C0C0"/>
          </w:tcPr>
          <w:p>
            <w:pPr>
              <w:spacing w:after="0"/>
              <w:rPr>
                <w:sz w:val="20"/>
                <w:szCs w:val="20"/>
                <w:color w:val="auto"/>
              </w:rPr>
            </w:pPr>
            <w:r>
              <w:rPr>
                <w:rFonts w:ascii="Arial" w:cs="Arial" w:eastAsia="Arial" w:hAnsi="Arial"/>
                <w:sz w:val="18"/>
                <w:szCs w:val="18"/>
                <w:color w:val="auto"/>
              </w:rPr>
              <w:t>Basic and diluted net loss per share</w:t>
            </w:r>
          </w:p>
        </w:tc>
        <w:tc>
          <w:tcPr>
            <w:tcW w:w="24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(1.10)</w:t>
            </w:r>
          </w:p>
        </w:tc>
        <w:tc>
          <w:tcPr>
            <w:tcW w:w="52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(0.39)</w:t>
            </w:r>
          </w:p>
        </w:tc>
      </w:tr>
    </w:tbl>
    <w:p>
      <w:pPr>
        <w:spacing w:after="0" w:line="262" w:lineRule="exact"/>
        <w:rPr>
          <w:sz w:val="20"/>
          <w:szCs w:val="20"/>
          <w:color w:val="auto"/>
        </w:rPr>
      </w:pPr>
    </w:p>
    <w:p>
      <w:pPr>
        <w:jc w:val="both"/>
        <w:ind w:right="60" w:firstLine="297"/>
        <w:spacing w:after="0" w:line="268" w:lineRule="auto"/>
        <w:rPr>
          <w:sz w:val="20"/>
          <w:szCs w:val="20"/>
          <w:color w:val="auto"/>
        </w:rPr>
      </w:pPr>
      <w:r>
        <w:rPr>
          <w:rFonts w:ascii="Arial" w:cs="Arial" w:eastAsia="Arial" w:hAnsi="Arial"/>
          <w:sz w:val="18"/>
          <w:szCs w:val="18"/>
          <w:color w:val="auto"/>
        </w:rPr>
        <w:t>Shares issuable upon the exercise of stock options and vesting of restricted stock awards, which have been excluded from the September 30, 2010 and 2009 diluted per share amounts because their effect would have been antidilutive, include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00" w:type="dxa"/>
            <w:vAlign w:val="bottom"/>
          </w:tcPr>
          <w:p>
            <w:pPr>
              <w:spacing w:after="0"/>
              <w:rPr>
                <w:sz w:val="20"/>
                <w:szCs w:val="20"/>
                <w:color w:val="auto"/>
              </w:rPr>
            </w:pPr>
          </w:p>
        </w:tc>
        <w:tc>
          <w:tcPr>
            <w:tcW w:w="7060" w:type="dxa"/>
            <w:vAlign w:val="bottom"/>
            <w:gridSpan w:val="9"/>
          </w:tcPr>
          <w:p>
            <w:pPr>
              <w:ind w:left="4420"/>
              <w:spacing w:after="0"/>
              <w:rPr>
                <w:sz w:val="20"/>
                <w:szCs w:val="20"/>
                <w:color w:val="auto"/>
              </w:rPr>
            </w:pPr>
            <w:r>
              <w:rPr>
                <w:rFonts w:ascii="Arial" w:cs="Arial" w:eastAsia="Arial" w:hAnsi="Arial"/>
                <w:sz w:val="18"/>
                <w:szCs w:val="18"/>
                <w:b w:val="1"/>
                <w:bCs w:val="1"/>
                <w:color w:val="auto"/>
                <w:w w:val="85"/>
              </w:rPr>
              <w:t>Three months ended September 30,</w:t>
            </w:r>
          </w:p>
        </w:tc>
      </w:tr>
      <w:tr>
        <w:trPr>
          <w:trHeight w:val="237"/>
        </w:trPr>
        <w:tc>
          <w:tcPr>
            <w:tcW w:w="4400" w:type="dxa"/>
            <w:vAlign w:val="bottom"/>
            <w:tcBorders>
              <w:bottom w:val="single" w:sz="8" w:color="C0C0C0"/>
            </w:tcBorders>
          </w:tcPr>
          <w:p>
            <w:pPr>
              <w:spacing w:after="0"/>
              <w:rPr>
                <w:sz w:val="20"/>
                <w:szCs w:val="20"/>
                <w:color w:val="auto"/>
              </w:rPr>
            </w:pPr>
          </w:p>
        </w:tc>
        <w:tc>
          <w:tcPr>
            <w:tcW w:w="4420" w:type="dxa"/>
            <w:vAlign w:val="bottom"/>
            <w:tcBorders>
              <w:bottom w:val="single" w:sz="8" w:color="C0C0C0"/>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top w:val="single" w:sz="8" w:color="auto"/>
              <w:bottom w:val="single" w:sz="8" w:color="C0C0C0"/>
            </w:tcBorders>
          </w:tcPr>
          <w:p>
            <w:pPr>
              <w:spacing w:after="0"/>
              <w:rPr>
                <w:sz w:val="20"/>
                <w:szCs w:val="20"/>
                <w:color w:val="auto"/>
              </w:rPr>
            </w:pPr>
          </w:p>
        </w:tc>
        <w:tc>
          <w:tcPr>
            <w:tcW w:w="120" w:type="dxa"/>
            <w:vAlign w:val="bottom"/>
            <w:tcBorders>
              <w:top w:val="single" w:sz="8" w:color="auto"/>
              <w:bottom w:val="single" w:sz="8" w:color="C0C0C0"/>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400" w:type="dxa"/>
            <w:vAlign w:val="bottom"/>
            <w:shd w:val="clear" w:color="auto" w:fill="C0C0C0"/>
          </w:tcPr>
          <w:p>
            <w:pPr>
              <w:spacing w:after="0"/>
              <w:rPr>
                <w:sz w:val="20"/>
                <w:szCs w:val="20"/>
                <w:color w:val="auto"/>
              </w:rPr>
            </w:pPr>
            <w:r>
              <w:rPr>
                <w:rFonts w:ascii="Arial" w:cs="Arial" w:eastAsia="Arial" w:hAnsi="Arial"/>
                <w:sz w:val="18"/>
                <w:szCs w:val="18"/>
                <w:color w:val="auto"/>
              </w:rPr>
              <w:t>Stock Options:</w:t>
            </w:r>
          </w:p>
        </w:tc>
        <w:tc>
          <w:tcPr>
            <w:tcW w:w="44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400" w:type="dxa"/>
            <w:vAlign w:val="bottom"/>
          </w:tcPr>
          <w:p>
            <w:pPr>
              <w:ind w:left="320"/>
              <w:spacing w:after="0"/>
              <w:rPr>
                <w:sz w:val="20"/>
                <w:szCs w:val="20"/>
                <w:color w:val="auto"/>
              </w:rPr>
            </w:pPr>
            <w:r>
              <w:rPr>
                <w:rFonts w:ascii="Arial" w:cs="Arial" w:eastAsia="Arial" w:hAnsi="Arial"/>
                <w:sz w:val="18"/>
                <w:szCs w:val="18"/>
                <w:color w:val="auto"/>
              </w:rPr>
              <w:t>Weighted average number, in thousands</w:t>
            </w:r>
          </w:p>
        </w:tc>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21,265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19,860</w:t>
            </w:r>
          </w:p>
        </w:tc>
        <w:tc>
          <w:tcPr>
            <w:tcW w:w="20" w:type="dxa"/>
            <w:vAlign w:val="bottom"/>
          </w:tcPr>
          <w:p>
            <w:pPr>
              <w:spacing w:after="0"/>
              <w:rPr>
                <w:sz w:val="20"/>
                <w:szCs w:val="20"/>
                <w:color w:val="auto"/>
              </w:rPr>
            </w:pPr>
          </w:p>
        </w:tc>
      </w:tr>
      <w:tr>
        <w:trPr>
          <w:trHeight w:val="251"/>
        </w:trPr>
        <w:tc>
          <w:tcPr>
            <w:tcW w:w="44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Weighted average exercise price</w:t>
            </w:r>
          </w:p>
        </w:tc>
        <w:tc>
          <w:tcPr>
            <w:tcW w:w="4660" w:type="dxa"/>
            <w:vAlign w:val="bottom"/>
            <w:gridSpan w:val="2"/>
            <w:shd w:val="clear" w:color="auto" w:fill="C0C0C0"/>
          </w:tcPr>
          <w:p>
            <w:pPr>
              <w:ind w:left="44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18.76</w:t>
            </w:r>
          </w:p>
        </w:tc>
        <w:tc>
          <w:tcPr>
            <w:tcW w:w="3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17.65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40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400" w:type="dxa"/>
            <w:vAlign w:val="bottom"/>
            <w:shd w:val="clear" w:color="auto" w:fill="C0C0C0"/>
          </w:tcPr>
          <w:p>
            <w:pPr>
              <w:spacing w:after="0"/>
              <w:rPr>
                <w:sz w:val="20"/>
                <w:szCs w:val="20"/>
                <w:color w:val="auto"/>
              </w:rPr>
            </w:pPr>
            <w:r>
              <w:rPr>
                <w:rFonts w:ascii="Arial" w:cs="Arial" w:eastAsia="Arial" w:hAnsi="Arial"/>
                <w:sz w:val="18"/>
                <w:szCs w:val="18"/>
                <w:color w:val="auto"/>
              </w:rPr>
              <w:t>Restricted Stock:</w:t>
            </w:r>
          </w:p>
        </w:tc>
        <w:tc>
          <w:tcPr>
            <w:tcW w:w="44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4400" w:type="dxa"/>
            <w:vAlign w:val="bottom"/>
          </w:tcPr>
          <w:p>
            <w:pPr>
              <w:ind w:left="320"/>
              <w:spacing w:after="0"/>
              <w:rPr>
                <w:sz w:val="20"/>
                <w:szCs w:val="20"/>
                <w:color w:val="auto"/>
              </w:rPr>
            </w:pPr>
            <w:r>
              <w:rPr>
                <w:rFonts w:ascii="Arial" w:cs="Arial" w:eastAsia="Arial" w:hAnsi="Arial"/>
                <w:sz w:val="18"/>
                <w:szCs w:val="18"/>
                <w:color w:val="auto"/>
              </w:rPr>
              <w:t>Weighted average number, in thousands</w:t>
            </w:r>
          </w:p>
        </w:tc>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9"/>
                <w:szCs w:val="19"/>
                <w:color w:val="auto"/>
              </w:rPr>
            </w:pPr>
          </w:p>
        </w:tc>
      </w:tr>
      <w:tr>
        <w:trPr>
          <w:trHeight w:val="495"/>
        </w:trPr>
        <w:tc>
          <w:tcPr>
            <w:tcW w:w="44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640" w:type="dxa"/>
            <w:vAlign w:val="bottom"/>
            <w:gridSpan w:val="8"/>
          </w:tcPr>
          <w:p>
            <w:pPr>
              <w:ind w:left="20"/>
              <w:spacing w:after="0"/>
              <w:rPr>
                <w:sz w:val="20"/>
                <w:szCs w:val="20"/>
                <w:color w:val="auto"/>
              </w:rPr>
            </w:pPr>
            <w:r>
              <w:rPr>
                <w:rFonts w:ascii="Arial" w:cs="Arial" w:eastAsia="Arial" w:hAnsi="Arial"/>
                <w:sz w:val="18"/>
                <w:szCs w:val="18"/>
                <w:b w:val="1"/>
                <w:bCs w:val="1"/>
                <w:color w:val="auto"/>
                <w:w w:val="88"/>
              </w:rPr>
              <w:t>Nine months ended September 30,</w:t>
            </w:r>
          </w:p>
        </w:tc>
      </w:tr>
      <w:tr>
        <w:trPr>
          <w:trHeight w:val="237"/>
        </w:trPr>
        <w:tc>
          <w:tcPr>
            <w:tcW w:w="4400" w:type="dxa"/>
            <w:vAlign w:val="bottom"/>
            <w:tcBorders>
              <w:bottom w:val="single" w:sz="8" w:color="C0C0C0"/>
            </w:tcBorders>
          </w:tcPr>
          <w:p>
            <w:pPr>
              <w:spacing w:after="0"/>
              <w:rPr>
                <w:sz w:val="20"/>
                <w:szCs w:val="20"/>
                <w:color w:val="auto"/>
              </w:rPr>
            </w:pPr>
          </w:p>
        </w:tc>
        <w:tc>
          <w:tcPr>
            <w:tcW w:w="4420" w:type="dxa"/>
            <w:vAlign w:val="bottom"/>
            <w:tcBorders>
              <w:bottom w:val="single" w:sz="8" w:color="C0C0C0"/>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top w:val="single" w:sz="8" w:color="auto"/>
              <w:bottom w:val="single" w:sz="8" w:color="C0C0C0"/>
            </w:tcBorders>
          </w:tcPr>
          <w:p>
            <w:pPr>
              <w:spacing w:after="0"/>
              <w:rPr>
                <w:sz w:val="20"/>
                <w:szCs w:val="20"/>
                <w:color w:val="auto"/>
              </w:rPr>
            </w:pPr>
          </w:p>
        </w:tc>
        <w:tc>
          <w:tcPr>
            <w:tcW w:w="120" w:type="dxa"/>
            <w:vAlign w:val="bottom"/>
            <w:tcBorders>
              <w:top w:val="single" w:sz="8" w:color="auto"/>
              <w:bottom w:val="single" w:sz="8" w:color="C0C0C0"/>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400" w:type="dxa"/>
            <w:vAlign w:val="bottom"/>
            <w:shd w:val="clear" w:color="auto" w:fill="C0C0C0"/>
          </w:tcPr>
          <w:p>
            <w:pPr>
              <w:spacing w:after="0"/>
              <w:rPr>
                <w:sz w:val="20"/>
                <w:szCs w:val="20"/>
                <w:color w:val="auto"/>
              </w:rPr>
            </w:pPr>
            <w:r>
              <w:rPr>
                <w:rFonts w:ascii="Arial" w:cs="Arial" w:eastAsia="Arial" w:hAnsi="Arial"/>
                <w:sz w:val="18"/>
                <w:szCs w:val="18"/>
                <w:color w:val="auto"/>
              </w:rPr>
              <w:t>Stock Options:</w:t>
            </w:r>
          </w:p>
        </w:tc>
        <w:tc>
          <w:tcPr>
            <w:tcW w:w="44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400" w:type="dxa"/>
            <w:vAlign w:val="bottom"/>
          </w:tcPr>
          <w:p>
            <w:pPr>
              <w:ind w:left="320"/>
              <w:spacing w:after="0"/>
              <w:rPr>
                <w:sz w:val="20"/>
                <w:szCs w:val="20"/>
                <w:color w:val="auto"/>
              </w:rPr>
            </w:pPr>
            <w:r>
              <w:rPr>
                <w:rFonts w:ascii="Arial" w:cs="Arial" w:eastAsia="Arial" w:hAnsi="Arial"/>
                <w:sz w:val="18"/>
                <w:szCs w:val="18"/>
                <w:color w:val="auto"/>
              </w:rPr>
              <w:t>Weighted average number, in thousands</w:t>
            </w:r>
          </w:p>
        </w:tc>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21,317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20,059</w:t>
            </w:r>
          </w:p>
        </w:tc>
        <w:tc>
          <w:tcPr>
            <w:tcW w:w="20" w:type="dxa"/>
            <w:vAlign w:val="bottom"/>
          </w:tcPr>
          <w:p>
            <w:pPr>
              <w:spacing w:after="0"/>
              <w:rPr>
                <w:sz w:val="20"/>
                <w:szCs w:val="20"/>
                <w:color w:val="auto"/>
              </w:rPr>
            </w:pPr>
          </w:p>
        </w:tc>
      </w:tr>
      <w:tr>
        <w:trPr>
          <w:trHeight w:val="251"/>
        </w:trPr>
        <w:tc>
          <w:tcPr>
            <w:tcW w:w="44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Weighted average exercise price</w:t>
            </w:r>
          </w:p>
        </w:tc>
        <w:tc>
          <w:tcPr>
            <w:tcW w:w="4660" w:type="dxa"/>
            <w:vAlign w:val="bottom"/>
            <w:gridSpan w:val="2"/>
            <w:shd w:val="clear" w:color="auto" w:fill="C0C0C0"/>
          </w:tcPr>
          <w:p>
            <w:pPr>
              <w:ind w:left="44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18.67</w:t>
            </w:r>
          </w:p>
        </w:tc>
        <w:tc>
          <w:tcPr>
            <w:tcW w:w="3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17.59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40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400" w:type="dxa"/>
            <w:vAlign w:val="bottom"/>
            <w:shd w:val="clear" w:color="auto" w:fill="C0C0C0"/>
          </w:tcPr>
          <w:p>
            <w:pPr>
              <w:spacing w:after="0"/>
              <w:rPr>
                <w:sz w:val="20"/>
                <w:szCs w:val="20"/>
                <w:color w:val="auto"/>
              </w:rPr>
            </w:pPr>
            <w:r>
              <w:rPr>
                <w:rFonts w:ascii="Arial" w:cs="Arial" w:eastAsia="Arial" w:hAnsi="Arial"/>
                <w:sz w:val="18"/>
                <w:szCs w:val="18"/>
                <w:color w:val="auto"/>
              </w:rPr>
              <w:t>Restricted Stock:</w:t>
            </w:r>
          </w:p>
        </w:tc>
        <w:tc>
          <w:tcPr>
            <w:tcW w:w="44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4400" w:type="dxa"/>
            <w:vAlign w:val="bottom"/>
          </w:tcPr>
          <w:p>
            <w:pPr>
              <w:ind w:left="320"/>
              <w:spacing w:after="0"/>
              <w:rPr>
                <w:sz w:val="20"/>
                <w:szCs w:val="20"/>
                <w:color w:val="auto"/>
              </w:rPr>
            </w:pPr>
            <w:r>
              <w:rPr>
                <w:rFonts w:ascii="Arial" w:cs="Arial" w:eastAsia="Arial" w:hAnsi="Arial"/>
                <w:sz w:val="18"/>
                <w:szCs w:val="18"/>
                <w:color w:val="auto"/>
              </w:rPr>
              <w:t>Weighted average number, in thousands</w:t>
            </w:r>
          </w:p>
        </w:tc>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9"/>
                <w:szCs w:val="19"/>
                <w:color w:val="auto"/>
              </w:rPr>
            </w:pPr>
          </w:p>
        </w:tc>
      </w:tr>
      <w:tr>
        <w:trPr>
          <w:trHeight w:val="473"/>
        </w:trPr>
        <w:tc>
          <w:tcPr>
            <w:tcW w:w="4400" w:type="dxa"/>
            <w:vAlign w:val="bottom"/>
          </w:tcPr>
          <w:p>
            <w:pPr>
              <w:spacing w:after="0"/>
              <w:rPr>
                <w:sz w:val="24"/>
                <w:szCs w:val="24"/>
                <w:color w:val="auto"/>
              </w:rPr>
            </w:pPr>
          </w:p>
        </w:tc>
        <w:tc>
          <w:tcPr>
            <w:tcW w:w="4420" w:type="dxa"/>
            <w:vAlign w:val="bottom"/>
          </w:tcPr>
          <w:p>
            <w:pPr>
              <w:jc w:val="right"/>
              <w:ind w:right="2972"/>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440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611" w:right="1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Statement of Cash Flows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52"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Included in accounts payable and accrued expenses at September 30, 2010 and December 31, 2009 were $12.0 million and $9.8 million, respectively, of accrued capital expenditures. Included in accounts payable and accrued expenses at September 30, 2009 and December 31, 2008 were $10.5 million and $7.0 million, respectively, of accrued capital expenditures.</w:t>
      </w:r>
    </w:p>
    <w:p>
      <w:pPr>
        <w:spacing w:after="0" w:line="248"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Included in accounts payable and accrued expenses at December 31, 2009 and 2008 were $2.6 million and $1.5 million, respectively, of accrued Company 401(k) Savings Plan contribution expense. In the first quarter of 2010 and 2009, the Company contributed 111,419 and 81,086 shares, respectively, of Common Stock to the 401(k) Savings Plan in satisfaction of these obligations.</w:t>
      </w:r>
    </w:p>
    <w:p>
      <w:pPr>
        <w:spacing w:after="0" w:line="248" w:lineRule="exact"/>
        <w:rPr>
          <w:sz w:val="20"/>
          <w:szCs w:val="20"/>
          <w:color w:val="auto"/>
        </w:rPr>
      </w:pPr>
    </w:p>
    <w:p>
      <w:pPr>
        <w:jc w:val="both"/>
        <w:ind w:right="20" w:firstLine="338"/>
        <w:spacing w:after="0" w:line="306" w:lineRule="auto"/>
        <w:rPr>
          <w:sz w:val="20"/>
          <w:szCs w:val="20"/>
          <w:color w:val="auto"/>
        </w:rPr>
      </w:pPr>
      <w:r>
        <w:rPr>
          <w:rFonts w:ascii="Arial" w:cs="Arial" w:eastAsia="Arial" w:hAnsi="Arial"/>
          <w:sz w:val="16"/>
          <w:szCs w:val="16"/>
          <w:color w:val="auto"/>
        </w:rPr>
        <w:t>Pursuant to the application of authoritative guidance issued by the Financial Accounting Standards Board (“FASB”) to the Company’s lease of office and laboratory facilities in Tarrytown, New York, the Company recognized a facility lease obligation of $4.0 million for the nine months ended September 30, 2009, in connection with capitalizing, on the Company’s books, the landlord’s costs of constructing new facilities that the Company has leased.</w:t>
      </w:r>
    </w:p>
    <w:p>
      <w:pPr>
        <w:spacing w:after="0" w:line="215"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Included in facility lease obligations and property, plant, and equipment at September 30, 2010 was $2.6 million of capitalized and deferred interest for the nine months ended September 30, 2010, as the related facilities being leased by the Company are currently under construction and lease payments on these facilities do not commence until January 2011.</w:t>
      </w:r>
    </w:p>
    <w:p>
      <w:pPr>
        <w:spacing w:after="0" w:line="248"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8"/>
          <w:szCs w:val="18"/>
          <w:color w:val="auto"/>
        </w:rPr>
        <w:t>Included in other assets at September 30, 2010 and December 31, 2009 was $0.1 million and $0.7 million, respectively, due to the Company in connection with employee exercises of stock options.</w:t>
      </w:r>
    </w:p>
    <w:p>
      <w:pPr>
        <w:spacing w:after="0" w:line="24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Included in marketable securities at September 30, 2010 and December 31, 2009 were $1.3 million and $0.6 million, respectively, of accrued interest income.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Included in marketable securities at September 30, 2009 and December 31, 2008 were $1.0 million and $1.7 million, respectively, of accrued interest income.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85"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Marketable securities at September 30, 2010 and December 31, 2009 consisted of debt securities, as detailed below, and an equity security, the aggregate fair value of which was $4.0 million and $5.5 million at September 30, 2010 and December 31, 2009, respectively, and the aggregate cost basis of which was $4.0 million at both September 30, 2010 and December 31, 2009. The following tables summarize the amortized cost basis of debt securities included in marketable securities, the aggregate fair value of those securities, and gross unrealized gains and losses on those securities at September 30, 2010 and December 31, 2009. The Company classifies its debt securities, other than mortgage-backed securities, based on their contractual maturity dates. Maturities of mortgage-backed securities have been estimated based primarily on repayment characteristics and experience of the senior tranches that the Company holds.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Amortized</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Unrealized</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r>
      <w:tr>
        <w:trPr>
          <w:trHeight w:val="216"/>
        </w:trPr>
        <w:tc>
          <w:tcPr>
            <w:tcW w:w="6900" w:type="dxa"/>
            <w:vAlign w:val="bottom"/>
            <w:gridSpan w:val="3"/>
          </w:tcPr>
          <w:p>
            <w:pPr>
              <w:spacing w:after="0"/>
              <w:rPr>
                <w:sz w:val="20"/>
                <w:szCs w:val="20"/>
                <w:color w:val="auto"/>
              </w:rPr>
            </w:pPr>
            <w:r>
              <w:rPr>
                <w:rFonts w:ascii="Arial" w:cs="Arial" w:eastAsia="Arial" w:hAnsi="Arial"/>
                <w:sz w:val="18"/>
                <w:szCs w:val="18"/>
                <w:b w:val="1"/>
                <w:bCs w:val="1"/>
                <w:color w:val="auto"/>
              </w:rPr>
              <w:t>At September 30, 2010</w:t>
            </w:r>
          </w:p>
        </w:tc>
        <w:tc>
          <w:tcPr>
            <w:tcW w:w="22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Cost Basis</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18"/>
                <w:szCs w:val="18"/>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(Losses)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b w:val="1"/>
                <w:bCs w:val="1"/>
                <w:color w:val="auto"/>
                <w:w w:val="96"/>
              </w:rPr>
              <w:t>Net</w:t>
            </w:r>
          </w:p>
        </w:tc>
      </w:tr>
      <w:tr>
        <w:trPr>
          <w:trHeight w:val="20"/>
        </w:trPr>
        <w:tc>
          <w:tcPr>
            <w:tcW w:w="1660" w:type="dxa"/>
            <w:vAlign w:val="bottom"/>
            <w:tcBorders>
              <w:top w:val="single" w:sz="8" w:color="auto"/>
              <w:bottom w:val="single" w:sz="8" w:color="C0C0C0"/>
            </w:tcBorders>
          </w:tcPr>
          <w:p>
            <w:pPr>
              <w:spacing w:after="0" w:line="20" w:lineRule="exact"/>
              <w:rPr>
                <w:sz w:val="1"/>
                <w:szCs w:val="1"/>
                <w:color w:val="auto"/>
              </w:rPr>
            </w:pPr>
          </w:p>
        </w:tc>
        <w:tc>
          <w:tcPr>
            <w:tcW w:w="40" w:type="dxa"/>
            <w:vAlign w:val="bottom"/>
            <w:tcBorders>
              <w:top w:val="single" w:sz="8" w:color="auto"/>
              <w:bottom w:val="single" w:sz="8" w:color="C0C0C0"/>
            </w:tcBorders>
          </w:tcPr>
          <w:p>
            <w:pPr>
              <w:spacing w:after="0" w:line="20" w:lineRule="exact"/>
              <w:rPr>
                <w:sz w:val="1"/>
                <w:szCs w:val="1"/>
                <w:color w:val="auto"/>
              </w:rPr>
            </w:pPr>
          </w:p>
        </w:tc>
        <w:tc>
          <w:tcPr>
            <w:tcW w:w="5200" w:type="dxa"/>
            <w:vAlign w:val="bottom"/>
            <w:tcBorders>
              <w:bottom w:val="single" w:sz="8" w:color="C0C0C0"/>
            </w:tcBorders>
          </w:tcPr>
          <w:p>
            <w:pPr>
              <w:spacing w:after="0" w:line="20" w:lineRule="exact"/>
              <w:rPr>
                <w:sz w:val="1"/>
                <w:szCs w:val="1"/>
                <w:color w:val="auto"/>
              </w:rPr>
            </w:pPr>
          </w:p>
        </w:tc>
        <w:tc>
          <w:tcPr>
            <w:tcW w:w="220" w:type="dxa"/>
            <w:vAlign w:val="bottom"/>
            <w:tcBorders>
              <w:bottom w:val="single" w:sz="8" w:color="C0C0C0"/>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0C0C0"/>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0C0C0"/>
            </w:tcBorders>
          </w:tcPr>
          <w:p>
            <w:pPr>
              <w:spacing w:after="0" w:line="20" w:lineRule="exact"/>
              <w:rPr>
                <w:sz w:val="1"/>
                <w:szCs w:val="1"/>
                <w:color w:val="auto"/>
              </w:rPr>
            </w:pPr>
          </w:p>
        </w:tc>
        <w:tc>
          <w:tcPr>
            <w:tcW w:w="100" w:type="dxa"/>
            <w:vAlign w:val="bottom"/>
            <w:tcBorders>
              <w:bottom w:val="single" w:sz="8" w:color="C0C0C0"/>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0C0C0"/>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0C0C0"/>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24"/>
        </w:trPr>
        <w:tc>
          <w:tcPr>
            <w:tcW w:w="69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Maturities within one year</w:t>
            </w:r>
          </w:p>
        </w:tc>
        <w:tc>
          <w:tcPr>
            <w:tcW w:w="2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40" w:type="dxa"/>
            <w:vAlign w:val="bottom"/>
            <w:shd w:val="clear" w:color="auto" w:fill="C0C0C0"/>
          </w:tcPr>
          <w:p>
            <w:pPr>
              <w:spacing w:after="0"/>
              <w:rPr>
                <w:sz w:val="19"/>
                <w:szCs w:val="19"/>
                <w:color w:val="auto"/>
              </w:rPr>
            </w:pPr>
          </w:p>
        </w:tc>
      </w:tr>
      <w:tr>
        <w:trPr>
          <w:trHeight w:val="235"/>
        </w:trPr>
        <w:tc>
          <w:tcPr>
            <w:tcW w:w="6900" w:type="dxa"/>
            <w:vAlign w:val="bottom"/>
            <w:gridSpan w:val="3"/>
          </w:tcPr>
          <w:p>
            <w:pPr>
              <w:ind w:left="320"/>
              <w:spacing w:after="0"/>
              <w:rPr>
                <w:sz w:val="20"/>
                <w:szCs w:val="20"/>
                <w:color w:val="auto"/>
              </w:rPr>
            </w:pPr>
            <w:r>
              <w:rPr>
                <w:rFonts w:ascii="Arial" w:cs="Arial" w:eastAsia="Arial" w:hAnsi="Arial"/>
                <w:sz w:val="18"/>
                <w:szCs w:val="18"/>
                <w:color w:val="auto"/>
              </w:rPr>
              <w:t>U.S. government obligations</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106,140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$ 106,238</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98</w:t>
            </w:r>
          </w:p>
        </w:tc>
      </w:tr>
      <w:tr>
        <w:trPr>
          <w:trHeight w:val="235"/>
        </w:trPr>
        <w:tc>
          <w:tcPr>
            <w:tcW w:w="6900" w:type="dxa"/>
            <w:vAlign w:val="bottom"/>
            <w:gridSpan w:val="3"/>
            <w:shd w:val="clear" w:color="auto" w:fill="C0C0C0"/>
          </w:tcPr>
          <w:p>
            <w:pPr>
              <w:ind w:left="320"/>
              <w:spacing w:after="0"/>
              <w:rPr>
                <w:sz w:val="20"/>
                <w:szCs w:val="20"/>
                <w:color w:val="auto"/>
              </w:rPr>
            </w:pPr>
            <w:r>
              <w:rPr>
                <w:rFonts w:ascii="Arial" w:cs="Arial" w:eastAsia="Arial" w:hAnsi="Arial"/>
                <w:sz w:val="18"/>
                <w:szCs w:val="18"/>
                <w:color w:val="auto"/>
              </w:rPr>
              <w:t>U.S. government guaranteed corporate</w:t>
            </w:r>
          </w:p>
        </w:tc>
        <w:tc>
          <w:tcPr>
            <w:tcW w:w="22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r>
      <w:tr>
        <w:trPr>
          <w:trHeight w:val="259"/>
        </w:trPr>
        <w:tc>
          <w:tcPr>
            <w:tcW w:w="6900" w:type="dxa"/>
            <w:vAlign w:val="bottom"/>
            <w:gridSpan w:val="3"/>
            <w:shd w:val="clear" w:color="auto" w:fill="C0C0C0"/>
          </w:tcPr>
          <w:p>
            <w:pPr>
              <w:ind w:left="620"/>
              <w:spacing w:after="0"/>
              <w:rPr>
                <w:sz w:val="20"/>
                <w:szCs w:val="20"/>
                <w:color w:val="auto"/>
              </w:rPr>
            </w:pPr>
            <w:r>
              <w:rPr>
                <w:rFonts w:ascii="Arial" w:cs="Arial" w:eastAsia="Arial" w:hAnsi="Arial"/>
                <w:sz w:val="18"/>
                <w:szCs w:val="18"/>
                <w:color w:val="auto"/>
              </w:rPr>
              <w:t>bonds</w:t>
            </w:r>
          </w:p>
        </w:tc>
        <w:tc>
          <w:tcPr>
            <w:tcW w:w="2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8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44,054</w:t>
            </w:r>
          </w:p>
        </w:tc>
        <w:tc>
          <w:tcPr>
            <w:tcW w:w="8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44,237</w:t>
            </w:r>
          </w:p>
        </w:tc>
        <w:tc>
          <w:tcPr>
            <w:tcW w:w="1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52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w w:val="93"/>
              </w:rPr>
              <w:t>183</w:t>
            </w:r>
          </w:p>
        </w:tc>
        <w:tc>
          <w:tcPr>
            <w:tcW w:w="100" w:type="dxa"/>
            <w:vAlign w:val="bottom"/>
            <w:shd w:val="clear" w:color="auto" w:fill="C0C0C0"/>
          </w:tcPr>
          <w:p>
            <w:pPr>
              <w:spacing w:after="0"/>
              <w:rPr>
                <w:sz w:val="22"/>
                <w:szCs w:val="22"/>
                <w:color w:val="auto"/>
              </w:rPr>
            </w:pPr>
          </w:p>
        </w:tc>
        <w:tc>
          <w:tcPr>
            <w:tcW w:w="86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4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183</w:t>
            </w:r>
          </w:p>
        </w:tc>
      </w:tr>
      <w:tr>
        <w:trPr>
          <w:trHeight w:val="228"/>
        </w:trPr>
        <w:tc>
          <w:tcPr>
            <w:tcW w:w="6900" w:type="dxa"/>
            <w:vAlign w:val="bottom"/>
            <w:gridSpan w:val="3"/>
          </w:tcPr>
          <w:p>
            <w:pPr>
              <w:ind w:left="320"/>
              <w:spacing w:after="0"/>
              <w:rPr>
                <w:sz w:val="20"/>
                <w:szCs w:val="20"/>
                <w:color w:val="auto"/>
              </w:rPr>
            </w:pPr>
            <w:r>
              <w:rPr>
                <w:rFonts w:ascii="Arial" w:cs="Arial" w:eastAsia="Arial" w:hAnsi="Arial"/>
                <w:sz w:val="18"/>
                <w:szCs w:val="18"/>
                <w:color w:val="auto"/>
              </w:rPr>
              <w:t>U.S. government guaranteed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51"/>
        </w:trPr>
        <w:tc>
          <w:tcPr>
            <w:tcW w:w="6900" w:type="dxa"/>
            <w:vAlign w:val="bottom"/>
            <w:gridSpan w:val="3"/>
          </w:tcPr>
          <w:p>
            <w:pPr>
              <w:ind w:left="620"/>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2,481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130</w:t>
            </w:r>
          </w:p>
        </w:tc>
      </w:tr>
      <w:tr>
        <w:trPr>
          <w:trHeight w:val="243"/>
        </w:trPr>
        <w:tc>
          <w:tcPr>
            <w:tcW w:w="6900" w:type="dxa"/>
            <w:vAlign w:val="bottom"/>
            <w:gridSpan w:val="3"/>
            <w:shd w:val="clear" w:color="auto" w:fill="C0C0C0"/>
          </w:tcPr>
          <w:p>
            <w:pPr>
              <w:ind w:left="320"/>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689</w:t>
            </w:r>
          </w:p>
        </w:tc>
        <w:tc>
          <w:tcPr>
            <w:tcW w:w="8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w:t>
            </w:r>
          </w:p>
        </w:tc>
      </w:tr>
      <w:tr>
        <w:trPr>
          <w:trHeight w:val="21"/>
        </w:trPr>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237"/>
        </w:trPr>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153,364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153,767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414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403</w:t>
            </w:r>
          </w:p>
        </w:tc>
      </w:tr>
      <w:tr>
        <w:trPr>
          <w:trHeight w:val="243"/>
        </w:trPr>
        <w:tc>
          <w:tcPr>
            <w:tcW w:w="6900" w:type="dxa"/>
            <w:vAlign w:val="bottom"/>
            <w:tcBorders>
              <w:top w:val="single" w:sz="8" w:color="C0C0C0"/>
            </w:tcBorders>
            <w:gridSpan w:val="3"/>
            <w:shd w:val="clear" w:color="auto" w:fill="C0C0C0"/>
          </w:tcPr>
          <w:p>
            <w:pPr>
              <w:spacing w:after="0"/>
              <w:rPr>
                <w:sz w:val="20"/>
                <w:szCs w:val="20"/>
                <w:color w:val="auto"/>
              </w:rPr>
            </w:pPr>
            <w:r>
              <w:rPr>
                <w:rFonts w:ascii="Arial" w:cs="Arial" w:eastAsia="Arial" w:hAnsi="Arial"/>
                <w:sz w:val="18"/>
                <w:szCs w:val="18"/>
                <w:color w:val="auto"/>
              </w:rPr>
              <w:t>Maturities between one and five years</w:t>
            </w:r>
          </w:p>
        </w:tc>
        <w:tc>
          <w:tcPr>
            <w:tcW w:w="220" w:type="dxa"/>
            <w:vAlign w:val="bottom"/>
            <w:tcBorders>
              <w:top w:val="single" w:sz="8" w:color="C0C0C0"/>
            </w:tcBorders>
            <w:shd w:val="clear" w:color="auto" w:fill="C0C0C0"/>
          </w:tcPr>
          <w:p>
            <w:pPr>
              <w:spacing w:after="0"/>
              <w:rPr>
                <w:sz w:val="21"/>
                <w:szCs w:val="21"/>
                <w:color w:val="auto"/>
              </w:rPr>
            </w:pPr>
          </w:p>
        </w:tc>
        <w:tc>
          <w:tcPr>
            <w:tcW w:w="160" w:type="dxa"/>
            <w:vAlign w:val="bottom"/>
            <w:tcBorders>
              <w:top w:val="single" w:sz="8" w:color="auto"/>
            </w:tcBorders>
            <w:shd w:val="clear" w:color="auto" w:fill="C0C0C0"/>
          </w:tcPr>
          <w:p>
            <w:pPr>
              <w:spacing w:after="0"/>
              <w:rPr>
                <w:sz w:val="21"/>
                <w:szCs w:val="21"/>
                <w:color w:val="auto"/>
              </w:rPr>
            </w:pPr>
          </w:p>
        </w:tc>
        <w:tc>
          <w:tcPr>
            <w:tcW w:w="64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C0C0C0"/>
            </w:tcBorders>
            <w:shd w:val="clear" w:color="auto" w:fill="C0C0C0"/>
          </w:tcPr>
          <w:p>
            <w:pPr>
              <w:spacing w:after="0"/>
              <w:rPr>
                <w:sz w:val="21"/>
                <w:szCs w:val="21"/>
                <w:color w:val="auto"/>
              </w:rPr>
            </w:pPr>
          </w:p>
        </w:tc>
        <w:tc>
          <w:tcPr>
            <w:tcW w:w="68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30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86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440" w:type="dxa"/>
            <w:vAlign w:val="bottom"/>
            <w:tcBorders>
              <w:top w:val="single" w:sz="8" w:color="auto"/>
            </w:tcBorders>
            <w:shd w:val="clear" w:color="auto" w:fill="C0C0C0"/>
          </w:tcPr>
          <w:p>
            <w:pPr>
              <w:spacing w:after="0"/>
              <w:rPr>
                <w:sz w:val="21"/>
                <w:szCs w:val="21"/>
                <w:color w:val="auto"/>
              </w:rPr>
            </w:pPr>
          </w:p>
        </w:tc>
      </w:tr>
      <w:tr>
        <w:trPr>
          <w:trHeight w:val="235"/>
        </w:trPr>
        <w:tc>
          <w:tcPr>
            <w:tcW w:w="6900" w:type="dxa"/>
            <w:vAlign w:val="bottom"/>
            <w:gridSpan w:val="3"/>
          </w:tcPr>
          <w:p>
            <w:pPr>
              <w:ind w:left="320"/>
              <w:spacing w:after="0"/>
              <w:rPr>
                <w:sz w:val="20"/>
                <w:szCs w:val="20"/>
                <w:color w:val="auto"/>
              </w:rPr>
            </w:pPr>
            <w:r>
              <w:rPr>
                <w:rFonts w:ascii="Arial" w:cs="Arial" w:eastAsia="Arial" w:hAnsi="Arial"/>
                <w:sz w:val="18"/>
                <w:szCs w:val="18"/>
                <w:color w:val="auto"/>
              </w:rPr>
              <w:t>U.S. government obligations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9,046</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9,072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35"/>
        </w:trPr>
        <w:tc>
          <w:tcPr>
            <w:tcW w:w="6900" w:type="dxa"/>
            <w:vAlign w:val="bottom"/>
            <w:gridSpan w:val="3"/>
            <w:shd w:val="clear" w:color="auto" w:fill="C0C0C0"/>
          </w:tcPr>
          <w:p>
            <w:pPr>
              <w:ind w:left="320"/>
              <w:spacing w:after="0"/>
              <w:rPr>
                <w:sz w:val="20"/>
                <w:szCs w:val="20"/>
                <w:color w:val="auto"/>
              </w:rPr>
            </w:pPr>
            <w:r>
              <w:rPr>
                <w:rFonts w:ascii="Arial" w:cs="Arial" w:eastAsia="Arial" w:hAnsi="Arial"/>
                <w:sz w:val="18"/>
                <w:szCs w:val="18"/>
                <w:color w:val="auto"/>
              </w:rPr>
              <w:t>U.S. government guaranteed corporate</w:t>
            </w:r>
          </w:p>
        </w:tc>
        <w:tc>
          <w:tcPr>
            <w:tcW w:w="22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r>
      <w:tr>
        <w:trPr>
          <w:trHeight w:val="259"/>
        </w:trPr>
        <w:tc>
          <w:tcPr>
            <w:tcW w:w="6900" w:type="dxa"/>
            <w:vAlign w:val="bottom"/>
            <w:gridSpan w:val="3"/>
            <w:shd w:val="clear" w:color="auto" w:fill="C0C0C0"/>
          </w:tcPr>
          <w:p>
            <w:pPr>
              <w:ind w:left="620"/>
              <w:spacing w:after="0"/>
              <w:rPr>
                <w:sz w:val="20"/>
                <w:szCs w:val="20"/>
                <w:color w:val="auto"/>
              </w:rPr>
            </w:pPr>
            <w:r>
              <w:rPr>
                <w:rFonts w:ascii="Arial" w:cs="Arial" w:eastAsia="Arial" w:hAnsi="Arial"/>
                <w:sz w:val="18"/>
                <w:szCs w:val="18"/>
                <w:color w:val="auto"/>
              </w:rPr>
              <w:t>bonds</w:t>
            </w:r>
          </w:p>
        </w:tc>
        <w:tc>
          <w:tcPr>
            <w:tcW w:w="2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8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21,502</w:t>
            </w:r>
          </w:p>
        </w:tc>
        <w:tc>
          <w:tcPr>
            <w:tcW w:w="8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21,829</w:t>
            </w:r>
          </w:p>
        </w:tc>
        <w:tc>
          <w:tcPr>
            <w:tcW w:w="1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52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w w:val="93"/>
              </w:rPr>
              <w:t>327</w:t>
            </w:r>
          </w:p>
        </w:tc>
        <w:tc>
          <w:tcPr>
            <w:tcW w:w="100" w:type="dxa"/>
            <w:vAlign w:val="bottom"/>
            <w:shd w:val="clear" w:color="auto" w:fill="C0C0C0"/>
          </w:tcPr>
          <w:p>
            <w:pPr>
              <w:spacing w:after="0"/>
              <w:rPr>
                <w:sz w:val="22"/>
                <w:szCs w:val="22"/>
                <w:color w:val="auto"/>
              </w:rPr>
            </w:pPr>
          </w:p>
        </w:tc>
        <w:tc>
          <w:tcPr>
            <w:tcW w:w="86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4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327</w:t>
            </w:r>
          </w:p>
        </w:tc>
      </w:tr>
      <w:tr>
        <w:trPr>
          <w:trHeight w:val="235"/>
        </w:trPr>
        <w:tc>
          <w:tcPr>
            <w:tcW w:w="6900" w:type="dxa"/>
            <w:vAlign w:val="bottom"/>
            <w:gridSpan w:val="3"/>
          </w:tcPr>
          <w:p>
            <w:pPr>
              <w:ind w:left="320"/>
              <w:spacing w:after="0"/>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2,206</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900" w:type="dxa"/>
            <w:vAlign w:val="bottom"/>
            <w:gridSpan w:val="3"/>
            <w:shd w:val="clear" w:color="auto" w:fill="C0C0C0"/>
          </w:tcPr>
          <w:p>
            <w:pPr>
              <w:ind w:left="320"/>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842</w:t>
            </w:r>
          </w:p>
        </w:tc>
        <w:tc>
          <w:tcPr>
            <w:tcW w:w="8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0"/>
              </w:rPr>
              <w:t>(167)</w:t>
            </w:r>
          </w:p>
        </w:tc>
      </w:tr>
      <w:tr>
        <w:trPr>
          <w:trHeight w:val="21"/>
        </w:trPr>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237"/>
        </w:trPr>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33,596</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33,778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357</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182</w:t>
            </w:r>
          </w:p>
        </w:tc>
      </w:tr>
      <w:tr>
        <w:trPr>
          <w:trHeight w:val="243"/>
        </w:trPr>
        <w:tc>
          <w:tcPr>
            <w:tcW w:w="6900" w:type="dxa"/>
            <w:vAlign w:val="bottom"/>
            <w:tcBorders>
              <w:top w:val="single" w:sz="8" w:color="C0C0C0"/>
            </w:tcBorders>
            <w:gridSpan w:val="3"/>
            <w:shd w:val="clear" w:color="auto" w:fill="C0C0C0"/>
          </w:tcPr>
          <w:p>
            <w:pPr>
              <w:spacing w:after="0"/>
              <w:rPr>
                <w:sz w:val="20"/>
                <w:szCs w:val="20"/>
                <w:color w:val="auto"/>
              </w:rPr>
            </w:pPr>
            <w:r>
              <w:rPr>
                <w:rFonts w:ascii="Arial" w:cs="Arial" w:eastAsia="Arial" w:hAnsi="Arial"/>
                <w:sz w:val="18"/>
                <w:szCs w:val="18"/>
                <w:color w:val="auto"/>
              </w:rPr>
              <w:t>Maturities between five and seven years</w:t>
            </w:r>
          </w:p>
        </w:tc>
        <w:tc>
          <w:tcPr>
            <w:tcW w:w="220" w:type="dxa"/>
            <w:vAlign w:val="bottom"/>
            <w:tcBorders>
              <w:top w:val="single" w:sz="8" w:color="C0C0C0"/>
            </w:tcBorders>
            <w:shd w:val="clear" w:color="auto" w:fill="C0C0C0"/>
          </w:tcPr>
          <w:p>
            <w:pPr>
              <w:spacing w:after="0"/>
              <w:rPr>
                <w:sz w:val="21"/>
                <w:szCs w:val="21"/>
                <w:color w:val="auto"/>
              </w:rPr>
            </w:pPr>
          </w:p>
        </w:tc>
        <w:tc>
          <w:tcPr>
            <w:tcW w:w="160" w:type="dxa"/>
            <w:vAlign w:val="bottom"/>
            <w:tcBorders>
              <w:top w:val="single" w:sz="8" w:color="auto"/>
            </w:tcBorders>
            <w:shd w:val="clear" w:color="auto" w:fill="C0C0C0"/>
          </w:tcPr>
          <w:p>
            <w:pPr>
              <w:spacing w:after="0"/>
              <w:rPr>
                <w:sz w:val="21"/>
                <w:szCs w:val="21"/>
                <w:color w:val="auto"/>
              </w:rPr>
            </w:pPr>
          </w:p>
        </w:tc>
        <w:tc>
          <w:tcPr>
            <w:tcW w:w="64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C0C0C0"/>
            </w:tcBorders>
            <w:shd w:val="clear" w:color="auto" w:fill="C0C0C0"/>
          </w:tcPr>
          <w:p>
            <w:pPr>
              <w:spacing w:after="0"/>
              <w:rPr>
                <w:sz w:val="21"/>
                <w:szCs w:val="21"/>
                <w:color w:val="auto"/>
              </w:rPr>
            </w:pPr>
          </w:p>
        </w:tc>
        <w:tc>
          <w:tcPr>
            <w:tcW w:w="68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30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86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440" w:type="dxa"/>
            <w:vAlign w:val="bottom"/>
            <w:tcBorders>
              <w:top w:val="single" w:sz="8" w:color="auto"/>
            </w:tcBorders>
            <w:shd w:val="clear" w:color="auto" w:fill="C0C0C0"/>
          </w:tcPr>
          <w:p>
            <w:pPr>
              <w:spacing w:after="0"/>
              <w:rPr>
                <w:sz w:val="21"/>
                <w:szCs w:val="21"/>
                <w:color w:val="auto"/>
              </w:rPr>
            </w:pPr>
          </w:p>
        </w:tc>
      </w:tr>
      <w:tr>
        <w:trPr>
          <w:trHeight w:val="250"/>
        </w:trPr>
        <w:tc>
          <w:tcPr>
            <w:tcW w:w="6900" w:type="dxa"/>
            <w:vAlign w:val="bottom"/>
            <w:gridSpan w:val="3"/>
          </w:tcPr>
          <w:p>
            <w:pPr>
              <w:ind w:left="320"/>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r>
      <w:tr>
        <w:trPr>
          <w:trHeight w:val="257"/>
        </w:trPr>
        <w:tc>
          <w:tcPr>
            <w:tcW w:w="166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5200" w:type="dxa"/>
            <w:vAlign w:val="bottom"/>
            <w:shd w:val="clear" w:color="auto" w:fill="C0C0C0"/>
          </w:tcPr>
          <w:p>
            <w:pPr>
              <w:spacing w:after="0"/>
              <w:rPr>
                <w:sz w:val="22"/>
                <w:szCs w:val="22"/>
                <w:color w:val="auto"/>
              </w:rPr>
            </w:pPr>
          </w:p>
        </w:tc>
        <w:tc>
          <w:tcPr>
            <w:tcW w:w="38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w w:val="95"/>
              </w:rPr>
              <w:t>187,142</w:t>
            </w:r>
          </w:p>
        </w:tc>
        <w:tc>
          <w:tcPr>
            <w:tcW w:w="8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82"/>
              </w:rPr>
              <w:t>$ 187,687</w:t>
            </w:r>
          </w:p>
        </w:tc>
        <w:tc>
          <w:tcPr>
            <w:tcW w:w="24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w w:val="93"/>
              </w:rPr>
              <w:t>771</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(226)</w:t>
            </w:r>
          </w:p>
        </w:tc>
        <w:tc>
          <w:tcPr>
            <w:tcW w:w="3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545</w:t>
            </w:r>
          </w:p>
        </w:tc>
      </w:tr>
      <w:tr>
        <w:trPr>
          <w:trHeight w:val="217"/>
        </w:trPr>
        <w:tc>
          <w:tcPr>
            <w:tcW w:w="1660" w:type="dxa"/>
            <w:vAlign w:val="bottom"/>
            <w:tcBorders>
              <w:top w:val="single" w:sz="8" w:color="C0C0C0"/>
              <w:bottom w:val="single" w:sz="8" w:color="auto"/>
            </w:tcBorders>
          </w:tcPr>
          <w:p>
            <w:pPr>
              <w:spacing w:after="0"/>
              <w:rPr>
                <w:sz w:val="20"/>
                <w:szCs w:val="20"/>
                <w:color w:val="auto"/>
              </w:rPr>
            </w:pPr>
            <w:r>
              <w:rPr>
                <w:rFonts w:ascii="Arial" w:cs="Arial" w:eastAsia="Arial" w:hAnsi="Arial"/>
                <w:sz w:val="18"/>
                <w:szCs w:val="18"/>
                <w:b w:val="1"/>
                <w:bCs w:val="1"/>
                <w:color w:val="auto"/>
                <w:w w:val="88"/>
              </w:rPr>
              <w:t>At December 31, 2009</w:t>
            </w:r>
          </w:p>
        </w:tc>
        <w:tc>
          <w:tcPr>
            <w:tcW w:w="5240" w:type="dxa"/>
            <w:vAlign w:val="bottom"/>
            <w:tcBorders>
              <w:top w:val="single" w:sz="8" w:color="C0C0C0"/>
            </w:tcBorders>
            <w:gridSpan w:val="2"/>
          </w:tcPr>
          <w:p>
            <w:pPr>
              <w:spacing w:after="0"/>
              <w:rPr>
                <w:sz w:val="18"/>
                <w:szCs w:val="18"/>
                <w:color w:val="auto"/>
              </w:rPr>
            </w:pPr>
          </w:p>
        </w:tc>
        <w:tc>
          <w:tcPr>
            <w:tcW w:w="220" w:type="dxa"/>
            <w:vAlign w:val="bottom"/>
            <w:tcBorders>
              <w:top w:val="single" w:sz="8" w:color="C0C0C0"/>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0C0C0"/>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0C0C0"/>
            </w:tcBorders>
          </w:tcPr>
          <w:p>
            <w:pPr>
              <w:spacing w:after="0"/>
              <w:rPr>
                <w:sz w:val="18"/>
                <w:szCs w:val="18"/>
                <w:color w:val="auto"/>
              </w:rPr>
            </w:pPr>
          </w:p>
        </w:tc>
        <w:tc>
          <w:tcPr>
            <w:tcW w:w="100" w:type="dxa"/>
            <w:vAlign w:val="bottom"/>
            <w:tcBorders>
              <w:top w:val="single" w:sz="8" w:color="C0C0C0"/>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C0C0C0"/>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0C0C0"/>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r>
      <w:tr>
        <w:trPr>
          <w:trHeight w:val="243"/>
        </w:trPr>
        <w:tc>
          <w:tcPr>
            <w:tcW w:w="69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Maturities within one year</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r>
      <w:tr>
        <w:trPr>
          <w:trHeight w:val="235"/>
        </w:trPr>
        <w:tc>
          <w:tcPr>
            <w:tcW w:w="6900" w:type="dxa"/>
            <w:vAlign w:val="bottom"/>
            <w:gridSpan w:val="3"/>
          </w:tcPr>
          <w:p>
            <w:pPr>
              <w:ind w:left="320"/>
              <w:spacing w:after="0"/>
              <w:rPr>
                <w:sz w:val="20"/>
                <w:szCs w:val="20"/>
                <w:color w:val="auto"/>
              </w:rPr>
            </w:pPr>
            <w:r>
              <w:rPr>
                <w:rFonts w:ascii="Arial" w:cs="Arial" w:eastAsia="Arial" w:hAnsi="Arial"/>
                <w:sz w:val="18"/>
                <w:szCs w:val="18"/>
                <w:color w:val="auto"/>
              </w:rPr>
              <w:t>U.S. government obligations</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100,491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$ 100,573</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82</w:t>
            </w:r>
          </w:p>
        </w:tc>
      </w:tr>
      <w:tr>
        <w:trPr>
          <w:trHeight w:val="235"/>
        </w:trPr>
        <w:tc>
          <w:tcPr>
            <w:tcW w:w="6900" w:type="dxa"/>
            <w:vAlign w:val="bottom"/>
            <w:gridSpan w:val="3"/>
            <w:shd w:val="clear" w:color="auto" w:fill="C0C0C0"/>
          </w:tcPr>
          <w:p>
            <w:pPr>
              <w:ind w:left="320"/>
              <w:spacing w:after="0"/>
              <w:rPr>
                <w:sz w:val="20"/>
                <w:szCs w:val="20"/>
                <w:color w:val="auto"/>
              </w:rPr>
            </w:pPr>
            <w:r>
              <w:rPr>
                <w:rFonts w:ascii="Arial" w:cs="Arial" w:eastAsia="Arial" w:hAnsi="Arial"/>
                <w:sz w:val="18"/>
                <w:szCs w:val="18"/>
                <w:color w:val="auto"/>
              </w:rPr>
              <w:t>U.S. government guaranteed corporate</w:t>
            </w:r>
          </w:p>
        </w:tc>
        <w:tc>
          <w:tcPr>
            <w:tcW w:w="22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r>
      <w:tr>
        <w:trPr>
          <w:trHeight w:val="259"/>
        </w:trPr>
        <w:tc>
          <w:tcPr>
            <w:tcW w:w="6900" w:type="dxa"/>
            <w:vAlign w:val="bottom"/>
            <w:gridSpan w:val="3"/>
            <w:shd w:val="clear" w:color="auto" w:fill="C0C0C0"/>
          </w:tcPr>
          <w:p>
            <w:pPr>
              <w:ind w:left="620"/>
              <w:spacing w:after="0"/>
              <w:rPr>
                <w:sz w:val="20"/>
                <w:szCs w:val="20"/>
                <w:color w:val="auto"/>
              </w:rPr>
            </w:pPr>
            <w:r>
              <w:rPr>
                <w:rFonts w:ascii="Arial" w:cs="Arial" w:eastAsia="Arial" w:hAnsi="Arial"/>
                <w:sz w:val="18"/>
                <w:szCs w:val="18"/>
                <w:color w:val="auto"/>
              </w:rPr>
              <w:t>bonds</w:t>
            </w:r>
          </w:p>
        </w:tc>
        <w:tc>
          <w:tcPr>
            <w:tcW w:w="2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8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17,176</w:t>
            </w:r>
          </w:p>
        </w:tc>
        <w:tc>
          <w:tcPr>
            <w:tcW w:w="8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17,340</w:t>
            </w:r>
          </w:p>
        </w:tc>
        <w:tc>
          <w:tcPr>
            <w:tcW w:w="1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52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w w:val="93"/>
              </w:rPr>
              <w:t>164</w:t>
            </w:r>
          </w:p>
        </w:tc>
        <w:tc>
          <w:tcPr>
            <w:tcW w:w="100" w:type="dxa"/>
            <w:vAlign w:val="bottom"/>
            <w:shd w:val="clear" w:color="auto" w:fill="C0C0C0"/>
          </w:tcPr>
          <w:p>
            <w:pPr>
              <w:spacing w:after="0"/>
              <w:rPr>
                <w:sz w:val="22"/>
                <w:szCs w:val="22"/>
                <w:color w:val="auto"/>
              </w:rPr>
            </w:pPr>
          </w:p>
        </w:tc>
        <w:tc>
          <w:tcPr>
            <w:tcW w:w="86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4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164</w:t>
            </w:r>
          </w:p>
        </w:tc>
      </w:tr>
      <w:tr>
        <w:trPr>
          <w:trHeight w:val="235"/>
        </w:trPr>
        <w:tc>
          <w:tcPr>
            <w:tcW w:w="6900" w:type="dxa"/>
            <w:vAlign w:val="bottom"/>
            <w:gridSpan w:val="3"/>
          </w:tcPr>
          <w:p>
            <w:pPr>
              <w:ind w:left="32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10,142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10,342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200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200</w:t>
            </w:r>
          </w:p>
        </w:tc>
      </w:tr>
      <w:tr>
        <w:trPr>
          <w:trHeight w:val="235"/>
        </w:trPr>
        <w:tc>
          <w:tcPr>
            <w:tcW w:w="6900" w:type="dxa"/>
            <w:vAlign w:val="bottom"/>
            <w:gridSpan w:val="3"/>
            <w:shd w:val="clear" w:color="auto" w:fill="C0C0C0"/>
          </w:tcPr>
          <w:p>
            <w:pPr>
              <w:ind w:left="320"/>
              <w:spacing w:after="0"/>
              <w:rPr>
                <w:sz w:val="20"/>
                <w:szCs w:val="20"/>
                <w:color w:val="auto"/>
              </w:rPr>
            </w:pPr>
            <w:r>
              <w:rPr>
                <w:rFonts w:ascii="Arial" w:cs="Arial" w:eastAsia="Arial" w:hAnsi="Arial"/>
                <w:sz w:val="18"/>
                <w:szCs w:val="18"/>
                <w:color w:val="auto"/>
              </w:rPr>
              <w:t>U.S. government guaranteed</w:t>
            </w:r>
          </w:p>
        </w:tc>
        <w:tc>
          <w:tcPr>
            <w:tcW w:w="22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r>
      <w:tr>
        <w:trPr>
          <w:trHeight w:val="259"/>
        </w:trPr>
        <w:tc>
          <w:tcPr>
            <w:tcW w:w="6900" w:type="dxa"/>
            <w:vAlign w:val="bottom"/>
            <w:gridSpan w:val="3"/>
            <w:shd w:val="clear" w:color="auto" w:fill="C0C0C0"/>
          </w:tcPr>
          <w:p>
            <w:pPr>
              <w:ind w:left="620"/>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8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3,612</w:t>
            </w:r>
          </w:p>
        </w:tc>
        <w:tc>
          <w:tcPr>
            <w:tcW w:w="8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3,662</w:t>
            </w:r>
          </w:p>
        </w:tc>
        <w:tc>
          <w:tcPr>
            <w:tcW w:w="1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52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0C0C0"/>
          </w:tcPr>
          <w:p>
            <w:pPr>
              <w:spacing w:after="0"/>
              <w:rPr>
                <w:sz w:val="22"/>
                <w:szCs w:val="22"/>
                <w:color w:val="auto"/>
              </w:rPr>
            </w:pPr>
          </w:p>
        </w:tc>
        <w:tc>
          <w:tcPr>
            <w:tcW w:w="86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4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50</w:t>
            </w:r>
          </w:p>
        </w:tc>
      </w:tr>
      <w:tr>
        <w:trPr>
          <w:trHeight w:val="235"/>
        </w:trPr>
        <w:tc>
          <w:tcPr>
            <w:tcW w:w="6900" w:type="dxa"/>
            <w:vAlign w:val="bottom"/>
            <w:gridSpan w:val="3"/>
          </w:tcPr>
          <w:p>
            <w:pPr>
              <w:ind w:left="320"/>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2,471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(133)</w:t>
            </w:r>
          </w:p>
        </w:tc>
      </w:tr>
      <w:tr>
        <w:trPr>
          <w:trHeight w:val="21"/>
        </w:trPr>
        <w:tc>
          <w:tcPr>
            <w:tcW w:w="1660" w:type="dxa"/>
            <w:vAlign w:val="bottom"/>
            <w:shd w:val="clear" w:color="auto" w:fill="C0C0C0"/>
          </w:tcPr>
          <w:p>
            <w:pPr>
              <w:spacing w:after="0" w:line="20" w:lineRule="exact"/>
              <w:rPr>
                <w:sz w:val="1"/>
                <w:szCs w:val="1"/>
                <w:color w:val="auto"/>
              </w:rPr>
            </w:pPr>
          </w:p>
        </w:tc>
        <w:tc>
          <w:tcPr>
            <w:tcW w:w="40" w:type="dxa"/>
            <w:vAlign w:val="bottom"/>
            <w:shd w:val="clear" w:color="auto" w:fill="C0C0C0"/>
          </w:tcPr>
          <w:p>
            <w:pPr>
              <w:spacing w:after="0" w:line="20" w:lineRule="exact"/>
              <w:rPr>
                <w:sz w:val="1"/>
                <w:szCs w:val="1"/>
                <w:color w:val="auto"/>
              </w:rPr>
            </w:pPr>
          </w:p>
        </w:tc>
        <w:tc>
          <w:tcPr>
            <w:tcW w:w="520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243"/>
        </w:trPr>
        <w:tc>
          <w:tcPr>
            <w:tcW w:w="166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52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w w:val="95"/>
              </w:rPr>
              <w:t>133,892</w:t>
            </w:r>
          </w:p>
        </w:tc>
        <w:tc>
          <w:tcPr>
            <w:tcW w:w="8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134,255</w:t>
            </w: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52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w w:val="93"/>
              </w:rPr>
              <w:t>496</w:t>
            </w: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363</w:t>
            </w:r>
          </w:p>
        </w:tc>
      </w:tr>
      <w:tr>
        <w:trPr>
          <w:trHeight w:val="229"/>
        </w:trPr>
        <w:tc>
          <w:tcPr>
            <w:tcW w:w="6900" w:type="dxa"/>
            <w:vAlign w:val="bottom"/>
            <w:gridSpan w:val="3"/>
          </w:tcPr>
          <w:p>
            <w:pPr>
              <w:spacing w:after="0"/>
              <w:rPr>
                <w:sz w:val="20"/>
                <w:szCs w:val="20"/>
                <w:color w:val="auto"/>
              </w:rPr>
            </w:pPr>
            <w:r>
              <w:rPr>
                <w:rFonts w:ascii="Arial" w:cs="Arial" w:eastAsia="Arial" w:hAnsi="Arial"/>
                <w:sz w:val="18"/>
                <w:szCs w:val="18"/>
                <w:color w:val="auto"/>
              </w:rPr>
              <w:t>Maturities between one and two years</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r>
      <w:tr>
        <w:trPr>
          <w:trHeight w:val="251"/>
        </w:trPr>
        <w:tc>
          <w:tcPr>
            <w:tcW w:w="6900" w:type="dxa"/>
            <w:vAlign w:val="bottom"/>
            <w:gridSpan w:val="3"/>
            <w:shd w:val="clear" w:color="auto" w:fill="C0C0C0"/>
          </w:tcPr>
          <w:p>
            <w:pPr>
              <w:ind w:left="320"/>
              <w:spacing w:after="0"/>
              <w:rPr>
                <w:sz w:val="20"/>
                <w:szCs w:val="20"/>
                <w:color w:val="auto"/>
              </w:rPr>
            </w:pPr>
            <w:r>
              <w:rPr>
                <w:rFonts w:ascii="Arial" w:cs="Arial" w:eastAsia="Arial" w:hAnsi="Arial"/>
                <w:sz w:val="18"/>
                <w:szCs w:val="18"/>
                <w:color w:val="auto"/>
              </w:rPr>
              <w:t>U.S. government obligations</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9,413</w:t>
            </w:r>
          </w:p>
        </w:tc>
        <w:tc>
          <w:tcPr>
            <w:tcW w:w="8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9,367</w:t>
            </w: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w:t>
            </w:r>
          </w:p>
        </w:tc>
      </w:tr>
      <w:tr>
        <w:trPr>
          <w:trHeight w:val="228"/>
        </w:trPr>
        <w:tc>
          <w:tcPr>
            <w:tcW w:w="6900" w:type="dxa"/>
            <w:vAlign w:val="bottom"/>
            <w:gridSpan w:val="3"/>
          </w:tcPr>
          <w:p>
            <w:pPr>
              <w:ind w:left="320"/>
              <w:spacing w:after="0"/>
              <w:rPr>
                <w:sz w:val="20"/>
                <w:szCs w:val="20"/>
                <w:color w:val="auto"/>
              </w:rPr>
            </w:pPr>
            <w:r>
              <w:rPr>
                <w:rFonts w:ascii="Arial" w:cs="Arial" w:eastAsia="Arial" w:hAnsi="Arial"/>
                <w:sz w:val="18"/>
                <w:szCs w:val="18"/>
                <w:color w:val="auto"/>
              </w:rPr>
              <w:t>U.S. government guaranteed corporate</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51"/>
        </w:trPr>
        <w:tc>
          <w:tcPr>
            <w:tcW w:w="6900" w:type="dxa"/>
            <w:vAlign w:val="bottom"/>
            <w:gridSpan w:val="3"/>
          </w:tcPr>
          <w:p>
            <w:pPr>
              <w:ind w:left="620"/>
              <w:spacing w:after="0"/>
              <w:rPr>
                <w:sz w:val="20"/>
                <w:szCs w:val="20"/>
                <w:color w:val="auto"/>
              </w:rPr>
            </w:pPr>
            <w:r>
              <w:rPr>
                <w:rFonts w:ascii="Arial" w:cs="Arial" w:eastAsia="Arial" w:hAnsi="Arial"/>
                <w:sz w:val="18"/>
                <w:szCs w:val="18"/>
                <w:color w:val="auto"/>
              </w:rPr>
              <w:t>bonds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31,064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31,344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280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280</w:t>
            </w:r>
          </w:p>
        </w:tc>
      </w:tr>
      <w:tr>
        <w:trPr>
          <w:trHeight w:val="243"/>
        </w:trPr>
        <w:tc>
          <w:tcPr>
            <w:tcW w:w="6900" w:type="dxa"/>
            <w:vAlign w:val="bottom"/>
            <w:gridSpan w:val="3"/>
            <w:shd w:val="clear" w:color="auto" w:fill="C0C0C0"/>
          </w:tcPr>
          <w:p>
            <w:pPr>
              <w:ind w:left="320"/>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1,168</w:t>
            </w:r>
          </w:p>
        </w:tc>
        <w:tc>
          <w:tcPr>
            <w:tcW w:w="8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0"/>
              </w:rPr>
              <w:t>(268)</w:t>
            </w:r>
          </w:p>
        </w:tc>
      </w:tr>
      <w:tr>
        <w:trPr>
          <w:trHeight w:val="21"/>
        </w:trPr>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237"/>
        </w:trPr>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41,645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41,611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280</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r>
      <w:tr>
        <w:trPr>
          <w:trHeight w:val="235"/>
        </w:trPr>
        <w:tc>
          <w:tcPr>
            <w:tcW w:w="16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5200" w:type="dxa"/>
            <w:vAlign w:val="bottom"/>
            <w:shd w:val="clear" w:color="auto" w:fill="C0C0C0"/>
          </w:tcPr>
          <w:p>
            <w:pPr>
              <w:spacing w:after="0"/>
              <w:rPr>
                <w:sz w:val="20"/>
                <w:szCs w:val="20"/>
                <w:color w:val="auto"/>
              </w:rPr>
            </w:pPr>
          </w:p>
        </w:tc>
        <w:tc>
          <w:tcPr>
            <w:tcW w:w="38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w w:val="95"/>
              </w:rPr>
              <w:t>175,537</w:t>
            </w:r>
          </w:p>
        </w:tc>
        <w:tc>
          <w:tcPr>
            <w:tcW w:w="8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82"/>
              </w:rPr>
              <w:t>$ 175,866</w:t>
            </w:r>
          </w:p>
        </w:tc>
        <w:tc>
          <w:tcPr>
            <w:tcW w:w="24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w w:val="93"/>
              </w:rPr>
              <w:t>776</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(447)</w:t>
            </w:r>
          </w:p>
        </w:tc>
        <w:tc>
          <w:tcPr>
            <w:tcW w:w="3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329</w:t>
            </w:r>
          </w:p>
        </w:tc>
      </w:tr>
      <w:tr>
        <w:trPr>
          <w:trHeight w:val="35"/>
        </w:trPr>
        <w:tc>
          <w:tcPr>
            <w:tcW w:w="1660" w:type="dxa"/>
            <w:vAlign w:val="bottom"/>
            <w:shd w:val="clear" w:color="auto" w:fill="C0C0C0"/>
          </w:tcPr>
          <w:p>
            <w:pPr>
              <w:spacing w:after="0"/>
              <w:rPr>
                <w:sz w:val="3"/>
                <w:szCs w:val="3"/>
                <w:color w:val="auto"/>
              </w:rPr>
            </w:pPr>
          </w:p>
        </w:tc>
        <w:tc>
          <w:tcPr>
            <w:tcW w:w="40" w:type="dxa"/>
            <w:vAlign w:val="bottom"/>
            <w:shd w:val="clear" w:color="auto" w:fill="C0C0C0"/>
          </w:tcPr>
          <w:p>
            <w:pPr>
              <w:spacing w:after="0"/>
              <w:rPr>
                <w:sz w:val="3"/>
                <w:szCs w:val="3"/>
                <w:color w:val="auto"/>
              </w:rPr>
            </w:pPr>
          </w:p>
        </w:tc>
        <w:tc>
          <w:tcPr>
            <w:tcW w:w="5200" w:type="dxa"/>
            <w:vAlign w:val="bottom"/>
            <w:shd w:val="clear" w:color="auto" w:fill="C0C0C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120" w:type="dxa"/>
            <w:vAlign w:val="bottom"/>
            <w:shd w:val="clear" w:color="auto" w:fill="C0C0C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00" w:type="dxa"/>
            <w:vAlign w:val="bottom"/>
            <w:shd w:val="clear" w:color="auto" w:fill="C0C0C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r>
    </w:tbl>
    <w:p>
      <w:pPr>
        <w:spacing w:after="0" w:line="302"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At December 31, 2009, marketable securities included an additional unrealized gain of $1.4 million related to the equity security in the Company’s marketable securities portfolio.</w:t>
      </w:r>
    </w:p>
    <w:p>
      <w:pPr>
        <w:spacing w:after="0" w:line="240"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September 30, 2010 and December 31, 2009. The debt securities listed at September 30, 2010, excluding mortgage-backed securities, mature at various dates through January 2012. The mortgage-backed securities listed at September 30, 2010 mature at various dates through November 2016.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5"/>
          </w:tcPr>
          <w:p>
            <w:pPr>
              <w:jc w:val="right"/>
              <w:ind w:right="132"/>
              <w:spacing w:after="0"/>
              <w:rPr>
                <w:sz w:val="20"/>
                <w:szCs w:val="20"/>
                <w:color w:val="auto"/>
              </w:rPr>
            </w:pPr>
            <w:r>
              <w:rPr>
                <w:rFonts w:ascii="Arial" w:cs="Arial" w:eastAsia="Arial" w:hAnsi="Arial"/>
                <w:sz w:val="18"/>
                <w:szCs w:val="18"/>
                <w:b w:val="1"/>
                <w:bCs w:val="1"/>
                <w:color w:val="auto"/>
                <w:w w:val="89"/>
              </w:rPr>
              <w:t>Less than 12 Months</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jc w:val="right"/>
              <w:ind w:right="172"/>
              <w:spacing w:after="0"/>
              <w:rPr>
                <w:sz w:val="20"/>
                <w:szCs w:val="20"/>
                <w:color w:val="auto"/>
              </w:rPr>
            </w:pPr>
            <w:r>
              <w:rPr>
                <w:rFonts w:ascii="Arial" w:cs="Arial" w:eastAsia="Arial" w:hAnsi="Arial"/>
                <w:sz w:val="18"/>
                <w:szCs w:val="18"/>
                <w:b w:val="1"/>
                <w:bCs w:val="1"/>
                <w:color w:val="auto"/>
                <w:w w:val="93"/>
              </w:rPr>
              <w:t>12 Months or Greater</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Total</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Unrealized</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w w:val="90"/>
              </w:rPr>
              <w:t>Unrealized</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1"/>
        </w:trPr>
        <w:tc>
          <w:tcPr>
            <w:tcW w:w="3380" w:type="dxa"/>
            <w:vAlign w:val="bottom"/>
            <w:gridSpan w:val="4"/>
          </w:tcPr>
          <w:p>
            <w:pPr>
              <w:spacing w:after="0"/>
              <w:rPr>
                <w:sz w:val="20"/>
                <w:szCs w:val="20"/>
                <w:color w:val="auto"/>
              </w:rPr>
            </w:pPr>
            <w:r>
              <w:rPr>
                <w:rFonts w:ascii="Arial" w:cs="Arial" w:eastAsia="Arial" w:hAnsi="Arial"/>
                <w:sz w:val="18"/>
                <w:szCs w:val="18"/>
                <w:b w:val="1"/>
                <w:bCs w:val="1"/>
                <w:color w:val="auto"/>
              </w:rPr>
              <w:t>At September 30, 2010</w:t>
            </w:r>
          </w:p>
        </w:tc>
        <w:tc>
          <w:tcPr>
            <w:tcW w:w="2280" w:type="dxa"/>
            <w:vAlign w:val="bottom"/>
            <w:gridSpan w:val="4"/>
          </w:tcPr>
          <w:p>
            <w:pPr>
              <w:ind w:left="136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2"/>
              <w:spacing w:after="0"/>
              <w:rPr>
                <w:sz w:val="20"/>
                <w:szCs w:val="20"/>
                <w:color w:val="auto"/>
              </w:rPr>
            </w:pPr>
            <w:r>
              <w:rPr>
                <w:rFonts w:ascii="Arial" w:cs="Arial" w:eastAsia="Arial" w:hAnsi="Arial"/>
                <w:sz w:val="18"/>
                <w:szCs w:val="18"/>
                <w:b w:val="1"/>
                <w:bCs w:val="1"/>
                <w:color w:val="auto"/>
                <w:w w:val="99"/>
              </w:rPr>
              <w:t>Loss</w:t>
            </w:r>
          </w:p>
        </w:tc>
        <w:tc>
          <w:tcPr>
            <w:tcW w:w="1200" w:type="dxa"/>
            <w:vAlign w:val="bottom"/>
            <w:gridSpan w:val="4"/>
          </w:tcPr>
          <w:p>
            <w:pPr>
              <w:ind w:left="28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2"/>
              <w:spacing w:after="0"/>
              <w:rPr>
                <w:sz w:val="20"/>
                <w:szCs w:val="20"/>
                <w:color w:val="auto"/>
              </w:rPr>
            </w:pPr>
            <w:r>
              <w:rPr>
                <w:rFonts w:ascii="Arial" w:cs="Arial" w:eastAsia="Arial" w:hAnsi="Arial"/>
                <w:sz w:val="18"/>
                <w:szCs w:val="18"/>
                <w:b w:val="1"/>
                <w:bCs w:val="1"/>
                <w:color w:val="auto"/>
              </w:rPr>
              <w:t>Loss</w:t>
            </w:r>
          </w:p>
        </w:tc>
        <w:tc>
          <w:tcPr>
            <w:tcW w:w="1060" w:type="dxa"/>
            <w:vAlign w:val="bottom"/>
            <w:gridSpan w:val="3"/>
          </w:tcPr>
          <w:p>
            <w:pPr>
              <w:ind w:left="260"/>
              <w:spacing w:after="0"/>
              <w:rPr>
                <w:sz w:val="20"/>
                <w:szCs w:val="20"/>
                <w:color w:val="auto"/>
              </w:rPr>
            </w:pPr>
            <w:r>
              <w:rPr>
                <w:rFonts w:ascii="Arial" w:cs="Arial" w:eastAsia="Arial" w:hAnsi="Arial"/>
                <w:sz w:val="18"/>
                <w:szCs w:val="18"/>
                <w:b w:val="1"/>
                <w:bCs w:val="1"/>
                <w:color w:val="auto"/>
                <w:w w:val="90"/>
              </w:rPr>
              <w:t>Fair Value</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2"/>
              <w:spacing w:after="0"/>
              <w:rPr>
                <w:sz w:val="20"/>
                <w:szCs w:val="20"/>
                <w:color w:val="auto"/>
              </w:rPr>
            </w:pPr>
            <w:r>
              <w:rPr>
                <w:rFonts w:ascii="Arial" w:cs="Arial" w:eastAsia="Arial" w:hAnsi="Arial"/>
                <w:sz w:val="18"/>
                <w:szCs w:val="18"/>
                <w:b w:val="1"/>
                <w:bCs w:val="1"/>
                <w:color w:val="auto"/>
                <w:w w:val="99"/>
              </w:rPr>
              <w:t>Loss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top w:val="single" w:sz="8" w:color="auto"/>
              <w:bottom w:val="single" w:sz="8" w:color="C0C0C0"/>
            </w:tcBorders>
          </w:tcPr>
          <w:p>
            <w:pPr>
              <w:spacing w:after="0" w:line="20" w:lineRule="exact"/>
              <w:rPr>
                <w:sz w:val="1"/>
                <w:szCs w:val="1"/>
                <w:color w:val="auto"/>
              </w:rPr>
            </w:pPr>
          </w:p>
        </w:tc>
        <w:tc>
          <w:tcPr>
            <w:tcW w:w="40" w:type="dxa"/>
            <w:vAlign w:val="bottom"/>
            <w:tcBorders>
              <w:top w:val="single" w:sz="8" w:color="auto"/>
              <w:bottom w:val="single" w:sz="8" w:color="C0C0C0"/>
            </w:tcBorders>
          </w:tcPr>
          <w:p>
            <w:pPr>
              <w:spacing w:after="0" w:line="20" w:lineRule="exact"/>
              <w:rPr>
                <w:sz w:val="1"/>
                <w:szCs w:val="1"/>
                <w:color w:val="auto"/>
              </w:rPr>
            </w:pPr>
          </w:p>
        </w:tc>
        <w:tc>
          <w:tcPr>
            <w:tcW w:w="1680" w:type="dxa"/>
            <w:vAlign w:val="bottom"/>
            <w:tcBorders>
              <w:bottom w:val="single" w:sz="8" w:color="C0C0C0"/>
            </w:tcBorders>
          </w:tcPr>
          <w:p>
            <w:pPr>
              <w:spacing w:after="0" w:line="20" w:lineRule="exact"/>
              <w:rPr>
                <w:sz w:val="1"/>
                <w:szCs w:val="1"/>
                <w:color w:val="auto"/>
              </w:rPr>
            </w:pPr>
          </w:p>
        </w:tc>
        <w:tc>
          <w:tcPr>
            <w:tcW w:w="1360" w:type="dxa"/>
            <w:vAlign w:val="bottom"/>
            <w:tcBorders>
              <w:bottom w:val="single" w:sz="8" w:color="C0C0C0"/>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0C0C0"/>
            </w:tcBorders>
          </w:tcPr>
          <w:p>
            <w:pPr>
              <w:spacing w:after="0" w:line="20" w:lineRule="exact"/>
              <w:rPr>
                <w:sz w:val="1"/>
                <w:szCs w:val="1"/>
                <w:color w:val="auto"/>
              </w:rPr>
            </w:pPr>
          </w:p>
        </w:tc>
        <w:tc>
          <w:tcPr>
            <w:tcW w:w="120" w:type="dxa"/>
            <w:vAlign w:val="bottom"/>
            <w:tcBorders>
              <w:bottom w:val="single" w:sz="8" w:color="C0C0C0"/>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0C0C0"/>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0C0C0"/>
            </w:tcBorders>
          </w:tcPr>
          <w:p>
            <w:pPr>
              <w:spacing w:after="0" w:line="20" w:lineRule="exact"/>
              <w:rPr>
                <w:sz w:val="1"/>
                <w:szCs w:val="1"/>
                <w:color w:val="auto"/>
              </w:rPr>
            </w:pPr>
          </w:p>
        </w:tc>
        <w:tc>
          <w:tcPr>
            <w:tcW w:w="120" w:type="dxa"/>
            <w:vAlign w:val="bottom"/>
            <w:tcBorders>
              <w:bottom w:val="single" w:sz="8" w:color="C0C0C0"/>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0C0C0"/>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0C0C0"/>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U.S. government obligations</w:t>
            </w:r>
          </w:p>
        </w:tc>
        <w:tc>
          <w:tcPr>
            <w:tcW w:w="1500" w:type="dxa"/>
            <w:vAlign w:val="bottom"/>
            <w:gridSpan w:val="2"/>
            <w:shd w:val="clear" w:color="auto" w:fill="C0C0C0"/>
          </w:tcPr>
          <w:p>
            <w:pPr>
              <w:ind w:left="1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12,624</w:t>
            </w:r>
          </w:p>
        </w:tc>
        <w:tc>
          <w:tcPr>
            <w:tcW w:w="32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980" w:type="dxa"/>
            <w:vAlign w:val="bottom"/>
            <w:shd w:val="clear" w:color="auto" w:fill="C0C0C0"/>
          </w:tcPr>
          <w:p>
            <w:pPr>
              <w:spacing w:after="0"/>
              <w:rPr>
                <w:sz w:val="19"/>
                <w:szCs w:val="19"/>
                <w:color w:val="auto"/>
              </w:rPr>
            </w:pPr>
          </w:p>
        </w:tc>
        <w:tc>
          <w:tcPr>
            <w:tcW w:w="46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12,624</w:t>
            </w:r>
          </w:p>
        </w:tc>
        <w:tc>
          <w:tcPr>
            <w:tcW w:w="48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5"/>
        </w:trPr>
        <w:tc>
          <w:tcPr>
            <w:tcW w:w="3380" w:type="dxa"/>
            <w:vAlign w:val="bottom"/>
            <w:gridSpan w:val="4"/>
          </w:tcPr>
          <w:p>
            <w:pPr>
              <w:spacing w:after="0"/>
              <w:rPr>
                <w:sz w:val="20"/>
                <w:szCs w:val="20"/>
                <w:color w:val="auto"/>
              </w:rPr>
            </w:pPr>
            <w:r>
              <w:rPr>
                <w:rFonts w:ascii="Arial" w:cs="Arial" w:eastAsia="Arial" w:hAnsi="Arial"/>
                <w:sz w:val="18"/>
                <w:szCs w:val="18"/>
                <w:color w:val="auto"/>
              </w:rPr>
              <w:t>Municipal bonds</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6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Mortgage-backed securities</w:t>
            </w:r>
          </w:p>
        </w:tc>
        <w:tc>
          <w:tcPr>
            <w:tcW w:w="13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44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1,489</w:t>
            </w: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(215)</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1,489</w:t>
            </w:r>
          </w:p>
        </w:tc>
        <w:tc>
          <w:tcPr>
            <w:tcW w:w="280" w:type="dxa"/>
            <w:vAlign w:val="bottom"/>
            <w:tcBorders>
              <w:right w:val="single" w:sz="8" w:color="C0C0C0"/>
            </w:tcBorders>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5"/>
        </w:trPr>
        <w:tc>
          <w:tcPr>
            <w:tcW w:w="3380" w:type="dxa"/>
            <w:vAlign w:val="bottom"/>
            <w:gridSpan w:val="4"/>
          </w:tcPr>
          <w:p>
            <w:pPr>
              <w:spacing w:after="0"/>
              <w:rPr>
                <w:sz w:val="20"/>
                <w:szCs w:val="20"/>
                <w:color w:val="auto"/>
              </w:rPr>
            </w:pPr>
            <w:r>
              <w:rPr>
                <w:rFonts w:ascii="Arial" w:cs="Arial" w:eastAsia="Arial" w:hAnsi="Arial"/>
                <w:sz w:val="18"/>
                <w:szCs w:val="18"/>
                <w:color w:val="auto"/>
              </w:rPr>
              <w:t>Equity security</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4,036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4,036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shd w:val="clear" w:color="auto" w:fill="C0C0C0"/>
          </w:tcPr>
          <w:p>
            <w:pPr>
              <w:spacing w:after="0" w:line="20" w:lineRule="exact"/>
              <w:rPr>
                <w:sz w:val="1"/>
                <w:szCs w:val="1"/>
                <w:color w:val="auto"/>
              </w:rPr>
            </w:pPr>
          </w:p>
        </w:tc>
        <w:tc>
          <w:tcPr>
            <w:tcW w:w="40" w:type="dxa"/>
            <w:vAlign w:val="bottom"/>
            <w:shd w:val="clear" w:color="auto" w:fill="C0C0C0"/>
          </w:tcPr>
          <w:p>
            <w:pPr>
              <w:spacing w:after="0" w:line="20" w:lineRule="exact"/>
              <w:rPr>
                <w:sz w:val="1"/>
                <w:szCs w:val="1"/>
                <w:color w:val="auto"/>
              </w:rPr>
            </w:pPr>
          </w:p>
        </w:tc>
        <w:tc>
          <w:tcPr>
            <w:tcW w:w="1680" w:type="dxa"/>
            <w:vAlign w:val="bottom"/>
            <w:shd w:val="clear" w:color="auto" w:fill="C0C0C0"/>
          </w:tcPr>
          <w:p>
            <w:pPr>
              <w:spacing w:after="0" w:line="20" w:lineRule="exact"/>
              <w:rPr>
                <w:sz w:val="1"/>
                <w:szCs w:val="1"/>
                <w:color w:val="auto"/>
              </w:rPr>
            </w:pPr>
          </w:p>
        </w:tc>
        <w:tc>
          <w:tcPr>
            <w:tcW w:w="136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C0C0C0"/>
            </w:tcBorders>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1680" w:type="dxa"/>
            <w:vAlign w:val="bottom"/>
            <w:shd w:val="clear" w:color="auto" w:fill="C0C0C0"/>
          </w:tcPr>
          <w:p>
            <w:pPr>
              <w:spacing w:after="0"/>
              <w:rPr>
                <w:sz w:val="21"/>
                <w:szCs w:val="21"/>
                <w:color w:val="auto"/>
              </w:rPr>
            </w:pPr>
          </w:p>
        </w:tc>
        <w:tc>
          <w:tcPr>
            <w:tcW w:w="1500" w:type="dxa"/>
            <w:vAlign w:val="bottom"/>
            <w:gridSpan w:val="2"/>
            <w:shd w:val="clear" w:color="auto" w:fill="C0C0C0"/>
          </w:tcPr>
          <w:p>
            <w:pPr>
              <w:ind w:left="1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17,853</w:t>
            </w:r>
          </w:p>
        </w:tc>
        <w:tc>
          <w:tcPr>
            <w:tcW w:w="32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w:t>
            </w:r>
          </w:p>
        </w:tc>
        <w:tc>
          <w:tcPr>
            <w:tcW w:w="44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1,489</w:t>
            </w: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(215)</w:t>
            </w:r>
          </w:p>
        </w:tc>
        <w:tc>
          <w:tcPr>
            <w:tcW w:w="46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19,342</w:t>
            </w:r>
          </w:p>
        </w:tc>
        <w:tc>
          <w:tcPr>
            <w:tcW w:w="48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640" w:type="dxa"/>
            <w:vAlign w:val="bottom"/>
            <w:tcBorders>
              <w:top w:val="single" w:sz="8" w:color="C0C0C0"/>
            </w:tcBorders>
          </w:tcPr>
          <w:p>
            <w:pPr>
              <w:spacing w:after="0"/>
              <w:rPr>
                <w:sz w:val="21"/>
                <w:szCs w:val="21"/>
                <w:color w:val="auto"/>
              </w:rPr>
            </w:pPr>
          </w:p>
        </w:tc>
        <w:tc>
          <w:tcPr>
            <w:tcW w:w="40" w:type="dxa"/>
            <w:vAlign w:val="bottom"/>
            <w:tcBorders>
              <w:top w:val="single" w:sz="8" w:color="C0C0C0"/>
            </w:tcBorders>
          </w:tcPr>
          <w:p>
            <w:pPr>
              <w:spacing w:after="0"/>
              <w:rPr>
                <w:sz w:val="21"/>
                <w:szCs w:val="21"/>
                <w:color w:val="auto"/>
              </w:rPr>
            </w:pPr>
          </w:p>
        </w:tc>
        <w:tc>
          <w:tcPr>
            <w:tcW w:w="1680" w:type="dxa"/>
            <w:vAlign w:val="bottom"/>
            <w:tcBorders>
              <w:top w:val="single" w:sz="8" w:color="C0C0C0"/>
            </w:tcBorders>
          </w:tcPr>
          <w:p>
            <w:pPr>
              <w:spacing w:after="0"/>
              <w:rPr>
                <w:sz w:val="21"/>
                <w:szCs w:val="21"/>
                <w:color w:val="auto"/>
              </w:rPr>
            </w:pPr>
          </w:p>
        </w:tc>
        <w:tc>
          <w:tcPr>
            <w:tcW w:w="1360" w:type="dxa"/>
            <w:vAlign w:val="bottom"/>
            <w:tcBorders>
              <w:top w:val="single" w:sz="8" w:color="C0C0C0"/>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40" w:type="dxa"/>
            <w:vAlign w:val="bottom"/>
            <w:tcBorders>
              <w:top w:val="single" w:sz="8" w:color="C0C0C0"/>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80" w:type="dxa"/>
            <w:vAlign w:val="bottom"/>
            <w:tcBorders>
              <w:top w:val="single" w:sz="8" w:color="C0C0C0"/>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40" w:type="dxa"/>
            <w:vAlign w:val="bottom"/>
            <w:tcBorders>
              <w:top w:val="single" w:sz="8" w:color="C0C0C0"/>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Borders>
              <w:top w:val="single" w:sz="8" w:color="C0C0C0"/>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6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w w:val="87"/>
              </w:rPr>
              <w:t>At December 31, 2009</w:t>
            </w:r>
          </w:p>
        </w:tc>
        <w:tc>
          <w:tcPr>
            <w:tcW w:w="1720" w:type="dxa"/>
            <w:vAlign w:val="bottom"/>
            <w:tcBorders>
              <w:bottom w:val="single" w:sz="8" w:color="C0C0C0"/>
            </w:tcBorders>
            <w:gridSpan w:val="2"/>
            <w:shd w:val="clear" w:color="auto" w:fill="C0C0C0"/>
          </w:tcPr>
          <w:p>
            <w:pPr>
              <w:spacing w:after="0"/>
              <w:rPr>
                <w:sz w:val="19"/>
                <w:szCs w:val="19"/>
                <w:color w:val="auto"/>
              </w:rPr>
            </w:pPr>
          </w:p>
        </w:tc>
        <w:tc>
          <w:tcPr>
            <w:tcW w:w="13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98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right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380" w:type="dxa"/>
            <w:vAlign w:val="bottom"/>
            <w:gridSpan w:val="4"/>
          </w:tcPr>
          <w:p>
            <w:pPr>
              <w:spacing w:after="0"/>
              <w:rPr>
                <w:sz w:val="20"/>
                <w:szCs w:val="20"/>
                <w:color w:val="auto"/>
              </w:rPr>
            </w:pPr>
            <w:r>
              <w:rPr>
                <w:rFonts w:ascii="Arial" w:cs="Arial" w:eastAsia="Arial" w:hAnsi="Arial"/>
                <w:sz w:val="18"/>
                <w:szCs w:val="18"/>
                <w:color w:val="auto"/>
              </w:rPr>
              <w:t>U.S. government obligations</w:t>
            </w:r>
          </w:p>
        </w:tc>
        <w:tc>
          <w:tcPr>
            <w:tcW w:w="15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9,367</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9,367</w:t>
            </w:r>
          </w:p>
        </w:tc>
        <w:tc>
          <w:tcPr>
            <w:tcW w:w="4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Mortgage-backed securities</w:t>
            </w:r>
          </w:p>
        </w:tc>
        <w:tc>
          <w:tcPr>
            <w:tcW w:w="13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44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3,238</w:t>
            </w: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(401)</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3,238</w:t>
            </w:r>
          </w:p>
        </w:tc>
        <w:tc>
          <w:tcPr>
            <w:tcW w:w="280" w:type="dxa"/>
            <w:vAlign w:val="bottom"/>
            <w:tcBorders>
              <w:right w:val="single" w:sz="8" w:color="C0C0C0"/>
            </w:tcBorders>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9,367</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3,238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(401)</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12,605</w:t>
            </w:r>
          </w:p>
        </w:tc>
        <w:tc>
          <w:tcPr>
            <w:tcW w:w="4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right="20" w:firstLine="311"/>
        <w:spacing w:after="0" w:line="306" w:lineRule="auto"/>
        <w:rPr>
          <w:sz w:val="20"/>
          <w:szCs w:val="20"/>
          <w:color w:val="auto"/>
        </w:rPr>
      </w:pPr>
      <w:r>
        <w:rPr>
          <w:rFonts w:ascii="Arial" w:cs="Arial" w:eastAsia="Arial" w:hAnsi="Arial"/>
          <w:sz w:val="16"/>
          <w:szCs w:val="16"/>
          <w:color w:val="auto"/>
        </w:rPr>
        <w:t>Realized gains and losses are included as a component of investment income. For the three and nine months ended September 30, 2010 and 2009, realized gains and losses on sales of marketable securities were not significant. In computing realized gains and losses, the Company computes the cost of its investments on a specific identification basis. Such cost includes the direct costs to acquire the security, adjusted for the amortization of any discount or premium.</w:t>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assets that are measured at fair value on a recurring basis</w:t>
      </w:r>
      <w:r>
        <w:rPr>
          <w:rFonts w:ascii="Arial" w:cs="Arial" w:eastAsia="Arial" w:hAnsi="Arial"/>
          <w:sz w:val="16"/>
          <w:szCs w:val="16"/>
          <w:i w:val="1"/>
          <w:iCs w:val="1"/>
          <w:color w:val="auto"/>
        </w:rPr>
        <w:t>,</w:t>
      </w:r>
      <w:r>
        <w:rPr>
          <w:rFonts w:ascii="Arial" w:cs="Arial" w:eastAsia="Arial" w:hAnsi="Arial"/>
          <w:sz w:val="16"/>
          <w:szCs w:val="16"/>
          <w:color w:val="auto"/>
        </w:rPr>
        <w:t xml:space="preserve"> at September 30, 2010 and December 31, 2009, were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88"/>
              </w:rPr>
              <w:t>Fair Value Measurements at Reporting Date Using</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Quoted Prices</w:t>
            </w:r>
          </w:p>
        </w:tc>
        <w:tc>
          <w:tcPr>
            <w:tcW w:w="120" w:type="dxa"/>
            <w:vAlign w:val="bottom"/>
          </w:tcPr>
          <w:p>
            <w:pPr>
              <w:spacing w:after="0"/>
              <w:rPr>
                <w:sz w:val="19"/>
                <w:szCs w:val="19"/>
                <w:color w:val="auto"/>
              </w:rPr>
            </w:pPr>
          </w:p>
        </w:tc>
        <w:tc>
          <w:tcPr>
            <w:tcW w:w="1060" w:type="dxa"/>
            <w:vAlign w:val="bottom"/>
          </w:tcPr>
          <w:p>
            <w:pPr>
              <w:jc w:val="center"/>
              <w:ind w:right="52"/>
              <w:spacing w:after="0"/>
              <w:rPr>
                <w:sz w:val="20"/>
                <w:szCs w:val="20"/>
                <w:color w:val="auto"/>
              </w:rPr>
            </w:pPr>
            <w:r>
              <w:rPr>
                <w:rFonts w:ascii="Arial" w:cs="Arial" w:eastAsia="Arial" w:hAnsi="Arial"/>
                <w:sz w:val="18"/>
                <w:szCs w:val="18"/>
                <w:b w:val="1"/>
                <w:bCs w:val="1"/>
                <w:color w:val="auto"/>
                <w:w w:val="86"/>
              </w:rPr>
              <w:t>Significant</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21"/>
                <w:szCs w:val="21"/>
                <w:color w:val="auto"/>
              </w:rPr>
            </w:pPr>
          </w:p>
        </w:tc>
        <w:tc>
          <w:tcPr>
            <w:tcW w:w="1060" w:type="dxa"/>
            <w:vAlign w:val="bottom"/>
          </w:tcPr>
          <w:p>
            <w:pPr>
              <w:jc w:val="center"/>
              <w:ind w:right="52"/>
              <w:spacing w:after="0"/>
              <w:rPr>
                <w:sz w:val="20"/>
                <w:szCs w:val="20"/>
                <w:color w:val="auto"/>
              </w:rPr>
            </w:pPr>
            <w:r>
              <w:rPr>
                <w:rFonts w:ascii="Arial" w:cs="Arial" w:eastAsia="Arial" w:hAnsi="Arial"/>
                <w:sz w:val="18"/>
                <w:szCs w:val="18"/>
                <w:b w:val="1"/>
                <w:bCs w:val="1"/>
                <w:color w:val="auto"/>
                <w:w w:val="91"/>
              </w:rPr>
              <w:t>Other</w:t>
            </w:r>
          </w:p>
        </w:tc>
        <w:tc>
          <w:tcPr>
            <w:tcW w:w="2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6"/>
              </w:rPr>
              <w:t>Significant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Markets for</w:t>
            </w:r>
          </w:p>
        </w:tc>
        <w:tc>
          <w:tcPr>
            <w:tcW w:w="120" w:type="dxa"/>
            <w:vAlign w:val="bottom"/>
          </w:tcPr>
          <w:p>
            <w:pPr>
              <w:spacing w:after="0"/>
              <w:rPr>
                <w:sz w:val="21"/>
                <w:szCs w:val="21"/>
                <w:color w:val="auto"/>
              </w:rPr>
            </w:pPr>
          </w:p>
        </w:tc>
        <w:tc>
          <w:tcPr>
            <w:tcW w:w="106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Observable</w:t>
            </w:r>
          </w:p>
        </w:tc>
        <w:tc>
          <w:tcPr>
            <w:tcW w:w="2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Unobservable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Identical Assets</w:t>
            </w:r>
          </w:p>
        </w:tc>
        <w:tc>
          <w:tcPr>
            <w:tcW w:w="120" w:type="dxa"/>
            <w:vAlign w:val="bottom"/>
          </w:tcPr>
          <w:p>
            <w:pPr>
              <w:spacing w:after="0"/>
              <w:rPr>
                <w:sz w:val="21"/>
                <w:szCs w:val="21"/>
                <w:color w:val="auto"/>
              </w:rPr>
            </w:pPr>
          </w:p>
        </w:tc>
        <w:tc>
          <w:tcPr>
            <w:tcW w:w="106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Inputs</w:t>
            </w:r>
          </w:p>
        </w:tc>
        <w:tc>
          <w:tcPr>
            <w:tcW w:w="2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Inputs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3"/>
                <w:szCs w:val="23"/>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Pr>
          <w:p>
            <w:pPr>
              <w:spacing w:after="0"/>
              <w:rPr>
                <w:sz w:val="23"/>
                <w:szCs w:val="23"/>
                <w:color w:val="auto"/>
              </w:rPr>
            </w:pPr>
          </w:p>
        </w:tc>
        <w:tc>
          <w:tcPr>
            <w:tcW w:w="106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(Level 2)</w:t>
            </w:r>
          </w:p>
        </w:tc>
        <w:tc>
          <w:tcPr>
            <w:tcW w:w="2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(Level 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C0C0C0"/>
            </w:tcBorders>
            <w:gridSpan w:val="2"/>
            <w:shd w:val="clear" w:color="auto" w:fill="C0C0C0"/>
          </w:tcPr>
          <w:p>
            <w:pPr>
              <w:spacing w:after="0"/>
              <w:rPr>
                <w:sz w:val="20"/>
                <w:szCs w:val="20"/>
                <w:color w:val="auto"/>
              </w:rPr>
            </w:pPr>
            <w:r>
              <w:rPr>
                <w:rFonts w:ascii="Arial" w:cs="Arial" w:eastAsia="Arial" w:hAnsi="Arial"/>
                <w:sz w:val="18"/>
                <w:szCs w:val="18"/>
                <w:b w:val="1"/>
                <w:bCs w:val="1"/>
                <w:color w:val="auto"/>
              </w:rPr>
              <w:t>At September 30, 2010</w:t>
            </w:r>
          </w:p>
        </w:tc>
        <w:tc>
          <w:tcPr>
            <w:tcW w:w="2000" w:type="dxa"/>
            <w:vAlign w:val="bottom"/>
            <w:tcBorders>
              <w:top w:val="single" w:sz="8" w:color="C0C0C0"/>
            </w:tcBorders>
            <w:shd w:val="clear" w:color="auto" w:fill="C0C0C0"/>
          </w:tcPr>
          <w:p>
            <w:pPr>
              <w:spacing w:after="0"/>
              <w:rPr>
                <w:sz w:val="18"/>
                <w:szCs w:val="18"/>
                <w:color w:val="auto"/>
              </w:rPr>
            </w:pPr>
          </w:p>
        </w:tc>
        <w:tc>
          <w:tcPr>
            <w:tcW w:w="220" w:type="dxa"/>
            <w:vAlign w:val="bottom"/>
            <w:tcBorders>
              <w:top w:val="single" w:sz="8" w:color="C0C0C0"/>
            </w:tcBorders>
            <w:shd w:val="clear" w:color="auto" w:fill="C0C0C0"/>
          </w:tcPr>
          <w:p>
            <w:pPr>
              <w:spacing w:after="0"/>
              <w:rPr>
                <w:sz w:val="18"/>
                <w:szCs w:val="18"/>
                <w:color w:val="auto"/>
              </w:rPr>
            </w:pPr>
          </w:p>
        </w:tc>
        <w:tc>
          <w:tcPr>
            <w:tcW w:w="140" w:type="dxa"/>
            <w:vAlign w:val="bottom"/>
            <w:tcBorders>
              <w:top w:val="single" w:sz="8" w:color="auto"/>
            </w:tcBorders>
            <w:shd w:val="clear" w:color="auto" w:fill="C0C0C0"/>
          </w:tcPr>
          <w:p>
            <w:pPr>
              <w:spacing w:after="0"/>
              <w:rPr>
                <w:sz w:val="18"/>
                <w:szCs w:val="18"/>
                <w:color w:val="auto"/>
              </w:rPr>
            </w:pPr>
          </w:p>
        </w:tc>
        <w:tc>
          <w:tcPr>
            <w:tcW w:w="640" w:type="dxa"/>
            <w:vAlign w:val="bottom"/>
            <w:tcBorders>
              <w:top w:val="single" w:sz="8" w:color="auto"/>
            </w:tcBorders>
            <w:shd w:val="clear" w:color="auto" w:fill="C0C0C0"/>
          </w:tcPr>
          <w:p>
            <w:pPr>
              <w:spacing w:after="0"/>
              <w:rPr>
                <w:sz w:val="18"/>
                <w:szCs w:val="18"/>
                <w:color w:val="auto"/>
              </w:rPr>
            </w:pPr>
          </w:p>
        </w:tc>
        <w:tc>
          <w:tcPr>
            <w:tcW w:w="220" w:type="dxa"/>
            <w:vAlign w:val="bottom"/>
            <w:tcBorders>
              <w:top w:val="single" w:sz="8" w:color="C0C0C0"/>
            </w:tcBorders>
            <w:shd w:val="clear" w:color="auto" w:fill="C0C0C0"/>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1060" w:type="dxa"/>
            <w:vAlign w:val="bottom"/>
            <w:tcBorders>
              <w:top w:val="single" w:sz="8" w:color="auto"/>
            </w:tcBorders>
            <w:shd w:val="clear" w:color="auto" w:fill="C0C0C0"/>
          </w:tcPr>
          <w:p>
            <w:pPr>
              <w:spacing w:after="0"/>
              <w:rPr>
                <w:sz w:val="18"/>
                <w:szCs w:val="18"/>
                <w:color w:val="auto"/>
              </w:rPr>
            </w:pPr>
          </w:p>
        </w:tc>
        <w:tc>
          <w:tcPr>
            <w:tcW w:w="240" w:type="dxa"/>
            <w:vAlign w:val="bottom"/>
            <w:tcBorders>
              <w:top w:val="single" w:sz="8" w:color="C0C0C0"/>
            </w:tcBorders>
            <w:shd w:val="clear" w:color="auto" w:fill="C0C0C0"/>
          </w:tcPr>
          <w:p>
            <w:pPr>
              <w:spacing w:after="0"/>
              <w:rPr>
                <w:sz w:val="18"/>
                <w:szCs w:val="18"/>
                <w:color w:val="auto"/>
              </w:rPr>
            </w:pPr>
          </w:p>
        </w:tc>
        <w:tc>
          <w:tcPr>
            <w:tcW w:w="120" w:type="dxa"/>
            <w:vAlign w:val="bottom"/>
            <w:tcBorders>
              <w:top w:val="single" w:sz="8" w:color="auto"/>
            </w:tcBorders>
            <w:shd w:val="clear" w:color="auto" w:fill="C0C0C0"/>
          </w:tcPr>
          <w:p>
            <w:pPr>
              <w:spacing w:after="0"/>
              <w:rPr>
                <w:sz w:val="18"/>
                <w:szCs w:val="18"/>
                <w:color w:val="auto"/>
              </w:rPr>
            </w:pPr>
          </w:p>
        </w:tc>
        <w:tc>
          <w:tcPr>
            <w:tcW w:w="1060" w:type="dxa"/>
            <w:vAlign w:val="bottom"/>
            <w:tcBorders>
              <w:top w:val="single" w:sz="8" w:color="auto"/>
            </w:tcBorders>
            <w:shd w:val="clear" w:color="auto" w:fill="C0C0C0"/>
          </w:tcPr>
          <w:p>
            <w:pPr>
              <w:spacing w:after="0"/>
              <w:rPr>
                <w:sz w:val="18"/>
                <w:szCs w:val="18"/>
                <w:color w:val="auto"/>
              </w:rPr>
            </w:pPr>
          </w:p>
        </w:tc>
        <w:tc>
          <w:tcPr>
            <w:tcW w:w="220" w:type="dxa"/>
            <w:vAlign w:val="bottom"/>
            <w:tcBorders>
              <w:top w:val="single" w:sz="8" w:color="C0C0C0"/>
            </w:tcBorders>
            <w:shd w:val="clear" w:color="auto" w:fill="C0C0C0"/>
          </w:tcPr>
          <w:p>
            <w:pPr>
              <w:spacing w:after="0"/>
              <w:rPr>
                <w:sz w:val="18"/>
                <w:szCs w:val="18"/>
                <w:color w:val="auto"/>
              </w:rPr>
            </w:pPr>
          </w:p>
        </w:tc>
        <w:tc>
          <w:tcPr>
            <w:tcW w:w="1040" w:type="dxa"/>
            <w:vAlign w:val="bottom"/>
            <w:tcBorders>
              <w:top w:val="single" w:sz="8" w:color="auto"/>
            </w:tcBorders>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Borders>
              <w:right w:val="single" w:sz="8" w:color="auto"/>
            </w:tcBorders>
            <w:shd w:val="clear" w:color="auto" w:fill="000000"/>
          </w:tcPr>
          <w:p>
            <w:pPr>
              <w:spacing w:after="0"/>
              <w:rPr>
                <w:sz w:val="2"/>
                <w:szCs w:val="2"/>
                <w:color w:val="auto"/>
              </w:rPr>
            </w:pPr>
          </w:p>
        </w:tc>
        <w:tc>
          <w:tcPr>
            <w:tcW w:w="2660" w:type="dxa"/>
            <w:vAlign w:val="bottom"/>
            <w:shd w:val="clear" w:color="auto" w:fill="C0C0C0"/>
          </w:tcPr>
          <w:p>
            <w:pPr>
              <w:spacing w:after="0"/>
              <w:rPr>
                <w:sz w:val="2"/>
                <w:szCs w:val="2"/>
                <w:color w:val="auto"/>
              </w:rPr>
            </w:pPr>
          </w:p>
        </w:tc>
        <w:tc>
          <w:tcPr>
            <w:tcW w:w="200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64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060" w:type="dxa"/>
            <w:vAlign w:val="bottom"/>
            <w:shd w:val="clear" w:color="auto" w:fill="C0C0C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06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040" w:type="dxa"/>
            <w:vAlign w:val="bottom"/>
            <w:shd w:val="clear" w:color="auto" w:fill="C0C0C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360" w:type="dxa"/>
            <w:vAlign w:val="bottom"/>
            <w:gridSpan w:val="3"/>
          </w:tcPr>
          <w:p>
            <w:pPr>
              <w:spacing w:after="0"/>
              <w:rPr>
                <w:sz w:val="20"/>
                <w:szCs w:val="20"/>
                <w:color w:val="auto"/>
              </w:rPr>
            </w:pPr>
            <w:r>
              <w:rPr>
                <w:rFonts w:ascii="Arial" w:cs="Arial" w:eastAsia="Arial" w:hAnsi="Arial"/>
                <w:sz w:val="18"/>
                <w:szCs w:val="18"/>
                <w:color w:val="auto"/>
              </w:rPr>
              <w:t>Available-for-sale marketable securities</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340" w:type="dxa"/>
            <w:vAlign w:val="bottom"/>
            <w:gridSpan w:val="2"/>
            <w:shd w:val="clear" w:color="auto" w:fill="C0C0C0"/>
          </w:tcPr>
          <w:p>
            <w:pPr>
              <w:ind w:left="300"/>
              <w:spacing w:after="0"/>
              <w:rPr>
                <w:sz w:val="20"/>
                <w:szCs w:val="20"/>
                <w:color w:val="auto"/>
              </w:rPr>
            </w:pPr>
            <w:r>
              <w:rPr>
                <w:rFonts w:ascii="Arial" w:cs="Arial" w:eastAsia="Arial" w:hAnsi="Arial"/>
                <w:sz w:val="18"/>
                <w:szCs w:val="18"/>
                <w:color w:val="auto"/>
              </w:rPr>
              <w:t>U.S. government obligations</w:t>
            </w:r>
          </w:p>
        </w:tc>
        <w:tc>
          <w:tcPr>
            <w:tcW w:w="2360" w:type="dxa"/>
            <w:vAlign w:val="bottom"/>
            <w:gridSpan w:val="3"/>
            <w:shd w:val="clear" w:color="auto" w:fill="C0C0C0"/>
          </w:tcPr>
          <w:p>
            <w:pPr>
              <w:ind w:left="2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w w:val="95"/>
              </w:rPr>
              <w:t>115,310</w:t>
            </w:r>
          </w:p>
        </w:tc>
        <w:tc>
          <w:tcPr>
            <w:tcW w:w="10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115,310</w:t>
            </w:r>
          </w:p>
        </w:tc>
        <w:tc>
          <w:tcPr>
            <w:tcW w:w="2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gridSpan w:val="2"/>
          </w:tcPr>
          <w:p>
            <w:pPr>
              <w:ind w:left="300"/>
              <w:spacing w:after="0"/>
              <w:rPr>
                <w:sz w:val="20"/>
                <w:szCs w:val="20"/>
                <w:color w:val="auto"/>
              </w:rPr>
            </w:pPr>
            <w:r>
              <w:rPr>
                <w:rFonts w:ascii="Arial" w:cs="Arial" w:eastAsia="Arial" w:hAnsi="Arial"/>
                <w:sz w:val="18"/>
                <w:szCs w:val="18"/>
                <w:color w:val="auto"/>
              </w:rPr>
              <w:t>U.S. government guaranteed corporate</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340" w:type="dxa"/>
            <w:vAlign w:val="bottom"/>
            <w:gridSpan w:val="2"/>
          </w:tcPr>
          <w:p>
            <w:pPr>
              <w:ind w:left="600"/>
              <w:spacing w:after="0"/>
              <w:rPr>
                <w:sz w:val="20"/>
                <w:szCs w:val="20"/>
                <w:color w:val="auto"/>
              </w:rPr>
            </w:pPr>
            <w:r>
              <w:rPr>
                <w:rFonts w:ascii="Arial" w:cs="Arial" w:eastAsia="Arial" w:hAnsi="Arial"/>
                <w:sz w:val="18"/>
                <w:szCs w:val="18"/>
                <w:color w:val="auto"/>
              </w:rPr>
              <w:t>bonds</w:t>
            </w: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66,066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66,066</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340" w:type="dxa"/>
            <w:vAlign w:val="bottom"/>
            <w:gridSpan w:val="2"/>
            <w:shd w:val="clear" w:color="auto" w:fill="C0C0C0"/>
          </w:tcPr>
          <w:p>
            <w:pPr>
              <w:ind w:left="300"/>
              <w:spacing w:after="0"/>
              <w:rPr>
                <w:sz w:val="20"/>
                <w:szCs w:val="20"/>
                <w:color w:val="auto"/>
              </w:rPr>
            </w:pPr>
            <w:r>
              <w:rPr>
                <w:rFonts w:ascii="Arial" w:cs="Arial" w:eastAsia="Arial" w:hAnsi="Arial"/>
                <w:sz w:val="18"/>
                <w:szCs w:val="18"/>
                <w:color w:val="auto"/>
              </w:rPr>
              <w:t>U.S. government guaranteed</w:t>
            </w:r>
          </w:p>
        </w:tc>
        <w:tc>
          <w:tcPr>
            <w:tcW w:w="20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4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340" w:type="dxa"/>
            <w:vAlign w:val="bottom"/>
            <w:gridSpan w:val="2"/>
            <w:shd w:val="clear" w:color="auto" w:fill="C0C0C0"/>
          </w:tcPr>
          <w:p>
            <w:pPr>
              <w:ind w:left="600"/>
              <w:spacing w:after="0"/>
              <w:rPr>
                <w:sz w:val="20"/>
                <w:szCs w:val="20"/>
                <w:color w:val="auto"/>
              </w:rPr>
            </w:pPr>
            <w:r>
              <w:rPr>
                <w:rFonts w:ascii="Arial" w:cs="Arial" w:eastAsia="Arial" w:hAnsi="Arial"/>
                <w:sz w:val="18"/>
                <w:szCs w:val="18"/>
                <w:color w:val="auto"/>
              </w:rPr>
              <w:t>collateralized mortgage obligations</w:t>
            </w:r>
          </w:p>
        </w:tc>
        <w:tc>
          <w:tcPr>
            <w:tcW w:w="200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8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2,611</w:t>
            </w:r>
          </w:p>
        </w:tc>
        <w:tc>
          <w:tcPr>
            <w:tcW w:w="100" w:type="dxa"/>
            <w:vAlign w:val="bottom"/>
            <w:shd w:val="clear" w:color="auto" w:fill="C0C0C0"/>
          </w:tcPr>
          <w:p>
            <w:pPr>
              <w:spacing w:after="0"/>
              <w:rPr>
                <w:sz w:val="22"/>
                <w:szCs w:val="22"/>
                <w:color w:val="auto"/>
              </w:rPr>
            </w:pPr>
          </w:p>
        </w:tc>
        <w:tc>
          <w:tcPr>
            <w:tcW w:w="106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2,611</w:t>
            </w:r>
          </w:p>
        </w:tc>
        <w:tc>
          <w:tcPr>
            <w:tcW w:w="220" w:type="dxa"/>
            <w:vAlign w:val="bottom"/>
            <w:shd w:val="clear" w:color="auto" w:fill="C0C0C0"/>
          </w:tcPr>
          <w:p>
            <w:pPr>
              <w:spacing w:after="0"/>
              <w:rPr>
                <w:sz w:val="22"/>
                <w:szCs w:val="22"/>
                <w:color w:val="auto"/>
              </w:rPr>
            </w:pPr>
          </w:p>
        </w:tc>
        <w:tc>
          <w:tcPr>
            <w:tcW w:w="1040" w:type="dxa"/>
            <w:vAlign w:val="bottom"/>
            <w:shd w:val="clear" w:color="auto" w:fill="C0C0C0"/>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340" w:type="dxa"/>
            <w:vAlign w:val="bottom"/>
            <w:gridSpan w:val="2"/>
          </w:tcPr>
          <w:p>
            <w:pPr>
              <w:ind w:left="300"/>
              <w:spacing w:after="0"/>
              <w:rPr>
                <w:sz w:val="20"/>
                <w:szCs w:val="20"/>
                <w:color w:val="auto"/>
              </w:rPr>
            </w:pPr>
            <w:r>
              <w:rPr>
                <w:rFonts w:ascii="Arial" w:cs="Arial" w:eastAsia="Arial" w:hAnsi="Arial"/>
                <w:sz w:val="18"/>
                <w:szCs w:val="18"/>
                <w:color w:val="auto"/>
              </w:rPr>
              <w:t>Municipal bonds</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2,202</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340" w:type="dxa"/>
            <w:vAlign w:val="bottom"/>
            <w:gridSpan w:val="2"/>
            <w:shd w:val="clear" w:color="auto" w:fill="C0C0C0"/>
          </w:tcPr>
          <w:p>
            <w:pPr>
              <w:ind w:left="300"/>
              <w:spacing w:after="0"/>
              <w:rPr>
                <w:sz w:val="20"/>
                <w:szCs w:val="20"/>
                <w:color w:val="auto"/>
              </w:rPr>
            </w:pPr>
            <w:r>
              <w:rPr>
                <w:rFonts w:ascii="Arial" w:cs="Arial" w:eastAsia="Arial" w:hAnsi="Arial"/>
                <w:sz w:val="18"/>
                <w:szCs w:val="18"/>
                <w:color w:val="auto"/>
              </w:rPr>
              <w:t>Mortgage-backed securities</w:t>
            </w:r>
          </w:p>
        </w:tc>
        <w:tc>
          <w:tcPr>
            <w:tcW w:w="20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1,498</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1,498</w:t>
            </w:r>
          </w:p>
        </w:tc>
        <w:tc>
          <w:tcPr>
            <w:tcW w:w="2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40" w:type="dxa"/>
            <w:vAlign w:val="bottom"/>
            <w:gridSpan w:val="2"/>
          </w:tcPr>
          <w:p>
            <w:pPr>
              <w:ind w:left="300"/>
              <w:spacing w:after="0"/>
              <w:rPr>
                <w:sz w:val="20"/>
                <w:szCs w:val="20"/>
                <w:color w:val="auto"/>
              </w:rPr>
            </w:pPr>
            <w:r>
              <w:rPr>
                <w:rFonts w:ascii="Arial" w:cs="Arial" w:eastAsia="Arial" w:hAnsi="Arial"/>
                <w:sz w:val="18"/>
                <w:szCs w:val="18"/>
                <w:color w:val="auto"/>
              </w:rPr>
              <w:t>Equity security</w:t>
            </w: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4,036</w:t>
            </w:r>
          </w:p>
        </w:tc>
        <w:tc>
          <w:tcPr>
            <w:tcW w:w="2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4,036</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80" w:type="dxa"/>
            <w:vAlign w:val="bottom"/>
            <w:tcBorders>
              <w:right w:val="single" w:sz="8" w:color="C0C0C0"/>
            </w:tcBorders>
            <w:shd w:val="clear" w:color="auto" w:fill="C0C0C0"/>
          </w:tcPr>
          <w:p>
            <w:pPr>
              <w:spacing w:after="0" w:line="20" w:lineRule="exact"/>
              <w:rPr>
                <w:sz w:val="1"/>
                <w:szCs w:val="1"/>
                <w:color w:val="auto"/>
              </w:rPr>
            </w:pPr>
          </w:p>
        </w:tc>
        <w:tc>
          <w:tcPr>
            <w:tcW w:w="2660" w:type="dxa"/>
            <w:vAlign w:val="bottom"/>
            <w:shd w:val="clear" w:color="auto" w:fill="C0C0C0"/>
          </w:tcPr>
          <w:p>
            <w:pPr>
              <w:spacing w:after="0" w:line="20" w:lineRule="exact"/>
              <w:rPr>
                <w:sz w:val="1"/>
                <w:szCs w:val="1"/>
                <w:color w:val="auto"/>
              </w:rPr>
            </w:pPr>
          </w:p>
        </w:tc>
        <w:tc>
          <w:tcPr>
            <w:tcW w:w="2220" w:type="dxa"/>
            <w:vAlign w:val="bottom"/>
            <w:gridSpan w:val="2"/>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40" w:type="dxa"/>
            <w:vAlign w:val="bottom"/>
            <w:shd w:val="clear" w:color="auto" w:fill="C0C0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80" w:type="dxa"/>
            <w:vAlign w:val="bottom"/>
            <w:tcBorders>
              <w:right w:val="single" w:sz="8" w:color="C0C0C0"/>
            </w:tcBorders>
            <w:shd w:val="clear" w:color="auto" w:fill="C0C0C0"/>
          </w:tcPr>
          <w:p>
            <w:pPr>
              <w:spacing w:after="0"/>
              <w:rPr>
                <w:sz w:val="21"/>
                <w:szCs w:val="21"/>
                <w:color w:val="auto"/>
              </w:rPr>
            </w:pPr>
          </w:p>
        </w:tc>
        <w:tc>
          <w:tcPr>
            <w:tcW w:w="2660" w:type="dxa"/>
            <w:vAlign w:val="bottom"/>
            <w:shd w:val="clear" w:color="auto" w:fill="C0C0C0"/>
          </w:tcPr>
          <w:p>
            <w:pPr>
              <w:spacing w:after="0"/>
              <w:rPr>
                <w:sz w:val="21"/>
                <w:szCs w:val="21"/>
                <w:color w:val="auto"/>
              </w:rPr>
            </w:pPr>
          </w:p>
        </w:tc>
        <w:tc>
          <w:tcPr>
            <w:tcW w:w="2360" w:type="dxa"/>
            <w:vAlign w:val="bottom"/>
            <w:gridSpan w:val="3"/>
            <w:shd w:val="clear" w:color="auto" w:fill="C0C0C0"/>
          </w:tcPr>
          <w:p>
            <w:pPr>
              <w:ind w:left="2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191,723</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4,036</w:t>
            </w: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187,687</w:t>
            </w:r>
          </w:p>
        </w:tc>
        <w:tc>
          <w:tcPr>
            <w:tcW w:w="2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680" w:type="dxa"/>
            <w:vAlign w:val="bottom"/>
            <w:tcBorders>
              <w:top w:val="single" w:sz="8" w:color="C0C0C0"/>
            </w:tcBorders>
          </w:tcPr>
          <w:p>
            <w:pPr>
              <w:spacing w:after="0"/>
              <w:rPr>
                <w:sz w:val="19"/>
                <w:szCs w:val="19"/>
                <w:color w:val="auto"/>
              </w:rPr>
            </w:pPr>
          </w:p>
        </w:tc>
        <w:tc>
          <w:tcPr>
            <w:tcW w:w="2660" w:type="dxa"/>
            <w:vAlign w:val="bottom"/>
            <w:tcBorders>
              <w:top w:val="single" w:sz="8" w:color="C0C0C0"/>
            </w:tcBorders>
          </w:tcPr>
          <w:p>
            <w:pPr>
              <w:spacing w:after="0"/>
              <w:rPr>
                <w:sz w:val="19"/>
                <w:szCs w:val="19"/>
                <w:color w:val="auto"/>
              </w:rPr>
            </w:pPr>
          </w:p>
        </w:tc>
        <w:tc>
          <w:tcPr>
            <w:tcW w:w="2000" w:type="dxa"/>
            <w:vAlign w:val="bottom"/>
            <w:tcBorders>
              <w:top w:val="single" w:sz="8" w:color="C0C0C0"/>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Borders>
              <w:top w:val="single" w:sz="8" w:color="C0C0C0"/>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Borders>
              <w:top w:val="single" w:sz="8" w:color="C0C0C0"/>
            </w:tcBorders>
          </w:tcPr>
          <w:p>
            <w:pPr>
              <w:spacing w:after="0"/>
              <w:rPr>
                <w:sz w:val="19"/>
                <w:szCs w:val="19"/>
                <w:color w:val="auto"/>
              </w:rPr>
            </w:pPr>
          </w:p>
        </w:tc>
        <w:tc>
          <w:tcPr>
            <w:tcW w:w="1040" w:type="dxa"/>
            <w:vAlign w:val="bottom"/>
            <w:tcBorders>
              <w:top w:val="single" w:sz="8" w:color="C0C0C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680" w:type="dxa"/>
            <w:vAlign w:val="bottom"/>
            <w:tcBorders>
              <w:bottom w:val="single" w:sz="8" w:color="auto"/>
              <w:right w:val="single" w:sz="8" w:color="C0C0C0"/>
            </w:tcBorders>
            <w:shd w:val="clear" w:color="auto" w:fill="C0C0C0"/>
          </w:tcPr>
          <w:p>
            <w:pPr>
              <w:spacing w:after="0"/>
              <w:rPr>
                <w:sz w:val="20"/>
                <w:szCs w:val="20"/>
                <w:color w:val="auto"/>
              </w:rPr>
            </w:pPr>
            <w:r>
              <w:rPr>
                <w:rFonts w:ascii="Arial" w:cs="Arial" w:eastAsia="Arial" w:hAnsi="Arial"/>
                <w:sz w:val="18"/>
                <w:szCs w:val="18"/>
                <w:b w:val="1"/>
                <w:bCs w:val="1"/>
                <w:color w:val="auto"/>
                <w:w w:val="88"/>
              </w:rPr>
              <w:t>At December 31, 2009</w:t>
            </w:r>
          </w:p>
        </w:tc>
        <w:tc>
          <w:tcPr>
            <w:tcW w:w="2660" w:type="dxa"/>
            <w:vAlign w:val="bottom"/>
            <w:tcBorders>
              <w:bottom w:val="single" w:sz="8" w:color="C0C0C0"/>
            </w:tcBorders>
            <w:shd w:val="clear" w:color="auto" w:fill="C0C0C0"/>
          </w:tcPr>
          <w:p>
            <w:pPr>
              <w:spacing w:after="0"/>
              <w:rPr>
                <w:sz w:val="19"/>
                <w:szCs w:val="19"/>
                <w:color w:val="auto"/>
              </w:rPr>
            </w:pPr>
          </w:p>
        </w:tc>
        <w:tc>
          <w:tcPr>
            <w:tcW w:w="200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060" w:type="dxa"/>
            <w:vAlign w:val="bottom"/>
            <w:tcBorders>
              <w:bottom w:val="single" w:sz="8" w:color="C0C0C0"/>
            </w:tcBorders>
            <w:shd w:val="clear" w:color="auto" w:fill="C0C0C0"/>
          </w:tcPr>
          <w:p>
            <w:pPr>
              <w:spacing w:after="0"/>
              <w:rPr>
                <w:sz w:val="19"/>
                <w:szCs w:val="19"/>
                <w:color w:val="auto"/>
              </w:rPr>
            </w:pPr>
          </w:p>
        </w:tc>
        <w:tc>
          <w:tcPr>
            <w:tcW w:w="24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106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1040" w:type="dxa"/>
            <w:vAlign w:val="bottom"/>
            <w:tcBorders>
              <w:bottom w:val="single" w:sz="8" w:color="C0C0C0"/>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360" w:type="dxa"/>
            <w:vAlign w:val="bottom"/>
            <w:gridSpan w:val="3"/>
          </w:tcPr>
          <w:p>
            <w:pPr>
              <w:spacing w:after="0"/>
              <w:rPr>
                <w:sz w:val="20"/>
                <w:szCs w:val="20"/>
                <w:color w:val="auto"/>
              </w:rPr>
            </w:pPr>
            <w:r>
              <w:rPr>
                <w:rFonts w:ascii="Arial" w:cs="Arial" w:eastAsia="Arial" w:hAnsi="Arial"/>
                <w:sz w:val="18"/>
                <w:szCs w:val="18"/>
                <w:color w:val="auto"/>
              </w:rPr>
              <w:t>Available-for-sale marketable securities</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340" w:type="dxa"/>
            <w:vAlign w:val="bottom"/>
            <w:gridSpan w:val="2"/>
            <w:shd w:val="clear" w:color="auto" w:fill="C0C0C0"/>
          </w:tcPr>
          <w:p>
            <w:pPr>
              <w:ind w:left="300"/>
              <w:spacing w:after="0"/>
              <w:rPr>
                <w:sz w:val="20"/>
                <w:szCs w:val="20"/>
                <w:color w:val="auto"/>
              </w:rPr>
            </w:pPr>
            <w:r>
              <w:rPr>
                <w:rFonts w:ascii="Arial" w:cs="Arial" w:eastAsia="Arial" w:hAnsi="Arial"/>
                <w:sz w:val="18"/>
                <w:szCs w:val="18"/>
                <w:color w:val="auto"/>
              </w:rPr>
              <w:t>U.S. government obligations</w:t>
            </w:r>
          </w:p>
        </w:tc>
        <w:tc>
          <w:tcPr>
            <w:tcW w:w="2360" w:type="dxa"/>
            <w:vAlign w:val="bottom"/>
            <w:gridSpan w:val="3"/>
            <w:shd w:val="clear" w:color="auto" w:fill="C0C0C0"/>
          </w:tcPr>
          <w:p>
            <w:pPr>
              <w:ind w:left="2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109,940</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109,940</w:t>
            </w:r>
          </w:p>
        </w:tc>
        <w:tc>
          <w:tcPr>
            <w:tcW w:w="2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gridSpan w:val="2"/>
          </w:tcPr>
          <w:p>
            <w:pPr>
              <w:ind w:left="300"/>
              <w:spacing w:after="0"/>
              <w:rPr>
                <w:sz w:val="20"/>
                <w:szCs w:val="20"/>
                <w:color w:val="auto"/>
              </w:rPr>
            </w:pPr>
            <w:r>
              <w:rPr>
                <w:rFonts w:ascii="Arial" w:cs="Arial" w:eastAsia="Arial" w:hAnsi="Arial"/>
                <w:sz w:val="18"/>
                <w:szCs w:val="18"/>
                <w:color w:val="auto"/>
              </w:rPr>
              <w:t>U.S. government guaranteed corporate</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340" w:type="dxa"/>
            <w:vAlign w:val="bottom"/>
            <w:gridSpan w:val="2"/>
          </w:tcPr>
          <w:p>
            <w:pPr>
              <w:ind w:left="600"/>
              <w:spacing w:after="0"/>
              <w:rPr>
                <w:sz w:val="20"/>
                <w:szCs w:val="20"/>
                <w:color w:val="auto"/>
              </w:rPr>
            </w:pPr>
            <w:r>
              <w:rPr>
                <w:rFonts w:ascii="Arial" w:cs="Arial" w:eastAsia="Arial" w:hAnsi="Arial"/>
                <w:sz w:val="18"/>
                <w:szCs w:val="18"/>
                <w:color w:val="auto"/>
              </w:rPr>
              <w:t>bonds</w:t>
            </w: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48,684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48,684</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340" w:type="dxa"/>
            <w:vAlign w:val="bottom"/>
            <w:gridSpan w:val="2"/>
            <w:shd w:val="clear" w:color="auto" w:fill="C0C0C0"/>
          </w:tcPr>
          <w:p>
            <w:pPr>
              <w:ind w:left="300"/>
              <w:spacing w:after="0"/>
              <w:rPr>
                <w:sz w:val="20"/>
                <w:szCs w:val="20"/>
                <w:color w:val="auto"/>
              </w:rPr>
            </w:pPr>
            <w:r>
              <w:rPr>
                <w:rFonts w:ascii="Arial" w:cs="Arial" w:eastAsia="Arial" w:hAnsi="Arial"/>
                <w:sz w:val="18"/>
                <w:szCs w:val="18"/>
                <w:color w:val="auto"/>
              </w:rPr>
              <w:t>Corporate bonds</w:t>
            </w:r>
          </w:p>
        </w:tc>
        <w:tc>
          <w:tcPr>
            <w:tcW w:w="20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10,342</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10,342</w:t>
            </w:r>
          </w:p>
        </w:tc>
        <w:tc>
          <w:tcPr>
            <w:tcW w:w="2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gridSpan w:val="2"/>
          </w:tcPr>
          <w:p>
            <w:pPr>
              <w:ind w:left="300"/>
              <w:spacing w:after="0"/>
              <w:rPr>
                <w:sz w:val="20"/>
                <w:szCs w:val="20"/>
                <w:color w:val="auto"/>
              </w:rPr>
            </w:pPr>
            <w:r>
              <w:rPr>
                <w:rFonts w:ascii="Arial" w:cs="Arial" w:eastAsia="Arial" w:hAnsi="Arial"/>
                <w:sz w:val="18"/>
                <w:szCs w:val="18"/>
                <w:color w:val="auto"/>
              </w:rPr>
              <w:t>U.S. government guaranteed</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340" w:type="dxa"/>
            <w:vAlign w:val="bottom"/>
            <w:gridSpan w:val="2"/>
          </w:tcPr>
          <w:p>
            <w:pPr>
              <w:ind w:left="600"/>
              <w:spacing w:after="0"/>
              <w:rPr>
                <w:sz w:val="20"/>
                <w:szCs w:val="20"/>
                <w:color w:val="auto"/>
              </w:rPr>
            </w:pPr>
            <w:r>
              <w:rPr>
                <w:rFonts w:ascii="Arial" w:cs="Arial" w:eastAsia="Arial" w:hAnsi="Arial"/>
                <w:sz w:val="18"/>
                <w:szCs w:val="18"/>
                <w:color w:val="auto"/>
              </w:rPr>
              <w:t>collateralized mortgage obligations</w:t>
            </w: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3,662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3,662</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340" w:type="dxa"/>
            <w:vAlign w:val="bottom"/>
            <w:gridSpan w:val="2"/>
            <w:shd w:val="clear" w:color="auto" w:fill="C0C0C0"/>
          </w:tcPr>
          <w:p>
            <w:pPr>
              <w:ind w:left="300"/>
              <w:spacing w:after="0"/>
              <w:rPr>
                <w:sz w:val="20"/>
                <w:szCs w:val="20"/>
                <w:color w:val="auto"/>
              </w:rPr>
            </w:pPr>
            <w:r>
              <w:rPr>
                <w:rFonts w:ascii="Arial" w:cs="Arial" w:eastAsia="Arial" w:hAnsi="Arial"/>
                <w:sz w:val="18"/>
                <w:szCs w:val="18"/>
                <w:color w:val="auto"/>
              </w:rPr>
              <w:t>Mortgage-backed securities</w:t>
            </w:r>
          </w:p>
        </w:tc>
        <w:tc>
          <w:tcPr>
            <w:tcW w:w="20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3,238</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3,238</w:t>
            </w:r>
          </w:p>
        </w:tc>
        <w:tc>
          <w:tcPr>
            <w:tcW w:w="2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40" w:type="dxa"/>
            <w:vAlign w:val="bottom"/>
            <w:gridSpan w:val="2"/>
          </w:tcPr>
          <w:p>
            <w:pPr>
              <w:ind w:left="300"/>
              <w:spacing w:after="0"/>
              <w:rPr>
                <w:sz w:val="20"/>
                <w:szCs w:val="20"/>
                <w:color w:val="auto"/>
              </w:rPr>
            </w:pPr>
            <w:r>
              <w:rPr>
                <w:rFonts w:ascii="Arial" w:cs="Arial" w:eastAsia="Arial" w:hAnsi="Arial"/>
                <w:sz w:val="18"/>
                <w:szCs w:val="18"/>
                <w:color w:val="auto"/>
              </w:rPr>
              <w:t>Equity security</w:t>
            </w: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5,469</w:t>
            </w:r>
          </w:p>
        </w:tc>
        <w:tc>
          <w:tcPr>
            <w:tcW w:w="2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5,469</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80" w:type="dxa"/>
            <w:vAlign w:val="bottom"/>
            <w:tcBorders>
              <w:right w:val="single" w:sz="8" w:color="C0C0C0"/>
            </w:tcBorders>
            <w:shd w:val="clear" w:color="auto" w:fill="C0C0C0"/>
          </w:tcPr>
          <w:p>
            <w:pPr>
              <w:spacing w:after="0" w:line="20" w:lineRule="exact"/>
              <w:rPr>
                <w:sz w:val="1"/>
                <w:szCs w:val="1"/>
                <w:color w:val="auto"/>
              </w:rPr>
            </w:pPr>
          </w:p>
        </w:tc>
        <w:tc>
          <w:tcPr>
            <w:tcW w:w="2660" w:type="dxa"/>
            <w:vAlign w:val="bottom"/>
            <w:shd w:val="clear" w:color="auto" w:fill="C0C0C0"/>
          </w:tcPr>
          <w:p>
            <w:pPr>
              <w:spacing w:after="0" w:line="20" w:lineRule="exact"/>
              <w:rPr>
                <w:sz w:val="1"/>
                <w:szCs w:val="1"/>
                <w:color w:val="auto"/>
              </w:rPr>
            </w:pPr>
          </w:p>
        </w:tc>
        <w:tc>
          <w:tcPr>
            <w:tcW w:w="2220" w:type="dxa"/>
            <w:vAlign w:val="bottom"/>
            <w:gridSpan w:val="2"/>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40" w:type="dxa"/>
            <w:vAlign w:val="bottom"/>
            <w:shd w:val="clear" w:color="auto" w:fill="C0C0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680" w:type="dxa"/>
            <w:vAlign w:val="bottom"/>
            <w:tcBorders>
              <w:right w:val="single" w:sz="8" w:color="C0C0C0"/>
            </w:tcBorders>
            <w:shd w:val="clear" w:color="auto" w:fill="C0C0C0"/>
          </w:tcPr>
          <w:p>
            <w:pPr>
              <w:spacing w:after="0"/>
              <w:rPr>
                <w:sz w:val="22"/>
                <w:szCs w:val="22"/>
                <w:color w:val="auto"/>
              </w:rPr>
            </w:pPr>
          </w:p>
        </w:tc>
        <w:tc>
          <w:tcPr>
            <w:tcW w:w="2660" w:type="dxa"/>
            <w:vAlign w:val="bottom"/>
            <w:shd w:val="clear" w:color="auto" w:fill="C0C0C0"/>
          </w:tcPr>
          <w:p>
            <w:pPr>
              <w:spacing w:after="0"/>
              <w:rPr>
                <w:sz w:val="22"/>
                <w:szCs w:val="22"/>
                <w:color w:val="auto"/>
              </w:rPr>
            </w:pPr>
          </w:p>
        </w:tc>
        <w:tc>
          <w:tcPr>
            <w:tcW w:w="2360" w:type="dxa"/>
            <w:vAlign w:val="bottom"/>
            <w:gridSpan w:val="3"/>
            <w:shd w:val="clear" w:color="auto" w:fill="C0C0C0"/>
          </w:tcPr>
          <w:p>
            <w:pPr>
              <w:ind w:left="2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181,335</w:t>
            </w:r>
          </w:p>
        </w:tc>
        <w:tc>
          <w:tcPr>
            <w:tcW w:w="2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5,469</w:t>
            </w: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175,866</w:t>
            </w:r>
          </w:p>
        </w:tc>
        <w:tc>
          <w:tcPr>
            <w:tcW w:w="220" w:type="dxa"/>
            <w:vAlign w:val="bottom"/>
            <w:shd w:val="clear" w:color="auto" w:fill="C0C0C0"/>
          </w:tcPr>
          <w:p>
            <w:pPr>
              <w:spacing w:after="0"/>
              <w:rPr>
                <w:sz w:val="22"/>
                <w:szCs w:val="22"/>
                <w:color w:val="auto"/>
              </w:rPr>
            </w:pPr>
          </w:p>
        </w:tc>
        <w:tc>
          <w:tcPr>
            <w:tcW w:w="1040" w:type="dxa"/>
            <w:vAlign w:val="bottom"/>
            <w:shd w:val="clear" w:color="auto" w:fill="C0C0C0"/>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1"/>
        </w:trPr>
        <w:tc>
          <w:tcPr>
            <w:tcW w:w="20" w:type="dxa"/>
            <w:vAlign w:val="bottom"/>
          </w:tcPr>
          <w:p>
            <w:pPr>
              <w:spacing w:after="0"/>
              <w:rPr>
                <w:sz w:val="24"/>
                <w:szCs w:val="24"/>
                <w:color w:val="auto"/>
              </w:rPr>
            </w:pPr>
          </w:p>
        </w:tc>
        <w:tc>
          <w:tcPr>
            <w:tcW w:w="1680" w:type="dxa"/>
            <w:vAlign w:val="bottom"/>
            <w:tcBorders>
              <w:top w:val="single" w:sz="8" w:color="C0C0C0"/>
            </w:tcBorders>
          </w:tcPr>
          <w:p>
            <w:pPr>
              <w:spacing w:after="0"/>
              <w:rPr>
                <w:sz w:val="24"/>
                <w:szCs w:val="24"/>
                <w:color w:val="auto"/>
              </w:rPr>
            </w:pPr>
          </w:p>
        </w:tc>
        <w:tc>
          <w:tcPr>
            <w:tcW w:w="2660" w:type="dxa"/>
            <w:vAlign w:val="bottom"/>
            <w:tcBorders>
              <w:top w:val="single" w:sz="8" w:color="C0C0C0"/>
            </w:tcBorders>
          </w:tcPr>
          <w:p>
            <w:pPr>
              <w:spacing w:after="0"/>
              <w:rPr>
                <w:sz w:val="24"/>
                <w:szCs w:val="24"/>
                <w:color w:val="auto"/>
              </w:rPr>
            </w:pPr>
          </w:p>
        </w:tc>
        <w:tc>
          <w:tcPr>
            <w:tcW w:w="2000" w:type="dxa"/>
            <w:vAlign w:val="bottom"/>
            <w:tcBorders>
              <w:top w:val="single" w:sz="8" w:color="C0C0C0"/>
            </w:tcBorders>
          </w:tcPr>
          <w:p>
            <w:pPr>
              <w:jc w:val="right"/>
              <w:ind w:right="472"/>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C0C0C0"/>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Borders>
              <w:top w:val="single" w:sz="8" w:color="C0C0C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1040" w:type="dxa"/>
            <w:vAlign w:val="bottom"/>
            <w:tcBorders>
              <w:top w:val="single" w:sz="8" w:color="C0C0C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73" w:lineRule="exact"/>
        <w:rPr>
          <w:sz w:val="20"/>
          <w:szCs w:val="20"/>
          <w:color w:val="auto"/>
        </w:rPr>
      </w:pPr>
    </w:p>
    <w:p>
      <w:pPr>
        <w:jc w:val="both"/>
        <w:ind w:right="20" w:firstLine="324"/>
        <w:spacing w:after="0" w:line="290" w:lineRule="auto"/>
        <w:rPr>
          <w:sz w:val="20"/>
          <w:szCs w:val="20"/>
          <w:color w:val="auto"/>
        </w:rPr>
      </w:pPr>
      <w:r>
        <w:rPr>
          <w:rFonts w:ascii="Arial" w:cs="Arial" w:eastAsia="Arial" w:hAnsi="Arial"/>
          <w:sz w:val="16"/>
          <w:szCs w:val="16"/>
          <w:color w:val="auto"/>
        </w:rPr>
        <w:t>Marketable securities included in Level 2 were valued using a market approach utilizing prices and other relevant information, such as interest rates, yield curves, prepayment speeds, loss severities, credit risks and default rates, generated by market transactions involving identical or comparable assets. The Company considers market liquidity in determining the fair value for these securities. During the nine months ended September 30, 2010, deterioration in the credit quality of a marketable security from one issuer subjected the Company to the risk of not being able to recover the carrying value of the security. As a result, the Company recognized a $0.1 million impairment charge related to this Level 2 marketable security, which the Company considered to be other-than-temporarily impaired. During the three months ended September 30, 2010, and the three and nine months ended September 30, 2009, the Company d id not record any charges for other-than-temporary impairment of its Level 2 marketable securities.</w:t>
      </w:r>
    </w:p>
    <w:p>
      <w:pPr>
        <w:spacing w:after="0" w:line="226" w:lineRule="exact"/>
        <w:rPr>
          <w:sz w:val="20"/>
          <w:szCs w:val="20"/>
          <w:color w:val="auto"/>
        </w:rPr>
      </w:pPr>
    </w:p>
    <w:p>
      <w:pPr>
        <w:jc w:val="both"/>
        <w:ind w:right="20" w:firstLine="365"/>
        <w:spacing w:after="0" w:line="290" w:lineRule="auto"/>
        <w:rPr>
          <w:sz w:val="20"/>
          <w:szCs w:val="20"/>
          <w:color w:val="auto"/>
        </w:rPr>
      </w:pPr>
      <w:r>
        <w:rPr>
          <w:rFonts w:ascii="Arial" w:cs="Arial" w:eastAsia="Arial" w:hAnsi="Arial"/>
          <w:sz w:val="16"/>
          <w:szCs w:val="16"/>
          <w:color w:val="auto"/>
        </w:rPr>
        <w:t>At December 31, 2008, the Company held one Level 3 marketable security whose fair value was $0.1 million. This Level 3 security was valued using information provided by the Company’s investment advisors, including quoted bid prices which took into consideration the securities’ lack of liquidity. During the three and nine months ended September 30, 2009, the Company recorded charges for other-than-temporary impairment of this Level 3 marketable security totaling $0.1 million. There were no purchases, sales, or maturities of Level 3 marketable securities and no unrealized gains or losses related to Level 3 marketable securities for the three and nine months ended September 30, 2010 and 2009. The Company held no Level 3 marketable securities at September 30, 2010 and December 31, 2009. There were no transfers of marketable securities between Lev els 1, 2, or 3 classifications during the three and nine months ended September 30, 2010 and 2009.</w:t>
      </w:r>
    </w:p>
    <w:p>
      <w:pPr>
        <w:spacing w:after="0" w:line="226" w:lineRule="exact"/>
        <w:rPr>
          <w:sz w:val="20"/>
          <w:szCs w:val="20"/>
          <w:color w:val="auto"/>
        </w:rPr>
      </w:pPr>
    </w:p>
    <w:p>
      <w:pPr>
        <w:jc w:val="both"/>
        <w:ind w:right="20" w:firstLine="270"/>
        <w:spacing w:after="0" w:line="298" w:lineRule="auto"/>
        <w:rPr>
          <w:sz w:val="20"/>
          <w:szCs w:val="20"/>
          <w:color w:val="auto"/>
        </w:rPr>
      </w:pPr>
      <w:r>
        <w:rPr>
          <w:rFonts w:ascii="Arial" w:cs="Arial" w:eastAsia="Arial" w:hAnsi="Arial"/>
          <w:sz w:val="16"/>
          <w:szCs w:val="16"/>
          <w:color w:val="auto"/>
        </w:rPr>
        <w:t>On a quarterly basis, the Company reviews its portfolio of marketable securities, using both quantitative and qualitative factors, to determine if declines in fair value below cost are other-than-temporary. With respect to debt securities, this review process also includes an evaluation of the Company’s (a) intent to sell an individual debt security or (b) need to sell the debt security before its anticipated recovery or maturity. With respect to equity securities, this review process includes an evaluation of the Company’s ability and intent to hold the securities until their full value can be recovered.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Payable and Accrued Expenses</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payable and accrued expenses as of September 30, 2010 and December 31, 2009 consist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274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52"/>
        </w:trPr>
        <w:tc>
          <w:tcPr>
            <w:tcW w:w="4680" w:type="dxa"/>
            <w:vAlign w:val="bottom"/>
            <w:tcBorders>
              <w:bottom w:val="single" w:sz="8" w:color="C0C0C0"/>
            </w:tcBorders>
          </w:tcPr>
          <w:p>
            <w:pPr>
              <w:spacing w:after="0"/>
              <w:rPr>
                <w:sz w:val="21"/>
                <w:szCs w:val="21"/>
                <w:color w:val="auto"/>
              </w:rPr>
            </w:pPr>
          </w:p>
        </w:tc>
        <w:tc>
          <w:tcPr>
            <w:tcW w:w="266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1740" w:type="dxa"/>
            <w:vAlign w:val="bottom"/>
          </w:tcPr>
          <w:p>
            <w:pPr>
              <w:spacing w:after="0"/>
              <w:rPr>
                <w:sz w:val="21"/>
                <w:szCs w:val="21"/>
                <w:color w:val="auto"/>
              </w:rPr>
            </w:pPr>
          </w:p>
        </w:tc>
      </w:tr>
      <w:tr>
        <w:trPr>
          <w:trHeight w:val="243"/>
        </w:trPr>
        <w:tc>
          <w:tcPr>
            <w:tcW w:w="4680" w:type="dxa"/>
            <w:vAlign w:val="bottom"/>
            <w:shd w:val="clear" w:color="auto" w:fill="C0C0C0"/>
          </w:tcPr>
          <w:p>
            <w:pPr>
              <w:spacing w:after="0"/>
              <w:rPr>
                <w:sz w:val="20"/>
                <w:szCs w:val="20"/>
                <w:color w:val="auto"/>
              </w:rPr>
            </w:pPr>
            <w:r>
              <w:rPr>
                <w:rFonts w:ascii="Arial" w:cs="Arial" w:eastAsia="Arial" w:hAnsi="Arial"/>
                <w:sz w:val="18"/>
                <w:szCs w:val="18"/>
                <w:color w:val="auto"/>
              </w:rPr>
              <w:t>Accounts payable</w:t>
            </w:r>
          </w:p>
        </w:tc>
        <w:tc>
          <w:tcPr>
            <w:tcW w:w="2880" w:type="dxa"/>
            <w:vAlign w:val="bottom"/>
            <w:gridSpan w:val="2"/>
            <w:shd w:val="clear" w:color="auto" w:fill="C0C0C0"/>
          </w:tcPr>
          <w:p>
            <w:pPr>
              <w:ind w:left="26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22,576</w:t>
            </w: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18,638</w:t>
            </w:r>
          </w:p>
        </w:tc>
        <w:tc>
          <w:tcPr>
            <w:tcW w:w="1740" w:type="dxa"/>
            <w:vAlign w:val="bottom"/>
          </w:tcPr>
          <w:p>
            <w:pPr>
              <w:spacing w:after="0"/>
              <w:rPr>
                <w:sz w:val="21"/>
                <w:szCs w:val="21"/>
                <w:color w:val="auto"/>
              </w:rPr>
            </w:pPr>
          </w:p>
        </w:tc>
      </w:tr>
      <w:tr>
        <w:trPr>
          <w:trHeight w:val="235"/>
        </w:trPr>
        <w:tc>
          <w:tcPr>
            <w:tcW w:w="468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23,583</w:t>
            </w:r>
          </w:p>
        </w:tc>
        <w:tc>
          <w:tcPr>
            <w:tcW w:w="200" w:type="dxa"/>
            <w:vAlign w:val="bottom"/>
          </w:tcPr>
          <w:p>
            <w:pPr>
              <w:spacing w:after="0"/>
              <w:rPr>
                <w:sz w:val="20"/>
                <w:szCs w:val="20"/>
                <w:color w:val="auto"/>
              </w:rPr>
            </w:pPr>
          </w:p>
        </w:tc>
        <w:tc>
          <w:tcPr>
            <w:tcW w:w="2540" w:type="dxa"/>
            <w:vAlign w:val="bottom"/>
            <w:gridSpan w:val="2"/>
          </w:tcPr>
          <w:p>
            <w:pPr>
              <w:jc w:val="right"/>
              <w:ind w:right="1740"/>
              <w:spacing w:after="0"/>
              <w:rPr>
                <w:sz w:val="20"/>
                <w:szCs w:val="20"/>
                <w:color w:val="auto"/>
              </w:rPr>
            </w:pPr>
            <w:r>
              <w:rPr>
                <w:rFonts w:ascii="Arial" w:cs="Arial" w:eastAsia="Arial" w:hAnsi="Arial"/>
                <w:sz w:val="18"/>
                <w:szCs w:val="18"/>
                <w:color w:val="auto"/>
              </w:rPr>
              <w:t>9,444</w:t>
            </w:r>
          </w:p>
        </w:tc>
      </w:tr>
      <w:tr>
        <w:trPr>
          <w:trHeight w:val="251"/>
        </w:trPr>
        <w:tc>
          <w:tcPr>
            <w:tcW w:w="4680" w:type="dxa"/>
            <w:vAlign w:val="bottom"/>
            <w:shd w:val="clear" w:color="auto" w:fill="C0C0C0"/>
          </w:tcPr>
          <w:p>
            <w:pPr>
              <w:spacing w:after="0"/>
              <w:rPr>
                <w:sz w:val="20"/>
                <w:szCs w:val="20"/>
                <w:color w:val="auto"/>
              </w:rPr>
            </w:pPr>
            <w:r>
              <w:rPr>
                <w:rFonts w:ascii="Arial" w:cs="Arial" w:eastAsia="Arial" w:hAnsi="Arial"/>
                <w:sz w:val="18"/>
                <w:szCs w:val="18"/>
                <w:color w:val="auto"/>
              </w:rPr>
              <w:t>Accrued clinical trial expense</w:t>
            </w:r>
          </w:p>
        </w:tc>
        <w:tc>
          <w:tcPr>
            <w:tcW w:w="26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14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14,213</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11,673</w:t>
            </w:r>
          </w:p>
        </w:tc>
        <w:tc>
          <w:tcPr>
            <w:tcW w:w="1740" w:type="dxa"/>
            <w:vAlign w:val="bottom"/>
          </w:tcPr>
          <w:p>
            <w:pPr>
              <w:spacing w:after="0"/>
              <w:rPr>
                <w:sz w:val="21"/>
                <w:szCs w:val="21"/>
                <w:color w:val="auto"/>
              </w:rPr>
            </w:pPr>
          </w:p>
        </w:tc>
      </w:tr>
      <w:tr>
        <w:trPr>
          <w:trHeight w:val="235"/>
        </w:trPr>
        <w:tc>
          <w:tcPr>
            <w:tcW w:w="4680" w:type="dxa"/>
            <w:vAlign w:val="bottom"/>
          </w:tcPr>
          <w:p>
            <w:pPr>
              <w:spacing w:after="0"/>
              <w:rPr>
                <w:sz w:val="20"/>
                <w:szCs w:val="20"/>
                <w:color w:val="auto"/>
              </w:rPr>
            </w:pPr>
            <w:r>
              <w:rPr>
                <w:rFonts w:ascii="Arial" w:cs="Arial" w:eastAsia="Arial" w:hAnsi="Arial"/>
                <w:sz w:val="18"/>
                <w:szCs w:val="18"/>
                <w:color w:val="auto"/>
              </w:rPr>
              <w:t>Accrued property, plant, and equipment expenditures</w:t>
            </w: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8,495</w:t>
            </w:r>
          </w:p>
        </w:tc>
        <w:tc>
          <w:tcPr>
            <w:tcW w:w="200" w:type="dxa"/>
            <w:vAlign w:val="bottom"/>
          </w:tcPr>
          <w:p>
            <w:pPr>
              <w:spacing w:after="0"/>
              <w:rPr>
                <w:sz w:val="20"/>
                <w:szCs w:val="20"/>
                <w:color w:val="auto"/>
              </w:rPr>
            </w:pPr>
          </w:p>
        </w:tc>
        <w:tc>
          <w:tcPr>
            <w:tcW w:w="2540" w:type="dxa"/>
            <w:vAlign w:val="bottom"/>
            <w:gridSpan w:val="2"/>
          </w:tcPr>
          <w:p>
            <w:pPr>
              <w:jc w:val="right"/>
              <w:ind w:right="1740"/>
              <w:spacing w:after="0"/>
              <w:rPr>
                <w:sz w:val="20"/>
                <w:szCs w:val="20"/>
                <w:color w:val="auto"/>
              </w:rPr>
            </w:pPr>
            <w:r>
              <w:rPr>
                <w:rFonts w:ascii="Arial" w:cs="Arial" w:eastAsia="Arial" w:hAnsi="Arial"/>
                <w:sz w:val="18"/>
                <w:szCs w:val="18"/>
                <w:color w:val="auto"/>
              </w:rPr>
              <w:t>1,883</w:t>
            </w:r>
          </w:p>
        </w:tc>
      </w:tr>
      <w:tr>
        <w:trPr>
          <w:trHeight w:val="251"/>
        </w:trPr>
        <w:tc>
          <w:tcPr>
            <w:tcW w:w="4680" w:type="dxa"/>
            <w:vAlign w:val="bottom"/>
            <w:shd w:val="clear" w:color="auto" w:fill="C0C0C0"/>
          </w:tcPr>
          <w:p>
            <w:pPr>
              <w:spacing w:after="0"/>
              <w:rPr>
                <w:sz w:val="20"/>
                <w:szCs w:val="20"/>
                <w:color w:val="auto"/>
              </w:rPr>
            </w:pPr>
            <w:r>
              <w:rPr>
                <w:rFonts w:ascii="Arial" w:cs="Arial" w:eastAsia="Arial" w:hAnsi="Arial"/>
                <w:sz w:val="18"/>
                <w:szCs w:val="18"/>
                <w:color w:val="auto"/>
              </w:rPr>
              <w:t>Accrued expenses, other</w:t>
            </w:r>
          </w:p>
        </w:tc>
        <w:tc>
          <w:tcPr>
            <w:tcW w:w="26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14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6,109</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6,207</w:t>
            </w:r>
          </w:p>
        </w:tc>
        <w:tc>
          <w:tcPr>
            <w:tcW w:w="1740" w:type="dxa"/>
            <w:vAlign w:val="bottom"/>
          </w:tcPr>
          <w:p>
            <w:pPr>
              <w:spacing w:after="0"/>
              <w:rPr>
                <w:sz w:val="21"/>
                <w:szCs w:val="21"/>
                <w:color w:val="auto"/>
              </w:rPr>
            </w:pPr>
          </w:p>
        </w:tc>
      </w:tr>
      <w:tr>
        <w:trPr>
          <w:trHeight w:val="235"/>
        </w:trPr>
        <w:tc>
          <w:tcPr>
            <w:tcW w:w="4680" w:type="dxa"/>
            <w:vAlign w:val="bottom"/>
          </w:tcPr>
          <w:p>
            <w:pPr>
              <w:spacing w:after="0"/>
              <w:rPr>
                <w:sz w:val="20"/>
                <w:szCs w:val="20"/>
                <w:color w:val="auto"/>
              </w:rPr>
            </w:pPr>
            <w:r>
              <w:rPr>
                <w:rFonts w:ascii="Arial" w:cs="Arial" w:eastAsia="Arial" w:hAnsi="Arial"/>
                <w:sz w:val="18"/>
                <w:szCs w:val="18"/>
                <w:color w:val="auto"/>
              </w:rPr>
              <w:t>Payable to Bayer HealthCare</w:t>
            </w: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2"/>
          </w:tcPr>
          <w:p>
            <w:pPr>
              <w:jc w:val="right"/>
              <w:ind w:right="1740"/>
              <w:spacing w:after="0"/>
              <w:rPr>
                <w:sz w:val="20"/>
                <w:szCs w:val="20"/>
                <w:color w:val="auto"/>
              </w:rPr>
            </w:pPr>
            <w:r>
              <w:rPr>
                <w:rFonts w:ascii="Arial" w:cs="Arial" w:eastAsia="Arial" w:hAnsi="Arial"/>
                <w:sz w:val="18"/>
                <w:szCs w:val="18"/>
                <w:color w:val="auto"/>
              </w:rPr>
              <w:t>1,186</w:t>
            </w:r>
          </w:p>
        </w:tc>
      </w:tr>
      <w:tr>
        <w:trPr>
          <w:trHeight w:val="21"/>
        </w:trPr>
        <w:tc>
          <w:tcPr>
            <w:tcW w:w="4680" w:type="dxa"/>
            <w:vAlign w:val="bottom"/>
            <w:shd w:val="clear" w:color="auto" w:fill="C0C0C0"/>
          </w:tcPr>
          <w:p>
            <w:pPr>
              <w:spacing w:after="0" w:line="20" w:lineRule="exact"/>
              <w:rPr>
                <w:sz w:val="1"/>
                <w:szCs w:val="1"/>
                <w:color w:val="auto"/>
              </w:rPr>
            </w:pPr>
          </w:p>
        </w:tc>
        <w:tc>
          <w:tcPr>
            <w:tcW w:w="266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57"/>
        </w:trPr>
        <w:tc>
          <w:tcPr>
            <w:tcW w:w="4680" w:type="dxa"/>
            <w:vAlign w:val="bottom"/>
            <w:shd w:val="clear" w:color="auto" w:fill="C0C0C0"/>
          </w:tcPr>
          <w:p>
            <w:pPr>
              <w:spacing w:after="0"/>
              <w:rPr>
                <w:sz w:val="22"/>
                <w:szCs w:val="22"/>
                <w:color w:val="auto"/>
              </w:rPr>
            </w:pPr>
          </w:p>
        </w:tc>
        <w:tc>
          <w:tcPr>
            <w:tcW w:w="266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74,976</w:t>
            </w: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49,031</w:t>
            </w:r>
          </w:p>
        </w:tc>
        <w:tc>
          <w:tcPr>
            <w:tcW w:w="1740" w:type="dxa"/>
            <w:vAlign w:val="bottom"/>
          </w:tcPr>
          <w:p>
            <w:pPr>
              <w:spacing w:after="0"/>
              <w:rPr>
                <w:sz w:val="22"/>
                <w:szCs w:val="22"/>
                <w:color w:val="auto"/>
              </w:rPr>
            </w:pPr>
          </w:p>
        </w:tc>
      </w:tr>
      <w:tr>
        <w:trPr>
          <w:trHeight w:val="464"/>
        </w:trPr>
        <w:tc>
          <w:tcPr>
            <w:tcW w:w="4680" w:type="dxa"/>
            <w:vAlign w:val="bottom"/>
            <w:tcBorders>
              <w:top w:val="single" w:sz="8" w:color="C0C0C0"/>
            </w:tcBorders>
          </w:tcPr>
          <w:p>
            <w:pPr>
              <w:spacing w:after="0"/>
              <w:rPr>
                <w:sz w:val="24"/>
                <w:szCs w:val="24"/>
                <w:color w:val="auto"/>
              </w:rPr>
            </w:pPr>
          </w:p>
        </w:tc>
        <w:tc>
          <w:tcPr>
            <w:tcW w:w="2660" w:type="dxa"/>
            <w:vAlign w:val="bottom"/>
            <w:tcBorders>
              <w:top w:val="single" w:sz="8" w:color="C0C0C0"/>
            </w:tcBorders>
          </w:tcPr>
          <w:p>
            <w:pPr>
              <w:jc w:val="right"/>
              <w:ind w:right="1452"/>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C0C0C0"/>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r>
      <w:tr>
        <w:trPr>
          <w:trHeight w:val="363"/>
        </w:trPr>
        <w:tc>
          <w:tcPr>
            <w:tcW w:w="468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 (Loss)</w:t>
      </w:r>
    </w:p>
    <w:p>
      <w:pPr>
        <w:spacing w:after="0" w:line="285" w:lineRule="exact"/>
        <w:rPr>
          <w:sz w:val="20"/>
          <w:szCs w:val="20"/>
          <w:color w:val="auto"/>
        </w:rPr>
      </w:pPr>
    </w:p>
    <w:p>
      <w:pPr>
        <w:jc w:val="both"/>
        <w:ind w:firstLine="297"/>
        <w:spacing w:after="0" w:line="332" w:lineRule="auto"/>
        <w:rPr>
          <w:sz w:val="20"/>
          <w:szCs w:val="20"/>
          <w:color w:val="auto"/>
        </w:rPr>
      </w:pPr>
      <w:r>
        <w:rPr>
          <w:rFonts w:ascii="Arial" w:cs="Arial" w:eastAsia="Arial" w:hAnsi="Arial"/>
          <w:sz w:val="16"/>
          <w:szCs w:val="16"/>
          <w:color w:val="auto"/>
        </w:rPr>
        <w:t>Comprehensive income (loss) of the Company includes net loss adjusted for the change in net unrealized gain (loss) on marketable securities, net of any tax effect. For the three and nine months ended September 30, 2010 and 2009, the components of comprehensive income (loss) 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720" w:type="dxa"/>
            <w:vAlign w:val="bottom"/>
          </w:tcPr>
          <w:p>
            <w:pPr>
              <w:spacing w:after="0"/>
              <w:rPr>
                <w:sz w:val="20"/>
                <w:szCs w:val="20"/>
                <w:color w:val="auto"/>
              </w:rPr>
            </w:pPr>
          </w:p>
        </w:tc>
        <w:tc>
          <w:tcPr>
            <w:tcW w:w="27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87"/>
              </w:rPr>
              <w:t>Three months ended September 30,</w:t>
            </w:r>
          </w:p>
        </w:tc>
      </w:tr>
      <w:tr>
        <w:trPr>
          <w:trHeight w:val="237"/>
        </w:trPr>
        <w:tc>
          <w:tcPr>
            <w:tcW w:w="872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2009</w:t>
            </w:r>
          </w:p>
        </w:tc>
      </w:tr>
      <w:tr>
        <w:trPr>
          <w:trHeight w:val="243"/>
        </w:trPr>
        <w:tc>
          <w:tcPr>
            <w:tcW w:w="872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(33,875)</w:t>
            </w:r>
          </w:p>
        </w:tc>
        <w:tc>
          <w:tcPr>
            <w:tcW w:w="52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(1,015)</w:t>
            </w:r>
          </w:p>
        </w:tc>
      </w:tr>
      <w:tr>
        <w:trPr>
          <w:trHeight w:val="237"/>
        </w:trPr>
        <w:tc>
          <w:tcPr>
            <w:tcW w:w="87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131</w:t>
            </w:r>
          </w:p>
        </w:tc>
        <w:tc>
          <w:tcPr>
            <w:tcW w:w="26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2,523</w:t>
            </w:r>
          </w:p>
        </w:tc>
      </w:tr>
      <w:tr>
        <w:trPr>
          <w:trHeight w:val="250"/>
        </w:trPr>
        <w:tc>
          <w:tcPr>
            <w:tcW w:w="8720" w:type="dxa"/>
            <w:vAlign w:val="bottom"/>
            <w:tcBorders>
              <w:bottom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Total comprehensive (loss) income</w:t>
            </w:r>
          </w:p>
        </w:tc>
        <w:tc>
          <w:tcPr>
            <w:tcW w:w="2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(33,744)</w:t>
            </w:r>
          </w:p>
        </w:tc>
        <w:tc>
          <w:tcPr>
            <w:tcW w:w="520" w:type="dxa"/>
            <w:vAlign w:val="bottom"/>
            <w:tcBorders>
              <w:bottom w:val="single" w:sz="8" w:color="auto"/>
            </w:tcBorders>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1,508</w:t>
            </w: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720" w:type="dxa"/>
            <w:vAlign w:val="bottom"/>
          </w:tcPr>
          <w:p>
            <w:pPr>
              <w:spacing w:after="0"/>
              <w:rPr>
                <w:sz w:val="20"/>
                <w:szCs w:val="20"/>
                <w:color w:val="auto"/>
              </w:rPr>
            </w:pPr>
          </w:p>
        </w:tc>
        <w:tc>
          <w:tcPr>
            <w:tcW w:w="27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8"/>
              </w:rPr>
              <w:t>Nine months ended September 30,</w:t>
            </w:r>
          </w:p>
        </w:tc>
      </w:tr>
      <w:tr>
        <w:trPr>
          <w:trHeight w:val="237"/>
        </w:trPr>
        <w:tc>
          <w:tcPr>
            <w:tcW w:w="872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2009</w:t>
            </w:r>
          </w:p>
        </w:tc>
      </w:tr>
      <w:tr>
        <w:trPr>
          <w:trHeight w:val="243"/>
        </w:trPr>
        <w:tc>
          <w:tcPr>
            <w:tcW w:w="872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0C0C0"/>
          </w:tcPr>
          <w:p>
            <w:pPr>
              <w:jc w:val="right"/>
              <w:ind w:right="10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(89,871)</w:t>
            </w:r>
          </w:p>
        </w:tc>
        <w:tc>
          <w:tcPr>
            <w:tcW w:w="52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(31,341)</w:t>
            </w:r>
          </w:p>
        </w:tc>
      </w:tr>
      <w:tr>
        <w:trPr>
          <w:trHeight w:val="237"/>
        </w:trPr>
        <w:tc>
          <w:tcPr>
            <w:tcW w:w="87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26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3,651</w:t>
            </w:r>
          </w:p>
        </w:tc>
      </w:tr>
      <w:tr>
        <w:trPr>
          <w:trHeight w:val="250"/>
        </w:trPr>
        <w:tc>
          <w:tcPr>
            <w:tcW w:w="8720" w:type="dxa"/>
            <w:vAlign w:val="bottom"/>
            <w:tcBorders>
              <w:bottom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Total comprehensive loss</w:t>
            </w:r>
          </w:p>
        </w:tc>
        <w:tc>
          <w:tcPr>
            <w:tcW w:w="260" w:type="dxa"/>
            <w:vAlign w:val="bottom"/>
            <w:tcBorders>
              <w:bottom w:val="single" w:sz="8" w:color="auto"/>
            </w:tcBorders>
            <w:shd w:val="clear" w:color="auto" w:fill="C0C0C0"/>
          </w:tcPr>
          <w:p>
            <w:pPr>
              <w:jc w:val="right"/>
              <w:ind w:right="10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(91,090)</w:t>
            </w:r>
          </w:p>
        </w:tc>
        <w:tc>
          <w:tcPr>
            <w:tcW w:w="26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(27,690)</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Extension of Technology Licensing Agreement with Astellas</w:t>
      </w:r>
    </w:p>
    <w:p>
      <w:pPr>
        <w:spacing w:after="0" w:line="285" w:lineRule="exact"/>
        <w:rPr>
          <w:sz w:val="20"/>
          <w:szCs w:val="20"/>
          <w:color w:val="auto"/>
        </w:rPr>
      </w:pPr>
    </w:p>
    <w:p>
      <w:pPr>
        <w:jc w:val="both"/>
        <w:ind w:firstLine="284"/>
        <w:spacing w:after="0" w:line="264" w:lineRule="auto"/>
        <w:rPr>
          <w:sz w:val="20"/>
          <w:szCs w:val="20"/>
          <w:color w:val="auto"/>
        </w:rPr>
      </w:pPr>
      <w:r>
        <w:rPr>
          <w:rFonts w:ascii="Arial" w:cs="Arial" w:eastAsia="Arial" w:hAnsi="Arial"/>
          <w:sz w:val="16"/>
          <w:szCs w:val="16"/>
          <w:color w:val="auto"/>
        </w:rPr>
        <w:t xml:space="preserve">In March 2007, the Company entered into a six-year non-exclusive license agreement with Astellas Pharma Inc. that allows Astellas to utilize the Company’s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 its internal research programs to discover human monoclonal antibodies. Under the terms of the agreement, Astellas made a $20.0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million annual, non-refundable payment to the Company in each of 2010, 2009, 2008, and 2007. In July 2010, the license agreement with Astellas was amended and extended through June 2023. Under the terms of the amended agreement, Astellas made a $165.0 million up-front payment to the Company in August 2010, which was deferred upon receipt and will be recognized as revenue ratably over the seven-year period beginning in mid-2011. In addition, Astellas will make a $130.0 million second payment to the Company in June 2018 unless the license agreement has been terminated prior to that date. Astellas has the right to terminate the agreement at any time by providing 90 days’ advance written notice. Under certain limited circumstances, such as a material breach of the agreement by the Company, Astellas may terminate the agreement and receive a refund of a portion of its up-front payment or, if such termination occurs after June 2018, a portion of its second payment, to the Company under the July 2010 amendment to the agreement. The Company is entitled to receive a mid-single-digit royalty on any future sales of antibody products discovered by Astellas using the Company’s </w:t>
      </w:r>
      <w:r>
        <w:rPr>
          <w:rFonts w:ascii="Arial" w:cs="Arial" w:eastAsia="Arial" w:hAnsi="Arial"/>
          <w:sz w:val="19"/>
          <w:szCs w:val="19"/>
          <w:i w:val="1"/>
          <w:iCs w:val="1"/>
          <w:color w:val="auto"/>
        </w:rPr>
        <w:t>VelocImmune</w:t>
      </w:r>
      <w:r>
        <w:rPr>
          <w:rFonts w:ascii="Arial" w:cs="Arial" w:eastAsia="Arial" w:hAnsi="Arial"/>
          <w:sz w:val="27"/>
          <w:szCs w:val="27"/>
          <w:color w:val="auto"/>
          <w:vertAlign w:val="superscript"/>
        </w:rPr>
        <w:t>®</w:t>
      </w:r>
      <w:r>
        <w:rPr>
          <w:rFonts w:ascii="Arial" w:cs="Arial" w:eastAsia="Arial" w:hAnsi="Arial"/>
          <w:sz w:val="16"/>
          <w:szCs w:val="16"/>
          <w:color w:val="auto"/>
        </w:rPr>
        <w:t xml:space="preserve"> technology. In connection with the Astellas license agreement, the Company recognized $15.0 million of technology revenue for both the nine months ended September 30, 2010 and 2009. In addition, deferred revenue at September 30, 2010 and December 31, 2009 was $178.7 million and $8.7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Legal Matters</w:t>
      </w:r>
    </w:p>
    <w:p>
      <w:pPr>
        <w:spacing w:after="0" w:line="285"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From time to time, the Company is a party to legal proceedings in the course of its business. The Company does not expect any such current legal proceedings to have a material adverse effect on the Company’s business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Future Impact of Recently Issued Accounting Standards</w:t>
      </w:r>
    </w:p>
    <w:p>
      <w:pPr>
        <w:spacing w:after="0" w:line="285" w:lineRule="exact"/>
        <w:rPr>
          <w:sz w:val="20"/>
          <w:szCs w:val="20"/>
          <w:color w:val="auto"/>
        </w:rPr>
      </w:pPr>
    </w:p>
    <w:p>
      <w:pPr>
        <w:jc w:val="both"/>
        <w:ind w:firstLine="284"/>
        <w:spacing w:after="0" w:line="323" w:lineRule="auto"/>
        <w:rPr>
          <w:sz w:val="20"/>
          <w:szCs w:val="20"/>
          <w:color w:val="auto"/>
        </w:rPr>
      </w:pPr>
      <w:r>
        <w:rPr>
          <w:rFonts w:ascii="Arial" w:cs="Arial" w:eastAsia="Arial" w:hAnsi="Arial"/>
          <w:sz w:val="15"/>
          <w:szCs w:val="15"/>
          <w:color w:val="auto"/>
        </w:rPr>
        <w:t>In March 2010, the FASB amended its authoritative guidance on the milestone method of revenue recognition. The milestone method of revenue recognition has now been codified as an acceptable revenue recognition model when a milestone is deemed to be substantive. This guidance may be applied retrospectively to all arrangements or prospectively for milestones achieved after the adoption of the guidance. The Company will adopt this amended guidance for the fiscal year beginning January 1, 2011. Management does not anticipate that the adoption of this guidance will have a material impact on the Company’s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 – Public Offering of Common Stock</w:t>
      </w:r>
    </w:p>
    <w:p>
      <w:pPr>
        <w:spacing w:after="0" w:line="285"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8"/>
          <w:szCs w:val="18"/>
          <w:color w:val="auto"/>
        </w:rPr>
        <w:t>In October 2010, the Company completed an underwritten public offering of 6,325,000 shares of Common Stock and received net proceeds of approximately $174.7 million.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99"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6"/>
          <w:szCs w:val="16"/>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anticipated sales of our marketed product, the timing and nature of the clinical and research programs now underway or planned, and the future sources and uses of capital and our financial needs. These statements are made by us based on management's current beliefs and judgment. In evaluating such statements, shareholders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5" w:lineRule="exact"/>
        <w:rPr>
          <w:sz w:val="20"/>
          <w:szCs w:val="20"/>
          <w:color w:val="auto"/>
        </w:rPr>
      </w:pPr>
    </w:p>
    <w:p>
      <w:pPr>
        <w:jc w:val="both"/>
        <w:ind w:firstLine="297"/>
        <w:spacing w:after="0" w:line="232" w:lineRule="auto"/>
        <w:rPr>
          <w:sz w:val="20"/>
          <w:szCs w:val="20"/>
          <w:color w:val="auto"/>
        </w:rPr>
      </w:pPr>
      <w:r>
        <w:rPr>
          <w:rFonts w:ascii="Arial" w:cs="Arial" w:eastAsia="Arial" w:hAnsi="Arial"/>
          <w:sz w:val="18"/>
          <w:szCs w:val="18"/>
          <w:color w:val="auto"/>
        </w:rPr>
        <w:t>Regeneron Pharmaceuticals, Inc. is a biopharmaceutical company that discovers, develops, and commercializes pharmaceutical products for the treatment of serious medical conditions. We currently have one marketed product: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Injection for Subcutaneous Use, which is available for prescription in the United States for the treatment of Cryopyrin-Associated Periodic Syndromes (CAPS), including Familial Cold Auto-inflammatory Syndrome (FCAS) and Muckle-Wells Syndrome (MWS) in adults and children 12 and older.</w:t>
      </w:r>
    </w:p>
    <w:p>
      <w:pPr>
        <w:spacing w:after="0" w:line="267"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We have eight product candidates in clinical development, including three product candidates that are in late-stage (Phase 3) clinical development. Our late stage programs are ARCALYST</w:t>
      </w:r>
      <w:r>
        <w:rPr>
          <w:rFonts w:ascii="Arial" w:cs="Arial" w:eastAsia="Arial" w:hAnsi="Arial"/>
          <w:sz w:val="23"/>
          <w:szCs w:val="23"/>
          <w:color w:val="auto"/>
          <w:vertAlign w:val="superscript"/>
        </w:rPr>
        <w:t>®</w:t>
      </w:r>
      <w:r>
        <w:rPr>
          <w:rFonts w:ascii="Arial" w:cs="Arial" w:eastAsia="Arial" w:hAnsi="Arial"/>
          <w:sz w:val="17"/>
          <w:szCs w:val="17"/>
          <w:color w:val="auto"/>
        </w:rPr>
        <w:t>, which is being developed for the prevention of gout flares in patients initiating uric acid-lowering treatment; VEGF Trap-Eye (aflibercept ophthalmic solution), which is being developed using intraocular delivery for the treatment of eye diseases in collaboration with Bayer HealthCare LLC; and aflibercept (VEGF Trap), which is being developed in oncology in collaboration with the sanofi-aventis Group. Our earlier stage clinical programs are REGN727, an antibody to PCSK9, which is being developed for low density lipoprotein (LDL) cholesterol reduction; REGN88, an antibody to the interleukin-6 receptor (IL- 6R), which is being developed in rheumatoid arthritis and ankylosing spondylitis; REGN421, an antibody to Delta-like ligand-4 (Dll4), which is being developed in oncology; REGN668, an antibody to the interleukin-4 receptor (IL-4R), which is being developed in atopic dermatitis; and REGN475, an antibody to Nerve Growth Factor (NGF), which is being developed for the treatment of pain. In addition, we expect to file an IND for REGN910, an antibody to Angiopoietin-2 (ANG2), a novel angiogenesis target in the oncology setting, by the end of 2010. We also plan to initiate clinical trials with two additional antibodies by the end of the year, REGN846 and REGN728. Our earlier stage clinical programs are fully human antibodies that are being developed in collaboration with sanofi-aventis.</w:t>
      </w:r>
    </w:p>
    <w:p>
      <w:pPr>
        <w:spacing w:after="0" w:line="25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core business strategy is to maintain a strong foundation in basic scientific research and discovery-enabling technologies and combine that foundation with our clinical development and manufacturing capabilities. Our long-term objective is to build a successful, integrated biopharmaceutical company that provides patients and medical professionals with new and better options for preventing and treating human diseases. However, developing and commercializing new medicines entails significant risk and expense.</w:t>
      </w:r>
    </w:p>
    <w:p>
      <w:pPr>
        <w:spacing w:after="0" w:line="251" w:lineRule="exact"/>
        <w:rPr>
          <w:sz w:val="20"/>
          <w:szCs w:val="20"/>
          <w:color w:val="auto"/>
        </w:rPr>
      </w:pPr>
    </w:p>
    <w:p>
      <w:pPr>
        <w:jc w:val="both"/>
        <w:ind w:firstLine="297"/>
        <w:spacing w:after="0" w:line="238" w:lineRule="auto"/>
        <w:rPr>
          <w:sz w:val="20"/>
          <w:szCs w:val="20"/>
          <w:color w:val="auto"/>
        </w:rPr>
      </w:pPr>
      <w:r>
        <w:rPr>
          <w:rFonts w:ascii="Arial" w:cs="Arial" w:eastAsia="Arial" w:hAnsi="Arial"/>
          <w:sz w:val="17"/>
          <w:szCs w:val="17"/>
          <w:color w:val="auto"/>
        </w:rPr>
        <w:t xml:space="preserve">We believe that our ability to develop product candidates is enhanced by the application of our </w:t>
      </w:r>
      <w:r>
        <w:rPr>
          <w:rFonts w:ascii="Arial" w:cs="Arial" w:eastAsia="Arial" w:hAnsi="Arial"/>
          <w:sz w:val="17"/>
          <w:szCs w:val="17"/>
          <w:i w:val="1"/>
          <w:iCs w:val="1"/>
          <w:color w:val="auto"/>
        </w:rPr>
        <w:t>VelociSuite™</w:t>
      </w:r>
      <w:r>
        <w:rPr>
          <w:rFonts w:ascii="Arial" w:cs="Arial" w:eastAsia="Arial" w:hAnsi="Arial"/>
          <w:sz w:val="17"/>
          <w:szCs w:val="17"/>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7"/>
          <w:szCs w:val="17"/>
          <w:i w:val="1"/>
          <w:iCs w:val="1"/>
          <w:color w:val="auto"/>
        </w:rPr>
        <w:t>VelociGene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 gy to understand the role of these proteins in normal physiology as well as in models of disease. Our human monoclonal antibody technology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and cell line expression technologies (</w:t>
      </w:r>
      <w:r>
        <w:rPr>
          <w:rFonts w:ascii="Arial" w:cs="Arial" w:eastAsia="Arial" w:hAnsi="Arial"/>
          <w:sz w:val="17"/>
          <w:szCs w:val="17"/>
          <w:i w:val="1"/>
          <w:iCs w:val="1"/>
          <w:color w:val="auto"/>
        </w:rPr>
        <w:t>VelociMab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may then be utilized to design and produce new product candidates directed against the disease target. Our five antibody product candidates currently in clinical trials, as well as REGN910, REGN846, and REGN728, were developed using </w:t>
      </w:r>
      <w:r>
        <w:rPr>
          <w:rFonts w:ascii="Arial" w:cs="Arial" w:eastAsia="Arial" w:hAnsi="Arial"/>
          <w:sz w:val="17"/>
          <w:szCs w:val="17"/>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Under the terms of our antibody collaboration with sanofi-aventis, which was expanded during 2009, we plan to advance an average of four to five new antibody product candidates into clinical development each year, for an anticipated total of 30-40 candidates from 2010 through 2017. We continue to invest in the development of enabling technologies to assist in our efforts to identify, develop, manufacture, and commercialize new product candidates.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Commercial Product: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ARCALYST</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Cryopyrin-Associated Periodic Syndromes (CAPS)</w:t>
      </w:r>
    </w:p>
    <w:p>
      <w:pPr>
        <w:spacing w:after="0" w:line="210" w:lineRule="exact"/>
        <w:rPr>
          <w:sz w:val="20"/>
          <w:szCs w:val="20"/>
          <w:color w:val="auto"/>
        </w:rPr>
      </w:pPr>
    </w:p>
    <w:p>
      <w:pPr>
        <w:jc w:val="both"/>
        <w:ind w:firstLine="297"/>
        <w:spacing w:after="0" w:line="216" w:lineRule="auto"/>
        <w:rPr>
          <w:sz w:val="20"/>
          <w:szCs w:val="20"/>
          <w:color w:val="auto"/>
        </w:rPr>
      </w:pPr>
      <w:r>
        <w:rPr>
          <w:rFonts w:ascii="Arial" w:cs="Arial" w:eastAsia="Arial" w:hAnsi="Arial"/>
          <w:sz w:val="18"/>
          <w:szCs w:val="18"/>
          <w:color w:val="auto"/>
        </w:rPr>
        <w:t>Net product sales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Injection for Subcutaneous Use in the third quarter of 2010 were $4.9 million, compared to $5.0 million during the same period of 2009. We recognized $20.0 million of net product sales during the first nine months of 2010, which included $15.2 million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 made during that period and $4.8 million of previously deferred net product sales, as described below under “Results of Operations.” In the first nine months of 2009, we recognized $13.4 million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available for prescription in th e United States for the treatment of Cryopyrin-Associated Periodic Syndromes (CAPS), including Familial Cold Auto-inflammatory Syndrome (FCAS) and Muckle-Wells Syndrome (MWS) in adults and children 12 and older.</w:t>
      </w:r>
    </w:p>
    <w:p>
      <w:pPr>
        <w:spacing w:after="0" w:line="263" w:lineRule="exact"/>
        <w:rPr>
          <w:sz w:val="20"/>
          <w:szCs w:val="20"/>
          <w:color w:val="auto"/>
        </w:rPr>
      </w:pPr>
    </w:p>
    <w:p>
      <w:pPr>
        <w:jc w:val="both"/>
        <w:ind w:firstLine="351"/>
        <w:spacing w:after="0" w:line="233" w:lineRule="auto"/>
        <w:rPr>
          <w:sz w:val="20"/>
          <w:szCs w:val="20"/>
          <w:color w:val="auto"/>
        </w:rPr>
      </w:pPr>
      <w:r>
        <w:rPr>
          <w:rFonts w:ascii="Arial" w:cs="Arial" w:eastAsia="Arial" w:hAnsi="Arial"/>
          <w:sz w:val="18"/>
          <w:szCs w:val="18"/>
          <w:color w:val="auto"/>
        </w:rPr>
        <w:t>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a protein-based product designed to bind the interleukin-1 (called IL-1) cytokine and prevent its interaction with cell surface receptors. CAPS is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Programs: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ARCALYST</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Inflammatory Diseases</w:t>
      </w:r>
    </w:p>
    <w:p>
      <w:pPr>
        <w:spacing w:after="0" w:line="210"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7"/>
          <w:szCs w:val="17"/>
          <w:color w:val="auto"/>
        </w:rPr>
        <w:t>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is being developed for the prevention of gout flares in patients initiating uric acid-lowering therapy. Gout, a disease in which, as in CAPS, IL-1 may play an important role in pain and inflammation, is a very painful and common form of arthritis that results from high levels of uric acid, a bodily waste product normally excreted by the kidneys. The elevated uric acid can lead to formation of urate crystals in the joints of the toes, ankles, knees, wrists, fingers, and elbows. Uric acid-lowering therapy, most commonly with allopurinol, is prescribed to eliminate the urate crystals and prevent reformation. Paradoxically, the initiation of uric acid-lowering therapy often triggers an increase in the frequency of gout attacks in the first several months of treatment, which may lead to discontinuation of therapy. The break up of the urate crystals can result in stimulation of inflammatory mediators, including IL-1, resulting in acute flares of joint pain and inflammation. These painful flares generally persist for at least five days.</w:t>
      </w:r>
    </w:p>
    <w:p>
      <w:pPr>
        <w:spacing w:after="0" w:line="250" w:lineRule="exact"/>
        <w:rPr>
          <w:sz w:val="20"/>
          <w:szCs w:val="20"/>
          <w:color w:val="auto"/>
        </w:rPr>
      </w:pPr>
    </w:p>
    <w:p>
      <w:pPr>
        <w:jc w:val="both"/>
        <w:ind w:firstLine="297"/>
        <w:spacing w:after="0" w:line="228" w:lineRule="auto"/>
        <w:rPr>
          <w:sz w:val="20"/>
          <w:szCs w:val="20"/>
          <w:color w:val="auto"/>
        </w:rPr>
      </w:pPr>
      <w:r>
        <w:rPr>
          <w:rFonts w:ascii="Arial" w:cs="Arial" w:eastAsia="Arial" w:hAnsi="Arial"/>
          <w:sz w:val="18"/>
          <w:szCs w:val="18"/>
          <w:color w:val="auto"/>
        </w:rPr>
        <w:t>We are conducting a Phase 3 clinical development program with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 gout patients initiating uric acid-lowering therapy. The program currently consists of PRE-SURGE 1 (</w:t>
      </w:r>
      <w:r>
        <w:rPr>
          <w:rFonts w:ascii="Arial" w:cs="Arial" w:eastAsia="Arial" w:hAnsi="Arial"/>
          <w:sz w:val="18"/>
          <w:szCs w:val="18"/>
          <w:u w:val="single" w:color="auto"/>
          <w:color w:val="auto"/>
        </w:rPr>
        <w:t>PRE</w:t>
      </w:r>
      <w:r>
        <w:rPr>
          <w:rFonts w:ascii="Arial" w:cs="Arial" w:eastAsia="Arial" w:hAnsi="Arial"/>
          <w:sz w:val="18"/>
          <w:szCs w:val="18"/>
          <w:color w:val="auto"/>
        </w:rPr>
        <w:t xml:space="preserve">vention </w:t>
      </w:r>
      <w:r>
        <w:rPr>
          <w:rFonts w:ascii="Arial" w:cs="Arial" w:eastAsia="Arial" w:hAnsi="Arial"/>
          <w:sz w:val="18"/>
          <w:szCs w:val="18"/>
          <w:u w:val="single" w:color="auto"/>
          <w:color w:val="auto"/>
        </w:rPr>
        <w:t>S</w:t>
      </w:r>
      <w:r>
        <w:rPr>
          <w:rFonts w:ascii="Arial" w:cs="Arial" w:eastAsia="Arial" w:hAnsi="Arial"/>
          <w:sz w:val="18"/>
          <w:szCs w:val="18"/>
          <w:color w:val="auto"/>
        </w:rPr>
        <w:t xml:space="preserve">tudy against </w:t>
      </w:r>
      <w:r>
        <w:rPr>
          <w:rFonts w:ascii="Arial" w:cs="Arial" w:eastAsia="Arial" w:hAnsi="Arial"/>
          <w:sz w:val="18"/>
          <w:szCs w:val="18"/>
          <w:u w:val="single" w:color="auto"/>
          <w:color w:val="auto"/>
        </w:rPr>
        <w:t>UR</w:t>
      </w:r>
      <w:r>
        <w:rPr>
          <w:rFonts w:ascii="Arial" w:cs="Arial" w:eastAsia="Arial" w:hAnsi="Arial"/>
          <w:sz w:val="18"/>
          <w:szCs w:val="18"/>
          <w:color w:val="auto"/>
        </w:rPr>
        <w:t xml:space="preserve">ate-lowering drug-induced </w:t>
      </w:r>
      <w:r>
        <w:rPr>
          <w:rFonts w:ascii="Arial" w:cs="Arial" w:eastAsia="Arial" w:hAnsi="Arial"/>
          <w:sz w:val="18"/>
          <w:szCs w:val="18"/>
          <w:u w:val="single" w:color="auto"/>
          <w:color w:val="auto"/>
        </w:rPr>
        <w:t>G</w:t>
      </w:r>
      <w:r>
        <w:rPr>
          <w:rFonts w:ascii="Arial" w:cs="Arial" w:eastAsia="Arial" w:hAnsi="Arial"/>
          <w:sz w:val="18"/>
          <w:szCs w:val="18"/>
          <w:color w:val="auto"/>
        </w:rPr>
        <w:t xml:space="preserve">out </w:t>
      </w:r>
      <w:r>
        <w:rPr>
          <w:rFonts w:ascii="Arial" w:cs="Arial" w:eastAsia="Arial" w:hAnsi="Arial"/>
          <w:sz w:val="18"/>
          <w:szCs w:val="18"/>
          <w:u w:val="single" w:color="auto"/>
          <w:color w:val="auto"/>
        </w:rPr>
        <w:t>E</w:t>
      </w:r>
      <w:r>
        <w:rPr>
          <w:rFonts w:ascii="Arial" w:cs="Arial" w:eastAsia="Arial" w:hAnsi="Arial"/>
          <w:sz w:val="18"/>
          <w:szCs w:val="18"/>
          <w:color w:val="auto"/>
        </w:rPr>
        <w:t>xacerbations), PRE-SURGE 2, and RE-SURGE (</w:t>
      </w:r>
      <w:r>
        <w:rPr>
          <w:rFonts w:ascii="Arial" w:cs="Arial" w:eastAsia="Arial" w:hAnsi="Arial"/>
          <w:sz w:val="18"/>
          <w:szCs w:val="18"/>
          <w:u w:val="single" w:color="auto"/>
          <w:color w:val="auto"/>
        </w:rPr>
        <w:t>RE</w:t>
      </w:r>
      <w:r>
        <w:rPr>
          <w:rFonts w:ascii="Arial" w:cs="Arial" w:eastAsia="Arial" w:hAnsi="Arial"/>
          <w:sz w:val="18"/>
          <w:szCs w:val="18"/>
          <w:color w:val="auto"/>
        </w:rPr>
        <w:t xml:space="preserve">view of </w:t>
      </w:r>
      <w:r>
        <w:rPr>
          <w:rFonts w:ascii="Arial" w:cs="Arial" w:eastAsia="Arial" w:hAnsi="Arial"/>
          <w:sz w:val="18"/>
          <w:szCs w:val="18"/>
          <w:u w:val="single" w:color="auto"/>
          <w:color w:val="auto"/>
        </w:rPr>
        <w:t>S</w:t>
      </w:r>
      <w:r>
        <w:rPr>
          <w:rFonts w:ascii="Arial" w:cs="Arial" w:eastAsia="Arial" w:hAnsi="Arial"/>
          <w:sz w:val="18"/>
          <w:szCs w:val="18"/>
          <w:color w:val="auto"/>
        </w:rPr>
        <w:t xml:space="preserve">afety </w:t>
      </w:r>
      <w:r>
        <w:rPr>
          <w:rFonts w:ascii="Arial" w:cs="Arial" w:eastAsia="Arial" w:hAnsi="Arial"/>
          <w:sz w:val="18"/>
          <w:szCs w:val="18"/>
          <w:u w:val="single" w:color="auto"/>
          <w:color w:val="auto"/>
        </w:rPr>
        <w:t>U</w:t>
      </w:r>
      <w:r>
        <w:rPr>
          <w:rFonts w:ascii="Arial" w:cs="Arial" w:eastAsia="Arial" w:hAnsi="Arial"/>
          <w:sz w:val="18"/>
          <w:szCs w:val="18"/>
          <w:color w:val="auto"/>
        </w:rPr>
        <w:t xml:space="preserve">tilizing Rilonacept in </w:t>
      </w:r>
      <w:r>
        <w:rPr>
          <w:rFonts w:ascii="Arial" w:cs="Arial" w:eastAsia="Arial" w:hAnsi="Arial"/>
          <w:sz w:val="18"/>
          <w:szCs w:val="18"/>
          <w:u w:val="single" w:color="auto"/>
          <w:color w:val="auto"/>
        </w:rPr>
        <w:t>G</w:t>
      </w:r>
      <w:r>
        <w:rPr>
          <w:rFonts w:ascii="Arial" w:cs="Arial" w:eastAsia="Arial" w:hAnsi="Arial"/>
          <w:sz w:val="18"/>
          <w:szCs w:val="18"/>
          <w:color w:val="auto"/>
        </w:rPr>
        <w:t xml:space="preserve">out </w:t>
      </w:r>
      <w:r>
        <w:rPr>
          <w:rFonts w:ascii="Arial" w:cs="Arial" w:eastAsia="Arial" w:hAnsi="Arial"/>
          <w:sz w:val="18"/>
          <w:szCs w:val="18"/>
          <w:u w:val="single" w:color="auto"/>
          <w:color w:val="auto"/>
        </w:rPr>
        <w:t>E</w:t>
      </w:r>
      <w:r>
        <w:rPr>
          <w:rFonts w:ascii="Arial" w:cs="Arial" w:eastAsia="Arial" w:hAnsi="Arial"/>
          <w:sz w:val="18"/>
          <w:szCs w:val="18"/>
          <w:color w:val="auto"/>
        </w:rPr>
        <w:t>xacerbations), each of which are described below.</w:t>
      </w:r>
    </w:p>
    <w:p>
      <w:pPr>
        <w:spacing w:after="0" w:line="263" w:lineRule="exact"/>
        <w:rPr>
          <w:sz w:val="20"/>
          <w:szCs w:val="20"/>
          <w:color w:val="auto"/>
        </w:rPr>
      </w:pPr>
    </w:p>
    <w:p>
      <w:pPr>
        <w:jc w:val="both"/>
        <w:ind w:firstLine="270"/>
        <w:spacing w:after="0" w:line="210" w:lineRule="auto"/>
        <w:rPr>
          <w:sz w:val="20"/>
          <w:szCs w:val="20"/>
          <w:color w:val="auto"/>
        </w:rPr>
      </w:pPr>
      <w:r>
        <w:rPr>
          <w:rFonts w:ascii="Arial" w:cs="Arial" w:eastAsia="Arial" w:hAnsi="Arial"/>
          <w:sz w:val="18"/>
          <w:szCs w:val="18"/>
          <w:color w:val="auto"/>
        </w:rPr>
        <w:t>In June 2010, we announced that PRE-SURGE 1 showed that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prevented gout attacks, as measured by the primary study endpoint of the number of gout flares per patient over the 16 week treatment period. Patients initiating urate-lowering therapy who received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at a weekly, self-administered, subcutaneous dose of 160 milligrams (mg) had an 80% decrease in mean number of gout flares compared to the placebo group over the 16 week treatment period (0.21 flares vs. 1.06 flares, p&lt;0.0001). Patients who received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at a weekly dose of 80 mg had a 73% decrease compared to the placebo group (0.29 flares vs. 1.06 flares, p&lt;0.0001).</w:t>
      </w:r>
    </w:p>
    <w:p>
      <w:pPr>
        <w:spacing w:after="0" w:line="237" w:lineRule="exact"/>
        <w:rPr>
          <w:sz w:val="20"/>
          <w:szCs w:val="20"/>
          <w:color w:val="auto"/>
        </w:rPr>
      </w:pPr>
    </w:p>
    <w:p>
      <w:pPr>
        <w:jc w:val="both"/>
        <w:ind w:firstLine="419"/>
        <w:spacing w:after="0" w:line="229" w:lineRule="auto"/>
        <w:rPr>
          <w:sz w:val="20"/>
          <w:szCs w:val="20"/>
          <w:color w:val="auto"/>
        </w:rPr>
      </w:pPr>
      <w:r>
        <w:rPr>
          <w:rFonts w:ascii="Arial" w:cs="Arial" w:eastAsia="Arial" w:hAnsi="Arial"/>
          <w:sz w:val="16"/>
          <w:szCs w:val="16"/>
          <w:color w:val="auto"/>
        </w:rPr>
        <w:t>All secondary endpoints of the study were highly positive (p&lt;0.001 vs. placebo). Among these endpoints, treatment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reduced the proportion of patients who experienced two or more flares during the study period by up to 88% (3.7%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160 mg, 5.0%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80 mg, and 31.6% with placebo, p&lt;0.0001). In addition, treatment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reduced the proportion of patients who experienced at least one gout flare during the study period by up to 65% (16.3%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160 mg, 18.8% with ARCALYS 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80 mg, and 46.8% with placebo, p&lt;0.001).</w:t>
      </w:r>
    </w:p>
    <w:p>
      <w:pPr>
        <w:spacing w:after="0" w:line="142" w:lineRule="exact"/>
        <w:rPr>
          <w:sz w:val="20"/>
          <w:szCs w:val="20"/>
          <w:color w:val="auto"/>
        </w:rPr>
      </w:pPr>
    </w:p>
    <w:p>
      <w:pPr>
        <w:jc w:val="both"/>
        <w:ind w:firstLine="284"/>
        <w:spacing w:after="0" w:line="231" w:lineRule="auto"/>
        <w:rPr>
          <w:sz w:val="20"/>
          <w:szCs w:val="20"/>
          <w:color w:val="auto"/>
        </w:rPr>
      </w:pPr>
      <w:r>
        <w:rPr>
          <w:rFonts w:ascii="Arial" w:cs="Arial" w:eastAsia="Arial" w:hAnsi="Arial"/>
          <w:sz w:val="16"/>
          <w:szCs w:val="16"/>
          <w:color w:val="auto"/>
        </w:rPr>
        <w:t>A total of 241 patients were randomized in PRE-SURGE 1, a North America-based double-blind, placebo-controlled study.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was generally well tolerated with no reported drug-related serious adverse events. Adverse events that occurred at a frequency of at least 5% in any study group were: injection site reaction (19.8%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160 mg, 8.8%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80 mg, and 1.3% with placebo), upper respiratory tract infection (9.9%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160 mg, 8.8%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80 mg, and 7.6% with placebo), lower respiratory tract infection (0%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160 mg, 5.0%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80 mg, and 2.5% with placebo), musculoskeletal pain/ discomfort (6.2%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160 mg, 7.5%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80 mg, and 8.9% with placebo), and headache, (3.7%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160 mg, 6.3%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80 mg, and 1.3% with placebo).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5" w:name="page16"/>
    <w:bookmarkEnd w:id="15"/>
    <w:p>
      <w:pPr>
        <w:jc w:val="both"/>
        <w:ind w:firstLine="233"/>
        <w:spacing w:after="0" w:line="239" w:lineRule="auto"/>
        <w:rPr>
          <w:sz w:val="20"/>
          <w:szCs w:val="20"/>
          <w:color w:val="auto"/>
        </w:rPr>
      </w:pPr>
      <w:r>
        <w:rPr>
          <w:rFonts w:ascii="Arial" w:cs="Arial" w:eastAsia="Arial" w:hAnsi="Arial"/>
          <w:sz w:val="17"/>
          <w:szCs w:val="17"/>
          <w:color w:val="auto"/>
        </w:rPr>
        <w:t>There are two ongoing studies in the Phase 3 program with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 the prevention of gout flares in patients initiating uric acid-lowering therapy. The global PRE-SURGE 2 study, which has a similar trial design as PRE-SURGE 1, is evaluating the number of gout flares per patient over the first 16 weeks of initiation of allopurinol therapy. The global RE-SURGE study is evaluating the safety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versus placebo over 16 weeks in patients who are at risk for gout flares because they are taking uric acid-lowering drug treatment. PRE-SURGE 2 and RE-SURGE are fully enrolled, and we expect to have initial data from both studies by early 2011. We own worldwide rights to ARCALYST</w:t>
      </w:r>
      <w:r>
        <w:rPr>
          <w:rFonts w:ascii="Arial" w:cs="Arial" w:eastAsia="Arial" w:hAnsi="Arial"/>
          <w:sz w:val="23"/>
          <w:szCs w:val="23"/>
          <w:color w:val="auto"/>
          <w:vertAlign w:val="superscript"/>
        </w:rPr>
        <w:t>®</w:t>
      </w:r>
      <w:r>
        <w:rPr>
          <w:rFonts w:ascii="Arial" w:cs="Arial" w:eastAsia="Arial" w:hAnsi="Arial"/>
          <w:sz w:val="17"/>
          <w:szCs w:val="17"/>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Agreement with Novartis Pharma AG</w:t>
      </w:r>
    </w:p>
    <w:p>
      <w:pPr>
        <w:spacing w:after="0" w:line="258"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8"/>
          <w:szCs w:val="18"/>
          <w:color w:val="auto"/>
        </w:rPr>
        <w:t>Under a June 2009 agreement with Novartis Pharma AG (that replaced a previous collaboration and license agreement), we receive tiered royalties on worldwide sales of Novartis’ canakinumab, a fully human anti-interleukin-IL1ß antibody. The multi-tiered royalty rates in the agreement start at 4% and reach 15% when annual sales exceed $1.5 billion. Canakinumab is approved to treat CAPS and is in development for gout, type 2 diabetes, and other inflammatory diseases.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VEGF Trap-Eye – Ophthalmologic Diseases</w:t>
      </w:r>
    </w:p>
    <w:p>
      <w:pPr>
        <w:spacing w:after="0" w:line="252"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VEGF Trap-Eye is a specially purified and formulated form of VEGF Trap, which is being developed for use in intraocular applications. We and Bayer HealthCare are testing VEGF Trap-Eye in Phase 3 programs in patients with the neovascular form of age-related macular degeneration (wet AMD) and central retinal vein occlusion (CRVO). We and Bayer HealthCare are also conducting a Phase 2 study of VEGF Trap-Eye in patients with diabetic macular edema (DME). Wet AMD and diabetic retinopathy (which includes DME) are two of the leading causes of adult blindness in the developed world. In both conditions, severe visual loss is caused by a combination of retinal edema and neovascular proliferation.</w:t>
      </w:r>
    </w:p>
    <w:p>
      <w:pPr>
        <w:spacing w:after="0" w:line="197"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6"/>
          <w:szCs w:val="16"/>
          <w:color w:val="auto"/>
        </w:rPr>
        <w:t>The Phase 3 trials in wet AMD, known as VIEW 1 and VIEW 2 (</w:t>
      </w:r>
      <w:r>
        <w:rPr>
          <w:rFonts w:ascii="Arial" w:cs="Arial" w:eastAsia="Arial" w:hAnsi="Arial"/>
          <w:sz w:val="16"/>
          <w:szCs w:val="16"/>
          <w:u w:val="single" w:color="auto"/>
          <w:color w:val="auto"/>
        </w:rPr>
        <w:t>V</w:t>
      </w:r>
      <w:r>
        <w:rPr>
          <w:rFonts w:ascii="Arial" w:cs="Arial" w:eastAsia="Arial" w:hAnsi="Arial"/>
          <w:sz w:val="16"/>
          <w:szCs w:val="16"/>
          <w:color w:val="auto"/>
        </w:rPr>
        <w:t xml:space="preserve">EGF Trap: </w:t>
      </w:r>
      <w:r>
        <w:rPr>
          <w:rFonts w:ascii="Arial" w:cs="Arial" w:eastAsia="Arial" w:hAnsi="Arial"/>
          <w:sz w:val="16"/>
          <w:szCs w:val="16"/>
          <w:u w:val="single" w:color="auto"/>
          <w:color w:val="auto"/>
        </w:rPr>
        <w:t>I</w:t>
      </w:r>
      <w:r>
        <w:rPr>
          <w:rFonts w:ascii="Arial" w:cs="Arial" w:eastAsia="Arial" w:hAnsi="Arial"/>
          <w:sz w:val="16"/>
          <w:szCs w:val="16"/>
          <w:color w:val="auto"/>
        </w:rPr>
        <w:t xml:space="preserve">nvestigation of </w:t>
      </w:r>
      <w:r>
        <w:rPr>
          <w:rFonts w:ascii="Arial" w:cs="Arial" w:eastAsia="Arial" w:hAnsi="Arial"/>
          <w:sz w:val="16"/>
          <w:szCs w:val="16"/>
          <w:u w:val="single" w:color="auto"/>
          <w:color w:val="auto"/>
        </w:rPr>
        <w:t>E</w:t>
      </w:r>
      <w:r>
        <w:rPr>
          <w:rFonts w:ascii="Arial" w:cs="Arial" w:eastAsia="Arial" w:hAnsi="Arial"/>
          <w:sz w:val="16"/>
          <w:szCs w:val="16"/>
          <w:color w:val="auto"/>
        </w:rPr>
        <w:t xml:space="preserve">fficacy and Safety in </w:t>
      </w:r>
      <w:r>
        <w:rPr>
          <w:rFonts w:ascii="Arial" w:cs="Arial" w:eastAsia="Arial" w:hAnsi="Arial"/>
          <w:sz w:val="16"/>
          <w:szCs w:val="16"/>
          <w:u w:val="single" w:color="auto"/>
          <w:color w:val="auto"/>
        </w:rPr>
        <w:t>W</w:t>
      </w:r>
      <w:r>
        <w:rPr>
          <w:rFonts w:ascii="Arial" w:cs="Arial" w:eastAsia="Arial" w:hAnsi="Arial"/>
          <w:sz w:val="16"/>
          <w:szCs w:val="16"/>
          <w:color w:val="auto"/>
        </w:rPr>
        <w:t>et age-related macular degeneration), are comparing VEGF Trap-Eye and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(ranibizumab injection), owned by Genentech, Inc., an anti-angiogenic agent approved for use in wet AMD. VIEW 1 is being conducted in North America and VIEW 2 is being conducted in Europe, Asia Pacific, Japan, and Latin America. The VIEW 1 and VIEW 2 trials are both evaluating VEGF Trap-Eye doses of 0.5 milligrams (mg) and 2.0 mg at dosing intervals of four weeks and 2.0 mg at a dosing interval of eight weeks (after three monthly doses) compared with Lucentis (Genentech) dosed according to its U.S. label, which specifies doses of 0.5 mg administered every four weeks over the first year. As-needed dosing (PRN) with both agents will be evaluated in the second year of the studies, although patients will be dosed no less frequently than every 12 weeks. VIEW 1 and VIEW 2 are fully enrolled, and initial data from both studies are expected in the fourth quarter of 2010.</w:t>
      </w:r>
    </w:p>
    <w:p>
      <w:pPr>
        <w:spacing w:after="0" w:line="21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VEGF Trap-Eye is also in Phase 3 development for the treatment of CRVO, another cause of visual impairment. The COPERNICUS (</w:t>
      </w:r>
      <w:r>
        <w:rPr>
          <w:rFonts w:ascii="Arial" w:cs="Arial" w:eastAsia="Arial" w:hAnsi="Arial"/>
          <w:sz w:val="18"/>
          <w:szCs w:val="18"/>
          <w:u w:val="single" w:color="auto"/>
          <w:color w:val="auto"/>
        </w:rPr>
        <w:t>CO</w:t>
      </w:r>
      <w:r>
        <w:rPr>
          <w:rFonts w:ascii="Arial" w:cs="Arial" w:eastAsia="Arial" w:hAnsi="Arial"/>
          <w:sz w:val="18"/>
          <w:szCs w:val="18"/>
          <w:color w:val="auto"/>
        </w:rPr>
        <w:t xml:space="preserve">ntrolled </w:t>
      </w:r>
      <w:r>
        <w:rPr>
          <w:rFonts w:ascii="Arial" w:cs="Arial" w:eastAsia="Arial" w:hAnsi="Arial"/>
          <w:sz w:val="18"/>
          <w:szCs w:val="18"/>
          <w:u w:val="single" w:color="auto"/>
          <w:color w:val="auto"/>
        </w:rPr>
        <w:t>P</w:t>
      </w:r>
      <w:r>
        <w:rPr>
          <w:rFonts w:ascii="Arial" w:cs="Arial" w:eastAsia="Arial" w:hAnsi="Arial"/>
          <w:sz w:val="18"/>
          <w:szCs w:val="18"/>
          <w:color w:val="auto"/>
        </w:rPr>
        <w:t xml:space="preserve">hase 3 </w:t>
      </w:r>
      <w:r>
        <w:rPr>
          <w:rFonts w:ascii="Arial" w:cs="Arial" w:eastAsia="Arial" w:hAnsi="Arial"/>
          <w:sz w:val="18"/>
          <w:szCs w:val="18"/>
          <w:u w:val="single" w:color="auto"/>
          <w:color w:val="auto"/>
        </w:rPr>
        <w:t>E</w:t>
      </w:r>
      <w:r>
        <w:rPr>
          <w:rFonts w:ascii="Arial" w:cs="Arial" w:eastAsia="Arial" w:hAnsi="Arial"/>
          <w:sz w:val="18"/>
          <w:szCs w:val="18"/>
          <w:color w:val="auto"/>
        </w:rPr>
        <w:t xml:space="preserve">valuation of </w:t>
      </w:r>
      <w:r>
        <w:rPr>
          <w:rFonts w:ascii="Arial" w:cs="Arial" w:eastAsia="Arial" w:hAnsi="Arial"/>
          <w:sz w:val="18"/>
          <w:szCs w:val="18"/>
          <w:u w:val="single" w:color="auto"/>
          <w:color w:val="auto"/>
        </w:rPr>
        <w:t>R</w:t>
      </w:r>
      <w:r>
        <w:rPr>
          <w:rFonts w:ascii="Arial" w:cs="Arial" w:eastAsia="Arial" w:hAnsi="Arial"/>
          <w:sz w:val="18"/>
          <w:szCs w:val="18"/>
          <w:color w:val="auto"/>
        </w:rPr>
        <w:t>epeated i</w:t>
      </w:r>
      <w:r>
        <w:rPr>
          <w:rFonts w:ascii="Arial" w:cs="Arial" w:eastAsia="Arial" w:hAnsi="Arial"/>
          <w:sz w:val="18"/>
          <w:szCs w:val="18"/>
          <w:u w:val="single" w:color="auto"/>
          <w:color w:val="auto"/>
        </w:rPr>
        <w:t>N</w:t>
      </w:r>
      <w:r>
        <w:rPr>
          <w:rFonts w:ascii="Arial" w:cs="Arial" w:eastAsia="Arial" w:hAnsi="Arial"/>
          <w:sz w:val="18"/>
          <w:szCs w:val="18"/>
          <w:color w:val="auto"/>
        </w:rPr>
        <w:t xml:space="preserve">travitreal administration of VEGF Trap-Eye </w:t>
      </w:r>
      <w:r>
        <w:rPr>
          <w:rFonts w:ascii="Arial" w:cs="Arial" w:eastAsia="Arial" w:hAnsi="Arial"/>
          <w:sz w:val="18"/>
          <w:szCs w:val="18"/>
          <w:u w:val="single" w:color="auto"/>
          <w:color w:val="auto"/>
        </w:rPr>
        <w:t>I</w:t>
      </w:r>
      <w:r>
        <w:rPr>
          <w:rFonts w:ascii="Arial" w:cs="Arial" w:eastAsia="Arial" w:hAnsi="Arial"/>
          <w:sz w:val="18"/>
          <w:szCs w:val="18"/>
          <w:color w:val="auto"/>
        </w:rPr>
        <w:t xml:space="preserve">n </w:t>
      </w:r>
      <w:r>
        <w:rPr>
          <w:rFonts w:ascii="Arial" w:cs="Arial" w:eastAsia="Arial" w:hAnsi="Arial"/>
          <w:sz w:val="18"/>
          <w:szCs w:val="18"/>
          <w:u w:val="single" w:color="auto"/>
          <w:color w:val="auto"/>
        </w:rPr>
        <w:t>C</w:t>
      </w:r>
      <w:r>
        <w:rPr>
          <w:rFonts w:ascii="Arial" w:cs="Arial" w:eastAsia="Arial" w:hAnsi="Arial"/>
          <w:sz w:val="18"/>
          <w:szCs w:val="18"/>
          <w:color w:val="auto"/>
        </w:rPr>
        <w:t xml:space="preserve">entral retinal vein occlusion: </w:t>
      </w:r>
      <w:r>
        <w:rPr>
          <w:rFonts w:ascii="Arial" w:cs="Arial" w:eastAsia="Arial" w:hAnsi="Arial"/>
          <w:sz w:val="18"/>
          <w:szCs w:val="18"/>
          <w:u w:val="single" w:color="auto"/>
          <w:color w:val="auto"/>
        </w:rPr>
        <w:t>U</w:t>
      </w:r>
      <w:r>
        <w:rPr>
          <w:rFonts w:ascii="Arial" w:cs="Arial" w:eastAsia="Arial" w:hAnsi="Arial"/>
          <w:sz w:val="18"/>
          <w:szCs w:val="18"/>
          <w:color w:val="auto"/>
        </w:rPr>
        <w:t xml:space="preserve">tility and </w:t>
      </w:r>
      <w:r>
        <w:rPr>
          <w:rFonts w:ascii="Arial" w:cs="Arial" w:eastAsia="Arial" w:hAnsi="Arial"/>
          <w:sz w:val="18"/>
          <w:szCs w:val="18"/>
          <w:u w:val="single" w:color="auto"/>
          <w:color w:val="auto"/>
        </w:rPr>
        <w:t>S</w:t>
      </w:r>
      <w:r>
        <w:rPr>
          <w:rFonts w:ascii="Arial" w:cs="Arial" w:eastAsia="Arial" w:hAnsi="Arial"/>
          <w:sz w:val="18"/>
          <w:szCs w:val="18"/>
          <w:color w:val="auto"/>
        </w:rPr>
        <w:t>afety) study is being led by Regeneron and the GALILEO (</w:t>
      </w:r>
      <w:r>
        <w:rPr>
          <w:rFonts w:ascii="Arial" w:cs="Arial" w:eastAsia="Arial" w:hAnsi="Arial"/>
          <w:sz w:val="18"/>
          <w:szCs w:val="18"/>
          <w:u w:val="single" w:color="auto"/>
          <w:color w:val="auto"/>
        </w:rPr>
        <w:t>G</w:t>
      </w:r>
      <w:r>
        <w:rPr>
          <w:rFonts w:ascii="Arial" w:cs="Arial" w:eastAsia="Arial" w:hAnsi="Arial"/>
          <w:sz w:val="18"/>
          <w:szCs w:val="18"/>
          <w:color w:val="auto"/>
        </w:rPr>
        <w:t xml:space="preserve">eneral </w:t>
      </w:r>
      <w:r>
        <w:rPr>
          <w:rFonts w:ascii="Arial" w:cs="Arial" w:eastAsia="Arial" w:hAnsi="Arial"/>
          <w:sz w:val="18"/>
          <w:szCs w:val="18"/>
          <w:u w:val="single" w:color="auto"/>
          <w:color w:val="auto"/>
        </w:rPr>
        <w:t>A</w:t>
      </w:r>
      <w:r>
        <w:rPr>
          <w:rFonts w:ascii="Arial" w:cs="Arial" w:eastAsia="Arial" w:hAnsi="Arial"/>
          <w:sz w:val="18"/>
          <w:szCs w:val="18"/>
          <w:color w:val="auto"/>
        </w:rPr>
        <w:t xml:space="preserve">ssessment </w:t>
      </w:r>
      <w:r>
        <w:rPr>
          <w:rFonts w:ascii="Arial" w:cs="Arial" w:eastAsia="Arial" w:hAnsi="Arial"/>
          <w:sz w:val="18"/>
          <w:szCs w:val="18"/>
          <w:u w:val="single" w:color="auto"/>
          <w:color w:val="auto"/>
        </w:rPr>
        <w:t>L</w:t>
      </w:r>
      <w:r>
        <w:rPr>
          <w:rFonts w:ascii="Arial" w:cs="Arial" w:eastAsia="Arial" w:hAnsi="Arial"/>
          <w:sz w:val="18"/>
          <w:szCs w:val="18"/>
          <w:color w:val="auto"/>
        </w:rPr>
        <w:t xml:space="preserve">imiting </w:t>
      </w:r>
      <w:r>
        <w:rPr>
          <w:rFonts w:ascii="Arial" w:cs="Arial" w:eastAsia="Arial" w:hAnsi="Arial"/>
          <w:sz w:val="18"/>
          <w:szCs w:val="18"/>
          <w:u w:val="single" w:color="auto"/>
          <w:color w:val="auto"/>
        </w:rPr>
        <w:t>I</w:t>
      </w:r>
      <w:r>
        <w:rPr>
          <w:rFonts w:ascii="Arial" w:cs="Arial" w:eastAsia="Arial" w:hAnsi="Arial"/>
          <w:sz w:val="18"/>
          <w:szCs w:val="18"/>
          <w:color w:val="auto"/>
        </w:rPr>
        <w:t>nfi</w:t>
      </w:r>
      <w:r>
        <w:rPr>
          <w:rFonts w:ascii="Arial" w:cs="Arial" w:eastAsia="Arial" w:hAnsi="Arial"/>
          <w:sz w:val="18"/>
          <w:szCs w:val="18"/>
          <w:u w:val="single" w:color="auto"/>
          <w:color w:val="auto"/>
        </w:rPr>
        <w:t>L</w:t>
      </w:r>
      <w:r>
        <w:rPr>
          <w:rFonts w:ascii="Arial" w:cs="Arial" w:eastAsia="Arial" w:hAnsi="Arial"/>
          <w:sz w:val="18"/>
          <w:szCs w:val="18"/>
          <w:color w:val="auto"/>
        </w:rPr>
        <w:t xml:space="preserve">tr ation of </w:t>
      </w:r>
      <w:r>
        <w:rPr>
          <w:rFonts w:ascii="Arial" w:cs="Arial" w:eastAsia="Arial" w:hAnsi="Arial"/>
          <w:sz w:val="18"/>
          <w:szCs w:val="18"/>
          <w:u w:val="single" w:color="auto"/>
          <w:color w:val="auto"/>
        </w:rPr>
        <w:t>E</w:t>
      </w:r>
      <w:r>
        <w:rPr>
          <w:rFonts w:ascii="Arial" w:cs="Arial" w:eastAsia="Arial" w:hAnsi="Arial"/>
          <w:sz w:val="18"/>
          <w:szCs w:val="18"/>
          <w:color w:val="auto"/>
        </w:rPr>
        <w:t xml:space="preserve">xudates in central retinal vein </w:t>
      </w:r>
      <w:r>
        <w:rPr>
          <w:rFonts w:ascii="Arial" w:cs="Arial" w:eastAsia="Arial" w:hAnsi="Arial"/>
          <w:sz w:val="18"/>
          <w:szCs w:val="18"/>
          <w:u w:val="single" w:color="auto"/>
          <w:color w:val="auto"/>
        </w:rPr>
        <w:t>O</w:t>
      </w:r>
      <w:r>
        <w:rPr>
          <w:rFonts w:ascii="Arial" w:cs="Arial" w:eastAsia="Arial" w:hAnsi="Arial"/>
          <w:sz w:val="18"/>
          <w:szCs w:val="18"/>
          <w:color w:val="auto"/>
        </w:rPr>
        <w:t>cclusion with VEGF Trap-Eye) study is being led by Bayer HealthCare. Patients in both studies will receive six monthly intravitreal injections of either VEGF Trap-Eye at a dose of 2 mg or sham control injections. The primary endpoint of both studies is improvement in visual acuity versus baseline after six months of treatment. At the end of the initial six months, patients will be dosed on a PRN basis for another six months. All patients will be eligible for rescue laser treatment. Both studies are fully enrolled, and initial data from both studies are anticipated in the first half of 2011.</w:t>
      </w:r>
    </w:p>
    <w:p>
      <w:pPr>
        <w:spacing w:after="0" w:line="228" w:lineRule="exact"/>
        <w:rPr>
          <w:sz w:val="20"/>
          <w:szCs w:val="20"/>
          <w:color w:val="auto"/>
        </w:rPr>
      </w:pPr>
    </w:p>
    <w:p>
      <w:pPr>
        <w:jc w:val="both"/>
        <w:ind w:firstLine="311"/>
        <w:spacing w:after="0" w:line="288" w:lineRule="auto"/>
        <w:rPr>
          <w:sz w:val="20"/>
          <w:szCs w:val="20"/>
          <w:color w:val="auto"/>
        </w:rPr>
      </w:pPr>
      <w:r>
        <w:rPr>
          <w:rFonts w:ascii="Arial" w:cs="Arial" w:eastAsia="Arial" w:hAnsi="Arial"/>
          <w:sz w:val="16"/>
          <w:szCs w:val="16"/>
          <w:color w:val="auto"/>
        </w:rPr>
        <w:t>The Phase 2 DME study, known as DA VINCI (</w:t>
      </w:r>
      <w:r>
        <w:rPr>
          <w:rFonts w:ascii="Arial" w:cs="Arial" w:eastAsia="Arial" w:hAnsi="Arial"/>
          <w:sz w:val="16"/>
          <w:szCs w:val="16"/>
          <w:u w:val="single" w:color="auto"/>
          <w:color w:val="auto"/>
        </w:rPr>
        <w:t>D</w:t>
      </w:r>
      <w:r>
        <w:rPr>
          <w:rFonts w:ascii="Arial" w:cs="Arial" w:eastAsia="Arial" w:hAnsi="Arial"/>
          <w:sz w:val="16"/>
          <w:szCs w:val="16"/>
          <w:color w:val="auto"/>
        </w:rPr>
        <w:t xml:space="preserve">ME </w:t>
      </w:r>
      <w:r>
        <w:rPr>
          <w:rFonts w:ascii="Arial" w:cs="Arial" w:eastAsia="Arial" w:hAnsi="Arial"/>
          <w:sz w:val="16"/>
          <w:szCs w:val="16"/>
          <w:u w:val="single" w:color="auto"/>
          <w:color w:val="auto"/>
        </w:rPr>
        <w:t>A</w:t>
      </w:r>
      <w:r>
        <w:rPr>
          <w:rFonts w:ascii="Arial" w:cs="Arial" w:eastAsia="Arial" w:hAnsi="Arial"/>
          <w:sz w:val="16"/>
          <w:szCs w:val="16"/>
          <w:color w:val="auto"/>
        </w:rPr>
        <w:t xml:space="preserve">nd </w:t>
      </w:r>
      <w:r>
        <w:rPr>
          <w:rFonts w:ascii="Arial" w:cs="Arial" w:eastAsia="Arial" w:hAnsi="Arial"/>
          <w:sz w:val="16"/>
          <w:szCs w:val="16"/>
          <w:u w:val="single" w:color="auto"/>
          <w:color w:val="auto"/>
        </w:rPr>
        <w:t>V</w:t>
      </w:r>
      <w:r>
        <w:rPr>
          <w:rFonts w:ascii="Arial" w:cs="Arial" w:eastAsia="Arial" w:hAnsi="Arial"/>
          <w:sz w:val="16"/>
          <w:szCs w:val="16"/>
          <w:color w:val="auto"/>
        </w:rPr>
        <w:t xml:space="preserve">EGF Trap-Eye: </w:t>
      </w:r>
      <w:r>
        <w:rPr>
          <w:rFonts w:ascii="Arial" w:cs="Arial" w:eastAsia="Arial" w:hAnsi="Arial"/>
          <w:sz w:val="16"/>
          <w:szCs w:val="16"/>
          <w:u w:val="single" w:color="auto"/>
          <w:color w:val="auto"/>
        </w:rPr>
        <w:t>IN</w:t>
      </w:r>
      <w:r>
        <w:rPr>
          <w:rFonts w:ascii="Arial" w:cs="Arial" w:eastAsia="Arial" w:hAnsi="Arial"/>
          <w:sz w:val="16"/>
          <w:szCs w:val="16"/>
          <w:color w:val="auto"/>
        </w:rPr>
        <w:t xml:space="preserve">vestigation of </w:t>
      </w:r>
      <w:r>
        <w:rPr>
          <w:rFonts w:ascii="Arial" w:cs="Arial" w:eastAsia="Arial" w:hAnsi="Arial"/>
          <w:sz w:val="16"/>
          <w:szCs w:val="16"/>
          <w:u w:val="single" w:color="auto"/>
          <w:color w:val="auto"/>
        </w:rPr>
        <w:t>C</w:t>
      </w:r>
      <w:r>
        <w:rPr>
          <w:rFonts w:ascii="Arial" w:cs="Arial" w:eastAsia="Arial" w:hAnsi="Arial"/>
          <w:sz w:val="16"/>
          <w:szCs w:val="16"/>
          <w:color w:val="auto"/>
        </w:rPr>
        <w:t xml:space="preserve">linical </w:t>
      </w:r>
      <w:r>
        <w:rPr>
          <w:rFonts w:ascii="Arial" w:cs="Arial" w:eastAsia="Arial" w:hAnsi="Arial"/>
          <w:sz w:val="16"/>
          <w:szCs w:val="16"/>
          <w:u w:val="single" w:color="auto"/>
          <w:color w:val="auto"/>
        </w:rPr>
        <w:t>I</w:t>
      </w:r>
      <w:r>
        <w:rPr>
          <w:rFonts w:ascii="Arial" w:cs="Arial" w:eastAsia="Arial" w:hAnsi="Arial"/>
          <w:sz w:val="16"/>
          <w:szCs w:val="16"/>
          <w:color w:val="auto"/>
        </w:rPr>
        <w:t>mpact), is a double-masked, randomized, controlled trial that is evaluating four different dosing regimens of VEGF Trap-Eye versus laser treatment. In February 2010, we and Bayer HealthCare announced that treatment with VEGF Trap-Eye demonstrated a statistically significant improvement in visual acuity compared to focal laser therapy, the primary endpoint of the study. Visual acuity was measured by the mean number of letters gained over the initial 24 weeks of the study. Patients in each of the four dosing groups receiving VEGF Trap-Eye achieved statistically significantly greater mean improvements in visual acuity (8.5 to 11.4 letters of vision gained) compared to patients receiving focal laser therapy (2.5 letters gained) at week 24 (p&lt; 0.01 for each VEGF Trap-Eye group versus focal laser). VEGF Trap-Eye was generally well-tolerated, and no ocular or non-ocular drug-related serious adverse events were reported. The adverse events reported were those typically associated with intravitreal injections or the underlying disease. Following the initial 24 weeks of treatment, patients continue to be treated for another 24 weeks on the same dosing regimens. Initial one-year results from this trial will be available in the fourth quarter of 2010.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Collaboration with Bayer HealthCare</w:t>
      </w:r>
    </w:p>
    <w:p>
      <w:pPr>
        <w:spacing w:after="0" w:line="231" w:lineRule="exact"/>
        <w:rPr>
          <w:sz w:val="20"/>
          <w:szCs w:val="20"/>
          <w:color w:val="auto"/>
        </w:rPr>
      </w:pPr>
    </w:p>
    <w:p>
      <w:pPr>
        <w:jc w:val="both"/>
        <w:ind w:firstLine="301"/>
        <w:spacing w:after="0" w:line="288" w:lineRule="auto"/>
        <w:rPr>
          <w:sz w:val="20"/>
          <w:szCs w:val="20"/>
          <w:color w:val="auto"/>
        </w:rPr>
      </w:pPr>
      <w:r>
        <w:rPr>
          <w:rFonts w:ascii="Arial" w:cs="Arial" w:eastAsia="Arial" w:hAnsi="Arial"/>
          <w:sz w:val="16"/>
          <w:szCs w:val="16"/>
          <w:color w:val="auto"/>
        </w:rPr>
        <w:t>In October 2006, we entered into a collaboration agreement with Bayer HealthCare for the global development and commercialization outside the United States of VEGF Trap-Eye. Under the agreement, we and Bayer HealthCare will collaborate on, and share the costs of, the development of VEGF Trap-Eye through an integrated global plan that encompasses wet AMD, DME, and CRVO. Bayer HealthCare will market VEGF Trap-Eye outside the United States, where the companies will share equally in profits from any future sales of VEGF Trap-Eye. If VEGF Trap-Eye is granted marketing authorization in a major market country outside the United States, we will be obligated to reimburse Bayer HealthCare for 50% of the development costs that it has incurred under the agreement from our share of the collaboration profits. Within the United States, we retain exclusive commercialization rights to VEGF Trap-Eye and are entitled to all profit s from any such sales. We can earn up to $70 million in future development and regulatory milestone payments related to the development of VEGF Trap-Eye and marketing approvals in major market countries outside the United States. We can also earn up to $135 million in sales milestone payments if total annual sales of VEGF Trap-Eye outside the United States achieve certain specified levels starting at $200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Aflibercept (VEGF Trap) – Oncology</w:t>
      </w:r>
    </w:p>
    <w:p>
      <w:pPr>
        <w:spacing w:after="0" w:line="252"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Aflibercept is a protein-based product candidate designed to bind all forms of Vascular Endothelial Growth Factor-A (called VEGF-A), VEGF-B, and the related Placental Growth Factor (called PlGF), and prevent their interaction with cell surface receptors. VEGF-A (and to a lesser degree, PlGF) is required for the growth of new blood vessels (a process known as angiogenesis) that are needed for tumors to grow.</w:t>
      </w:r>
    </w:p>
    <w:p>
      <w:pPr>
        <w:spacing w:after="0" w:line="221"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6"/>
          <w:szCs w:val="16"/>
          <w:color w:val="auto"/>
        </w:rPr>
        <w:t>Aflibercept is being developed globally in cancer indications in collaboration with sanofi-aventis. We and sanofi-aventis are conducting three randomized, double-blind Phase 3 trials, all of which are fully enrolled, that are evaluating combinations of standard chemotherapy regimens with either aflibercept or placebo for the treatment of cancer. One trial (VELOUR) is evaluating aflibercept as a 2</w:t>
      </w:r>
      <w:r>
        <w:rPr>
          <w:rFonts w:ascii="Arial" w:cs="Arial" w:eastAsia="Arial" w:hAnsi="Arial"/>
          <w:sz w:val="22"/>
          <w:szCs w:val="22"/>
          <w:color w:val="auto"/>
          <w:vertAlign w:val="superscript"/>
        </w:rPr>
        <w:t>nd</w:t>
      </w:r>
      <w:r>
        <w:rPr>
          <w:rFonts w:ascii="Arial" w:cs="Arial" w:eastAsia="Arial" w:hAnsi="Arial"/>
          <w:sz w:val="16"/>
          <w:szCs w:val="16"/>
          <w:color w:val="auto"/>
        </w:rPr>
        <w:t>-line treatment for metastatic colorectal cancer in combination with FOLFIRI (folinic acid [leucovorin], 5-fluorouracil, and irinotecan). A second trial (VITAL) is evaluating aflibercept as a 2</w:t>
      </w:r>
      <w:r>
        <w:rPr>
          <w:rFonts w:ascii="Arial" w:cs="Arial" w:eastAsia="Arial" w:hAnsi="Arial"/>
          <w:sz w:val="22"/>
          <w:szCs w:val="22"/>
          <w:color w:val="auto"/>
          <w:vertAlign w:val="superscript"/>
        </w:rPr>
        <w:t>nd</w:t>
      </w:r>
      <w:r>
        <w:rPr>
          <w:rFonts w:ascii="Arial" w:cs="Arial" w:eastAsia="Arial" w:hAnsi="Arial"/>
          <w:sz w:val="16"/>
          <w:szCs w:val="16"/>
          <w:color w:val="auto"/>
        </w:rPr>
        <w:t>-line treatment for locally advanced or metastatic non-small cell lung cancer in combination with docetaxel. A third trial (VENICE) is evaluating aflibercept as a 1</w:t>
      </w:r>
      <w:r>
        <w:rPr>
          <w:rFonts w:ascii="Arial" w:cs="Arial" w:eastAsia="Arial" w:hAnsi="Arial"/>
          <w:sz w:val="22"/>
          <w:szCs w:val="22"/>
          <w:color w:val="auto"/>
          <w:vertAlign w:val="superscript"/>
        </w:rPr>
        <w:t>st</w:t>
      </w:r>
      <w:r>
        <w:rPr>
          <w:rFonts w:ascii="Arial" w:cs="Arial" w:eastAsia="Arial" w:hAnsi="Arial"/>
          <w:sz w:val="16"/>
          <w:szCs w:val="16"/>
          <w:color w:val="auto"/>
        </w:rPr>
        <w:t>-line treatment for hormone-refractory metastatic prostate cancer in combination with docetaxel/prednisone. In addition, a Phase 2 study (AFFIRM) of aflibercept in 1</w:t>
      </w:r>
      <w:r>
        <w:rPr>
          <w:rFonts w:ascii="Arial" w:cs="Arial" w:eastAsia="Arial" w:hAnsi="Arial"/>
          <w:sz w:val="22"/>
          <w:szCs w:val="22"/>
          <w:color w:val="auto"/>
          <w:vertAlign w:val="superscript"/>
        </w:rPr>
        <w:t>st</w:t>
      </w:r>
      <w:r>
        <w:rPr>
          <w:rFonts w:ascii="Arial" w:cs="Arial" w:eastAsia="Arial" w:hAnsi="Arial"/>
          <w:sz w:val="16"/>
          <w:szCs w:val="16"/>
          <w:color w:val="auto"/>
        </w:rPr>
        <w:t>-line metastatic colorectal cancer in combination with FOLFOX (folinic acid [leucovorin], 5-fluorouracil, and oxaliplatin) is also fully enrolled.</w:t>
      </w:r>
    </w:p>
    <w:p>
      <w:pPr>
        <w:spacing w:after="0" w:line="237"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6"/>
          <w:szCs w:val="16"/>
          <w:color w:val="auto"/>
        </w:rPr>
        <w:t>Each of the Phase 3 studies is monitored by an Independent Data Monitoring Committee (IDMC), a body of independent clinical and statistical experts. The IDMCs meet periodically to evaluate data from the studies and may recommend changes in study design or study discontinuation. Both interim and final analyses will be conducted when a pre-specified number of events have occurred in each trial. In September 2010, we and sanofi aventis announced that, following a planned interim analysis, the VELOUR study’s IDMC recommended that the VELOUR study continue to completion as planned, with no modifications due to efficacy or safety concerns. Both sanofi-aventis and our management and staff remain blinded to the interim study results. Based on projected event rates, final results are anticipated in the first half of 2011 from the VITAL study and in the second half of 2011 from the VELOUR study. Based on projected event rates, an interim analysis of the VENICE study is expected to be conducted by an IDMC in mid-2011, with final results anticipated in 2012. Initial data from the AFFIRM study are anticipated in the second half of 2011.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Aflibercept Collaboration with the sanofi-aventis Group</w:t>
      </w:r>
    </w:p>
    <w:p>
      <w:pPr>
        <w:spacing w:after="0" w:line="231" w:lineRule="exact"/>
        <w:rPr>
          <w:sz w:val="20"/>
          <w:szCs w:val="20"/>
          <w:color w:val="auto"/>
        </w:rPr>
      </w:pPr>
    </w:p>
    <w:p>
      <w:pPr>
        <w:jc w:val="both"/>
        <w:ind w:firstLine="233"/>
        <w:spacing w:after="0" w:line="291" w:lineRule="auto"/>
        <w:rPr>
          <w:sz w:val="20"/>
          <w:szCs w:val="20"/>
          <w:color w:val="auto"/>
        </w:rPr>
      </w:pPr>
      <w:r>
        <w:rPr>
          <w:rFonts w:ascii="Arial" w:cs="Arial" w:eastAsia="Arial" w:hAnsi="Arial"/>
          <w:sz w:val="16"/>
          <w:szCs w:val="16"/>
          <w:color w:val="auto"/>
        </w:rPr>
        <w:t>We and sanofi-aventis U.S. (successor to Aventis Pharmaceuticals, Inc.) globally collaborate on the development and commercialization of aflibercept. Under the terms of our September 2003 collaboration agreement, as amended, we and sanofi-aventis will share co-promotion rights and profits on sales, if any, of aflibercept outside of Japan for disease indications included in our collaboration. In Japan, we are entitled to a royalty of approximately 35% on annual sales of aflibercept, subject to certain potential adjustments. We may also receive up to $400 million in milestone payments upon receipt of specified marketing approvals, including up to $360 million related to the receipt of marketing approvals for up to eight aflibercept oncology and other indications in the United States or the European Union and up to $40 million related to the receipt of marketing approvals for up to five oncology indications in Japa n.</w:t>
      </w:r>
    </w:p>
    <w:p>
      <w:pPr>
        <w:spacing w:after="0" w:line="201"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Under the aflibercept collaboration agreement, as amended, agreed upon worldwide development expenses incurred by both companies during the term of the agreement will be funded by sanofi-aventis. If the collaboration becomes profitable, we will be obligated to reimburse sanofi-aventis for 50% of aflibercept development expenses in accordance with a formula based on the amount of development expenses and our share of the collaboration profits and Japan royalties, or at a faster rate at our option.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REGN727 (Anti-PCSK9 Antibody) for LDL cholesterol reduction</w:t>
      </w:r>
    </w:p>
    <w:p>
      <w:pPr>
        <w:spacing w:after="0" w:line="252" w:lineRule="exact"/>
        <w:rPr>
          <w:sz w:val="20"/>
          <w:szCs w:val="20"/>
          <w:color w:val="auto"/>
        </w:rPr>
      </w:pPr>
    </w:p>
    <w:p>
      <w:pPr>
        <w:jc w:val="both"/>
        <w:ind w:firstLine="311"/>
        <w:spacing w:after="0" w:line="255" w:lineRule="auto"/>
        <w:rPr>
          <w:sz w:val="20"/>
          <w:szCs w:val="20"/>
          <w:color w:val="auto"/>
        </w:rPr>
      </w:pPr>
      <w:r>
        <w:rPr>
          <w:rFonts w:ascii="Arial" w:cs="Arial" w:eastAsia="Arial" w:hAnsi="Arial"/>
          <w:sz w:val="17"/>
          <w:szCs w:val="17"/>
          <w:color w:val="auto"/>
        </w:rPr>
        <w:t xml:space="preserve">Elevated low density lipoprotein (LDL) cholesterol levels is a validated risk factor leading to cardiovascular disease. Statins are a class of drugs that lower LDL by upregulating the expression of the LDL receptor (LDLR), which removes LDL from circulation. PCSK9 (proprotein convertase substilisin/kexin type 9) is a protein that binds to LDLR and prevents LDLR from binding to and removing LDL from circulation. People who have a mutation that reduces the activity of PCSK9 have lower levels of LDL, as well as a reduced risk of adverse cardiovascular events. We used our </w:t>
      </w:r>
      <w:r>
        <w:rPr>
          <w:rFonts w:ascii="Arial" w:cs="Arial" w:eastAsia="Arial" w:hAnsi="Arial"/>
          <w:sz w:val="17"/>
          <w:szCs w:val="17"/>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technology to generate a fully human monoclonal antibody inhibitor of PCSK9, called REGN727, that is intended to robustly lower LDL cholesterol through a novel mechanism of action. REGN727 is targeted at inhibiting PCSK9, which results in prevention of the degradation of LDLRs in the liver, thereby facilitating LDL clearance from the systemic circulation leading to lower LDL levels in the blood.</w:t>
      </w:r>
    </w:p>
    <w:p>
      <w:pPr>
        <w:spacing w:after="0" w:line="229"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6"/>
          <w:szCs w:val="16"/>
          <w:color w:val="auto"/>
        </w:rPr>
        <w:t>In May 2010, we announced that in an interim efficacy analysis of a dose-escalating, randomized, double-blind, placebo-controlled, Phase 1 trial in healthy volunteers, REGN727 achieved substantial, dose dependent decreases of LDL (bad) cholesterol. Each dosing cohort consisted of six treated and two placebo patients. In July 2010, we presented additional data from this Phase 1 program. At the highest intravenous dose tested, a single dose of REGN727 achieved a greater than 60% maximum mean reduction of LDL cholesterol from baseline that lasted for more than one month. At the highest subcutaneous dose tested, a single dose of REGN727 achieved a greater than 60% maximum mean reduction of LDL cholesterol from baseline that lasted for more than two weeks. No serious adverse events and no dose limiting toxicities have been reported. Dose escalation is ongoing in both studies.</w:t>
      </w:r>
    </w:p>
    <w:p>
      <w:pPr>
        <w:spacing w:after="0" w:line="201" w:lineRule="exact"/>
        <w:rPr>
          <w:sz w:val="20"/>
          <w:szCs w:val="20"/>
          <w:color w:val="auto"/>
        </w:rPr>
      </w:pPr>
    </w:p>
    <w:p>
      <w:pPr>
        <w:jc w:val="both"/>
        <w:ind w:firstLine="297"/>
        <w:spacing w:after="0" w:line="254" w:lineRule="auto"/>
        <w:rPr>
          <w:sz w:val="20"/>
          <w:szCs w:val="20"/>
          <w:color w:val="auto"/>
        </w:rPr>
      </w:pPr>
      <w:r>
        <w:rPr>
          <w:rFonts w:ascii="Arial" w:cs="Arial" w:eastAsia="Arial" w:hAnsi="Arial"/>
          <w:sz w:val="18"/>
          <w:szCs w:val="18"/>
          <w:color w:val="auto"/>
        </w:rPr>
        <w:t>In July 2010, we also presented the results of an interim efficacy analysis of a dose escalating, randomized, double-blind, placebo-controlled Phase 1 trial of subcutaneously delivered REGN727 in hyperlipidemic patients (familial hypercholesterolemia and non-familial hypercholesterolemia) on stable doses of statins whose LDL levels were greater than 100 milligrams per deciliter (mg/dL). At the highest dose tested at that time, in eleven patients, a single dose of REGN727 achieved an approximately 40% maximum mean additional reduction of LDL cholesterol from baseline. No serious adverse events and no dose limiting toxicities were reported. Dose escalation in this study is ongoing. We expect to begin a Phase 2 program in the first half of 2011. REGN727 is being developed in collaboration with sanofi-aventis.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5. REGN88 (Anti-IL-6R Antibody) for inflammatory diseases</w:t>
      </w:r>
    </w:p>
    <w:p>
      <w:pPr>
        <w:spacing w:after="0" w:line="225" w:lineRule="exact"/>
        <w:rPr>
          <w:sz w:val="20"/>
          <w:szCs w:val="20"/>
          <w:color w:val="auto"/>
        </w:rPr>
      </w:pPr>
    </w:p>
    <w:p>
      <w:pPr>
        <w:jc w:val="both"/>
        <w:ind w:right="20" w:firstLine="233"/>
        <w:spacing w:after="0" w:line="306" w:lineRule="auto"/>
        <w:rPr>
          <w:sz w:val="20"/>
          <w:szCs w:val="20"/>
          <w:color w:val="auto"/>
        </w:rPr>
      </w:pPr>
      <w:r>
        <w:rPr>
          <w:rFonts w:ascii="Arial" w:cs="Arial" w:eastAsia="Arial" w:hAnsi="Arial"/>
          <w:sz w:val="17"/>
          <w:szCs w:val="17"/>
          <w:color w:val="auto"/>
        </w:rPr>
        <w:t>Interleukin-6 (IL-6) is a key cytokine involved in the pathogenesis of rheumatoid arthritis, causing inflammation and joint destruction. A therapeutic antibody to the IL-6 receptor (IL-6R), Actemra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(tocilizumab), marketed by Genentech, has been approved for the treatment of rheumatoid arthritis.</w:t>
      </w:r>
    </w:p>
    <w:p>
      <w:pPr>
        <w:spacing w:after="0" w:line="8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 xml:space="preserve">REGN88 is a fully human monoclonal antibody to IL-6R generated using our </w:t>
      </w:r>
      <w:r>
        <w:rPr>
          <w:rFonts w:ascii="Arial" w:cs="Arial" w:eastAsia="Arial" w:hAnsi="Arial"/>
          <w:sz w:val="17"/>
          <w:szCs w:val="17"/>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technology that has completed Phase 1 studies, the results of which were presented at the annual meeting of the European League Against Rheumatism (EULAR) in June 2010. REGN88 was well tolerated by patients with rheumatoid arthritis, and no dose-limiting toxicities were reported. Treatment with REGN88 resulted in dose-related reductions in biomarkers of inflammation. REGN88 is currently in a Phase 2/3 double-blind, placebo-controlled, dose-ranging study in patients with active rheumatoid arthritis and a Phase 2 double-blind, placebo - -controlled, dose-ranging study in ankylosing spondylitis, a form of arthritis that primarily affects the spine. Both studies are enrolling patients. REGN88 is being developed in collaboration with sanofi-aventis.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REGN421 (Anti-Dll4 Antibody) for advanced malignancies</w:t>
      </w:r>
    </w:p>
    <w:p>
      <w:pPr>
        <w:spacing w:after="0" w:line="252"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8"/>
          <w:szCs w:val="18"/>
          <w:color w:val="auto"/>
        </w:rPr>
        <w:t xml:space="preserve">In many clinical settings, positively or negatively regulating blood vessel growth could have important therapeutic benefits, as could the repair of damaged and leaky vessels. VEGF was the first growth factor shown to be specific for blood vessels, by virtue of having its receptor primarily expressed on blood vessel cells. In the December 21, 2006 issue of the journal </w:t>
      </w:r>
      <w:r>
        <w:rPr>
          <w:rFonts w:ascii="Arial" w:cs="Arial" w:eastAsia="Arial" w:hAnsi="Arial"/>
          <w:sz w:val="18"/>
          <w:szCs w:val="18"/>
          <w:i w:val="1"/>
          <w:iCs w:val="1"/>
          <w:color w:val="auto"/>
        </w:rPr>
        <w:t>Nature</w:t>
      </w:r>
      <w:r>
        <w:rPr>
          <w:rFonts w:ascii="Arial" w:cs="Arial" w:eastAsia="Arial" w:hAnsi="Arial"/>
          <w:sz w:val="18"/>
          <w:szCs w:val="18"/>
          <w:color w:val="auto"/>
        </w:rPr>
        <w:t>, we reported data from a preclinical study demonstrating that blocking an important cell signaling molecule, known as Delta-like ligand 4 (Dll4), inhibited the growth of experimental tumors by interfering with their ability to produce a functional blood supply. The inhibition of tumor growth was seen in a variet y of tumor types, including those that were resistant to blockade of VEGF, suggesting a novel anti-angiogenesis therapeutic approach. Moreover, inhibition of tumor growth is enhanced by the combination of Dll4 and VEGF blockade in many preclinical tumor models.</w:t>
      </w:r>
    </w:p>
    <w:p>
      <w:pPr>
        <w:spacing w:after="0" w:line="225" w:lineRule="exact"/>
        <w:rPr>
          <w:sz w:val="20"/>
          <w:szCs w:val="20"/>
          <w:color w:val="auto"/>
        </w:rPr>
      </w:pPr>
    </w:p>
    <w:p>
      <w:pPr>
        <w:jc w:val="both"/>
        <w:ind w:right="20" w:firstLine="459"/>
        <w:spacing w:after="0" w:line="219" w:lineRule="auto"/>
        <w:rPr>
          <w:sz w:val="20"/>
          <w:szCs w:val="20"/>
          <w:color w:val="auto"/>
        </w:rPr>
      </w:pPr>
      <w:r>
        <w:rPr>
          <w:rFonts w:ascii="Arial" w:cs="Arial" w:eastAsia="Arial" w:hAnsi="Arial"/>
          <w:sz w:val="18"/>
          <w:szCs w:val="18"/>
          <w:color w:val="auto"/>
        </w:rPr>
        <w:t xml:space="preserve">REGN421 is a fully human monoclonal antibody to Dll4 generated using our </w:t>
      </w:r>
      <w:r>
        <w:rPr>
          <w:rFonts w:ascii="Arial" w:cs="Arial" w:eastAsia="Arial" w:hAnsi="Arial"/>
          <w:sz w:val="18"/>
          <w:szCs w:val="18"/>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technology. REGN421, which is being developed in collaboration with sanofi-aventis, is in Phase 1 clinical development.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REGN668 (Anti-IL-4R Antibody) for allergic and immune conditions</w:t>
      </w:r>
    </w:p>
    <w:p>
      <w:pPr>
        <w:spacing w:after="0" w:line="252"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Interleukin-4 receptor (IL-4R)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asthma and atopic dermatitis.</w:t>
      </w:r>
    </w:p>
    <w:p>
      <w:pPr>
        <w:spacing w:after="0" w:line="218" w:lineRule="exact"/>
        <w:rPr>
          <w:sz w:val="20"/>
          <w:szCs w:val="20"/>
          <w:color w:val="auto"/>
        </w:rPr>
      </w:pPr>
    </w:p>
    <w:p>
      <w:pPr>
        <w:jc w:val="both"/>
        <w:ind w:firstLine="284"/>
        <w:spacing w:after="0" w:line="228" w:lineRule="auto"/>
        <w:rPr>
          <w:sz w:val="20"/>
          <w:szCs w:val="20"/>
          <w:color w:val="auto"/>
        </w:rPr>
      </w:pPr>
      <w:r>
        <w:rPr>
          <w:rFonts w:ascii="Arial" w:cs="Arial" w:eastAsia="Arial" w:hAnsi="Arial"/>
          <w:sz w:val="18"/>
          <w:szCs w:val="18"/>
          <w:color w:val="auto"/>
        </w:rPr>
        <w:t xml:space="preserve">REGN668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technology that is designed to bind to IL-4R. REGN668, which is being developed in collaboration with sanofi-aventis, has completed a Phase 1 trial in healthy volunteers, and will be initiating a Phase 2 trial in atopic dermatitis in the fourth quarter of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REGN475 (Anti-NGF Antibody) for pain</w:t>
      </w:r>
    </w:p>
    <w:p>
      <w:pPr>
        <w:spacing w:after="0" w:line="252"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Nerve growth factor (NGF) is a member of the neurotrophin family of secreted proteins. NGF antagonists have been shown to prevent increased sensitivity to pain and abnormal pain response in animal models of neuropathic and chronic inflammatory pain. Mutations in the genes that code for the NGF receptors were identified in people suffering from a loss of deep pain perception. For these and other reasons, we believe blocking NGF could be a promising therapeutic approach to a variety of pain indications.</w:t>
      </w:r>
    </w:p>
    <w:p>
      <w:pPr>
        <w:spacing w:after="0" w:line="221" w:lineRule="exact"/>
        <w:rPr>
          <w:sz w:val="20"/>
          <w:szCs w:val="20"/>
          <w:color w:val="auto"/>
        </w:rPr>
      </w:pPr>
    </w:p>
    <w:p>
      <w:pPr>
        <w:jc w:val="both"/>
        <w:ind w:firstLine="338"/>
        <w:spacing w:after="0" w:line="241" w:lineRule="auto"/>
        <w:rPr>
          <w:sz w:val="20"/>
          <w:szCs w:val="20"/>
          <w:color w:val="auto"/>
        </w:rPr>
      </w:pPr>
      <w:r>
        <w:rPr>
          <w:rFonts w:ascii="Arial" w:cs="Arial" w:eastAsia="Arial" w:hAnsi="Arial"/>
          <w:sz w:val="17"/>
          <w:szCs w:val="17"/>
          <w:color w:val="auto"/>
        </w:rPr>
        <w:t xml:space="preserve">REGN475 is a fully human monoclonal antibody to NGF, generated using our </w:t>
      </w:r>
      <w:r>
        <w:rPr>
          <w:rFonts w:ascii="Arial" w:cs="Arial" w:eastAsia="Arial" w:hAnsi="Arial"/>
          <w:sz w:val="17"/>
          <w:szCs w:val="17"/>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technology, which is designed to block pain sensitization in neurons. Preclinical experiments indicate that REGN475 specifically binds to and blocks NGF activity and does not bind to or block cell signaling for closely related neurotrophins such as NT-3, NT-4, or BDNF. REGN475 is being developed in collaboration with sanofi-aventis.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9" w:name="page20"/>
    <w:bookmarkEnd w:id="19"/>
    <w:p>
      <w:pPr>
        <w:jc w:val="both"/>
        <w:ind w:firstLine="220"/>
        <w:spacing w:after="0" w:line="291" w:lineRule="auto"/>
        <w:rPr>
          <w:sz w:val="20"/>
          <w:szCs w:val="20"/>
          <w:color w:val="auto"/>
        </w:rPr>
      </w:pPr>
      <w:r>
        <w:rPr>
          <w:rFonts w:ascii="Arial" w:cs="Arial" w:eastAsia="Arial" w:hAnsi="Arial"/>
          <w:sz w:val="16"/>
          <w:szCs w:val="16"/>
          <w:color w:val="auto"/>
        </w:rPr>
        <w:t>In May 2010, we announced an interim analysis of a randomized, double-blind, four-arm, placebo-controlled Phase 2 trial in 217 patients with osteoarthritis of the knee. In July 2010, we presented additional results from this trial through 16 weeks. The primary endpoint of this study is safety, and REGN475 was generally well tolerated. Serious treatment emergent adverse events were rare and balanced between placebo and drug arms with three events (5.5%) in the placebo group and four events (2.5%) in the combined REGN475 groups. The most frequent adverse events reported among patients receiving REGN475 included sensory abnormalities, arthralgias, hyper/hypo-reflexia, peripheral edema, and injection site reactions. The types and frequencies of adverse events reported were similar to those previously reported from other investigational studies involving an anti-NGF antibody.</w:t>
      </w:r>
    </w:p>
    <w:p>
      <w:pPr>
        <w:spacing w:after="0" w:line="20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first interim efficacy analysis, REGN475 demonstrated significant improvements at the two highest doses tested as compared to placebo in average walking pain scores over 8 weeks following a single intravenous infusion (p&lt;0.01). In July 2010, we reported that REGN475 demonstrated significant improvements at the two highest doses tested as compared to placebo in average walking pain scores over 16 weeks following a second intravenous infusion at week 8 (p&lt;0.01). Pain was measured by the Numeric Rating Scale (NRS), as well as the Western Ontario and McMaster Osteoarthritis Index (WOMAC) pain and function subscales.</w:t>
      </w:r>
    </w:p>
    <w:p>
      <w:pPr>
        <w:spacing w:after="0" w:line="224"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Analysis of efficacy data from a Phase 2 trial in the acute setting of nerve root compression induced pain (acute sciatica) suggests that REGN475 therapy will not be effective in this setting.</w:t>
      </w:r>
    </w:p>
    <w:p>
      <w:pPr>
        <w:spacing w:after="0" w:line="213" w:lineRule="exact"/>
        <w:rPr>
          <w:sz w:val="20"/>
          <w:szCs w:val="20"/>
          <w:color w:val="auto"/>
        </w:rPr>
      </w:pPr>
    </w:p>
    <w:p>
      <w:pPr>
        <w:jc w:val="both"/>
        <w:ind w:firstLine="297"/>
        <w:spacing w:after="0" w:line="256" w:lineRule="auto"/>
        <w:rPr>
          <w:sz w:val="20"/>
          <w:szCs w:val="20"/>
          <w:color w:val="auto"/>
        </w:rPr>
      </w:pPr>
      <w:r>
        <w:rPr>
          <w:rFonts w:ascii="Arial" w:cs="Arial" w:eastAsia="Arial" w:hAnsi="Arial"/>
          <w:sz w:val="18"/>
          <w:szCs w:val="18"/>
          <w:color w:val="auto"/>
        </w:rPr>
        <w:t>At the request of the U.S. Food and Drug Administration (FDA), another pharmaceutical company has suspended its anti-NGF antibody clinical program in osteoarthritis and certain other chronic pain indications. We have responded to FDA requests for information about patients in our REGN475 clinical trials. REGN475 is currently not on clinical hold, and our Phase 2 trials in patients with vertebral fracture pain and chronic pancreatitis pain are ongoing. Our Phase 2 trial in osteoarthritis of the knee has been completed.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REGN910 (Anti-ANG2 Antibody) for oncology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expect to file an IND for REGN910, an antibody to Angiopoietin-2 (ANG2), a novel angiogenesis target in the oncology setting, by the end of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REGN910 is being developed in collaboration with sanofi-aventis.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Additional antibody candidates</w:t>
      </w:r>
    </w:p>
    <w:p>
      <w:pPr>
        <w:spacing w:after="0" w:line="252"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8"/>
          <w:szCs w:val="18"/>
          <w:color w:val="auto"/>
        </w:rPr>
        <w:t>We plan to initiate clinical trials with two additional antibodies by the end of the year, REGN846 and REGN728, both being developed in collaboration with sanofi-aventis.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Technologies:</w:t>
      </w:r>
    </w:p>
    <w:p>
      <w:pPr>
        <w:spacing w:after="0" w:line="258" w:lineRule="exact"/>
        <w:rPr>
          <w:sz w:val="20"/>
          <w:szCs w:val="20"/>
          <w:color w:val="auto"/>
        </w:rPr>
      </w:pPr>
    </w:p>
    <w:p>
      <w:pPr>
        <w:jc w:val="both"/>
        <w:ind w:firstLine="284"/>
        <w:spacing w:after="0" w:line="289" w:lineRule="auto"/>
        <w:rPr>
          <w:sz w:val="20"/>
          <w:szCs w:val="20"/>
          <w:color w:val="auto"/>
        </w:rPr>
      </w:pPr>
      <w:r>
        <w:rPr>
          <w:rFonts w:ascii="Arial" w:cs="Arial" w:eastAsia="Arial" w:hAnsi="Arial"/>
          <w:sz w:val="16"/>
          <w:szCs w:val="16"/>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 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199" w:lineRule="exact"/>
        <w:rPr>
          <w:sz w:val="20"/>
          <w:szCs w:val="20"/>
          <w:color w:val="auto"/>
        </w:rPr>
      </w:pPr>
    </w:p>
    <w:p>
      <w:pPr>
        <w:jc w:val="both"/>
        <w:ind w:firstLine="311"/>
        <w:spacing w:after="0" w:line="248" w:lineRule="auto"/>
        <w:rPr>
          <w:sz w:val="20"/>
          <w:szCs w:val="20"/>
          <w:color w:val="auto"/>
        </w:rPr>
      </w:pPr>
      <w:r>
        <w:rPr>
          <w:rFonts w:ascii="Arial" w:cs="Arial" w:eastAsia="Arial" w:hAnsi="Arial"/>
          <w:sz w:val="16"/>
          <w:szCs w:val="16"/>
          <w:color w:val="auto"/>
        </w:rPr>
        <w:t>Our scientists have developed two different technologies to design protein therapeutics to block the action of specific cell surface or secreted proteins. The first technology, termed the “Trap” technology, was used to generate our first approved product,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as well as aflibercept and VEGF Trap-Eye, all of which are in Phase 3 clinical trials. These novel “Traps” are composed of fusions between two distinct receptor components and the constant region of an antibody molecule called the “Fc region”, resulting in high affinity product candidates. </w:t>
      </w:r>
      <w:r>
        <w:rPr>
          <w:rFonts w:ascii="Arial" w:cs="Arial" w:eastAsia="Arial" w:hAnsi="Arial"/>
          <w:sz w:val="16"/>
          <w:szCs w:val="16"/>
          <w:i w:val="1"/>
          <w:iCs w:val="1"/>
          <w:color w:val="auto"/>
        </w:rPr>
        <w:t>VelociSuite</w:t>
      </w:r>
      <w:r>
        <w:rPr>
          <w:rFonts w:ascii="Arial" w:cs="Arial" w:eastAsia="Arial" w:hAnsi="Arial"/>
          <w:sz w:val="22"/>
          <w:szCs w:val="22"/>
          <w:i w:val="1"/>
          <w:iCs w:val="1"/>
          <w:color w:val="auto"/>
          <w:vertAlign w:val="superscript"/>
        </w:rPr>
        <w:t>TM</w:t>
      </w:r>
      <w:r>
        <w:rPr>
          <w:rFonts w:ascii="Arial" w:cs="Arial" w:eastAsia="Arial" w:hAnsi="Arial"/>
          <w:sz w:val="16"/>
          <w:szCs w:val="16"/>
          <w:color w:val="auto"/>
        </w:rPr>
        <w:t xml:space="preserve"> is our second technology platform and it is used for discovering, developing, and producing fully human monoclonal antibodies that can address both secreted and cell-surface targets.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VelociSuite</w:t>
      </w:r>
      <w:r>
        <w:rPr>
          <w:rFonts w:ascii="Arial" w:cs="Arial" w:eastAsia="Arial" w:hAnsi="Arial"/>
          <w:sz w:val="24"/>
          <w:szCs w:val="24"/>
          <w:b w:val="1"/>
          <w:bCs w:val="1"/>
          <w:i w:val="1"/>
          <w:iCs w:val="1"/>
          <w:color w:val="auto"/>
          <w:vertAlign w:val="superscript"/>
        </w:rPr>
        <w:t>TM</w:t>
      </w:r>
    </w:p>
    <w:p>
      <w:pPr>
        <w:spacing w:after="0" w:line="183"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5"/>
          <w:szCs w:val="15"/>
          <w:i w:val="1"/>
          <w:iCs w:val="1"/>
          <w:color w:val="auto"/>
        </w:rPr>
        <w:t>VelociSuite</w:t>
      </w:r>
      <w:r>
        <w:rPr>
          <w:rFonts w:ascii="Arial" w:cs="Arial" w:eastAsia="Arial" w:hAnsi="Arial"/>
          <w:sz w:val="20"/>
          <w:szCs w:val="20"/>
          <w:i w:val="1"/>
          <w:iCs w:val="1"/>
          <w:color w:val="auto"/>
          <w:vertAlign w:val="superscript"/>
        </w:rPr>
        <w:t>TM</w:t>
      </w:r>
      <w:r>
        <w:rPr>
          <w:rFonts w:ascii="Arial" w:cs="Arial" w:eastAsia="Arial" w:hAnsi="Arial"/>
          <w:sz w:val="15"/>
          <w:szCs w:val="15"/>
          <w:i w:val="1"/>
          <w:iCs w:val="1"/>
          <w:color w:val="auto"/>
        </w:rPr>
        <w:t xml:space="preserve"> </w:t>
      </w:r>
      <w:r>
        <w:rPr>
          <w:rFonts w:ascii="Arial" w:cs="Arial" w:eastAsia="Arial" w:hAnsi="Arial"/>
          <w:sz w:val="15"/>
          <w:szCs w:val="15"/>
          <w:color w:val="auto"/>
        </w:rPr>
        <w:t>consists of</w:t>
      </w:r>
      <w:r>
        <w:rPr>
          <w:rFonts w:ascii="Arial" w:cs="Arial" w:eastAsia="Arial" w:hAnsi="Arial"/>
          <w:sz w:val="15"/>
          <w:szCs w:val="15"/>
          <w:i w:val="1"/>
          <w:iCs w:val="1"/>
          <w:color w:val="auto"/>
        </w:rPr>
        <w:t xml:space="preserve"> VelocImmune</w:t>
      </w:r>
      <w:r>
        <w:rPr>
          <w:rFonts w:ascii="Arial" w:cs="Arial" w:eastAsia="Arial" w:hAnsi="Arial"/>
          <w:sz w:val="20"/>
          <w:szCs w:val="20"/>
          <w:i w:val="1"/>
          <w:iCs w:val="1"/>
          <w:color w:val="auto"/>
          <w:vertAlign w:val="superscript"/>
        </w:rPr>
        <w:t>®</w:t>
      </w:r>
      <w:r>
        <w:rPr>
          <w:rFonts w:ascii="Arial" w:cs="Arial" w:eastAsia="Arial" w:hAnsi="Arial"/>
          <w:sz w:val="15"/>
          <w:szCs w:val="15"/>
          <w:i w:val="1"/>
          <w:iCs w:val="1"/>
          <w:color w:val="auto"/>
        </w:rPr>
        <w:t>, VelociGene</w:t>
      </w:r>
      <w:r>
        <w:rPr>
          <w:rFonts w:ascii="Arial" w:cs="Arial" w:eastAsia="Arial" w:hAnsi="Arial"/>
          <w:sz w:val="20"/>
          <w:szCs w:val="20"/>
          <w:i w:val="1"/>
          <w:iCs w:val="1"/>
          <w:color w:val="auto"/>
          <w:vertAlign w:val="superscript"/>
        </w:rPr>
        <w:t>®</w:t>
      </w:r>
      <w:r>
        <w:rPr>
          <w:rFonts w:ascii="Arial" w:cs="Arial" w:eastAsia="Arial" w:hAnsi="Arial"/>
          <w:sz w:val="15"/>
          <w:szCs w:val="15"/>
          <w:i w:val="1"/>
          <w:iCs w:val="1"/>
          <w:color w:val="auto"/>
        </w:rPr>
        <w:t>, VelociMouse</w:t>
      </w:r>
      <w:r>
        <w:rPr>
          <w:rFonts w:ascii="Arial" w:cs="Arial" w:eastAsia="Arial" w:hAnsi="Arial"/>
          <w:sz w:val="11"/>
          <w:szCs w:val="11"/>
          <w:i w:val="1"/>
          <w:iCs w:val="1"/>
          <w:color w:val="auto"/>
        </w:rPr>
        <w:t>®</w:t>
      </w:r>
      <w:r>
        <w:rPr>
          <w:rFonts w:ascii="Arial" w:cs="Arial" w:eastAsia="Arial" w:hAnsi="Arial"/>
          <w:sz w:val="15"/>
          <w:szCs w:val="15"/>
          <w:i w:val="1"/>
          <w:iCs w:val="1"/>
          <w:color w:val="auto"/>
        </w:rPr>
        <w:t>, and VelociMab</w:t>
      </w:r>
      <w:r>
        <w:rPr>
          <w:rFonts w:ascii="Arial" w:cs="Arial" w:eastAsia="Arial" w:hAnsi="Arial"/>
          <w:sz w:val="20"/>
          <w:szCs w:val="20"/>
          <w:i w:val="1"/>
          <w:iCs w:val="1"/>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The</w:t>
      </w:r>
      <w:r>
        <w:rPr>
          <w:rFonts w:ascii="Arial" w:cs="Arial" w:eastAsia="Arial" w:hAnsi="Arial"/>
          <w:sz w:val="15"/>
          <w:szCs w:val="15"/>
          <w:i w:val="1"/>
          <w:iCs w:val="1"/>
          <w:color w:val="auto"/>
        </w:rPr>
        <w:t xml:space="preserve"> VelocImmune</w:t>
      </w:r>
      <w:r>
        <w:rPr>
          <w:rFonts w:ascii="Arial" w:cs="Arial" w:eastAsia="Arial" w:hAnsi="Arial"/>
          <w:sz w:val="20"/>
          <w:szCs w:val="20"/>
          <w:i w:val="1"/>
          <w:iCs w:val="1"/>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mouse platform is utilized to produce fully human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monoclonal antibodies. </w:t>
      </w:r>
      <w:r>
        <w:rPr>
          <w:rFonts w:ascii="Arial" w:cs="Arial" w:eastAsia="Arial" w:hAnsi="Arial"/>
          <w:sz w:val="15"/>
          <w:szCs w:val="15"/>
          <w:i w:val="1"/>
          <w:iCs w:val="1"/>
          <w:color w:val="auto"/>
        </w:rPr>
        <w:t>VelocImmune</w:t>
      </w:r>
      <w:r>
        <w:rPr>
          <w:rFonts w:ascii="Arial" w:cs="Arial" w:eastAsia="Arial" w:hAnsi="Arial"/>
          <w:sz w:val="20"/>
          <w:szCs w:val="20"/>
          <w:i w:val="1"/>
          <w:iCs w:val="1"/>
          <w:color w:val="auto"/>
          <w:vertAlign w:val="superscript"/>
        </w:rPr>
        <w:t>®</w:t>
      </w:r>
      <w:r>
        <w:rPr>
          <w:rFonts w:ascii="Arial" w:cs="Arial" w:eastAsia="Arial" w:hAnsi="Arial"/>
          <w:sz w:val="15"/>
          <w:szCs w:val="15"/>
          <w:color w:val="auto"/>
        </w:rPr>
        <w:t xml:space="preserve"> was generated by e xploiting our </w:t>
      </w:r>
      <w:r>
        <w:rPr>
          <w:rFonts w:ascii="Arial" w:cs="Arial" w:eastAsia="Arial" w:hAnsi="Arial"/>
          <w:sz w:val="15"/>
          <w:szCs w:val="15"/>
          <w:i w:val="1"/>
          <w:iCs w:val="1"/>
          <w:color w:val="auto"/>
        </w:rPr>
        <w:t>VelociGene</w:t>
      </w:r>
      <w:r>
        <w:rPr>
          <w:rFonts w:ascii="Arial" w:cs="Arial" w:eastAsia="Arial" w:hAnsi="Arial"/>
          <w:sz w:val="20"/>
          <w:szCs w:val="20"/>
          <w:i w:val="1"/>
          <w:iCs w:val="1"/>
          <w:color w:val="auto"/>
          <w:vertAlign w:val="superscript"/>
        </w:rPr>
        <w:t>®</w:t>
      </w:r>
      <w:r>
        <w:rPr>
          <w:rFonts w:ascii="Arial" w:cs="Arial" w:eastAsia="Arial" w:hAnsi="Arial"/>
          <w:sz w:val="15"/>
          <w:szCs w:val="15"/>
          <w:color w:val="auto"/>
        </w:rPr>
        <w:t xml:space="preserve"> technology (see below), in a process in which six megabases of mouse immune gene loci were replaced, or “humanized,” with corresponding human immune gene loci. </w:t>
      </w:r>
      <w:r>
        <w:rPr>
          <w:rFonts w:ascii="Arial" w:cs="Arial" w:eastAsia="Arial" w:hAnsi="Arial"/>
          <w:sz w:val="15"/>
          <w:szCs w:val="15"/>
          <w:i w:val="1"/>
          <w:iCs w:val="1"/>
          <w:color w:val="auto"/>
        </w:rPr>
        <w:t>VelocImmune</w:t>
      </w:r>
      <w:r>
        <w:rPr>
          <w:rFonts w:ascii="Arial" w:cs="Arial" w:eastAsia="Arial" w:hAnsi="Arial"/>
          <w:sz w:val="20"/>
          <w:szCs w:val="20"/>
          <w:i w:val="1"/>
          <w:iCs w:val="1"/>
          <w:color w:val="auto"/>
          <w:vertAlign w:val="superscript"/>
        </w:rPr>
        <w:t>®</w:t>
      </w:r>
      <w:r>
        <w:rPr>
          <w:rFonts w:ascii="Arial" w:cs="Arial" w:eastAsia="Arial" w:hAnsi="Arial"/>
          <w:sz w:val="15"/>
          <w:szCs w:val="15"/>
          <w:color w:val="auto"/>
        </w:rPr>
        <w:t xml:space="preserve"> mice can be used to generate efficiently fully human monoclonal antibodies to targets of therapeutic interest. </w:t>
      </w:r>
      <w:r>
        <w:rPr>
          <w:rFonts w:ascii="Arial" w:cs="Arial" w:eastAsia="Arial" w:hAnsi="Arial"/>
          <w:sz w:val="15"/>
          <w:szCs w:val="15"/>
          <w:i w:val="1"/>
          <w:iCs w:val="1"/>
          <w:color w:val="auto"/>
        </w:rPr>
        <w:t>VelocImmune</w:t>
      </w:r>
      <w:r>
        <w:rPr>
          <w:rFonts w:ascii="Arial" w:cs="Arial" w:eastAsia="Arial" w:hAnsi="Arial"/>
          <w:sz w:val="20"/>
          <w:szCs w:val="20"/>
          <w:i w:val="1"/>
          <w:iCs w:val="1"/>
          <w:color w:val="auto"/>
          <w:vertAlign w:val="superscript"/>
        </w:rPr>
        <w:t>®</w:t>
      </w:r>
      <w:r>
        <w:rPr>
          <w:rFonts w:ascii="Arial" w:cs="Arial" w:eastAsia="Arial" w:hAnsi="Arial"/>
          <w:sz w:val="15"/>
          <w:szCs w:val="15"/>
          <w:color w:val="auto"/>
        </w:rPr>
        <w:t xml:space="preserve"> and our entire </w:t>
      </w:r>
      <w:r>
        <w:rPr>
          <w:rFonts w:ascii="Arial" w:cs="Arial" w:eastAsia="Arial" w:hAnsi="Arial"/>
          <w:sz w:val="15"/>
          <w:szCs w:val="15"/>
          <w:i w:val="1"/>
          <w:iCs w:val="1"/>
          <w:color w:val="auto"/>
        </w:rPr>
        <w:t>VelociSuite</w:t>
      </w:r>
      <w:r>
        <w:rPr>
          <w:rFonts w:ascii="Arial" w:cs="Arial" w:eastAsia="Arial" w:hAnsi="Arial"/>
          <w:sz w:val="20"/>
          <w:szCs w:val="20"/>
          <w:i w:val="1"/>
          <w:iCs w:val="1"/>
          <w:color w:val="auto"/>
          <w:vertAlign w:val="superscript"/>
        </w:rPr>
        <w:t>TM</w:t>
      </w:r>
      <w:r>
        <w:rPr>
          <w:rFonts w:ascii="Arial" w:cs="Arial" w:eastAsia="Arial" w:hAnsi="Arial"/>
          <w:sz w:val="15"/>
          <w:szCs w:val="15"/>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5"/>
          <w:szCs w:val="15"/>
          <w:i w:val="1"/>
          <w:iCs w:val="1"/>
          <w:color w:val="auto"/>
        </w:rPr>
        <w:t>VelocImmune</w:t>
      </w:r>
      <w:r>
        <w:rPr>
          <w:rFonts w:ascii="Arial" w:cs="Arial" w:eastAsia="Arial" w:hAnsi="Arial"/>
          <w:sz w:val="20"/>
          <w:szCs w:val="20"/>
          <w:i w:val="1"/>
          <w:iCs w:val="1"/>
          <w:color w:val="auto"/>
          <w:vertAlign w:val="superscript"/>
        </w:rPr>
        <w:t>®</w:t>
      </w:r>
      <w:r>
        <w:rPr>
          <w:rFonts w:ascii="Arial" w:cs="Arial" w:eastAsia="Arial" w:hAnsi="Arial"/>
          <w:sz w:val="15"/>
          <w:szCs w:val="15"/>
          <w:color w:val="auto"/>
        </w:rPr>
        <w:t xml:space="preserve"> technology to produce our next generation of drug candidates for preclinical and clinical development.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0" w:name="page21"/>
    <w:bookmarkEnd w:id="20"/>
    <w:p>
      <w:pPr>
        <w:jc w:val="both"/>
        <w:ind w:firstLine="311"/>
        <w:spacing w:after="0" w:line="231"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VelociGene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 ical development and pharmacology programs, </w:t>
      </w:r>
      <w:r>
        <w:rPr>
          <w:rFonts w:ascii="Arial" w:cs="Arial" w:eastAsia="Arial" w:hAnsi="Arial"/>
          <w:sz w:val="17"/>
          <w:szCs w:val="17"/>
          <w:i w:val="1"/>
          <w:iCs w:val="1"/>
          <w:color w:val="auto"/>
        </w:rPr>
        <w:t>VelociGene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offers the opportunity to humanize targets by replacing the mouse gene with the human homolog. Thus, </w:t>
      </w:r>
      <w:r>
        <w:rPr>
          <w:rFonts w:ascii="Arial" w:cs="Arial" w:eastAsia="Arial" w:hAnsi="Arial"/>
          <w:sz w:val="17"/>
          <w:szCs w:val="17"/>
          <w:i w:val="1"/>
          <w:iCs w:val="1"/>
          <w:color w:val="auto"/>
        </w:rPr>
        <w:t>VelociGene</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allows scientists to rapidly identify the physical and biological effects of deleting or over-expressing the target gene, as well as to characterize and</w:t>
      </w:r>
      <w:r>
        <w:rPr>
          <w:rFonts w:ascii="Arial" w:cs="Arial" w:eastAsia="Arial" w:hAnsi="Arial"/>
          <w:sz w:val="17"/>
          <w:szCs w:val="17"/>
          <w:i w:val="1"/>
          <w:iCs w:val="1"/>
          <w:color w:val="auto"/>
        </w:rPr>
        <w:t xml:space="preserve"> </w:t>
      </w:r>
      <w:r>
        <w:rPr>
          <w:rFonts w:ascii="Arial" w:cs="Arial" w:eastAsia="Arial" w:hAnsi="Arial"/>
          <w:sz w:val="17"/>
          <w:szCs w:val="17"/>
          <w:color w:val="auto"/>
        </w:rPr>
        <w:t>test potential therapeutic molecules.</w:t>
      </w:r>
    </w:p>
    <w:p>
      <w:pPr>
        <w:spacing w:after="0" w:line="239" w:lineRule="exact"/>
        <w:rPr>
          <w:sz w:val="20"/>
          <w:szCs w:val="20"/>
          <w:color w:val="auto"/>
        </w:rPr>
      </w:pPr>
    </w:p>
    <w:p>
      <w:pPr>
        <w:jc w:val="both"/>
        <w:ind w:firstLine="351"/>
        <w:spacing w:after="0" w:line="210"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VelociMouse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the VelociMice are suitable for direct phenotyping or other studies. We have als o developed our </w:t>
      </w:r>
      <w:r>
        <w:rPr>
          <w:rFonts w:ascii="Arial" w:cs="Arial" w:eastAsia="Arial" w:hAnsi="Arial"/>
          <w:sz w:val="18"/>
          <w:szCs w:val="18"/>
          <w:i w:val="1"/>
          <w:iCs w:val="1"/>
          <w:color w:val="auto"/>
        </w:rPr>
        <w:t>VelociMab</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for the rapid screening of antibodies and rapid generation of expression cell lines for our Traps and our</w:t>
      </w:r>
      <w:r>
        <w:rPr>
          <w:rFonts w:ascii="Arial" w:cs="Arial" w:eastAsia="Arial" w:hAnsi="Arial"/>
          <w:sz w:val="18"/>
          <w:szCs w:val="18"/>
          <w:i w:val="1"/>
          <w:iCs w:val="1"/>
          <w:color w:val="auto"/>
        </w:rPr>
        <w:t xml:space="preserve"> VelocImmune</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human monoclonal</w:t>
      </w:r>
      <w:r>
        <w:rPr>
          <w:rFonts w:ascii="Arial" w:cs="Arial" w:eastAsia="Arial" w:hAnsi="Arial"/>
          <w:sz w:val="18"/>
          <w:szCs w:val="18"/>
          <w:i w:val="1"/>
          <w:iCs w:val="1"/>
          <w:color w:val="auto"/>
        </w:rPr>
        <w:t xml:space="preserve"> </w:t>
      </w:r>
      <w:r>
        <w:rPr>
          <w:rFonts w:ascii="Arial" w:cs="Arial" w:eastAsia="Arial" w:hAnsi="Arial"/>
          <w:sz w:val="18"/>
          <w:szCs w:val="18"/>
          <w:color w:val="auto"/>
        </w:rPr>
        <w:t>antibodies.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Antibody Collaboration and License Agreements</w:t>
      </w:r>
    </w:p>
    <w:p>
      <w:pPr>
        <w:spacing w:after="0" w:line="252" w:lineRule="exact"/>
        <w:rPr>
          <w:sz w:val="20"/>
          <w:szCs w:val="20"/>
          <w:color w:val="auto"/>
        </w:rPr>
      </w:pPr>
    </w:p>
    <w:p>
      <w:pPr>
        <w:jc w:val="both"/>
        <w:ind w:firstLine="297"/>
        <w:spacing w:after="0" w:line="296" w:lineRule="auto"/>
        <w:rPr>
          <w:sz w:val="20"/>
          <w:szCs w:val="20"/>
          <w:color w:val="auto"/>
        </w:rPr>
      </w:pPr>
      <w:r>
        <w:rPr>
          <w:rFonts w:ascii="Arial" w:cs="Arial" w:eastAsia="Arial" w:hAnsi="Arial"/>
          <w:sz w:val="16"/>
          <w:szCs w:val="16"/>
          <w:b w:val="1"/>
          <w:bCs w:val="1"/>
          <w:color w:val="auto"/>
        </w:rPr>
        <w:t xml:space="preserve">sanofi-aventis. </w:t>
      </w:r>
      <w:r>
        <w:rPr>
          <w:rFonts w:ascii="Arial" w:cs="Arial" w:eastAsia="Arial" w:hAnsi="Arial"/>
          <w:sz w:val="16"/>
          <w:szCs w:val="16"/>
          <w:color w:val="auto"/>
        </w:rPr>
        <w:t>In November 2007, we and sanofi-aventis entered into a global, strategic collaboration to discover, develop, and commercialize fully human</w:t>
      </w:r>
      <w:r>
        <w:rPr>
          <w:rFonts w:ascii="Arial" w:cs="Arial" w:eastAsia="Arial" w:hAnsi="Arial"/>
          <w:sz w:val="16"/>
          <w:szCs w:val="16"/>
          <w:b w:val="1"/>
          <w:bCs w:val="1"/>
          <w:color w:val="auto"/>
        </w:rPr>
        <w:t xml:space="preserve"> </w:t>
      </w:r>
      <w:r>
        <w:rPr>
          <w:rFonts w:ascii="Arial" w:cs="Arial" w:eastAsia="Arial" w:hAnsi="Arial"/>
          <w:sz w:val="16"/>
          <w:szCs w:val="16"/>
          <w:color w:val="auto"/>
        </w:rPr>
        <w:t>monoclonal antibodies. The collaboration is governed by a Discovery and Preclinical Development Agreement and a License and Collaboration Agreement. We received a non-refundable, up-front payment of $85.0 million from sanofi-aventis under the discovery agreement. In addition, sanofi-aventis is funding research at Regeneron to identify and validate potential drug discovery targets and develop fully human monoclonal antibodies against these targets. Sanofi-aventis funded approximately $175 million of research from the collaboration’s inception through December 31, 2009.</w:t>
      </w:r>
    </w:p>
    <w:p>
      <w:pPr>
        <w:spacing w:after="0" w:line="19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November 2009, we and sanofi-aventis amended these agreements to expand and extend our antibody collaboration. Sanofi-aventis will now fund up to $160 million per year of our antibody discovery activities over the period from 2010-2017, subject to a one-time option for sanofi-aventis to adjust the maximum reimbursement amount down to $120 million per year commencing in 2014 if over the prior two years certain specified criteria are not satisfied. In addition, sanofi-aventis will fund up to $30 million of agreed-upon costs we incur to expand our manufacturing capacity at our Rensselaer, New York facilities. In 2010, as we scale up our capacity to conduct antibody discovery activities, we will incur and seek reimbursement of only $130-$140 million of antibody discovery costs, with the balance between that amount and $160 million added to the funding oth erwise available to us in 2011-2012. As under the original 2007 agreement, sanofi-aventis also has an option to extend the discovery program for up to an additional three years for further antibody development and preclinical activities. We will lead the design and conduct of research activities, including target identification and validation, antibody development, research and preclinical activities through filing of an Investigational New Drug Application or its equivalent, toxicology studies, and manufacture of preclinical and clinical supplies. The goal of the expanded collaboration is to advance an average of four to five new antibody product candidates into clinical development each year, for an anticipated total of 30-40 candidates from 2010 through 2017.</w:t>
      </w:r>
    </w:p>
    <w:p>
      <w:pPr>
        <w:spacing w:after="0" w:line="208"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For each drug candidate identified under the discovery agreement, sanofi-aventis has the option to license rights to the candidate under the license agreement. If it elects to do so, sanofi-aventis will co-develop the drug candidate with us through product approval. Development costs will be shared between the companies, with sanofi-aventis generally funding drug candidate development costs up front, except that following receipt of the first positive Phase 3 trial results for a co-developed drug candidate, subsequent Phase 3 trial-related costs for that drug candidate will be shared 80% by sanofi-aventis and 20% by us. We are generally responsible for reimbursing sanofi-aventis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sanofi-aventis for these development costs.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7" w:right="239" w:bottom="1440" w:gutter="0" w:footer="0" w:header="0"/>
        </w:sectPr>
      </w:pPr>
    </w:p>
    <w:bookmarkStart w:id="21" w:name="page22"/>
    <w:bookmarkEnd w:id="21"/>
    <w:p>
      <w:pPr>
        <w:jc w:val="both"/>
        <w:ind w:firstLine="324"/>
        <w:spacing w:after="0" w:line="294" w:lineRule="auto"/>
        <w:rPr>
          <w:sz w:val="20"/>
          <w:szCs w:val="20"/>
          <w:color w:val="auto"/>
        </w:rPr>
      </w:pPr>
      <w:r>
        <w:rPr>
          <w:rFonts w:ascii="Arial" w:cs="Arial" w:eastAsia="Arial" w:hAnsi="Arial"/>
          <w:sz w:val="16"/>
          <w:szCs w:val="16"/>
          <w:color w:val="auto"/>
        </w:rPr>
        <w:t>Sanofi-aventis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(sanofi-aventis)/35% (us) and ending at 55% (sanofi-aventis)/45% (us), and will share losses outside the United States at 55% (sanofi-aventis)/45%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166" w:lineRule="exact"/>
        <w:rPr>
          <w:sz w:val="20"/>
          <w:szCs w:val="20"/>
          <w:color w:val="auto"/>
        </w:rPr>
      </w:pPr>
    </w:p>
    <w:p>
      <w:pPr>
        <w:jc w:val="both"/>
        <w:ind w:firstLine="341"/>
        <w:spacing w:after="0" w:line="233" w:lineRule="auto"/>
        <w:rPr>
          <w:sz w:val="20"/>
          <w:szCs w:val="20"/>
          <w:color w:val="auto"/>
        </w:rPr>
      </w:pPr>
      <w:r>
        <w:rPr>
          <w:rFonts w:ascii="Arial" w:cs="Arial" w:eastAsia="Arial" w:hAnsi="Arial"/>
          <w:sz w:val="18"/>
          <w:szCs w:val="18"/>
          <w:color w:val="auto"/>
        </w:rPr>
        <w:t xml:space="preserve">In August 2008, we entered into an agreement with sanofi-aventis to use our </w:t>
      </w:r>
      <w:r>
        <w:rPr>
          <w:rFonts w:ascii="Arial" w:cs="Arial" w:eastAsia="Arial" w:hAnsi="Arial"/>
          <w:sz w:val="18"/>
          <w:szCs w:val="18"/>
          <w:i w:val="1"/>
          <w:iCs w:val="1"/>
          <w:color w:val="auto"/>
        </w:rPr>
        <w:t>VelociGene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platform to supply sanofi-aventis with genetically modified mammalian models of gene function and disease. Sanofi-aventis will pay us a minimum of $21.5 million for the term of the agreement, which extends through December 2012, for knock-out and transgenic models of gene function for target genes identified by sanofi-aventis. Sanofi-aventis will use these models for its internal research programs that are outside of the scope of our antibody collaboration.</w:t>
      </w:r>
    </w:p>
    <w:p>
      <w:pPr>
        <w:spacing w:after="0" w:line="234"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7"/>
          <w:szCs w:val="17"/>
          <w:b w:val="1"/>
          <w:bCs w:val="1"/>
          <w:color w:val="auto"/>
        </w:rPr>
        <w:t xml:space="preserve">AstraZeneca UK Limited. </w:t>
      </w:r>
      <w:r>
        <w:rPr>
          <w:rFonts w:ascii="Arial" w:cs="Arial" w:eastAsia="Arial" w:hAnsi="Arial"/>
          <w:sz w:val="17"/>
          <w:szCs w:val="17"/>
          <w:color w:val="auto"/>
        </w:rPr>
        <w:t>In February 2007, we entered into a non-exclusive license agreement with AstraZeneca UK Limited that allows AstraZeneca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utilize our </w:t>
      </w:r>
      <w:r>
        <w:rPr>
          <w:rFonts w:ascii="Arial" w:cs="Arial" w:eastAsia="Arial" w:hAnsi="Arial"/>
          <w:sz w:val="17"/>
          <w:szCs w:val="17"/>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technology in its internal research programs to discover human monoclonal antibodies. Under the terms of the agreement, AstraZeneca made $20.0 million annual, non-refundable payments to us in the first quarter of 2007, 2008, 2009, and 2010. AstraZeneca is required to make up to two additional annual payments of $20.0 million, subject t o its ability to terminate the agreement. We are entitled to receive a mid-single-digit royalty on any future sales of antibody products discovered by AstraZeneca using our </w:t>
      </w:r>
      <w:r>
        <w:rPr>
          <w:rFonts w:ascii="Arial" w:cs="Arial" w:eastAsia="Arial" w:hAnsi="Arial"/>
          <w:sz w:val="17"/>
          <w:szCs w:val="17"/>
          <w:i w:val="1"/>
          <w:iCs w:val="1"/>
          <w:color w:val="auto"/>
        </w:rPr>
        <w:t>VelocImmune</w:t>
      </w:r>
      <w:r>
        <w:rPr>
          <w:rFonts w:ascii="Arial" w:cs="Arial" w:eastAsia="Arial" w:hAnsi="Arial"/>
          <w:sz w:val="34"/>
          <w:szCs w:val="34"/>
          <w:i w:val="1"/>
          <w:iCs w:val="1"/>
          <w:color w:val="auto"/>
          <w:vertAlign w:val="superscript"/>
        </w:rPr>
        <w:t>®</w:t>
      </w:r>
      <w:r>
        <w:rPr>
          <w:rFonts w:ascii="Arial" w:cs="Arial" w:eastAsia="Arial" w:hAnsi="Arial"/>
          <w:sz w:val="17"/>
          <w:szCs w:val="17"/>
          <w:color w:val="auto"/>
        </w:rPr>
        <w:t xml:space="preserve"> technology.</w:t>
      </w:r>
    </w:p>
    <w:p>
      <w:pPr>
        <w:spacing w:after="0" w:line="37" w:lineRule="exact"/>
        <w:rPr>
          <w:sz w:val="20"/>
          <w:szCs w:val="20"/>
          <w:color w:val="auto"/>
        </w:rPr>
      </w:pPr>
    </w:p>
    <w:p>
      <w:pPr>
        <w:jc w:val="both"/>
        <w:ind w:firstLine="378"/>
        <w:spacing w:after="0" w:line="278" w:lineRule="auto"/>
        <w:rPr>
          <w:sz w:val="20"/>
          <w:szCs w:val="20"/>
          <w:color w:val="auto"/>
        </w:rPr>
      </w:pPr>
      <w:r>
        <w:rPr>
          <w:rFonts w:ascii="Arial" w:cs="Arial" w:eastAsia="Arial" w:hAnsi="Arial"/>
          <w:sz w:val="16"/>
          <w:szCs w:val="16"/>
          <w:b w:val="1"/>
          <w:bCs w:val="1"/>
          <w:color w:val="auto"/>
        </w:rPr>
        <w:t xml:space="preserve">Astellas Pharma Inc. </w:t>
      </w:r>
      <w:r>
        <w:rPr>
          <w:rFonts w:ascii="Arial" w:cs="Arial" w:eastAsia="Arial" w:hAnsi="Arial"/>
          <w:sz w:val="16"/>
          <w:szCs w:val="16"/>
          <w:color w:val="auto"/>
        </w:rPr>
        <w:t>In March 2007, we entered into a non-exclusive license agreement with Astellas Pharma Inc. that allows Astellas to utilize our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VelocImmune</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 its internal research programs to discover human monoclonal antibodies. Under the terms of the agreement, Astellas made $20.0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million annual, non-refundable payments to us in the second quarter of 2007, 2008, 2009, and 2010. In July 2010, the license agreement with Astellas was amended and extended through June 2023. Under the terms of the amended agreement, Astellas made a $165.0 million up-front payment to us in August 2010. In addition, Astellas will make a $130.0 million second payment to us in June 2018 unless the license agreement has been terminated prior to that date. Astellas has the right to terminate the agreement at any time by providing 90 days’ advance written notice. Under certain limited circumstances, such as our material breach of the agreement, Astellas may terminate the agreement and receive a refund of a portion of its up-front payment or, if such termination occurs after June 2018, a portion of its second payment, to us under the July 2010 amendment to the agreement. We are entitled to receive a mid-single-digit royalty on any future sales of antibody products discovered by Astellas using our </w:t>
      </w:r>
      <w:r>
        <w:rPr>
          <w:rFonts w:ascii="Arial" w:cs="Arial" w:eastAsia="Arial" w:hAnsi="Arial"/>
          <w:sz w:val="16"/>
          <w:szCs w:val="16"/>
          <w:i w:val="1"/>
          <w:iCs w:val="1"/>
          <w:color w:val="auto"/>
        </w:rPr>
        <w:t>VelocImmune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technology.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Grant</w:t>
      </w:r>
    </w:p>
    <w:p>
      <w:pPr>
        <w:spacing w:after="0" w:line="258"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In September 2006, we were awarded a five-year grant from the National Institutes of Health (NIH) as part of the NIH’s Knockout Mouse Project. The goal of the Knockout Mouse Project is to build a comprehensive and broadly available resource of knockout mice to accelerate the understanding of gene function and human diseases. Under the NIH grant, as amended, we have received $19.3 million from the grant’s inception through September 30, 2010 and are entitled to receive an additional $6.0 million through the remaining term of the grant.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Programs</w:t>
      </w:r>
    </w:p>
    <w:p>
      <w:pPr>
        <w:spacing w:after="0" w:line="25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Our preclinical research programs are in the areas of oncology and angiogenesis, ophthalmology, metabolic and related diseases, muscle diseases and disorders, inflammation and immune diseases, bone and cartilage, pain, cardiovascular diseases, and infectious diseases.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jc w:val="both"/>
        <w:ind w:firstLine="311"/>
        <w:spacing w:after="0" w:line="269" w:lineRule="auto"/>
        <w:rPr>
          <w:sz w:val="20"/>
          <w:szCs w:val="20"/>
          <w:color w:val="auto"/>
        </w:rPr>
      </w:pPr>
      <w:r>
        <w:rPr>
          <w:rFonts w:ascii="Arial" w:cs="Arial" w:eastAsia="Arial" w:hAnsi="Arial"/>
          <w:sz w:val="16"/>
          <w:szCs w:val="16"/>
          <w:color w:val="auto"/>
        </w:rPr>
        <w:t>Developing and commercializing new medicines entails significant risk and expense. Since inception we have not generated any significant sales or profits from the commercialization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 any of our other product candidates. Before significant revenues from the commercialization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 our other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 ies uncompetitive or obsolete.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2" w:name="page23"/>
    <w:bookmarkEnd w:id="22"/>
    <w:p>
      <w:pPr>
        <w:jc w:val="both"/>
        <w:ind w:firstLine="287"/>
        <w:spacing w:after="0" w:line="261" w:lineRule="auto"/>
        <w:rPr>
          <w:sz w:val="20"/>
          <w:szCs w:val="20"/>
          <w:color w:val="auto"/>
        </w:rPr>
      </w:pPr>
      <w:r>
        <w:rPr>
          <w:rFonts w:ascii="Arial" w:cs="Arial" w:eastAsia="Arial" w:hAnsi="Arial"/>
          <w:sz w:val="16"/>
          <w:szCs w:val="16"/>
          <w:color w:val="auto"/>
        </w:rPr>
        <w:t>From inception on January 8, 1988 through September 30, 2010, we had a cumulative loss of $1.0 billion. In the absence of significant revenues from the commercialization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 our other product candidates or other sources, the amount, timing, nature, and source of which cannot be predicted, our losses will continue as we conduct our research and development activities. We expect to incur substantial losses over the next several years as we continue the clinical development of VEGF Trap-Eye and ARCALYST</w:t>
      </w:r>
      <w:r>
        <w:rPr>
          <w:rFonts w:ascii="Arial" w:cs="Arial" w:eastAsia="Arial" w:hAnsi="Arial"/>
          <w:sz w:val="22"/>
          <w:szCs w:val="22"/>
          <w:color w:val="auto"/>
          <w:vertAlign w:val="superscript"/>
        </w:rPr>
        <w:t>®</w:t>
      </w:r>
      <w:r>
        <w:rPr>
          <w:rFonts w:ascii="Arial" w:cs="Arial" w:eastAsia="Arial" w:hAnsi="Arial"/>
          <w:sz w:val="16"/>
          <w:szCs w:val="16"/>
          <w:color w:val="auto"/>
        </w:rPr>
        <w:t>; advance new product candidates into clinical development from our existing research programs utilizing our technology for discovering fully human monoclonal antibodies; continue our research and development programs; and commercialize additional product candidates that r eceive regulatory approval, if any. Also, our activities may expand over time and require additional resources, and we expect our operating losses to be substantial over at least the next several years. Our losses may fluctuate from quarter to quarter and will depend on, among other factors, the progress of our research and development efforts, the timing of certain expenses, and the amount and timing of payments that we receive from collaborators.</w:t>
      </w:r>
    </w:p>
    <w:p>
      <w:pPr>
        <w:spacing w:after="0" w:line="194" w:lineRule="exact"/>
        <w:rPr>
          <w:sz w:val="20"/>
          <w:szCs w:val="20"/>
          <w:color w:val="auto"/>
        </w:rPr>
      </w:pPr>
    </w:p>
    <w:p>
      <w:pPr>
        <w:jc w:val="both"/>
        <w:ind w:firstLine="220"/>
        <w:spacing w:after="0" w:line="268"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to date in 2010 and plans over the next 12 months are as follows:</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228"/>
        </w:trPr>
        <w:tc>
          <w:tcPr>
            <w:tcW w:w="1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0" w:type="dxa"/>
            <w:vAlign w:val="bottom"/>
            <w:gridSpan w:val="2"/>
          </w:tcPr>
          <w:p>
            <w:pPr>
              <w:ind w:left="1340"/>
              <w:spacing w:after="0"/>
              <w:rPr>
                <w:sz w:val="20"/>
                <w:szCs w:val="20"/>
                <w:color w:val="auto"/>
              </w:rPr>
            </w:pPr>
            <w:r>
              <w:rPr>
                <w:rFonts w:ascii="Arial" w:cs="Arial" w:eastAsia="Arial" w:hAnsi="Arial"/>
                <w:sz w:val="18"/>
                <w:szCs w:val="18"/>
                <w:b w:val="1"/>
                <w:bCs w:val="1"/>
                <w:color w:val="auto"/>
              </w:rPr>
              <w:t>2010-11 Plans</w:t>
            </w:r>
          </w:p>
        </w:tc>
      </w:tr>
      <w:tr>
        <w:trPr>
          <w:trHeight w:val="205"/>
        </w:trPr>
        <w:tc>
          <w:tcPr>
            <w:tcW w:w="130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b w:val="1"/>
                <w:bCs w:val="1"/>
                <w:color w:val="auto"/>
                <w:w w:val="89"/>
              </w:rPr>
              <w:t>Clinical Program</w:t>
            </w:r>
          </w:p>
        </w:tc>
        <w:tc>
          <w:tcPr>
            <w:tcW w:w="1500" w:type="dxa"/>
            <w:vAlign w:val="bottom"/>
          </w:tcPr>
          <w:p>
            <w:pPr>
              <w:spacing w:after="0"/>
              <w:rPr>
                <w:sz w:val="17"/>
                <w:szCs w:val="17"/>
                <w:color w:val="auto"/>
              </w:rPr>
            </w:pPr>
          </w:p>
        </w:tc>
        <w:tc>
          <w:tcPr>
            <w:tcW w:w="150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b w:val="1"/>
                <w:bCs w:val="1"/>
                <w:color w:val="auto"/>
                <w:w w:val="86"/>
              </w:rPr>
              <w:t>2010 Events to Date</w:t>
            </w: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b w:val="1"/>
                <w:bCs w:val="1"/>
                <w:color w:val="auto"/>
                <w:w w:val="86"/>
              </w:rPr>
              <w:t>(next 12 months)</w:t>
            </w:r>
          </w:p>
        </w:tc>
      </w:tr>
    </w:tbl>
    <w:p>
      <w:pPr>
        <w:spacing w:after="0" w:line="1" w:lineRule="exact"/>
        <w:rPr>
          <w:sz w:val="20"/>
          <w:szCs w:val="20"/>
          <w:color w:val="auto"/>
        </w:rPr>
      </w:pPr>
    </w:p>
    <w:p>
      <w:pPr>
        <w:sectPr>
          <w:pgSz w:w="11900" w:h="16838" w:orient="portrait"/>
          <w:cols w:equalWidth="0" w:num="1">
            <w:col w:w="11420"/>
          </w:cols>
          <w:pgMar w:left="240" w:top="563" w:right="239" w:bottom="1440" w:gutter="0" w:footer="0" w:header="0"/>
        </w:sectPr>
      </w:pPr>
    </w:p>
    <w:p>
      <w:pPr>
        <w:ind w:left="300"/>
        <w:spacing w:after="0"/>
        <w:tabs>
          <w:tab w:leader="none" w:pos="4660" w:val="left"/>
          <w:tab w:leader="none" w:pos="5400" w:val="left"/>
          <w:tab w:leader="none" w:pos="6040" w:val="left"/>
          <w:tab w:leader="none" w:pos="6580" w:val="left"/>
        </w:tabs>
        <w:rPr>
          <w:sz w:val="20"/>
          <w:szCs w:val="20"/>
          <w:color w:val="auto"/>
        </w:rPr>
      </w:pPr>
      <w:r>
        <w:rPr>
          <w:rFonts w:ascii="Arial" w:cs="Arial" w:eastAsia="Arial" w:hAnsi="Arial"/>
          <w:sz w:val="18"/>
          <w:szCs w:val="18"/>
          <w:color w:val="auto"/>
        </w:rPr>
        <w:t>ARCALYST</w:t>
      </w:r>
      <w:r>
        <w:rPr>
          <w:rFonts w:ascii="Arial" w:cs="Arial" w:eastAsia="Arial" w:hAnsi="Arial"/>
          <w:sz w:val="24"/>
          <w:szCs w:val="24"/>
          <w:color w:val="auto"/>
          <w:vertAlign w:val="superscript"/>
        </w:rPr>
        <w:t xml:space="preserve">®                                          </w:t>
      </w:r>
      <w:r>
        <w:rPr>
          <w:sz w:val="1"/>
          <w:szCs w:val="1"/>
          <w:color w:val="auto"/>
        </w:rPr>
        <w:drawing>
          <wp:inline distT="0" distB="0" distL="0" distR="0">
            <wp:extent cx="59690" cy="5969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8"/>
          <w:szCs w:val="18"/>
          <w:color w:val="auto"/>
        </w:rPr>
        <w:t xml:space="preserve">  Reported</w:t>
        <w:tab/>
        <w:t>positive</w:t>
        <w:tab/>
        <w:t>results</w:t>
        <w:tab/>
        <w:t>from</w:t>
      </w:r>
      <w:r>
        <w:rPr>
          <w:sz w:val="20"/>
          <w:szCs w:val="20"/>
          <w:color w:val="auto"/>
        </w:rPr>
        <w:tab/>
      </w:r>
      <w:r>
        <w:rPr>
          <w:rFonts w:ascii="Arial" w:cs="Arial" w:eastAsia="Arial" w:hAnsi="Arial"/>
          <w:sz w:val="15"/>
          <w:szCs w:val="15"/>
          <w:color w:val="auto"/>
        </w:rPr>
        <w:t>PRE-</w:t>
      </w:r>
    </w:p>
    <w:p>
      <w:pPr>
        <w:ind w:left="300"/>
        <w:spacing w:after="0"/>
        <w:tabs>
          <w:tab w:leader="none" w:pos="3840" w:val="left"/>
        </w:tabs>
        <w:rPr>
          <w:sz w:val="20"/>
          <w:szCs w:val="20"/>
          <w:color w:val="auto"/>
        </w:rPr>
      </w:pPr>
      <w:r>
        <w:rPr>
          <w:rFonts w:ascii="Arial" w:cs="Arial" w:eastAsia="Arial" w:hAnsi="Arial"/>
          <w:sz w:val="16"/>
          <w:szCs w:val="16"/>
          <w:color w:val="auto"/>
        </w:rPr>
        <w:t>(rilonacept)</w:t>
      </w:r>
      <w:r>
        <w:rPr>
          <w:sz w:val="20"/>
          <w:szCs w:val="20"/>
          <w:color w:val="auto"/>
        </w:rPr>
        <w:tab/>
      </w:r>
      <w:r>
        <w:rPr>
          <w:rFonts w:ascii="Arial" w:cs="Arial" w:eastAsia="Arial" w:hAnsi="Arial"/>
          <w:sz w:val="16"/>
          <w:szCs w:val="16"/>
          <w:color w:val="auto"/>
        </w:rPr>
        <w:t>SURGE 1 and completed patient enrollment</w:t>
      </w:r>
    </w:p>
    <w:p>
      <w:pPr>
        <w:spacing w:after="0" w:line="24"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of PRE-SURGE 2 and RE-SURGE. PRE-</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5"/>
          <w:szCs w:val="15"/>
          <w:color w:val="auto"/>
        </w:rPr>
        <w:t>SURGE 1 and 2 are Phase 3 studies that are</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evaluating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the prevention</w:t>
      </w:r>
    </w:p>
    <w:p>
      <w:pPr>
        <w:ind w:left="3860"/>
        <w:spacing w:after="0"/>
        <w:rPr>
          <w:sz w:val="20"/>
          <w:szCs w:val="20"/>
          <w:color w:val="auto"/>
        </w:rPr>
      </w:pPr>
      <w:r>
        <w:rPr>
          <w:rFonts w:ascii="Arial" w:cs="Arial" w:eastAsia="Arial" w:hAnsi="Arial"/>
          <w:sz w:val="16"/>
          <w:szCs w:val="16"/>
          <w:color w:val="auto"/>
        </w:rPr>
        <w:t>of gout flares associated with the initiation</w:t>
      </w:r>
    </w:p>
    <w:p>
      <w:pPr>
        <w:spacing w:after="0" w:line="24"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of uric acid-lowering drug therapy</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Reported  results  showing  no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-76200</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improvement in pain relief from a separate</w:t>
      </w:r>
    </w:p>
    <w:p>
      <w:pPr>
        <w:spacing w:after="0" w:line="3"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Phase 3 study evaluating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w:t>
      </w:r>
    </w:p>
    <w:p>
      <w:pPr>
        <w:ind w:left="3860"/>
        <w:spacing w:after="0"/>
        <w:rPr>
          <w:sz w:val="20"/>
          <w:szCs w:val="20"/>
          <w:color w:val="auto"/>
        </w:rPr>
      </w:pPr>
      <w:r>
        <w:rPr>
          <w:rFonts w:ascii="Arial" w:cs="Arial" w:eastAsia="Arial" w:hAnsi="Arial"/>
          <w:sz w:val="18"/>
          <w:szCs w:val="18"/>
          <w:color w:val="auto"/>
        </w:rPr>
        <w:t>the treatment of acute gout flares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139700</wp:posOffset>
            </wp:positionV>
            <wp:extent cx="68776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Report data from PRE-SURGE 2 and RE-SURGE in early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-248920</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119" w:lineRule="exact"/>
        <w:rPr>
          <w:sz w:val="20"/>
          <w:szCs w:val="20"/>
          <w:color w:val="auto"/>
        </w:rPr>
      </w:pPr>
    </w:p>
    <w:p>
      <w:pPr>
        <w:sectPr>
          <w:pgSz w:w="11900" w:h="16838" w:orient="portrait"/>
          <w:cols w:equalWidth="0" w:num="2">
            <w:col w:w="7340" w:space="720"/>
            <w:col w:w="3360"/>
          </w:cols>
          <w:pgMar w:left="240" w:top="563" w:right="239" w:bottom="1440" w:gutter="0" w:footer="0" w:header="0"/>
          <w:type w:val="continuous"/>
        </w:sectPr>
      </w:pPr>
    </w:p>
    <w:p>
      <w:pPr>
        <w:spacing w:after="0" w:line="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VEGF Trap – Eye                        </w:t>
      </w:r>
      <w:r>
        <w:rPr>
          <w:sz w:val="1"/>
          <w:szCs w:val="1"/>
          <w:color w:val="auto"/>
        </w:rPr>
        <w:drawing>
          <wp:inline distT="0" distB="0" distL="0" distR="0">
            <wp:extent cx="59690" cy="5969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8"/>
          <w:szCs w:val="18"/>
          <w:color w:val="auto"/>
        </w:rPr>
        <w:t xml:space="preserve">  Completed patient enrollment in two Phase</w:t>
      </w:r>
    </w:p>
    <w:p>
      <w:pPr>
        <w:spacing w:after="0" w:line="15" w:lineRule="exact"/>
        <w:rPr>
          <w:sz w:val="20"/>
          <w:szCs w:val="20"/>
          <w:color w:val="auto"/>
        </w:rPr>
      </w:pPr>
    </w:p>
    <w:p>
      <w:pPr>
        <w:ind w:left="3860"/>
        <w:spacing w:after="0"/>
        <w:tabs>
          <w:tab w:leader="none" w:pos="4140" w:val="left"/>
          <w:tab w:leader="none" w:pos="4800" w:val="left"/>
          <w:tab w:leader="none" w:pos="5360" w:val="left"/>
          <w:tab w:leader="none" w:pos="6700" w:val="left"/>
        </w:tabs>
        <w:rPr>
          <w:sz w:val="20"/>
          <w:szCs w:val="20"/>
          <w:color w:val="auto"/>
        </w:rPr>
      </w:pPr>
      <w:r>
        <w:rPr>
          <w:rFonts w:ascii="Arial" w:cs="Arial" w:eastAsia="Arial" w:hAnsi="Arial"/>
          <w:sz w:val="18"/>
          <w:szCs w:val="18"/>
          <w:color w:val="auto"/>
        </w:rPr>
        <w:t>3</w:t>
        <w:tab/>
        <w:t>CRVO</w:t>
        <w:tab/>
        <w:t>trials</w:t>
        <w:tab/>
        <w:t>(COPERNICUS</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GALILEO)</w:t>
      </w:r>
    </w:p>
    <w:p>
      <w:pPr>
        <w:spacing w:after="0" w:line="9" w:lineRule="exact"/>
        <w:rPr>
          <w:sz w:val="20"/>
          <w:szCs w:val="20"/>
          <w:color w:val="auto"/>
        </w:rPr>
      </w:pPr>
    </w:p>
    <w:p>
      <w:pPr>
        <w:ind w:left="3860"/>
        <w:spacing w:after="0"/>
        <w:tabs>
          <w:tab w:leader="none" w:pos="4740" w:val="left"/>
          <w:tab w:leader="none" w:pos="5540" w:val="left"/>
          <w:tab w:leader="none" w:pos="6400" w:val="left"/>
        </w:tabs>
        <w:rPr>
          <w:sz w:val="20"/>
          <w:szCs w:val="20"/>
          <w:color w:val="auto"/>
        </w:rPr>
      </w:pPr>
      <w:r>
        <w:rPr>
          <w:rFonts w:ascii="Arial" w:cs="Arial" w:eastAsia="Arial" w:hAnsi="Arial"/>
          <w:sz w:val="18"/>
          <w:szCs w:val="18"/>
          <w:color w:val="auto"/>
        </w:rPr>
        <w:t>Reported</w:t>
        <w:tab/>
        <w:t>positive</w:t>
        <w:tab/>
        <w:t>24-week</w:t>
      </w:r>
      <w:r>
        <w:rPr>
          <w:sz w:val="20"/>
          <w:szCs w:val="20"/>
          <w:color w:val="auto"/>
        </w:rPr>
        <w:tab/>
      </w:r>
      <w:r>
        <w:rPr>
          <w:rFonts w:ascii="Arial" w:cs="Arial" w:eastAsia="Arial" w:hAnsi="Arial"/>
          <w:sz w:val="16"/>
          <w:szCs w:val="16"/>
          <w:color w:val="auto"/>
        </w:rPr>
        <w:t>primary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-90805</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3860"/>
        <w:spacing w:after="0"/>
        <w:rPr>
          <w:sz w:val="20"/>
          <w:szCs w:val="20"/>
          <w:color w:val="auto"/>
        </w:rPr>
      </w:pPr>
      <w:r>
        <w:rPr>
          <w:rFonts w:ascii="Arial" w:cs="Arial" w:eastAsia="Arial" w:hAnsi="Arial"/>
          <w:sz w:val="16"/>
          <w:szCs w:val="16"/>
          <w:color w:val="auto"/>
        </w:rPr>
        <w:t>endpoint results from the Phase 2 DME trial</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(DA VINCI)</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Report data from VIEW 1 and VIEW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-86995</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trials in the fourth quarter of 2010</w:t>
      </w:r>
    </w:p>
    <w:p>
      <w:pPr>
        <w:spacing w:after="0" w:line="9" w:lineRule="exact"/>
        <w:rPr>
          <w:sz w:val="20"/>
          <w:szCs w:val="20"/>
          <w:color w:val="auto"/>
        </w:rPr>
      </w:pPr>
    </w:p>
    <w:p>
      <w:pPr>
        <w:spacing w:after="0"/>
        <w:tabs>
          <w:tab w:leader="none" w:pos="700" w:val="left"/>
          <w:tab w:leader="none" w:pos="1220" w:val="left"/>
          <w:tab w:leader="none" w:pos="1800" w:val="left"/>
          <w:tab w:leader="none" w:pos="2780" w:val="left"/>
        </w:tabs>
        <w:rPr>
          <w:sz w:val="20"/>
          <w:szCs w:val="20"/>
          <w:color w:val="auto"/>
        </w:rPr>
      </w:pPr>
      <w:r>
        <w:rPr>
          <w:rFonts w:ascii="Arial" w:cs="Arial" w:eastAsia="Arial" w:hAnsi="Arial"/>
          <w:sz w:val="18"/>
          <w:szCs w:val="18"/>
          <w:color w:val="auto"/>
        </w:rPr>
        <w:t>Report</w:t>
        <w:tab/>
        <w:t>data</w:t>
        <w:tab/>
        <w:t>from</w:t>
        <w:tab/>
        <w:t>GALILEO</w:t>
      </w:r>
      <w:r>
        <w:rPr>
          <w:sz w:val="20"/>
          <w:szCs w:val="20"/>
          <w:color w:val="auto"/>
        </w:rPr>
        <w:tab/>
      </w: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COPERNICUS trials in the first 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9"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Report one-year results from the DA VINCI trial in the fourth quarter of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-273685</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7340" w:space="720"/>
            <w:col w:w="3360"/>
          </w:cols>
          <w:pgMar w:left="240" w:top="563" w:right="239" w:bottom="1440" w:gutter="0" w:footer="0" w:header="0"/>
          <w:type w:val="continuous"/>
        </w:sectPr>
      </w:pPr>
    </w:p>
    <w:tbl>
      <w:tblPr>
        <w:tblLayout w:type="fixed"/>
        <w:tblInd w:w="30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Aflibercept</w:t>
            </w:r>
          </w:p>
        </w:tc>
        <w:tc>
          <w:tcPr>
            <w:tcW w:w="4380" w:type="dxa"/>
            <w:vAlign w:val="bottom"/>
            <w:gridSpan w:val="5"/>
          </w:tcPr>
          <w:p>
            <w:pPr>
              <w:ind w:left="1260"/>
              <w:spacing w:after="0"/>
              <w:rPr>
                <w:sz w:val="20"/>
                <w:szCs w:val="20"/>
                <w:color w:val="auto"/>
              </w:rPr>
            </w:pPr>
            <w:r>
              <w:rPr>
                <w:rFonts w:ascii="Arial" w:cs="Arial" w:eastAsia="Arial" w:hAnsi="Arial"/>
                <w:sz w:val="18"/>
                <w:szCs w:val="18"/>
                <w:color w:val="auto"/>
                <w:w w:val="91"/>
              </w:rPr>
              <w:t>Completed patient enrollment in the Phase</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(VEGF Trap –</w:t>
            </w:r>
          </w:p>
        </w:tc>
        <w:tc>
          <w:tcPr>
            <w:tcW w:w="4380" w:type="dxa"/>
            <w:vAlign w:val="bottom"/>
            <w:gridSpan w:val="5"/>
          </w:tcPr>
          <w:p>
            <w:pPr>
              <w:ind w:left="1260"/>
              <w:spacing w:after="0"/>
              <w:rPr>
                <w:sz w:val="20"/>
                <w:szCs w:val="20"/>
                <w:color w:val="auto"/>
              </w:rPr>
            </w:pPr>
            <w:r>
              <w:rPr>
                <w:rFonts w:ascii="Arial" w:cs="Arial" w:eastAsia="Arial" w:hAnsi="Arial"/>
                <w:sz w:val="18"/>
                <w:szCs w:val="18"/>
                <w:color w:val="auto"/>
                <w:w w:val="92"/>
              </w:rPr>
              <w:t>3  studies  in  non-small  cell  lung  cancer</w:t>
            </w:r>
          </w:p>
        </w:tc>
      </w:tr>
      <w:tr>
        <w:trPr>
          <w:trHeight w:val="222"/>
        </w:trPr>
        <w:tc>
          <w:tcPr>
            <w:tcW w:w="2300" w:type="dxa"/>
            <w:vAlign w:val="bottom"/>
          </w:tcPr>
          <w:p>
            <w:pPr>
              <w:spacing w:after="0"/>
              <w:rPr>
                <w:sz w:val="20"/>
                <w:szCs w:val="20"/>
                <w:color w:val="auto"/>
              </w:rPr>
            </w:pPr>
            <w:r>
              <w:rPr>
                <w:rFonts w:ascii="Arial" w:cs="Arial" w:eastAsia="Arial" w:hAnsi="Arial"/>
                <w:sz w:val="18"/>
                <w:szCs w:val="18"/>
                <w:color w:val="auto"/>
              </w:rPr>
              <w:t>Oncology)</w:t>
            </w:r>
          </w:p>
        </w:tc>
        <w:tc>
          <w:tcPr>
            <w:tcW w:w="4380" w:type="dxa"/>
            <w:vAlign w:val="bottom"/>
            <w:gridSpan w:val="5"/>
          </w:tcPr>
          <w:p>
            <w:pPr>
              <w:ind w:left="1260"/>
              <w:spacing w:after="0"/>
              <w:rPr>
                <w:sz w:val="20"/>
                <w:szCs w:val="20"/>
                <w:color w:val="auto"/>
              </w:rPr>
            </w:pPr>
            <w:r>
              <w:rPr>
                <w:rFonts w:ascii="Arial" w:cs="Arial" w:eastAsia="Arial" w:hAnsi="Arial"/>
                <w:sz w:val="18"/>
                <w:szCs w:val="18"/>
                <w:color w:val="auto"/>
                <w:w w:val="96"/>
              </w:rPr>
              <w:t>(VITAL), prostate cancer (VENICE), and</w:t>
            </w:r>
          </w:p>
        </w:tc>
      </w:tr>
      <w:tr>
        <w:trPr>
          <w:trHeight w:val="216"/>
        </w:trPr>
        <w:tc>
          <w:tcPr>
            <w:tcW w:w="2300" w:type="dxa"/>
            <w:vAlign w:val="bottom"/>
          </w:tcPr>
          <w:p>
            <w:pPr>
              <w:spacing w:after="0"/>
              <w:rPr>
                <w:sz w:val="18"/>
                <w:szCs w:val="18"/>
                <w:color w:val="auto"/>
              </w:rPr>
            </w:pPr>
          </w:p>
        </w:tc>
        <w:tc>
          <w:tcPr>
            <w:tcW w:w="3460" w:type="dxa"/>
            <w:vAlign w:val="bottom"/>
            <w:gridSpan w:val="3"/>
          </w:tcPr>
          <w:p>
            <w:pPr>
              <w:ind w:left="1260"/>
              <w:spacing w:after="0"/>
              <w:rPr>
                <w:sz w:val="20"/>
                <w:szCs w:val="20"/>
                <w:color w:val="auto"/>
              </w:rPr>
            </w:pPr>
            <w:r>
              <w:rPr>
                <w:rFonts w:ascii="Arial" w:cs="Arial" w:eastAsia="Arial" w:hAnsi="Arial"/>
                <w:sz w:val="18"/>
                <w:szCs w:val="18"/>
                <w:color w:val="auto"/>
                <w:w w:val="95"/>
              </w:rPr>
              <w:t>colorectal cancer (VELOUR)</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80" w:type="dxa"/>
            <w:vAlign w:val="bottom"/>
            <w:gridSpan w:val="5"/>
          </w:tcPr>
          <w:p>
            <w:pPr>
              <w:ind w:left="1260"/>
              <w:spacing w:after="0"/>
              <w:rPr>
                <w:sz w:val="20"/>
                <w:szCs w:val="20"/>
                <w:color w:val="auto"/>
              </w:rPr>
            </w:pPr>
            <w:r>
              <w:rPr>
                <w:rFonts w:ascii="Arial" w:cs="Arial" w:eastAsia="Arial" w:hAnsi="Arial"/>
                <w:sz w:val="18"/>
                <w:szCs w:val="18"/>
                <w:color w:val="auto"/>
                <w:w w:val="91"/>
              </w:rPr>
              <w:t>Completed patient enrollment in a Phase 2</w:t>
            </w:r>
          </w:p>
        </w:tc>
      </w:tr>
      <w:tr>
        <w:trPr>
          <w:trHeight w:val="216"/>
        </w:trPr>
        <w:tc>
          <w:tcPr>
            <w:tcW w:w="2300" w:type="dxa"/>
            <w:vAlign w:val="bottom"/>
          </w:tcPr>
          <w:p>
            <w:pPr>
              <w:spacing w:after="0"/>
              <w:rPr>
                <w:sz w:val="18"/>
                <w:szCs w:val="18"/>
                <w:color w:val="auto"/>
              </w:rPr>
            </w:pPr>
          </w:p>
        </w:tc>
        <w:tc>
          <w:tcPr>
            <w:tcW w:w="4380" w:type="dxa"/>
            <w:vAlign w:val="bottom"/>
            <w:gridSpan w:val="5"/>
          </w:tcPr>
          <w:p>
            <w:pPr>
              <w:ind w:left="1260"/>
              <w:spacing w:after="0"/>
              <w:rPr>
                <w:sz w:val="20"/>
                <w:szCs w:val="20"/>
                <w:color w:val="auto"/>
              </w:rPr>
            </w:pPr>
            <w:r>
              <w:rPr>
                <w:rFonts w:ascii="Arial" w:cs="Arial" w:eastAsia="Arial" w:hAnsi="Arial"/>
                <w:sz w:val="18"/>
                <w:szCs w:val="18"/>
                <w:color w:val="auto"/>
                <w:w w:val="98"/>
              </w:rPr>
              <w:t>1st-line  study  in  metastatic  colorectal</w:t>
            </w:r>
          </w:p>
        </w:tc>
      </w:tr>
      <w:tr>
        <w:trPr>
          <w:trHeight w:val="216"/>
        </w:trPr>
        <w:tc>
          <w:tcPr>
            <w:tcW w:w="2300" w:type="dxa"/>
            <w:vAlign w:val="bottom"/>
          </w:tcPr>
          <w:p>
            <w:pPr>
              <w:spacing w:after="0"/>
              <w:rPr>
                <w:sz w:val="18"/>
                <w:szCs w:val="18"/>
                <w:color w:val="auto"/>
              </w:rPr>
            </w:pPr>
          </w:p>
        </w:tc>
        <w:tc>
          <w:tcPr>
            <w:tcW w:w="4380" w:type="dxa"/>
            <w:vAlign w:val="bottom"/>
            <w:gridSpan w:val="5"/>
          </w:tcPr>
          <w:p>
            <w:pPr>
              <w:ind w:left="1260"/>
              <w:spacing w:after="0"/>
              <w:rPr>
                <w:sz w:val="20"/>
                <w:szCs w:val="20"/>
                <w:color w:val="auto"/>
              </w:rPr>
            </w:pPr>
            <w:r>
              <w:rPr>
                <w:rFonts w:ascii="Arial" w:cs="Arial" w:eastAsia="Arial" w:hAnsi="Arial"/>
                <w:sz w:val="18"/>
                <w:szCs w:val="18"/>
                <w:color w:val="auto"/>
                <w:w w:val="98"/>
              </w:rPr>
              <w:t>cancer  (AFFIRM)  in  combination  with</w:t>
            </w:r>
          </w:p>
        </w:tc>
      </w:tr>
      <w:tr>
        <w:trPr>
          <w:trHeight w:val="216"/>
        </w:trPr>
        <w:tc>
          <w:tcPr>
            <w:tcW w:w="2300" w:type="dxa"/>
            <w:vAlign w:val="bottom"/>
          </w:tcPr>
          <w:p>
            <w:pPr>
              <w:spacing w:after="0"/>
              <w:rPr>
                <w:sz w:val="18"/>
                <w:szCs w:val="18"/>
                <w:color w:val="auto"/>
              </w:rPr>
            </w:pPr>
          </w:p>
        </w:tc>
        <w:tc>
          <w:tcPr>
            <w:tcW w:w="2300" w:type="dxa"/>
            <w:vAlign w:val="bottom"/>
          </w:tcPr>
          <w:p>
            <w:pPr>
              <w:ind w:left="1260"/>
              <w:spacing w:after="0"/>
              <w:rPr>
                <w:sz w:val="20"/>
                <w:szCs w:val="20"/>
                <w:color w:val="auto"/>
              </w:rPr>
            </w:pPr>
            <w:r>
              <w:rPr>
                <w:rFonts w:ascii="Arial" w:cs="Arial" w:eastAsia="Arial" w:hAnsi="Arial"/>
                <w:sz w:val="18"/>
                <w:szCs w:val="18"/>
                <w:color w:val="auto"/>
                <w:w w:val="89"/>
              </w:rPr>
              <w:t>chemotherapy</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380" w:type="dxa"/>
            <w:vAlign w:val="bottom"/>
            <w:gridSpan w:val="5"/>
          </w:tcPr>
          <w:p>
            <w:pPr>
              <w:ind w:left="1260"/>
              <w:spacing w:after="0"/>
              <w:rPr>
                <w:sz w:val="20"/>
                <w:szCs w:val="20"/>
                <w:color w:val="auto"/>
              </w:rPr>
            </w:pPr>
            <w:r>
              <w:rPr>
                <w:rFonts w:ascii="Arial" w:cs="Arial" w:eastAsia="Arial" w:hAnsi="Arial"/>
                <w:sz w:val="18"/>
                <w:szCs w:val="18"/>
                <w:color w:val="auto"/>
                <w:w w:val="92"/>
              </w:rPr>
              <w:t>An IDMC conducted an interim analysis of</w:t>
            </w:r>
          </w:p>
        </w:tc>
      </w:tr>
      <w:tr>
        <w:trPr>
          <w:trHeight w:val="216"/>
        </w:trPr>
        <w:tc>
          <w:tcPr>
            <w:tcW w:w="2300" w:type="dxa"/>
            <w:vAlign w:val="bottom"/>
          </w:tcPr>
          <w:p>
            <w:pPr>
              <w:spacing w:after="0"/>
              <w:rPr>
                <w:sz w:val="18"/>
                <w:szCs w:val="18"/>
                <w:color w:val="auto"/>
              </w:rPr>
            </w:pPr>
          </w:p>
        </w:tc>
        <w:tc>
          <w:tcPr>
            <w:tcW w:w="4380" w:type="dxa"/>
            <w:vAlign w:val="bottom"/>
            <w:gridSpan w:val="5"/>
          </w:tcPr>
          <w:p>
            <w:pPr>
              <w:ind w:left="1260"/>
              <w:spacing w:after="0"/>
              <w:rPr>
                <w:sz w:val="20"/>
                <w:szCs w:val="20"/>
                <w:color w:val="auto"/>
              </w:rPr>
            </w:pPr>
            <w:r>
              <w:rPr>
                <w:rFonts w:ascii="Arial" w:cs="Arial" w:eastAsia="Arial" w:hAnsi="Arial"/>
                <w:sz w:val="18"/>
                <w:szCs w:val="18"/>
                <w:color w:val="auto"/>
                <w:w w:val="89"/>
              </w:rPr>
              <w:t>the VELOUR study in colorectal cancer and</w:t>
            </w:r>
          </w:p>
        </w:tc>
      </w:tr>
      <w:tr>
        <w:trPr>
          <w:trHeight w:val="216"/>
        </w:trPr>
        <w:tc>
          <w:tcPr>
            <w:tcW w:w="2300" w:type="dxa"/>
            <w:vAlign w:val="bottom"/>
          </w:tcPr>
          <w:p>
            <w:pPr>
              <w:spacing w:after="0"/>
              <w:rPr>
                <w:sz w:val="18"/>
                <w:szCs w:val="18"/>
                <w:color w:val="auto"/>
              </w:rPr>
            </w:pPr>
          </w:p>
        </w:tc>
        <w:tc>
          <w:tcPr>
            <w:tcW w:w="4380" w:type="dxa"/>
            <w:vAlign w:val="bottom"/>
            <w:gridSpan w:val="5"/>
          </w:tcPr>
          <w:p>
            <w:pPr>
              <w:ind w:left="1260"/>
              <w:spacing w:after="0"/>
              <w:rPr>
                <w:sz w:val="20"/>
                <w:szCs w:val="20"/>
                <w:color w:val="auto"/>
              </w:rPr>
            </w:pPr>
            <w:r>
              <w:rPr>
                <w:rFonts w:ascii="Arial" w:cs="Arial" w:eastAsia="Arial" w:hAnsi="Arial"/>
                <w:sz w:val="18"/>
                <w:szCs w:val="18"/>
                <w:color w:val="auto"/>
                <w:w w:val="96"/>
              </w:rPr>
              <w:t>recommended that the study continue to</w:t>
            </w:r>
          </w:p>
        </w:tc>
      </w:tr>
      <w:tr>
        <w:trPr>
          <w:trHeight w:val="216"/>
        </w:trPr>
        <w:tc>
          <w:tcPr>
            <w:tcW w:w="2300" w:type="dxa"/>
            <w:vAlign w:val="bottom"/>
          </w:tcPr>
          <w:p>
            <w:pPr>
              <w:spacing w:after="0"/>
              <w:rPr>
                <w:sz w:val="18"/>
                <w:szCs w:val="18"/>
                <w:color w:val="auto"/>
              </w:rPr>
            </w:pPr>
          </w:p>
        </w:tc>
        <w:tc>
          <w:tcPr>
            <w:tcW w:w="2300" w:type="dxa"/>
            <w:vAlign w:val="bottom"/>
          </w:tcPr>
          <w:p>
            <w:pPr>
              <w:ind w:left="1260"/>
              <w:spacing w:after="0"/>
              <w:rPr>
                <w:sz w:val="20"/>
                <w:szCs w:val="20"/>
                <w:color w:val="auto"/>
              </w:rPr>
            </w:pPr>
            <w:r>
              <w:rPr>
                <w:rFonts w:ascii="Arial" w:cs="Arial" w:eastAsia="Arial" w:hAnsi="Arial"/>
                <w:sz w:val="18"/>
                <w:szCs w:val="18"/>
                <w:color w:val="auto"/>
              </w:rPr>
              <w:t>completion</w:t>
            </w:r>
          </w:p>
        </w:tc>
        <w:tc>
          <w:tcPr>
            <w:tcW w:w="320" w:type="dxa"/>
            <w:vAlign w:val="bottom"/>
          </w:tcPr>
          <w:p>
            <w:pPr>
              <w:ind w:left="40"/>
              <w:spacing w:after="0"/>
              <w:rPr>
                <w:sz w:val="20"/>
                <w:szCs w:val="20"/>
                <w:color w:val="auto"/>
              </w:rPr>
            </w:pPr>
            <w:r>
              <w:rPr>
                <w:rFonts w:ascii="Arial" w:cs="Arial" w:eastAsia="Arial" w:hAnsi="Arial"/>
                <w:sz w:val="18"/>
                <w:szCs w:val="18"/>
                <w:color w:val="auto"/>
              </w:rPr>
              <w:t>as</w:t>
            </w:r>
          </w:p>
        </w:tc>
        <w:tc>
          <w:tcPr>
            <w:tcW w:w="840" w:type="dxa"/>
            <w:vAlign w:val="bottom"/>
          </w:tcPr>
          <w:p>
            <w:pPr>
              <w:ind w:left="140"/>
              <w:spacing w:after="0"/>
              <w:rPr>
                <w:sz w:val="20"/>
                <w:szCs w:val="20"/>
                <w:color w:val="auto"/>
              </w:rPr>
            </w:pPr>
            <w:r>
              <w:rPr>
                <w:rFonts w:ascii="Arial" w:cs="Arial" w:eastAsia="Arial" w:hAnsi="Arial"/>
                <w:sz w:val="18"/>
                <w:szCs w:val="18"/>
                <w:color w:val="auto"/>
              </w:rPr>
              <w:t>planned</w:t>
            </w:r>
          </w:p>
        </w:tc>
        <w:tc>
          <w:tcPr>
            <w:tcW w:w="600" w:type="dxa"/>
            <w:vAlign w:val="bottom"/>
          </w:tcPr>
          <w:p>
            <w:pPr>
              <w:ind w:left="140"/>
              <w:spacing w:after="0"/>
              <w:rPr>
                <w:sz w:val="20"/>
                <w:szCs w:val="20"/>
                <w:color w:val="auto"/>
              </w:rPr>
            </w:pPr>
            <w:r>
              <w:rPr>
                <w:rFonts w:ascii="Arial" w:cs="Arial" w:eastAsia="Arial" w:hAnsi="Arial"/>
                <w:sz w:val="18"/>
                <w:szCs w:val="18"/>
                <w:color w:val="auto"/>
              </w:rPr>
              <w:t>with</w:t>
            </w:r>
          </w:p>
        </w:tc>
        <w:tc>
          <w:tcPr>
            <w:tcW w:w="320" w:type="dxa"/>
            <w:vAlign w:val="bottom"/>
          </w:tcPr>
          <w:p>
            <w:pPr>
              <w:ind w:left="140"/>
              <w:spacing w:after="0"/>
              <w:rPr>
                <w:sz w:val="20"/>
                <w:szCs w:val="20"/>
                <w:color w:val="auto"/>
              </w:rPr>
            </w:pPr>
            <w:r>
              <w:rPr>
                <w:rFonts w:ascii="Arial" w:cs="Arial" w:eastAsia="Arial" w:hAnsi="Arial"/>
                <w:sz w:val="18"/>
                <w:szCs w:val="18"/>
                <w:color w:val="auto"/>
                <w:w w:val="79"/>
              </w:rPr>
              <w:t>no</w:t>
            </w:r>
          </w:p>
        </w:tc>
      </w:tr>
      <w:tr>
        <w:trPr>
          <w:trHeight w:val="216"/>
        </w:trPr>
        <w:tc>
          <w:tcPr>
            <w:tcW w:w="2300" w:type="dxa"/>
            <w:vAlign w:val="bottom"/>
          </w:tcPr>
          <w:p>
            <w:pPr>
              <w:spacing w:after="0"/>
              <w:rPr>
                <w:sz w:val="18"/>
                <w:szCs w:val="18"/>
                <w:color w:val="auto"/>
              </w:rPr>
            </w:pPr>
          </w:p>
        </w:tc>
        <w:tc>
          <w:tcPr>
            <w:tcW w:w="4380" w:type="dxa"/>
            <w:vAlign w:val="bottom"/>
            <w:gridSpan w:val="5"/>
          </w:tcPr>
          <w:p>
            <w:pPr>
              <w:ind w:left="1260"/>
              <w:spacing w:after="0"/>
              <w:rPr>
                <w:sz w:val="20"/>
                <w:szCs w:val="20"/>
                <w:color w:val="auto"/>
              </w:rPr>
            </w:pPr>
            <w:r>
              <w:rPr>
                <w:rFonts w:ascii="Arial" w:cs="Arial" w:eastAsia="Arial" w:hAnsi="Arial"/>
                <w:sz w:val="18"/>
                <w:szCs w:val="18"/>
                <w:color w:val="auto"/>
                <w:w w:val="95"/>
              </w:rPr>
              <w:t>modifications  due  to  efficacy  or  safety</w:t>
            </w:r>
          </w:p>
        </w:tc>
      </w:tr>
      <w:tr>
        <w:trPr>
          <w:trHeight w:val="222"/>
        </w:trPr>
        <w:tc>
          <w:tcPr>
            <w:tcW w:w="2300" w:type="dxa"/>
            <w:vAlign w:val="bottom"/>
          </w:tcPr>
          <w:p>
            <w:pPr>
              <w:spacing w:after="0"/>
              <w:rPr>
                <w:sz w:val="19"/>
                <w:szCs w:val="19"/>
                <w:color w:val="auto"/>
              </w:rPr>
            </w:pPr>
          </w:p>
        </w:tc>
        <w:tc>
          <w:tcPr>
            <w:tcW w:w="2300" w:type="dxa"/>
            <w:vAlign w:val="bottom"/>
          </w:tcPr>
          <w:p>
            <w:pPr>
              <w:ind w:left="1260"/>
              <w:spacing w:after="0"/>
              <w:rPr>
                <w:sz w:val="20"/>
                <w:szCs w:val="20"/>
                <w:color w:val="auto"/>
              </w:rPr>
            </w:pPr>
            <w:r>
              <w:rPr>
                <w:rFonts w:ascii="Arial" w:cs="Arial" w:eastAsia="Arial" w:hAnsi="Arial"/>
                <w:sz w:val="18"/>
                <w:szCs w:val="18"/>
                <w:color w:val="auto"/>
              </w:rPr>
              <w:t>concerns</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138430</wp:posOffset>
            </wp:positionV>
            <wp:extent cx="68776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-1927860</wp:posOffset>
            </wp:positionV>
            <wp:extent cx="68776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2316480</wp:posOffset>
            </wp:positionH>
            <wp:positionV relativeFrom="paragraph">
              <wp:posOffset>-1880235</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2316480</wp:posOffset>
            </wp:positionH>
            <wp:positionV relativeFrom="paragraph">
              <wp:posOffset>-1331595</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2316480</wp:posOffset>
            </wp:positionH>
            <wp:positionV relativeFrom="paragraph">
              <wp:posOffset>-782320</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300"/>
        <w:spacing w:after="0" w:line="253" w:lineRule="auto"/>
        <w:rPr>
          <w:sz w:val="20"/>
          <w:szCs w:val="20"/>
          <w:color w:val="auto"/>
        </w:rPr>
      </w:pPr>
      <w:r>
        <w:rPr>
          <w:rFonts w:ascii="Arial" w:cs="Arial" w:eastAsia="Arial" w:hAnsi="Arial"/>
          <w:sz w:val="18"/>
          <w:szCs w:val="18"/>
          <w:color w:val="auto"/>
        </w:rPr>
        <w:t>Report data from the VITAL study in non-small cell lung cancer in the first half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-370840</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right="300"/>
        <w:spacing w:after="0" w:line="250" w:lineRule="auto"/>
        <w:rPr>
          <w:sz w:val="20"/>
          <w:szCs w:val="20"/>
          <w:color w:val="auto"/>
        </w:rPr>
      </w:pPr>
      <w:r>
        <w:rPr>
          <w:rFonts w:ascii="Arial" w:cs="Arial" w:eastAsia="Arial" w:hAnsi="Arial"/>
          <w:sz w:val="18"/>
          <w:szCs w:val="18"/>
          <w:color w:val="auto"/>
        </w:rPr>
        <w:t>An IDMC is expected to conduct an interim analysis of the VENICE study in prostate cancer in mid-2011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-370205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right="300"/>
        <w:spacing w:after="0" w:line="255" w:lineRule="auto"/>
        <w:rPr>
          <w:sz w:val="20"/>
          <w:szCs w:val="20"/>
          <w:color w:val="auto"/>
        </w:rPr>
      </w:pPr>
      <w:r>
        <w:rPr>
          <w:rFonts w:ascii="Arial" w:cs="Arial" w:eastAsia="Arial" w:hAnsi="Arial"/>
          <w:sz w:val="18"/>
          <w:szCs w:val="18"/>
          <w:color w:val="auto"/>
        </w:rPr>
        <w:t>Report data from the VELOUR study in metastatic colorectal cancer in the second half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-378460</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68" w:lineRule="exact"/>
        <w:rPr>
          <w:sz w:val="20"/>
          <w:szCs w:val="20"/>
          <w:color w:val="auto"/>
        </w:rPr>
      </w:pPr>
    </w:p>
    <w:p>
      <w:pPr>
        <w:sectPr>
          <w:pgSz w:w="11900" w:h="16838" w:orient="portrait"/>
          <w:cols w:equalWidth="0" w:num="2">
            <w:col w:w="7340" w:space="720"/>
            <w:col w:w="3360"/>
          </w:cols>
          <w:pgMar w:left="240" w:top="563" w:right="239" w:bottom="1440" w:gutter="0" w:footer="0" w:header="0"/>
          <w:type w:val="continuous"/>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type w:val="continuous"/>
        </w:sectPr>
      </w:pPr>
    </w:p>
    <w:bookmarkStart w:id="23" w:name="page24"/>
    <w:bookmarkEnd w:id="23"/>
    <w:tbl>
      <w:tblPr>
        <w:tblLayout w:type="fixed"/>
        <w:tblInd w:w="300" w:type="dxa"/>
        <w:tblCellMar>
          <w:top w:w="0" w:type="dxa"/>
          <w:left w:w="0" w:type="dxa"/>
          <w:bottom w:w="0" w:type="dxa"/>
          <w:right w:w="0" w:type="dxa"/>
        </w:tblCellMar>
      </w:tblPr>
      <w:tr>
        <w:trPr>
          <w:trHeight w:val="228"/>
        </w:trPr>
        <w:tc>
          <w:tcPr>
            <w:tcW w:w="1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00" w:type="dxa"/>
            <w:vAlign w:val="bottom"/>
            <w:gridSpan w:val="3"/>
          </w:tcPr>
          <w:p>
            <w:pPr>
              <w:ind w:left="160"/>
              <w:spacing w:after="0"/>
              <w:rPr>
                <w:sz w:val="20"/>
                <w:szCs w:val="20"/>
                <w:color w:val="auto"/>
              </w:rPr>
            </w:pPr>
            <w:r>
              <w:rPr>
                <w:rFonts w:ascii="Arial" w:cs="Arial" w:eastAsia="Arial" w:hAnsi="Arial"/>
                <w:sz w:val="18"/>
                <w:szCs w:val="18"/>
                <w:b w:val="1"/>
                <w:bCs w:val="1"/>
                <w:color w:val="auto"/>
              </w:rPr>
              <w:t>2010-11 Plans</w:t>
            </w:r>
          </w:p>
        </w:tc>
      </w:tr>
      <w:tr>
        <w:trPr>
          <w:trHeight w:val="205"/>
        </w:trPr>
        <w:tc>
          <w:tcPr>
            <w:tcW w:w="1300" w:type="dxa"/>
            <w:vAlign w:val="bottom"/>
          </w:tcPr>
          <w:p>
            <w:pPr>
              <w:spacing w:after="0" w:line="205" w:lineRule="exact"/>
              <w:rPr>
                <w:sz w:val="20"/>
                <w:szCs w:val="20"/>
                <w:color w:val="auto"/>
              </w:rPr>
            </w:pPr>
            <w:r>
              <w:rPr>
                <w:rFonts w:ascii="Arial" w:cs="Arial" w:eastAsia="Arial" w:hAnsi="Arial"/>
                <w:sz w:val="18"/>
                <w:szCs w:val="18"/>
                <w:b w:val="1"/>
                <w:bCs w:val="1"/>
                <w:color w:val="auto"/>
                <w:w w:val="89"/>
              </w:rPr>
              <w:t>Clinical Program</w:t>
            </w:r>
          </w:p>
        </w:tc>
        <w:tc>
          <w:tcPr>
            <w:tcW w:w="1520" w:type="dxa"/>
            <w:vAlign w:val="bottom"/>
          </w:tcPr>
          <w:p>
            <w:pPr>
              <w:spacing w:after="0"/>
              <w:rPr>
                <w:sz w:val="17"/>
                <w:szCs w:val="17"/>
                <w:color w:val="auto"/>
              </w:rPr>
            </w:pPr>
          </w:p>
        </w:tc>
        <w:tc>
          <w:tcPr>
            <w:tcW w:w="40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2010 Events to Date</w:t>
            </w:r>
          </w:p>
        </w:tc>
        <w:tc>
          <w:tcPr>
            <w:tcW w:w="4000" w:type="dxa"/>
            <w:vAlign w:val="bottom"/>
            <w:gridSpan w:val="3"/>
          </w:tcPr>
          <w:p>
            <w:pPr>
              <w:ind w:left="160"/>
              <w:spacing w:after="0" w:line="205" w:lineRule="exact"/>
              <w:rPr>
                <w:sz w:val="20"/>
                <w:szCs w:val="20"/>
                <w:color w:val="auto"/>
              </w:rPr>
            </w:pPr>
            <w:r>
              <w:rPr>
                <w:rFonts w:ascii="Arial" w:cs="Arial" w:eastAsia="Arial" w:hAnsi="Arial"/>
                <w:sz w:val="18"/>
                <w:szCs w:val="18"/>
                <w:b w:val="1"/>
                <w:bCs w:val="1"/>
                <w:color w:val="auto"/>
              </w:rPr>
              <w:t>(next 12 months)</w:t>
            </w:r>
          </w:p>
        </w:tc>
      </w:tr>
      <w:tr>
        <w:trPr>
          <w:trHeight w:val="20"/>
        </w:trPr>
        <w:tc>
          <w:tcPr>
            <w:tcW w:w="13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42"/>
        </w:trPr>
        <w:tc>
          <w:tcPr>
            <w:tcW w:w="1300" w:type="dxa"/>
            <w:vAlign w:val="bottom"/>
          </w:tcPr>
          <w:p>
            <w:pPr>
              <w:spacing w:after="0"/>
              <w:rPr>
                <w:sz w:val="20"/>
                <w:szCs w:val="20"/>
                <w:color w:val="auto"/>
              </w:rPr>
            </w:pPr>
            <w:r>
              <w:rPr>
                <w:rFonts w:ascii="Arial" w:cs="Arial" w:eastAsia="Arial" w:hAnsi="Arial"/>
                <w:sz w:val="18"/>
                <w:szCs w:val="18"/>
                <w:color w:val="auto"/>
              </w:rPr>
              <w:t>REGN727</w:t>
            </w:r>
          </w:p>
        </w:tc>
        <w:tc>
          <w:tcPr>
            <w:tcW w:w="1520" w:type="dxa"/>
            <w:vAlign w:val="bottom"/>
          </w:tcPr>
          <w:p>
            <w:pPr>
              <w:spacing w:after="0"/>
              <w:rPr>
                <w:sz w:val="21"/>
                <w:szCs w:val="21"/>
                <w:color w:val="auto"/>
              </w:rPr>
            </w:pPr>
          </w:p>
        </w:tc>
        <w:tc>
          <w:tcPr>
            <w:tcW w:w="4000" w:type="dxa"/>
            <w:vAlign w:val="bottom"/>
            <w:gridSpan w:val="2"/>
          </w:tcPr>
          <w:p>
            <w:pPr>
              <w:ind w:left="760"/>
              <w:spacing w:after="0"/>
              <w:rPr>
                <w:sz w:val="20"/>
                <w:szCs w:val="20"/>
                <w:color w:val="auto"/>
              </w:rPr>
            </w:pPr>
            <w:r>
              <w:rPr>
                <w:rFonts w:ascii="Arial" w:cs="Arial" w:eastAsia="Arial" w:hAnsi="Arial"/>
                <w:sz w:val="18"/>
                <w:szCs w:val="18"/>
                <w:color w:val="auto"/>
                <w:w w:val="98"/>
              </w:rPr>
              <w:t>Reported  proof-of-concept  data  from  a</w:t>
            </w:r>
          </w:p>
        </w:tc>
        <w:tc>
          <w:tcPr>
            <w:tcW w:w="160" w:type="dxa"/>
            <w:vAlign w:val="bottom"/>
          </w:tcPr>
          <w:p>
            <w:pPr>
              <w:spacing w:after="0"/>
              <w:rPr>
                <w:sz w:val="21"/>
                <w:szCs w:val="21"/>
                <w:color w:val="auto"/>
              </w:rPr>
            </w:pPr>
          </w:p>
        </w:tc>
        <w:tc>
          <w:tcPr>
            <w:tcW w:w="3840" w:type="dxa"/>
            <w:vAlign w:val="bottom"/>
            <w:gridSpan w:val="2"/>
          </w:tcPr>
          <w:p>
            <w:pPr>
              <w:ind w:left="760"/>
              <w:spacing w:after="0"/>
              <w:rPr>
                <w:sz w:val="20"/>
                <w:szCs w:val="20"/>
                <w:color w:val="auto"/>
              </w:rPr>
            </w:pPr>
            <w:r>
              <w:rPr>
                <w:rFonts w:ascii="Arial" w:cs="Arial" w:eastAsia="Arial" w:hAnsi="Arial"/>
                <w:sz w:val="18"/>
                <w:szCs w:val="18"/>
                <w:color w:val="auto"/>
                <w:w w:val="96"/>
              </w:rPr>
              <w:t>Report additional data from the Phase 1</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(PCSK9 Antibody)</w:t>
            </w:r>
          </w:p>
        </w:tc>
        <w:tc>
          <w:tcPr>
            <w:tcW w:w="4000" w:type="dxa"/>
            <w:vAlign w:val="bottom"/>
            <w:gridSpan w:val="2"/>
          </w:tcPr>
          <w:p>
            <w:pPr>
              <w:ind w:left="760"/>
              <w:spacing w:after="0"/>
              <w:rPr>
                <w:sz w:val="20"/>
                <w:szCs w:val="20"/>
                <w:color w:val="auto"/>
              </w:rPr>
            </w:pPr>
            <w:r>
              <w:rPr>
                <w:rFonts w:ascii="Arial" w:cs="Arial" w:eastAsia="Arial" w:hAnsi="Arial"/>
                <w:sz w:val="18"/>
                <w:szCs w:val="18"/>
                <w:color w:val="auto"/>
              </w:rPr>
              <w:t>Phase  1  study  for  LDL  cholesterol</w:t>
            </w:r>
          </w:p>
        </w:tc>
        <w:tc>
          <w:tcPr>
            <w:tcW w:w="160" w:type="dxa"/>
            <w:vAlign w:val="bottom"/>
          </w:tcPr>
          <w:p>
            <w:pPr>
              <w:spacing w:after="0"/>
              <w:rPr>
                <w:sz w:val="18"/>
                <w:szCs w:val="18"/>
                <w:color w:val="auto"/>
              </w:rPr>
            </w:pPr>
          </w:p>
        </w:tc>
        <w:tc>
          <w:tcPr>
            <w:tcW w:w="3840" w:type="dxa"/>
            <w:vAlign w:val="bottom"/>
            <w:gridSpan w:val="2"/>
          </w:tcPr>
          <w:p>
            <w:pPr>
              <w:ind w:left="760"/>
              <w:spacing w:after="0"/>
              <w:rPr>
                <w:sz w:val="20"/>
                <w:szCs w:val="20"/>
                <w:color w:val="auto"/>
              </w:rPr>
            </w:pPr>
            <w:r>
              <w:rPr>
                <w:rFonts w:ascii="Arial" w:cs="Arial" w:eastAsia="Arial" w:hAnsi="Arial"/>
                <w:sz w:val="18"/>
                <w:szCs w:val="18"/>
                <w:color w:val="auto"/>
                <w:w w:val="89"/>
              </w:rPr>
              <w:t>program and initiate a Phase 2 program for</w:t>
            </w:r>
          </w:p>
        </w:tc>
      </w:tr>
      <w:tr>
        <w:trPr>
          <w:trHeight w:val="222"/>
        </w:trPr>
        <w:tc>
          <w:tcPr>
            <w:tcW w:w="1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00" w:type="dxa"/>
            <w:vAlign w:val="bottom"/>
            <w:gridSpan w:val="2"/>
          </w:tcPr>
          <w:p>
            <w:pPr>
              <w:ind w:left="760"/>
              <w:spacing w:after="0"/>
              <w:rPr>
                <w:sz w:val="20"/>
                <w:szCs w:val="20"/>
                <w:color w:val="auto"/>
              </w:rPr>
            </w:pPr>
            <w:r>
              <w:rPr>
                <w:rFonts w:ascii="Arial" w:cs="Arial" w:eastAsia="Arial" w:hAnsi="Arial"/>
                <w:sz w:val="18"/>
                <w:szCs w:val="18"/>
                <w:color w:val="auto"/>
              </w:rPr>
              <w:t>reduction</w:t>
            </w:r>
          </w:p>
        </w:tc>
        <w:tc>
          <w:tcPr>
            <w:tcW w:w="160" w:type="dxa"/>
            <w:vAlign w:val="bottom"/>
          </w:tcPr>
          <w:p>
            <w:pPr>
              <w:spacing w:after="0"/>
              <w:rPr>
                <w:sz w:val="19"/>
                <w:szCs w:val="19"/>
                <w:color w:val="auto"/>
              </w:rPr>
            </w:pPr>
          </w:p>
        </w:tc>
        <w:tc>
          <w:tcPr>
            <w:tcW w:w="3840" w:type="dxa"/>
            <w:vAlign w:val="bottom"/>
            <w:gridSpan w:val="2"/>
          </w:tcPr>
          <w:p>
            <w:pPr>
              <w:ind w:left="760"/>
              <w:spacing w:after="0"/>
              <w:rPr>
                <w:sz w:val="20"/>
                <w:szCs w:val="20"/>
                <w:color w:val="auto"/>
              </w:rPr>
            </w:pPr>
            <w:r>
              <w:rPr>
                <w:rFonts w:ascii="Arial" w:cs="Arial" w:eastAsia="Arial" w:hAnsi="Arial"/>
                <w:sz w:val="18"/>
                <w:szCs w:val="18"/>
                <w:color w:val="auto"/>
              </w:rPr>
              <w:t>LDL cholesterol reduction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138430</wp:posOffset>
            </wp:positionV>
            <wp:extent cx="68776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2324735</wp:posOffset>
            </wp:positionH>
            <wp:positionV relativeFrom="paragraph">
              <wp:posOffset>-370840</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-370840</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p>
      <w:pPr>
        <w:spacing w:after="0" w:line="223" w:lineRule="exact"/>
        <w:rPr>
          <w:sz w:val="20"/>
          <w:szCs w:val="20"/>
          <w:color w:val="auto"/>
        </w:rPr>
      </w:pPr>
    </w:p>
    <w:p>
      <w:pPr>
        <w:ind w:left="300"/>
        <w:spacing w:after="0"/>
        <w:tabs>
          <w:tab w:leader="none" w:pos="3641" w:val="left"/>
        </w:tabs>
        <w:rPr>
          <w:sz w:val="20"/>
          <w:szCs w:val="20"/>
          <w:color w:val="auto"/>
        </w:rPr>
      </w:pPr>
      <w:r>
        <w:rPr>
          <w:rFonts w:ascii="Arial" w:cs="Arial" w:eastAsia="Arial" w:hAnsi="Arial"/>
          <w:sz w:val="16"/>
          <w:szCs w:val="16"/>
          <w:color w:val="auto"/>
        </w:rPr>
        <w:t>REGN88</w:t>
      </w:r>
      <w:r>
        <w:rPr>
          <w:sz w:val="20"/>
          <w:szCs w:val="20"/>
          <w:color w:val="auto"/>
        </w:rPr>
        <w:tab/>
      </w:r>
      <w:r>
        <w:rPr>
          <w:sz w:val="1"/>
          <w:szCs w:val="1"/>
          <w:color w:val="auto"/>
        </w:rPr>
        <w:drawing>
          <wp:inline distT="0" distB="0" distL="0" distR="0">
            <wp:extent cx="59690" cy="5969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6"/>
          <w:szCs w:val="16"/>
          <w:color w:val="auto"/>
        </w:rPr>
        <w:t xml:space="preserve">  Initiated a Phase 2/3 dose-ranging study in</w:t>
      </w:r>
    </w:p>
    <w:p>
      <w:pPr>
        <w:spacing w:after="0" w:line="38" w:lineRule="exact"/>
        <w:rPr>
          <w:sz w:val="20"/>
          <w:szCs w:val="20"/>
          <w:color w:val="auto"/>
        </w:rPr>
      </w:pPr>
    </w:p>
    <w:p>
      <w:pPr>
        <w:ind w:left="300"/>
        <w:spacing w:after="0"/>
        <w:tabs>
          <w:tab w:leader="none" w:pos="3860" w:val="left"/>
        </w:tabs>
        <w:rPr>
          <w:sz w:val="20"/>
          <w:szCs w:val="20"/>
          <w:color w:val="auto"/>
        </w:rPr>
      </w:pPr>
      <w:r>
        <w:rPr>
          <w:rFonts w:ascii="Arial" w:cs="Arial" w:eastAsia="Arial" w:hAnsi="Arial"/>
          <w:sz w:val="18"/>
          <w:szCs w:val="18"/>
          <w:color w:val="auto"/>
        </w:rPr>
        <w:t>(IL-6R Antibody)</w:t>
      </w:r>
      <w:r>
        <w:rPr>
          <w:sz w:val="20"/>
          <w:szCs w:val="20"/>
          <w:color w:val="auto"/>
        </w:rPr>
        <w:tab/>
      </w:r>
      <w:r>
        <w:rPr>
          <w:rFonts w:ascii="Arial" w:cs="Arial" w:eastAsia="Arial" w:hAnsi="Arial"/>
          <w:sz w:val="16"/>
          <w:szCs w:val="16"/>
          <w:color w:val="auto"/>
        </w:rPr>
        <w:t>rheumatoid arthritis and a Phase 2 dose-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ranging study in ankylosing spondylitis</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Reported data from the Phase 1 program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2324735</wp:posOffset>
            </wp:positionH>
            <wp:positionV relativeFrom="paragraph">
              <wp:posOffset>-68580</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rheumatoid arthritis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Report data from the Phase 2 portion of a Phase 2/3 study in rheumatoid arthritis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-278765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68" w:lineRule="exact"/>
        <w:rPr>
          <w:sz w:val="20"/>
          <w:szCs w:val="20"/>
          <w:color w:val="auto"/>
        </w:rPr>
      </w:pPr>
    </w:p>
    <w:p>
      <w:pPr>
        <w:sectPr>
          <w:pgSz w:w="11900" w:h="16838" w:orient="portrait"/>
          <w:cols w:equalWidth="0" w:num="2">
            <w:col w:w="7320" w:space="720"/>
            <w:col w:w="3380"/>
          </w:cols>
          <w:pgMar w:left="240" w:top="571" w:right="239" w:bottom="1440" w:gutter="0" w:footer="0" w:header="0"/>
          <w:type w:val="continuous"/>
        </w:sectPr>
      </w:pPr>
    </w:p>
    <w:p>
      <w:pPr>
        <w:spacing w:after="0" w:line="7" w:lineRule="exact"/>
        <w:rPr>
          <w:sz w:val="20"/>
          <w:szCs w:val="20"/>
          <w:color w:val="auto"/>
        </w:rPr>
      </w:pPr>
    </w:p>
    <w:tbl>
      <w:tblPr>
        <w:tblLayout w:type="fixed"/>
        <w:tblInd w:w="300" w:type="dxa"/>
        <w:tblCellMar>
          <w:top w:w="0" w:type="dxa"/>
          <w:left w:w="0" w:type="dxa"/>
          <w:bottom w:w="0" w:type="dxa"/>
          <w:right w:w="0" w:type="dxa"/>
        </w:tblCellMar>
      </w:tblPr>
      <w:tr>
        <w:trPr>
          <w:trHeight w:val="221"/>
        </w:trPr>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REGN421</w:t>
            </w:r>
          </w:p>
        </w:tc>
        <w:tc>
          <w:tcPr>
            <w:tcW w:w="6400" w:type="dxa"/>
            <w:vAlign w:val="bottom"/>
            <w:tcBorders>
              <w:top w:val="single" w:sz="8" w:color="auto"/>
            </w:tcBorders>
          </w:tcPr>
          <w:p>
            <w:pPr>
              <w:ind w:left="3300"/>
              <w:spacing w:after="0"/>
              <w:rPr>
                <w:sz w:val="20"/>
                <w:szCs w:val="20"/>
                <w:color w:val="auto"/>
              </w:rPr>
            </w:pPr>
            <w:r>
              <w:rPr>
                <w:rFonts w:ascii="Arial" w:cs="Arial" w:eastAsia="Arial" w:hAnsi="Arial"/>
                <w:sz w:val="18"/>
                <w:szCs w:val="18"/>
                <w:color w:val="auto"/>
                <w:w w:val="98"/>
              </w:rPr>
              <w:t>Initiate a Phase 2 program in advanced</w:t>
            </w: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(Dll4 Antibody)</w:t>
            </w:r>
          </w:p>
        </w:tc>
        <w:tc>
          <w:tcPr>
            <w:tcW w:w="6400" w:type="dxa"/>
            <w:vAlign w:val="bottom"/>
          </w:tcPr>
          <w:p>
            <w:pPr>
              <w:ind w:left="3300"/>
              <w:spacing w:after="0"/>
              <w:rPr>
                <w:sz w:val="20"/>
                <w:szCs w:val="20"/>
                <w:color w:val="auto"/>
              </w:rPr>
            </w:pPr>
            <w:r>
              <w:rPr>
                <w:rFonts w:ascii="Arial" w:cs="Arial" w:eastAsia="Arial" w:hAnsi="Arial"/>
                <w:sz w:val="18"/>
                <w:szCs w:val="18"/>
                <w:color w:val="auto"/>
              </w:rPr>
              <w:t>malignancies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138430</wp:posOffset>
            </wp:positionV>
            <wp:extent cx="68776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-233680</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type w:val="continuous"/>
        </w:sectPr>
      </w:pPr>
    </w:p>
    <w:p>
      <w:pPr>
        <w:spacing w:after="0" w:line="223" w:lineRule="exact"/>
        <w:rPr>
          <w:sz w:val="20"/>
          <w:szCs w:val="20"/>
          <w:color w:val="auto"/>
        </w:rPr>
      </w:pPr>
    </w:p>
    <w:p>
      <w:pPr>
        <w:ind w:left="300"/>
        <w:spacing w:after="0"/>
        <w:tabs>
          <w:tab w:leader="none" w:pos="3641" w:val="left"/>
        </w:tabs>
        <w:rPr>
          <w:sz w:val="20"/>
          <w:szCs w:val="20"/>
          <w:color w:val="auto"/>
        </w:rPr>
      </w:pPr>
      <w:r>
        <w:rPr>
          <w:rFonts w:ascii="Arial" w:cs="Arial" w:eastAsia="Arial" w:hAnsi="Arial"/>
          <w:sz w:val="16"/>
          <w:szCs w:val="16"/>
          <w:color w:val="auto"/>
        </w:rPr>
        <w:t>REGN668</w:t>
      </w:r>
      <w:r>
        <w:rPr>
          <w:sz w:val="20"/>
          <w:szCs w:val="20"/>
          <w:color w:val="auto"/>
        </w:rPr>
        <w:tab/>
      </w:r>
      <w:r>
        <w:rPr>
          <w:sz w:val="1"/>
          <w:szCs w:val="1"/>
          <w:color w:val="auto"/>
        </w:rPr>
        <w:drawing>
          <wp:inline distT="0" distB="0" distL="0" distR="0">
            <wp:extent cx="59690" cy="5969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6"/>
          <w:szCs w:val="16"/>
          <w:color w:val="auto"/>
        </w:rPr>
        <w:t xml:space="preserve">  Completed  a  Phase  1  study  in  healthy</w:t>
      </w:r>
    </w:p>
    <w:p>
      <w:pPr>
        <w:spacing w:after="0" w:line="38" w:lineRule="exact"/>
        <w:rPr>
          <w:sz w:val="20"/>
          <w:szCs w:val="20"/>
          <w:color w:val="auto"/>
        </w:rPr>
      </w:pPr>
    </w:p>
    <w:p>
      <w:pPr>
        <w:ind w:left="300"/>
        <w:spacing w:after="0"/>
        <w:tabs>
          <w:tab w:leader="none" w:pos="3860" w:val="left"/>
        </w:tabs>
        <w:rPr>
          <w:sz w:val="20"/>
          <w:szCs w:val="20"/>
          <w:color w:val="auto"/>
        </w:rPr>
      </w:pPr>
      <w:r>
        <w:rPr>
          <w:rFonts w:ascii="Arial" w:cs="Arial" w:eastAsia="Arial" w:hAnsi="Arial"/>
          <w:sz w:val="18"/>
          <w:szCs w:val="18"/>
          <w:color w:val="auto"/>
        </w:rPr>
        <w:t>(IL-4RAntibody)</w:t>
      </w:r>
      <w:r>
        <w:rPr>
          <w:sz w:val="20"/>
          <w:szCs w:val="20"/>
          <w:color w:val="auto"/>
        </w:rPr>
        <w:tab/>
      </w:r>
      <w:r>
        <w:rPr>
          <w:rFonts w:ascii="Arial" w:cs="Arial" w:eastAsia="Arial" w:hAnsi="Arial"/>
          <w:sz w:val="15"/>
          <w:szCs w:val="15"/>
          <w:color w:val="auto"/>
        </w:rPr>
        <w:t>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281305</wp:posOffset>
            </wp:positionV>
            <wp:extent cx="68776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Initiate a Phase 2 program in the treatment of atopic dermatitis in the fourth quarter of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-381000</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20" w:space="720"/>
            <w:col w:w="3380"/>
          </w:cols>
          <w:pgMar w:left="240" w:top="571" w:right="239" w:bottom="1440" w:gutter="0" w:footer="0" w:header="0"/>
          <w:type w:val="continuous"/>
        </w:sectPr>
      </w:pPr>
    </w:p>
    <w:p>
      <w:pPr>
        <w:spacing w:after="0" w:line="8" w:lineRule="exact"/>
        <w:rPr>
          <w:sz w:val="20"/>
          <w:szCs w:val="20"/>
          <w:color w:val="auto"/>
        </w:rPr>
      </w:pPr>
    </w:p>
    <w:p>
      <w:pPr>
        <w:ind w:left="300"/>
        <w:spacing w:after="0"/>
        <w:tabs>
          <w:tab w:leader="none" w:pos="3641" w:val="left"/>
        </w:tabs>
        <w:rPr>
          <w:sz w:val="20"/>
          <w:szCs w:val="20"/>
          <w:color w:val="auto"/>
        </w:rPr>
      </w:pPr>
      <w:r>
        <w:rPr>
          <w:rFonts w:ascii="Arial" w:cs="Arial" w:eastAsia="Arial" w:hAnsi="Arial"/>
          <w:sz w:val="16"/>
          <w:szCs w:val="16"/>
          <w:color w:val="auto"/>
        </w:rPr>
        <w:t>REGN475</w:t>
      </w:r>
      <w:r>
        <w:rPr>
          <w:sz w:val="20"/>
          <w:szCs w:val="20"/>
          <w:color w:val="auto"/>
        </w:rPr>
        <w:tab/>
      </w:r>
      <w:r>
        <w:rPr>
          <w:sz w:val="1"/>
          <w:szCs w:val="1"/>
          <w:color w:val="auto"/>
        </w:rPr>
        <w:drawing>
          <wp:inline distT="0" distB="0" distL="0" distR="0">
            <wp:extent cx="59690" cy="5969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6"/>
          <w:szCs w:val="16"/>
          <w:color w:val="auto"/>
        </w:rPr>
        <w:t xml:space="preserve">  Reported interim data from the Phase 2</w:t>
      </w:r>
    </w:p>
    <w:p>
      <w:pPr>
        <w:spacing w:after="0" w:line="38" w:lineRule="exact"/>
        <w:rPr>
          <w:sz w:val="20"/>
          <w:szCs w:val="20"/>
          <w:color w:val="auto"/>
        </w:rPr>
      </w:pPr>
    </w:p>
    <w:p>
      <w:pPr>
        <w:ind w:left="300"/>
        <w:spacing w:after="0"/>
        <w:tabs>
          <w:tab w:leader="none" w:pos="3860" w:val="left"/>
        </w:tabs>
        <w:rPr>
          <w:sz w:val="20"/>
          <w:szCs w:val="20"/>
          <w:color w:val="auto"/>
        </w:rPr>
      </w:pPr>
      <w:r>
        <w:rPr>
          <w:rFonts w:ascii="Arial" w:cs="Arial" w:eastAsia="Arial" w:hAnsi="Arial"/>
          <w:sz w:val="18"/>
          <w:szCs w:val="18"/>
          <w:color w:val="auto"/>
        </w:rPr>
        <w:t>(NGF Antibody)</w:t>
      </w:r>
      <w:r>
        <w:rPr>
          <w:sz w:val="20"/>
          <w:szCs w:val="20"/>
          <w:color w:val="auto"/>
        </w:rPr>
        <w:tab/>
      </w:r>
      <w:r>
        <w:rPr>
          <w:rFonts w:ascii="Arial" w:cs="Arial" w:eastAsia="Arial" w:hAnsi="Arial"/>
          <w:sz w:val="16"/>
          <w:szCs w:val="16"/>
          <w:color w:val="auto"/>
        </w:rPr>
        <w:t>studies in osteoarthritis of the knee and</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acute sciatica</w:t>
      </w:r>
    </w:p>
    <w:p>
      <w:pPr>
        <w:spacing w:after="0" w:line="20" w:lineRule="exact"/>
        <w:rPr>
          <w:sz w:val="20"/>
          <w:szCs w:val="20"/>
          <w:color w:val="auto"/>
        </w:rPr>
      </w:pPr>
      <w:r>
        <w:rPr>
          <w:sz w:val="20"/>
          <w:szCs w:val="20"/>
          <w:color w:val="auto"/>
        </w:rPr>
        <w:br w:type="column"/>
      </w:r>
    </w:p>
    <w:p>
      <w:pPr>
        <w:ind w:right="300"/>
        <w:spacing w:after="0" w:line="268" w:lineRule="auto"/>
        <w:rPr>
          <w:sz w:val="20"/>
          <w:szCs w:val="20"/>
          <w:color w:val="auto"/>
        </w:rPr>
      </w:pPr>
      <w:r>
        <w:rPr>
          <w:rFonts w:ascii="Arial" w:cs="Arial" w:eastAsia="Arial" w:hAnsi="Arial"/>
          <w:sz w:val="18"/>
          <w:szCs w:val="18"/>
          <w:color w:val="auto"/>
        </w:rPr>
        <w:t>Report additional data from the Phase 2 study in osteoarthritis of the knee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-248920</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83" w:lineRule="exact"/>
        <w:rPr>
          <w:sz w:val="20"/>
          <w:szCs w:val="20"/>
          <w:color w:val="auto"/>
        </w:rPr>
      </w:pPr>
    </w:p>
    <w:p>
      <w:pPr>
        <w:sectPr>
          <w:pgSz w:w="11900" w:h="16838" w:orient="portrait"/>
          <w:cols w:equalWidth="0" w:num="2">
            <w:col w:w="7320" w:space="720"/>
            <w:col w:w="3380"/>
          </w:cols>
          <w:pgMar w:left="240" w:top="571" w:right="239" w:bottom="1440" w:gutter="0" w:footer="0" w:header="0"/>
          <w:type w:val="continuous"/>
        </w:sectPr>
      </w:pPr>
    </w:p>
    <w:p>
      <w:pPr>
        <w:spacing w:after="0" w:line="7" w:lineRule="exact"/>
        <w:rPr>
          <w:sz w:val="20"/>
          <w:szCs w:val="20"/>
          <w:color w:val="auto"/>
        </w:rPr>
      </w:pPr>
    </w:p>
    <w:tbl>
      <w:tblPr>
        <w:tblLayout w:type="fixed"/>
        <w:tblInd w:w="300" w:type="dxa"/>
        <w:tblCellMar>
          <w:top w:w="0" w:type="dxa"/>
          <w:left w:w="0" w:type="dxa"/>
          <w:bottom w:w="0" w:type="dxa"/>
          <w:right w:w="0" w:type="dxa"/>
        </w:tblCellMar>
      </w:tblPr>
      <w:tr>
        <w:trPr>
          <w:trHeight w:val="221"/>
        </w:trPr>
        <w:tc>
          <w:tcPr>
            <w:tcW w:w="2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REGN910</w:t>
            </w:r>
          </w:p>
        </w:tc>
        <w:tc>
          <w:tcPr>
            <w:tcW w:w="448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Completed preclinical development</w:t>
            </w:r>
          </w:p>
        </w:tc>
        <w:tc>
          <w:tcPr>
            <w:tcW w:w="39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w w:val="91"/>
              </w:rPr>
              <w:t>Initiate a Phase 1 study in oncology by the</w:t>
            </w:r>
          </w:p>
        </w:tc>
      </w:t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(ANG2 Antibody)</w:t>
            </w:r>
          </w:p>
        </w:tc>
        <w:tc>
          <w:tcPr>
            <w:tcW w:w="4480" w:type="dxa"/>
            <w:vAlign w:val="bottom"/>
          </w:tcPr>
          <w:p>
            <w:pPr>
              <w:spacing w:after="0"/>
              <w:rPr>
                <w:sz w:val="19"/>
                <w:szCs w:val="19"/>
                <w:color w:val="auto"/>
              </w:rPr>
            </w:pPr>
          </w:p>
        </w:tc>
        <w:tc>
          <w:tcPr>
            <w:tcW w:w="3920" w:type="dxa"/>
            <w:vAlign w:val="bottom"/>
          </w:tcPr>
          <w:p>
            <w:pPr>
              <w:ind w:left="820"/>
              <w:spacing w:after="0"/>
              <w:rPr>
                <w:sz w:val="20"/>
                <w:szCs w:val="20"/>
                <w:color w:val="auto"/>
              </w:rPr>
            </w:pPr>
            <w:r>
              <w:rPr>
                <w:rFonts w:ascii="Arial" w:cs="Arial" w:eastAsia="Arial" w:hAnsi="Arial"/>
                <w:sz w:val="18"/>
                <w:szCs w:val="18"/>
                <w:color w:val="auto"/>
              </w:rPr>
              <w:t>end of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138430</wp:posOffset>
            </wp:positionV>
            <wp:extent cx="68776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2324735</wp:posOffset>
            </wp:positionH>
            <wp:positionV relativeFrom="paragraph">
              <wp:posOffset>-233680</wp:posOffset>
            </wp:positionV>
            <wp:extent cx="5969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-233680</wp:posOffset>
            </wp:positionV>
            <wp:extent cx="59690"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2010 and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firstLine="233"/>
        <w:spacing w:after="0" w:line="256" w:lineRule="auto"/>
        <w:rPr>
          <w:sz w:val="20"/>
          <w:szCs w:val="20"/>
          <w:color w:val="auto"/>
        </w:rPr>
      </w:pPr>
      <w:r>
        <w:rPr>
          <w:rFonts w:ascii="Arial" w:cs="Arial" w:eastAsia="Arial" w:hAnsi="Arial"/>
          <w:sz w:val="18"/>
          <w:szCs w:val="18"/>
          <w:color w:val="auto"/>
        </w:rPr>
        <w:t>Regeneron reported a net loss of $33.9 million, or $0.41 per share (basic and diluted), for the third quarter of 2010, compared to a net loss of $1.0 million, or $0.01 per share (basic and diluted) for the third quarter of 2009. The increase in our net loss was principally due to higher research and development expenses in 2010, as detailed below, as well as a decrease in collaboration revenue due to the receipt of a $20.0 million substantive milestone payment from Bayer HealthCare in 2009.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22"/>
        </w:trPr>
        <w:tc>
          <w:tcPr>
            <w:tcW w:w="7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2"/>
        </w:trPr>
        <w:tc>
          <w:tcPr>
            <w:tcW w:w="7880" w:type="dxa"/>
            <w:vAlign w:val="bottom"/>
            <w:gridSpan w:val="2"/>
          </w:tcPr>
          <w:p>
            <w:pPr>
              <w:ind w:left="220"/>
              <w:spacing w:after="0"/>
              <w:rPr>
                <w:sz w:val="20"/>
                <w:szCs w:val="20"/>
                <w:color w:val="auto"/>
              </w:rPr>
            </w:pPr>
            <w:r>
              <w:rPr>
                <w:rFonts w:ascii="Arial" w:cs="Arial" w:eastAsia="Arial" w:hAnsi="Arial"/>
                <w:sz w:val="18"/>
                <w:szCs w:val="18"/>
                <w:color w:val="auto"/>
              </w:rPr>
              <w:t>Revenues for the three months ended September 30, 2010 and 2009 consist of the following:</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55"/>
        </w:trPr>
        <w:tc>
          <w:tcPr>
            <w:tcW w:w="7880" w:type="dxa"/>
            <w:vAlign w:val="bottom"/>
            <w:gridSpan w:val="2"/>
          </w:tcPr>
          <w:p>
            <w:pPr>
              <w:ind w:left="1140"/>
              <w:spacing w:after="0"/>
              <w:rPr>
                <w:sz w:val="20"/>
                <w:szCs w:val="20"/>
                <w:color w:val="auto"/>
              </w:rPr>
            </w:pPr>
            <w:r>
              <w:rPr>
                <w:rFonts w:ascii="Arial" w:cs="Arial" w:eastAsia="Arial" w:hAnsi="Arial"/>
                <w:sz w:val="18"/>
                <w:szCs w:val="18"/>
                <w:b w:val="1"/>
                <w:bCs w:val="1"/>
                <w:i w:val="1"/>
                <w:iCs w:val="1"/>
                <w:color w:val="auto"/>
              </w:rPr>
              <w:t>(In millions)</w:t>
            </w: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2009</w:t>
            </w:r>
          </w:p>
        </w:tc>
      </w:tr>
      <w:tr>
        <w:trPr>
          <w:trHeight w:val="243"/>
        </w:trPr>
        <w:tc>
          <w:tcPr>
            <w:tcW w:w="1160" w:type="dxa"/>
            <w:vAlign w:val="bottom"/>
          </w:tcPr>
          <w:p>
            <w:pPr>
              <w:spacing w:after="0"/>
              <w:rPr>
                <w:sz w:val="21"/>
                <w:szCs w:val="21"/>
                <w:color w:val="auto"/>
              </w:rPr>
            </w:pPr>
          </w:p>
        </w:tc>
        <w:tc>
          <w:tcPr>
            <w:tcW w:w="672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Collaboration revenue</w:t>
            </w:r>
          </w:p>
        </w:tc>
        <w:tc>
          <w:tcPr>
            <w:tcW w:w="1140" w:type="dxa"/>
            <w:vAlign w:val="bottom"/>
            <w:tcBorders>
              <w:top w:val="single" w:sz="8" w:color="C0C0C0"/>
            </w:tcBorders>
            <w:shd w:val="clear" w:color="auto" w:fill="C0C0C0"/>
          </w:tcPr>
          <w:p>
            <w:pPr>
              <w:spacing w:after="0"/>
              <w:rPr>
                <w:sz w:val="21"/>
                <w:szCs w:val="21"/>
                <w:color w:val="auto"/>
              </w:rPr>
            </w:pPr>
          </w:p>
        </w:tc>
        <w:tc>
          <w:tcPr>
            <w:tcW w:w="80" w:type="dxa"/>
            <w:vAlign w:val="bottom"/>
            <w:tcBorders>
              <w:top w:val="single" w:sz="8" w:color="auto"/>
            </w:tcBorders>
            <w:shd w:val="clear" w:color="auto" w:fill="C0C0C0"/>
          </w:tcPr>
          <w:p>
            <w:pPr>
              <w:spacing w:after="0"/>
              <w:rPr>
                <w:sz w:val="21"/>
                <w:szCs w:val="21"/>
                <w:color w:val="auto"/>
              </w:rPr>
            </w:pPr>
          </w:p>
        </w:tc>
        <w:tc>
          <w:tcPr>
            <w:tcW w:w="42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400" w:type="dxa"/>
            <w:vAlign w:val="bottom"/>
            <w:tcBorders>
              <w:top w:val="single" w:sz="8" w:color="auto"/>
            </w:tcBorders>
            <w:shd w:val="clear" w:color="auto" w:fill="C0C0C0"/>
          </w:tcPr>
          <w:p>
            <w:pPr>
              <w:spacing w:after="0"/>
              <w:rPr>
                <w:sz w:val="21"/>
                <w:szCs w:val="21"/>
                <w:color w:val="auto"/>
              </w:rPr>
            </w:pPr>
          </w:p>
        </w:tc>
      </w:tr>
      <w:tr>
        <w:trPr>
          <w:trHeight w:val="235"/>
        </w:trPr>
        <w:tc>
          <w:tcPr>
            <w:tcW w:w="1160" w:type="dxa"/>
            <w:vAlign w:val="bottom"/>
          </w:tcPr>
          <w:p>
            <w:pPr>
              <w:spacing w:after="0"/>
              <w:rPr>
                <w:sz w:val="20"/>
                <w:szCs w:val="20"/>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Sanofi-aventis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75.6</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51"/>
        </w:trPr>
        <w:tc>
          <w:tcPr>
            <w:tcW w:w="1160" w:type="dxa"/>
            <w:vAlign w:val="bottom"/>
          </w:tcPr>
          <w:p>
            <w:pPr>
              <w:spacing w:after="0"/>
              <w:rPr>
                <w:sz w:val="21"/>
                <w:szCs w:val="21"/>
                <w:color w:val="auto"/>
              </w:rPr>
            </w:pPr>
          </w:p>
        </w:tc>
        <w:tc>
          <w:tcPr>
            <w:tcW w:w="67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Bayer HealthCare</w:t>
            </w:r>
          </w:p>
        </w:tc>
        <w:tc>
          <w:tcPr>
            <w:tcW w:w="114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32.2</w:t>
            </w:r>
          </w:p>
        </w:tc>
      </w:tr>
      <w:tr>
        <w:trPr>
          <w:trHeight w:val="229"/>
        </w:trPr>
        <w:tc>
          <w:tcPr>
            <w:tcW w:w="1160" w:type="dxa"/>
            <w:vAlign w:val="bottom"/>
          </w:tcPr>
          <w:p>
            <w:pPr>
              <w:spacing w:after="0"/>
              <w:rPr>
                <w:sz w:val="19"/>
                <w:szCs w:val="19"/>
                <w:color w:val="auto"/>
              </w:rPr>
            </w:pPr>
          </w:p>
        </w:tc>
        <w:tc>
          <w:tcPr>
            <w:tcW w:w="6720" w:type="dxa"/>
            <w:vAlign w:val="bottom"/>
          </w:tcPr>
          <w:p>
            <w:pPr>
              <w:ind w:left="600"/>
              <w:spacing w:after="0"/>
              <w:rPr>
                <w:sz w:val="20"/>
                <w:szCs w:val="20"/>
                <w:color w:val="auto"/>
              </w:rPr>
            </w:pPr>
            <w:r>
              <w:rPr>
                <w:rFonts w:ascii="Arial" w:cs="Arial" w:eastAsia="Arial" w:hAnsi="Arial"/>
                <w:sz w:val="18"/>
                <w:szCs w:val="18"/>
                <w:color w:val="auto"/>
              </w:rPr>
              <w:t>Total collaboration revenue</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89.4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100.7</w:t>
            </w:r>
          </w:p>
        </w:tc>
      </w:tr>
      <w:tr>
        <w:trPr>
          <w:trHeight w:val="251"/>
        </w:trPr>
        <w:tc>
          <w:tcPr>
            <w:tcW w:w="1160" w:type="dxa"/>
            <w:vAlign w:val="bottom"/>
          </w:tcPr>
          <w:p>
            <w:pPr>
              <w:spacing w:after="0"/>
              <w:rPr>
                <w:sz w:val="21"/>
                <w:szCs w:val="21"/>
                <w:color w:val="auto"/>
              </w:rPr>
            </w:pPr>
          </w:p>
        </w:tc>
        <w:tc>
          <w:tcPr>
            <w:tcW w:w="6720" w:type="dxa"/>
            <w:vAlign w:val="bottom"/>
            <w:shd w:val="clear" w:color="auto" w:fill="C0C0C0"/>
          </w:tcPr>
          <w:p>
            <w:pPr>
              <w:spacing w:after="0"/>
              <w:rPr>
                <w:sz w:val="20"/>
                <w:szCs w:val="20"/>
                <w:color w:val="auto"/>
              </w:rPr>
            </w:pPr>
            <w:r>
              <w:rPr>
                <w:rFonts w:ascii="Arial" w:cs="Arial" w:eastAsia="Arial" w:hAnsi="Arial"/>
                <w:sz w:val="18"/>
                <w:szCs w:val="18"/>
                <w:color w:val="auto"/>
              </w:rPr>
              <w:t>Technology licensing revenue</w:t>
            </w:r>
          </w:p>
        </w:tc>
        <w:tc>
          <w:tcPr>
            <w:tcW w:w="11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r>
      <w:tr>
        <w:trPr>
          <w:trHeight w:val="235"/>
        </w:trPr>
        <w:tc>
          <w:tcPr>
            <w:tcW w:w="7880" w:type="dxa"/>
            <w:vAlign w:val="bottom"/>
            <w:gridSpan w:val="2"/>
          </w:tcPr>
          <w:p>
            <w:pPr>
              <w:ind w:left="1140"/>
              <w:spacing w:after="0"/>
              <w:rPr>
                <w:sz w:val="20"/>
                <w:szCs w:val="20"/>
                <w:color w:val="auto"/>
              </w:rPr>
            </w:pPr>
            <w:r>
              <w:rPr>
                <w:rFonts w:ascii="Arial" w:cs="Arial" w:eastAsia="Arial" w:hAnsi="Arial"/>
                <w:sz w:val="18"/>
                <w:szCs w:val="18"/>
                <w:color w:val="auto"/>
              </w:rPr>
              <w:t>Net product sales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44"/>
        </w:trPr>
        <w:tc>
          <w:tcPr>
            <w:tcW w:w="1160" w:type="dxa"/>
            <w:vAlign w:val="bottom"/>
          </w:tcPr>
          <w:p>
            <w:pPr>
              <w:spacing w:after="0"/>
              <w:rPr>
                <w:sz w:val="21"/>
                <w:szCs w:val="21"/>
                <w:color w:val="auto"/>
              </w:rPr>
            </w:pPr>
          </w:p>
        </w:tc>
        <w:tc>
          <w:tcPr>
            <w:tcW w:w="6720" w:type="dxa"/>
            <w:vAlign w:val="bottom"/>
            <w:shd w:val="clear" w:color="auto" w:fill="C0C0C0"/>
          </w:tcPr>
          <w:p>
            <w:pPr>
              <w:spacing w:after="0"/>
              <w:rPr>
                <w:sz w:val="20"/>
                <w:szCs w:val="20"/>
                <w:color w:val="auto"/>
              </w:rPr>
            </w:pPr>
            <w:r>
              <w:rPr>
                <w:rFonts w:ascii="Arial" w:cs="Arial" w:eastAsia="Arial" w:hAnsi="Arial"/>
                <w:sz w:val="18"/>
                <w:szCs w:val="18"/>
                <w:color w:val="auto"/>
              </w:rPr>
              <w:t>Contract research and other revenue</w:t>
            </w:r>
          </w:p>
        </w:tc>
        <w:tc>
          <w:tcPr>
            <w:tcW w:w="114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w:t>
            </w:r>
          </w:p>
        </w:tc>
      </w:tr>
      <w:tr>
        <w:trPr>
          <w:trHeight w:val="242"/>
        </w:trPr>
        <w:tc>
          <w:tcPr>
            <w:tcW w:w="1160" w:type="dxa"/>
            <w:vAlign w:val="bottom"/>
          </w:tcPr>
          <w:p>
            <w:pPr>
              <w:spacing w:after="0"/>
              <w:rPr>
                <w:sz w:val="21"/>
                <w:szCs w:val="21"/>
                <w:color w:val="auto"/>
              </w:rPr>
            </w:pPr>
          </w:p>
        </w:tc>
        <w:tc>
          <w:tcPr>
            <w:tcW w:w="6720" w:type="dxa"/>
            <w:vAlign w:val="bottom"/>
          </w:tcPr>
          <w:p>
            <w:pPr>
              <w:ind w:left="600"/>
              <w:spacing w:after="0"/>
              <w:rPr>
                <w:sz w:val="20"/>
                <w:szCs w:val="20"/>
                <w:color w:val="auto"/>
              </w:rPr>
            </w:pPr>
            <w:r>
              <w:rPr>
                <w:rFonts w:ascii="Arial" w:cs="Arial" w:eastAsia="Arial" w:hAnsi="Arial"/>
                <w:sz w:val="18"/>
                <w:szCs w:val="18"/>
                <w:color w:val="auto"/>
              </w:rPr>
              <w:t>Total revenue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106.0</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117.5</w:t>
            </w:r>
          </w:p>
        </w:tc>
      </w:tr>
      <w:tr>
        <w:trPr>
          <w:trHeight w:val="28"/>
        </w:trPr>
        <w:tc>
          <w:tcPr>
            <w:tcW w:w="11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Sanofi-aventis Collaboration Revenue</w:t>
      </w:r>
    </w:p>
    <w:p>
      <w:pPr>
        <w:spacing w:after="0" w:line="225" w:lineRule="exact"/>
        <w:rPr>
          <w:sz w:val="20"/>
          <w:szCs w:val="20"/>
          <w:color w:val="auto"/>
        </w:rPr>
      </w:pPr>
    </w:p>
    <w:p>
      <w:pPr>
        <w:jc w:val="both"/>
        <w:ind w:firstLine="274"/>
        <w:spacing w:after="0" w:line="259" w:lineRule="auto"/>
        <w:rPr>
          <w:sz w:val="20"/>
          <w:szCs w:val="20"/>
          <w:color w:val="auto"/>
        </w:rPr>
      </w:pPr>
      <w:r>
        <w:rPr>
          <w:rFonts w:ascii="Arial" w:cs="Arial" w:eastAsia="Arial" w:hAnsi="Arial"/>
          <w:sz w:val="18"/>
          <w:szCs w:val="18"/>
          <w:color w:val="auto"/>
        </w:rPr>
        <w:t>The collaboration revenue we earn from sanofi-aventis, as detailed below, consists primarily of reimbursement for research and development expenses and recognition of revenue related to non-refundable up-front payments of $105.0 million related to the aflibercept collaboration and $85.0 million related to the antibody collaboration.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4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620" w:type="dxa"/>
            <w:vAlign w:val="bottom"/>
            <w:gridSpan w:val="5"/>
          </w:tcPr>
          <w:p>
            <w:pPr>
              <w:jc w:val="right"/>
              <w:spacing w:after="0"/>
              <w:rPr>
                <w:sz w:val="20"/>
                <w:szCs w:val="20"/>
                <w:color w:val="auto"/>
              </w:rPr>
            </w:pPr>
            <w:r>
              <w:rPr>
                <w:rFonts w:ascii="Arial" w:cs="Arial" w:eastAsia="Arial" w:hAnsi="Arial"/>
                <w:sz w:val="18"/>
                <w:szCs w:val="18"/>
                <w:b w:val="1"/>
                <w:bCs w:val="1"/>
                <w:color w:val="auto"/>
                <w:w w:val="88"/>
              </w:rPr>
              <w:t>Three months ended</w:t>
            </w:r>
          </w:p>
        </w:tc>
        <w:tc>
          <w:tcPr>
            <w:tcW w:w="0" w:type="dxa"/>
            <w:vAlign w:val="bottom"/>
          </w:tcPr>
          <w:p>
            <w:pPr>
              <w:spacing w:after="0"/>
              <w:rPr>
                <w:sz w:val="1"/>
                <w:szCs w:val="1"/>
                <w:color w:val="auto"/>
              </w:rPr>
            </w:pPr>
          </w:p>
        </w:tc>
      </w:tr>
      <w:tr>
        <w:trPr>
          <w:trHeight w:val="205"/>
        </w:trPr>
        <w:tc>
          <w:tcPr>
            <w:tcW w:w="98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Sanofi-aventis Collaboration Revenue</w:t>
            </w:r>
          </w:p>
        </w:tc>
        <w:tc>
          <w:tcPr>
            <w:tcW w:w="120" w:type="dxa"/>
            <w:vAlign w:val="bottom"/>
          </w:tcPr>
          <w:p>
            <w:pPr>
              <w:spacing w:after="0"/>
              <w:rPr>
                <w:sz w:val="17"/>
                <w:szCs w:val="17"/>
                <w:color w:val="auto"/>
              </w:rPr>
            </w:pPr>
          </w:p>
        </w:tc>
        <w:tc>
          <w:tcPr>
            <w:tcW w:w="1500" w:type="dxa"/>
            <w:vAlign w:val="bottom"/>
            <w:gridSpan w:val="4"/>
          </w:tcPr>
          <w:p>
            <w:pPr>
              <w:jc w:val="right"/>
              <w:ind w:right="192"/>
              <w:spacing w:after="0" w:line="205" w:lineRule="exact"/>
              <w:rPr>
                <w:sz w:val="20"/>
                <w:szCs w:val="20"/>
                <w:color w:val="auto"/>
              </w:rPr>
            </w:pPr>
            <w:r>
              <w:rPr>
                <w:rFonts w:ascii="Arial" w:cs="Arial" w:eastAsia="Arial" w:hAnsi="Arial"/>
                <w:sz w:val="18"/>
                <w:szCs w:val="18"/>
                <w:b w:val="1"/>
                <w:bCs w:val="1"/>
                <w:color w:val="auto"/>
                <w:w w:val="97"/>
              </w:rPr>
              <w:t>September 30,</w:t>
            </w:r>
          </w:p>
        </w:tc>
        <w:tc>
          <w:tcPr>
            <w:tcW w:w="0" w:type="dxa"/>
            <w:vAlign w:val="bottom"/>
          </w:tcPr>
          <w:p>
            <w:pPr>
              <w:spacing w:after="0"/>
              <w:rPr>
                <w:sz w:val="1"/>
                <w:szCs w:val="1"/>
                <w:color w:val="auto"/>
              </w:rPr>
            </w:pPr>
          </w:p>
        </w:tc>
      </w:tr>
      <w:tr>
        <w:trPr>
          <w:trHeight w:val="34"/>
        </w:trPr>
        <w:tc>
          <w:tcPr>
            <w:tcW w:w="28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i w:val="1"/>
                <w:iCs w:val="1"/>
                <w:color w:val="auto"/>
              </w:rPr>
              <w:t>(In millions)</w:t>
            </w:r>
          </w:p>
        </w:tc>
        <w:tc>
          <w:tcPr>
            <w:tcW w:w="696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40" w:type="dxa"/>
            <w:vAlign w:val="bottom"/>
            <w:tcBorders>
              <w:bottom w:val="single" w:sz="8" w:color="C0C0C0"/>
            </w:tcBorders>
            <w:vMerge w:val="continue"/>
          </w:tcPr>
          <w:p>
            <w:pPr>
              <w:spacing w:after="0"/>
              <w:rPr>
                <w:sz w:val="20"/>
                <w:szCs w:val="20"/>
                <w:color w:val="auto"/>
              </w:rPr>
            </w:pPr>
          </w:p>
        </w:tc>
        <w:tc>
          <w:tcPr>
            <w:tcW w:w="6960" w:type="dxa"/>
            <w:vAlign w:val="bottom"/>
            <w:tcBorders>
              <w:bottom w:val="single" w:sz="8" w:color="C0C0C0"/>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2010</w:t>
            </w:r>
          </w:p>
        </w:tc>
        <w:tc>
          <w:tcPr>
            <w:tcW w:w="26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2009</w:t>
            </w:r>
          </w:p>
        </w:tc>
        <w:tc>
          <w:tcPr>
            <w:tcW w:w="0" w:type="dxa"/>
            <w:vAlign w:val="bottom"/>
          </w:tcPr>
          <w:p>
            <w:pPr>
              <w:spacing w:after="0"/>
              <w:rPr>
                <w:sz w:val="1"/>
                <w:szCs w:val="1"/>
                <w:color w:val="auto"/>
              </w:rPr>
            </w:pPr>
          </w:p>
        </w:tc>
      </w:tr>
      <w:tr>
        <w:trPr>
          <w:trHeight w:val="243"/>
        </w:trPr>
        <w:tc>
          <w:tcPr>
            <w:tcW w:w="9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Aflibercept:</w:t>
            </w:r>
          </w:p>
        </w:tc>
        <w:tc>
          <w:tcPr>
            <w:tcW w:w="12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800" w:type="dxa"/>
            <w:vAlign w:val="bottom"/>
            <w:gridSpan w:val="2"/>
          </w:tcPr>
          <w:p>
            <w:pPr>
              <w:ind w:left="320"/>
              <w:spacing w:after="0"/>
              <w:rPr>
                <w:sz w:val="20"/>
                <w:szCs w:val="20"/>
                <w:color w:val="auto"/>
              </w:rPr>
            </w:pPr>
            <w:r>
              <w:rPr>
                <w:rFonts w:ascii="Arial" w:cs="Arial" w:eastAsia="Arial" w:hAnsi="Arial"/>
                <w:sz w:val="18"/>
                <w:szCs w:val="18"/>
                <w:color w:val="auto"/>
              </w:rPr>
              <w:t>Regeneron expense reimbursement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1"/>
        </w:trPr>
        <w:tc>
          <w:tcPr>
            <w:tcW w:w="980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payments</w:t>
            </w:r>
          </w:p>
        </w:tc>
        <w:tc>
          <w:tcPr>
            <w:tcW w:w="12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9800" w:type="dxa"/>
            <w:vAlign w:val="bottom"/>
            <w:gridSpan w:val="2"/>
          </w:tcPr>
          <w:p>
            <w:pPr>
              <w:ind w:left="620"/>
              <w:spacing w:after="0"/>
              <w:rPr>
                <w:sz w:val="20"/>
                <w:szCs w:val="20"/>
                <w:color w:val="auto"/>
              </w:rPr>
            </w:pPr>
            <w:r>
              <w:rPr>
                <w:rFonts w:ascii="Arial" w:cs="Arial" w:eastAsia="Arial" w:hAnsi="Arial"/>
                <w:sz w:val="18"/>
                <w:szCs w:val="18"/>
                <w:color w:val="auto"/>
              </w:rPr>
              <w:t>Total aflibercept</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9800" w:type="dxa"/>
            <w:vAlign w:val="bottom"/>
            <w:tcBorders>
              <w:top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Antibody:</w:t>
            </w:r>
          </w:p>
        </w:tc>
        <w:tc>
          <w:tcPr>
            <w:tcW w:w="120" w:type="dxa"/>
            <w:vAlign w:val="bottom"/>
            <w:tcBorders>
              <w:top w:val="single" w:sz="8" w:color="auto"/>
            </w:tcBorders>
            <w:shd w:val="clear" w:color="auto" w:fill="C0C0C0"/>
          </w:tcPr>
          <w:p>
            <w:pPr>
              <w:spacing w:after="0"/>
              <w:rPr>
                <w:sz w:val="21"/>
                <w:szCs w:val="21"/>
                <w:color w:val="auto"/>
              </w:rPr>
            </w:pPr>
          </w:p>
        </w:tc>
        <w:tc>
          <w:tcPr>
            <w:tcW w:w="56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560" w:type="dxa"/>
            <w:vAlign w:val="bottom"/>
            <w:tcBorders>
              <w:top w:val="single" w:sz="8" w:color="auto"/>
            </w:tcBorders>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800" w:type="dxa"/>
            <w:vAlign w:val="bottom"/>
            <w:gridSpan w:val="2"/>
          </w:tcPr>
          <w:p>
            <w:pPr>
              <w:ind w:left="320"/>
              <w:spacing w:after="0"/>
              <w:rPr>
                <w:sz w:val="20"/>
                <w:szCs w:val="20"/>
                <w:color w:val="auto"/>
              </w:rPr>
            </w:pPr>
            <w:r>
              <w:rPr>
                <w:rFonts w:ascii="Arial" w:cs="Arial" w:eastAsia="Arial" w:hAnsi="Arial"/>
                <w:sz w:val="18"/>
                <w:szCs w:val="18"/>
                <w:color w:val="auto"/>
              </w:rPr>
              <w:t>Regeneron expense reimbursement</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51"/>
        </w:trPr>
        <w:tc>
          <w:tcPr>
            <w:tcW w:w="980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and other payments</w:t>
            </w:r>
          </w:p>
        </w:tc>
        <w:tc>
          <w:tcPr>
            <w:tcW w:w="12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0"/>
        </w:trPr>
        <w:tc>
          <w:tcPr>
            <w:tcW w:w="9800" w:type="dxa"/>
            <w:vAlign w:val="bottom"/>
            <w:tcBorders>
              <w:bottom w:val="single" w:sz="8" w:color="C0C0C0"/>
            </w:tcBorders>
            <w:gridSpan w:val="2"/>
          </w:tcPr>
          <w:p>
            <w:pPr>
              <w:ind w:left="320"/>
              <w:spacing w:after="0"/>
              <w:rPr>
                <w:sz w:val="20"/>
                <w:szCs w:val="20"/>
                <w:color w:val="auto"/>
              </w:rPr>
            </w:pPr>
            <w:r>
              <w:rPr>
                <w:rFonts w:ascii="Arial" w:cs="Arial" w:eastAsia="Arial" w:hAnsi="Arial"/>
                <w:sz w:val="18"/>
                <w:szCs w:val="18"/>
                <w:color w:val="auto"/>
              </w:rPr>
              <w:t xml:space="preserve">Recognition of revenue related to </w:t>
            </w:r>
            <w:r>
              <w:rPr>
                <w:rFonts w:ascii="Arial" w:cs="Arial" w:eastAsia="Arial" w:hAnsi="Arial"/>
                <w:sz w:val="18"/>
                <w:szCs w:val="18"/>
                <w:i w:val="1"/>
                <w:iCs w:val="1"/>
                <w:color w:val="auto"/>
              </w:rPr>
              <w:t>VelociGene</w:t>
            </w:r>
            <w:r>
              <w:rPr>
                <w:rFonts w:ascii="Arial" w:cs="Arial" w:eastAsia="Arial" w:hAnsi="Arial"/>
                <w:sz w:val="12"/>
                <w:szCs w:val="12"/>
                <w:color w:val="auto"/>
              </w:rPr>
              <w:t>®</w:t>
            </w:r>
            <w:r>
              <w:rPr>
                <w:rFonts w:ascii="Arial" w:cs="Arial" w:eastAsia="Arial" w:hAnsi="Arial"/>
                <w:sz w:val="18"/>
                <w:szCs w:val="18"/>
                <w:color w:val="auto"/>
              </w:rPr>
              <w:t xml:space="preserve"> agreement</w:t>
            </w: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9800" w:type="dxa"/>
            <w:vAlign w:val="bottom"/>
            <w:gridSpan w:val="2"/>
            <w:shd w:val="clear" w:color="auto" w:fill="C0C0C0"/>
          </w:tcPr>
          <w:p>
            <w:pPr>
              <w:ind w:left="620"/>
              <w:spacing w:after="0"/>
              <w:rPr>
                <w:sz w:val="20"/>
                <w:szCs w:val="20"/>
                <w:color w:val="auto"/>
              </w:rPr>
            </w:pPr>
            <w:r>
              <w:rPr>
                <w:rFonts w:ascii="Arial" w:cs="Arial" w:eastAsia="Arial" w:hAnsi="Arial"/>
                <w:sz w:val="18"/>
                <w:szCs w:val="18"/>
                <w:color w:val="auto"/>
              </w:rPr>
              <w:t>Total antibody</w:t>
            </w:r>
          </w:p>
        </w:tc>
        <w:tc>
          <w:tcPr>
            <w:tcW w:w="120" w:type="dxa"/>
            <w:vAlign w:val="bottom"/>
            <w:tcBorders>
              <w:bottom w:val="single" w:sz="8" w:color="auto"/>
            </w:tcBorders>
            <w:shd w:val="clear" w:color="auto" w:fill="C0C0C0"/>
          </w:tcPr>
          <w:p>
            <w:pPr>
              <w:spacing w:after="0"/>
              <w:rPr>
                <w:sz w:val="20"/>
                <w:szCs w:val="20"/>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69.2</w:t>
            </w:r>
          </w:p>
        </w:tc>
        <w:tc>
          <w:tcPr>
            <w:tcW w:w="26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50"/>
        </w:trPr>
        <w:tc>
          <w:tcPr>
            <w:tcW w:w="9800" w:type="dxa"/>
            <w:vAlign w:val="bottom"/>
            <w:gridSpan w:val="2"/>
          </w:tcPr>
          <w:p>
            <w:pPr>
              <w:spacing w:after="0"/>
              <w:rPr>
                <w:sz w:val="20"/>
                <w:szCs w:val="20"/>
                <w:color w:val="auto"/>
              </w:rPr>
            </w:pPr>
            <w:r>
              <w:rPr>
                <w:rFonts w:ascii="Arial" w:cs="Arial" w:eastAsia="Arial" w:hAnsi="Arial"/>
                <w:sz w:val="18"/>
                <w:szCs w:val="18"/>
                <w:color w:val="auto"/>
              </w:rPr>
              <w:t>Total sanofi-aventis collaboration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2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firstLine="274"/>
        <w:spacing w:after="0" w:line="256" w:lineRule="auto"/>
        <w:rPr>
          <w:sz w:val="20"/>
          <w:szCs w:val="20"/>
          <w:color w:val="auto"/>
        </w:rPr>
      </w:pPr>
      <w:r>
        <w:rPr>
          <w:rFonts w:ascii="Arial" w:cs="Arial" w:eastAsia="Arial" w:hAnsi="Arial"/>
          <w:sz w:val="18"/>
          <w:szCs w:val="18"/>
          <w:color w:val="auto"/>
        </w:rPr>
        <w:t>Sanofi-aventis’ reimbursement of our aflibercept expenses decreased in the third quarter of 2010 compared to same period in 2009, primarily due to lower costs related to manufacturing aflibercept clinical supplies as well as a decrease in internal research activities. As of September 30, 2010, $35.0 million of the original $105.0 million of up-front payments related to our aflibercept collaboration with sanofi-aventis was deferred and will be recognized as revenue in future periods.</w:t>
      </w:r>
    </w:p>
    <w:p>
      <w:pPr>
        <w:spacing w:after="0" w:line="224"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color w:val="auto"/>
        </w:rPr>
        <w:t>In the third quarter of 2010, sanofi-aventis’ reimbursement of our antibody expenses consisted of $36.9 million under the discovery agreement and $29.9 million of development costs under the license agreement, compared to $25.7 million and $30.0 million, respectively, in the third quarter of 2009. The higher reimbursement of our antibody expenses in the third quarter of 2010 compared to the same period in 2009 was due to an increase in our research activities conducted under the discovery agreement.</w:t>
      </w:r>
    </w:p>
    <w:p>
      <w:pPr>
        <w:spacing w:after="0" w:line="224" w:lineRule="exact"/>
        <w:rPr>
          <w:sz w:val="20"/>
          <w:szCs w:val="20"/>
          <w:color w:val="auto"/>
        </w:rPr>
      </w:pPr>
    </w:p>
    <w:p>
      <w:pPr>
        <w:jc w:val="both"/>
        <w:ind w:firstLine="284"/>
        <w:spacing w:after="0" w:line="290" w:lineRule="auto"/>
        <w:rPr>
          <w:sz w:val="20"/>
          <w:szCs w:val="20"/>
          <w:color w:val="auto"/>
        </w:rPr>
      </w:pPr>
      <w:r>
        <w:rPr>
          <w:rFonts w:ascii="Arial" w:cs="Arial" w:eastAsia="Arial" w:hAnsi="Arial"/>
          <w:sz w:val="16"/>
          <w:szCs w:val="16"/>
          <w:color w:val="auto"/>
        </w:rPr>
        <w:t>Recognition of deferred revenue, related primarily to sanofi-aventis’ $85.0 million up-front payment, decreased during the third quarter of 2010 compared to the same period in 2009 due to the November 2009 amendments to expand and extend the companies’ antibody collaboration. In connection with the November 2009 amendment of the discovery agreement, sanofi-aventis is funding up to $30 million of agreed-upon costs incurred by us to expand our manufacturing capacity at our Rensselaer, New York facilities, of which $21.6 million was received or receivable from sanofi-aventis as of September 30, 2010. Payments for such funding from sanofi-aventis are deferred and recognized as collaboration revenue prospectively over the related performance period in conjunction with the original $85.0 million up-front payment. As of September 30, 2010, $80.0 mil lion of the original up-front payment and subsequent payments to fund expansion of our Rensselaer facilities was deferred and will be recognized as revenue in future periods.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5" w:name="page26"/>
    <w:bookmarkEnd w:id="25"/>
    <w:p>
      <w:pPr>
        <w:jc w:val="both"/>
        <w:ind w:right="20" w:firstLine="328"/>
        <w:spacing w:after="0" w:line="219" w:lineRule="auto"/>
        <w:rPr>
          <w:sz w:val="20"/>
          <w:szCs w:val="20"/>
          <w:color w:val="auto"/>
        </w:rPr>
      </w:pPr>
      <w:r>
        <w:rPr>
          <w:rFonts w:ascii="Arial" w:cs="Arial" w:eastAsia="Arial" w:hAnsi="Arial"/>
          <w:sz w:val="18"/>
          <w:szCs w:val="18"/>
          <w:color w:val="auto"/>
        </w:rPr>
        <w:t xml:space="preserve">In August 2008, we entered into a separate </w:t>
      </w:r>
      <w:r>
        <w:rPr>
          <w:rFonts w:ascii="Arial" w:cs="Arial" w:eastAsia="Arial" w:hAnsi="Arial"/>
          <w:sz w:val="18"/>
          <w:szCs w:val="18"/>
          <w:i w:val="1"/>
          <w:iCs w:val="1"/>
          <w:color w:val="auto"/>
        </w:rPr>
        <w:t>VelociGene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agreement with sanofi-aventis. For the three months ended September 30, 2010 and 2009, we recognized $0.4 million and $0.7 million, respectively, in revenue related to this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52"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The collaboration revenue we earn from Bayer HealthCare, as detailed below, consists of cost sharing of Regeneron VEGF Trap-Eye development expenses, substantive performance milestone payments, and recognition of revenue related to a non-refundable $75.0 million up-front payment received in October 2006 and a $20.0 million milestone payment received in August 2007 (which, for the purpose of revenue recognition, was not considered substantive).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4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1620" w:type="dxa"/>
            <w:vAlign w:val="bottom"/>
            <w:gridSpan w:val="5"/>
          </w:tcPr>
          <w:p>
            <w:pPr>
              <w:jc w:val="right"/>
              <w:spacing w:after="0"/>
              <w:rPr>
                <w:sz w:val="20"/>
                <w:szCs w:val="20"/>
                <w:color w:val="auto"/>
              </w:rPr>
            </w:pPr>
            <w:r>
              <w:rPr>
                <w:rFonts w:ascii="Arial" w:cs="Arial" w:eastAsia="Arial" w:hAnsi="Arial"/>
                <w:sz w:val="18"/>
                <w:szCs w:val="18"/>
                <w:b w:val="1"/>
                <w:bCs w:val="1"/>
                <w:color w:val="auto"/>
                <w:w w:val="88"/>
              </w:rPr>
              <w:t>Three months ended</w:t>
            </w:r>
          </w:p>
        </w:tc>
        <w:tc>
          <w:tcPr>
            <w:tcW w:w="0" w:type="dxa"/>
            <w:vAlign w:val="bottom"/>
          </w:tcPr>
          <w:p>
            <w:pPr>
              <w:spacing w:after="0"/>
              <w:rPr>
                <w:sz w:val="1"/>
                <w:szCs w:val="1"/>
                <w:color w:val="auto"/>
              </w:rPr>
            </w:pPr>
          </w:p>
        </w:tc>
      </w:tr>
      <w:tr>
        <w:trPr>
          <w:trHeight w:val="205"/>
        </w:trPr>
        <w:tc>
          <w:tcPr>
            <w:tcW w:w="98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Bayer HealthCare Collaboration Revenue</w:t>
            </w:r>
          </w:p>
        </w:tc>
        <w:tc>
          <w:tcPr>
            <w:tcW w:w="120" w:type="dxa"/>
            <w:vAlign w:val="bottom"/>
          </w:tcPr>
          <w:p>
            <w:pPr>
              <w:spacing w:after="0"/>
              <w:rPr>
                <w:sz w:val="17"/>
                <w:szCs w:val="17"/>
                <w:color w:val="auto"/>
              </w:rPr>
            </w:pPr>
          </w:p>
        </w:tc>
        <w:tc>
          <w:tcPr>
            <w:tcW w:w="1500" w:type="dxa"/>
            <w:vAlign w:val="bottom"/>
            <w:gridSpan w:val="4"/>
          </w:tcPr>
          <w:p>
            <w:pPr>
              <w:jc w:val="right"/>
              <w:ind w:right="192"/>
              <w:spacing w:after="0" w:line="205" w:lineRule="exact"/>
              <w:rPr>
                <w:sz w:val="20"/>
                <w:szCs w:val="20"/>
                <w:color w:val="auto"/>
              </w:rPr>
            </w:pPr>
            <w:r>
              <w:rPr>
                <w:rFonts w:ascii="Arial" w:cs="Arial" w:eastAsia="Arial" w:hAnsi="Arial"/>
                <w:sz w:val="18"/>
                <w:szCs w:val="18"/>
                <w:b w:val="1"/>
                <w:bCs w:val="1"/>
                <w:color w:val="auto"/>
                <w:w w:val="97"/>
              </w:rPr>
              <w:t>September 30,</w:t>
            </w:r>
          </w:p>
        </w:tc>
        <w:tc>
          <w:tcPr>
            <w:tcW w:w="0" w:type="dxa"/>
            <w:vAlign w:val="bottom"/>
          </w:tcPr>
          <w:p>
            <w:pPr>
              <w:spacing w:after="0"/>
              <w:rPr>
                <w:sz w:val="1"/>
                <w:szCs w:val="1"/>
                <w:color w:val="auto"/>
              </w:rPr>
            </w:pPr>
          </w:p>
        </w:tc>
      </w:tr>
      <w:tr>
        <w:trPr>
          <w:trHeight w:val="34"/>
        </w:trPr>
        <w:tc>
          <w:tcPr>
            <w:tcW w:w="31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i w:val="1"/>
                <w:iCs w:val="1"/>
                <w:color w:val="auto"/>
              </w:rPr>
              <w:t>(In millions)</w:t>
            </w:r>
          </w:p>
        </w:tc>
        <w:tc>
          <w:tcPr>
            <w:tcW w:w="666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C0C0C0"/>
            </w:tcBorders>
            <w:vMerge w:val="continue"/>
          </w:tcPr>
          <w:p>
            <w:pPr>
              <w:spacing w:after="0"/>
              <w:rPr>
                <w:sz w:val="20"/>
                <w:szCs w:val="20"/>
                <w:color w:val="auto"/>
              </w:rPr>
            </w:pPr>
          </w:p>
        </w:tc>
        <w:tc>
          <w:tcPr>
            <w:tcW w:w="6660" w:type="dxa"/>
            <w:vAlign w:val="bottom"/>
            <w:tcBorders>
              <w:bottom w:val="single" w:sz="8" w:color="C0C0C0"/>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2010</w:t>
            </w:r>
          </w:p>
        </w:tc>
        <w:tc>
          <w:tcPr>
            <w:tcW w:w="26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2009</w:t>
            </w:r>
          </w:p>
        </w:tc>
        <w:tc>
          <w:tcPr>
            <w:tcW w:w="0" w:type="dxa"/>
            <w:vAlign w:val="bottom"/>
          </w:tcPr>
          <w:p>
            <w:pPr>
              <w:spacing w:after="0"/>
              <w:rPr>
                <w:sz w:val="1"/>
                <w:szCs w:val="1"/>
                <w:color w:val="auto"/>
              </w:rPr>
            </w:pPr>
          </w:p>
        </w:tc>
      </w:tr>
      <w:tr>
        <w:trPr>
          <w:trHeight w:val="243"/>
        </w:trPr>
        <w:tc>
          <w:tcPr>
            <w:tcW w:w="9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Cost-sharing of Regeneron VEGF Trap-Eye development expenses</w:t>
            </w: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5"/>
        </w:trPr>
        <w:tc>
          <w:tcPr>
            <w:tcW w:w="9800" w:type="dxa"/>
            <w:vAlign w:val="bottom"/>
            <w:gridSpan w:val="2"/>
          </w:tcPr>
          <w:p>
            <w:pPr>
              <w:spacing w:after="0"/>
              <w:rPr>
                <w:sz w:val="20"/>
                <w:szCs w:val="20"/>
                <w:color w:val="auto"/>
              </w:rPr>
            </w:pPr>
            <w:r>
              <w:rPr>
                <w:rFonts w:ascii="Arial" w:cs="Arial" w:eastAsia="Arial" w:hAnsi="Arial"/>
                <w:sz w:val="18"/>
                <w:szCs w:val="18"/>
                <w:color w:val="auto"/>
              </w:rPr>
              <w:t>Substantive performance milestone payment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4"/>
        </w:trPr>
        <w:tc>
          <w:tcPr>
            <w:tcW w:w="9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Recognition of deferred revenue related to up-front and milestone payments</w:t>
            </w:r>
          </w:p>
        </w:tc>
        <w:tc>
          <w:tcPr>
            <w:tcW w:w="12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0"/>
        </w:trPr>
        <w:tc>
          <w:tcPr>
            <w:tcW w:w="9800" w:type="dxa"/>
            <w:vAlign w:val="bottom"/>
            <w:gridSpan w:val="2"/>
          </w:tcPr>
          <w:p>
            <w:pPr>
              <w:ind w:left="320"/>
              <w:spacing w:after="0"/>
              <w:rPr>
                <w:sz w:val="20"/>
                <w:szCs w:val="20"/>
                <w:color w:val="auto"/>
              </w:rPr>
            </w:pPr>
            <w:r>
              <w:rPr>
                <w:rFonts w:ascii="Arial" w:cs="Arial" w:eastAsia="Arial" w:hAnsi="Arial"/>
                <w:sz w:val="18"/>
                <w:szCs w:val="18"/>
                <w:color w:val="auto"/>
              </w:rPr>
              <w:t>Total Bayer HealthCare collaboration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periods when we recognize VEGF Trap-Eye development expenses that we incur under our collaboration with Bayer HealthCare, we also recognize, as collaboration revenue, the portion of those VEGF Trap-Eye development expenses that is reimbursable by Bayer HealthCare. Cost-sharing of our VEGF Trap-Eye development expenses with Bayer HealthCare increased in the third quarter of 2010, compared to the same period in 2009, due to higher internal development activities and higher costs related to manufacturing VEGF Trap-Eye clinical supplies. In 2010 and 2009, development expenses incurred by Regeneron and Bayer HealthCare under the VEGF Trap-Eye global development plan were shared equally. As of September 30, 2010, $49.4 million of the $75.0 million up-front licensing and $20.0 million milestone payments was deferred and will be recognized as revenue in futur e periods. In July 2009, we received a $20.0 million substantive milestone payment from Bayer HealthCare in connection with the dosing of the first patient in a Phase 3 trial of VEGF Trap-Eye in CRVO. The payment was recognized in other collaboration revenue for the three months ended September 30, 2009.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Revenue</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6"/>
          <w:szCs w:val="16"/>
          <w:color w:val="auto"/>
        </w:rPr>
        <w:t xml:space="preserve">In connection with our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license agreements with AstraZeneca and Astellas, each of the $20.0 million annual, non-refundable payments have been deferred upon receipt and recognized as revenue ratably over approximately the ensuing year of each agreement. In the third quarter of both 2010 and 2009, we recognized $10.0 million of technology licensing revenue related to these agreements. In addition, in connection with the amendment and extension of our lic ense agreement with Astellas, as described above under “Antibody Collaboration and License Agreements,” the $165.0 million up-front payment was deferred upon receipt in August 2010 and will be recognized as revenue ratably over a seven-year period beginning in mid-2011.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49" w:lineRule="exact"/>
        <w:rPr>
          <w:sz w:val="20"/>
          <w:szCs w:val="20"/>
          <w:color w:val="auto"/>
        </w:rPr>
      </w:pPr>
    </w:p>
    <w:p>
      <w:pPr>
        <w:jc w:val="both"/>
        <w:ind w:firstLine="270"/>
        <w:spacing w:after="0" w:line="190" w:lineRule="auto"/>
        <w:rPr>
          <w:sz w:val="20"/>
          <w:szCs w:val="20"/>
          <w:color w:val="auto"/>
        </w:rPr>
      </w:pPr>
      <w:r>
        <w:rPr>
          <w:rFonts w:ascii="Arial" w:cs="Arial" w:eastAsia="Arial" w:hAnsi="Arial"/>
          <w:sz w:val="18"/>
          <w:szCs w:val="18"/>
          <w:color w:val="auto"/>
        </w:rPr>
        <w:t>For the three months ended September 30, 2010,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 were $4.9 million, compared to $5.0 million during the same period in 2009. There was no deferred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 revenue at September 30, 2010. At September 30, 2009, deferred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 revenue was $5.0 million.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Contract Research and Other Revenue</w:t>
      </w:r>
    </w:p>
    <w:p>
      <w:pPr>
        <w:spacing w:after="0" w:line="225" w:lineRule="exact"/>
        <w:rPr>
          <w:sz w:val="20"/>
          <w:szCs w:val="20"/>
          <w:color w:val="auto"/>
        </w:rPr>
      </w:pPr>
    </w:p>
    <w:p>
      <w:pPr>
        <w:jc w:val="both"/>
        <w:ind w:right="40" w:firstLine="220"/>
        <w:spacing w:after="0" w:line="332" w:lineRule="auto"/>
        <w:rPr>
          <w:sz w:val="20"/>
          <w:szCs w:val="20"/>
          <w:color w:val="auto"/>
        </w:rPr>
      </w:pPr>
      <w:r>
        <w:rPr>
          <w:rFonts w:ascii="Arial" w:cs="Arial" w:eastAsia="Arial" w:hAnsi="Arial"/>
          <w:sz w:val="16"/>
          <w:szCs w:val="16"/>
          <w:color w:val="auto"/>
        </w:rPr>
        <w:t>Contract research and other revenue for the three months ended September 30, 2010 and 2009 included $1.2 million and $1.4 million, respectively, recognized in connection with our five-year grant from the NIH, which we were awarded in September 2006 as part of the NIH’s Knockout Mouse Project.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52"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Total operating expenses increased to $138.1 million in the third quarter of 2010 from $118.7 million in the third quarter of 2009. Our average headcount increased to 1,317 in the third quarter of 2010 from 998 in the same period of 2009 principally as a result of our expanding research and development activities, which are primarily attributable to our antibody collaboration with sanofi-aventis.</w:t>
      </w:r>
    </w:p>
    <w:p>
      <w:pPr>
        <w:spacing w:after="0" w:line="221"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Operating expenses in the third quarter of 2010 and 2009 include a total of $8.8 million and $7.5 million, respectively, of non-cash compensation expense related to employee stock option and restricted stock awards (Non-cash Compensation Expense), as detailed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7"/>
          </w:tcPr>
          <w:p>
            <w:pPr>
              <w:jc w:val="right"/>
              <w:ind w:right="192"/>
              <w:spacing w:after="0"/>
              <w:rPr>
                <w:sz w:val="20"/>
                <w:szCs w:val="20"/>
                <w:color w:val="auto"/>
              </w:rPr>
            </w:pPr>
            <w:r>
              <w:rPr>
                <w:rFonts w:ascii="Arial" w:cs="Arial" w:eastAsia="Arial" w:hAnsi="Arial"/>
                <w:sz w:val="18"/>
                <w:szCs w:val="18"/>
                <w:b w:val="1"/>
                <w:bCs w:val="1"/>
                <w:color w:val="auto"/>
                <w:w w:val="89"/>
              </w:rPr>
              <w:t>For the three months ended September 30, 2010</w:t>
            </w: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Expenses before</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w w:val="99"/>
              </w:rPr>
              <w:t>inclusion of Non-cash</w:t>
            </w:r>
          </w:p>
        </w:tc>
        <w:tc>
          <w:tcPr>
            <w:tcW w:w="120" w:type="dxa"/>
            <w:vAlign w:val="bottom"/>
          </w:tcPr>
          <w:p>
            <w:pPr>
              <w:spacing w:after="0"/>
              <w:rPr>
                <w:sz w:val="21"/>
                <w:szCs w:val="21"/>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Non-cash</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Compensation</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78"/>
              </w:rPr>
              <w:t>Expenses as</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vMerge w:val="restart"/>
          </w:tcPr>
          <w:p>
            <w:pPr>
              <w:jc w:val="center"/>
              <w:ind w:right="52"/>
              <w:spacing w:after="0"/>
              <w:rPr>
                <w:sz w:val="20"/>
                <w:szCs w:val="20"/>
                <w:color w:val="auto"/>
              </w:rPr>
            </w:pPr>
            <w:r>
              <w:rPr>
                <w:rFonts w:ascii="Arial" w:cs="Arial" w:eastAsia="Arial" w:hAnsi="Arial"/>
                <w:sz w:val="18"/>
                <w:szCs w:val="18"/>
                <w:b w:val="1"/>
                <w:bCs w:val="1"/>
                <w:color w:val="auto"/>
                <w:w w:val="83"/>
              </w:rPr>
              <w:t>Expense</w:t>
            </w:r>
          </w:p>
        </w:tc>
        <w:tc>
          <w:tcPr>
            <w:tcW w:w="2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vMerge w:val="restart"/>
          </w:tcPr>
          <w:p>
            <w:pPr>
              <w:jc w:val="center"/>
              <w:ind w:right="52"/>
              <w:spacing w:after="0"/>
              <w:rPr>
                <w:sz w:val="20"/>
                <w:szCs w:val="20"/>
                <w:color w:val="auto"/>
              </w:rPr>
            </w:pPr>
            <w:r>
              <w:rPr>
                <w:rFonts w:ascii="Arial" w:cs="Arial" w:eastAsia="Arial" w:hAnsi="Arial"/>
                <w:sz w:val="18"/>
                <w:szCs w:val="18"/>
                <w:b w:val="1"/>
                <w:bCs w:val="1"/>
                <w:color w:val="auto"/>
                <w:w w:val="83"/>
              </w:rPr>
              <w:t>Expense</w:t>
            </w:r>
          </w:p>
        </w:tc>
        <w:tc>
          <w:tcPr>
            <w:tcW w:w="2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w w:val="86"/>
              </w:rPr>
              <w:t>Reported</w:t>
            </w:r>
          </w:p>
        </w:tc>
        <w:tc>
          <w:tcPr>
            <w:tcW w:w="0" w:type="dxa"/>
            <w:vAlign w:val="bottom"/>
          </w:tcPr>
          <w:p>
            <w:pPr>
              <w:spacing w:after="0" w:line="20" w:lineRule="exact"/>
              <w:rPr>
                <w:sz w:val="1"/>
                <w:szCs w:val="1"/>
                <w:color w:val="auto"/>
              </w:rPr>
            </w:pPr>
          </w:p>
        </w:tc>
      </w:tr>
      <w:tr>
        <w:trPr>
          <w:trHeight w:val="244"/>
        </w:trPr>
        <w:tc>
          <w:tcPr>
            <w:tcW w:w="4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82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C0C0C0"/>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C0C0C0"/>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1960" w:type="dxa"/>
            <w:vAlign w:val="bottom"/>
            <w:gridSpan w:val="2"/>
            <w:shd w:val="clear" w:color="auto" w:fill="C0C0C0"/>
          </w:tcPr>
          <w:p>
            <w:pPr>
              <w:ind w:left="18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116.7</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C0C0C0"/>
            </w:tcBorders>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0C0C0"/>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35"/>
        </w:trPr>
        <w:tc>
          <w:tcPr>
            <w:tcW w:w="43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4"/>
        </w:trPr>
        <w:tc>
          <w:tcPr>
            <w:tcW w:w="43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Cost of goods sold</w:t>
            </w:r>
          </w:p>
        </w:tc>
        <w:tc>
          <w:tcPr>
            <w:tcW w:w="182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spacing w:after="0"/>
              <w:rPr>
                <w:sz w:val="21"/>
                <w:szCs w:val="21"/>
                <w:color w:val="auto"/>
              </w:rPr>
            </w:pPr>
          </w:p>
        </w:tc>
        <w:tc>
          <w:tcPr>
            <w:tcW w:w="280" w:type="dxa"/>
            <w:vAlign w:val="bottom"/>
            <w:tcBorders>
              <w:right w:val="single" w:sz="8" w:color="C0C0C0"/>
            </w:tcBorders>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2"/>
        </w:trPr>
        <w:tc>
          <w:tcPr>
            <w:tcW w:w="4320" w:type="dxa"/>
            <w:vAlign w:val="bottom"/>
            <w:gridSpan w:val="2"/>
          </w:tcPr>
          <w:p>
            <w:pPr>
              <w:ind w:left="320"/>
              <w:spacing w:after="0"/>
              <w:rPr>
                <w:sz w:val="20"/>
                <w:szCs w:val="20"/>
                <w:color w:val="auto"/>
              </w:rPr>
            </w:pPr>
            <w:r>
              <w:rPr>
                <w:rFonts w:ascii="Arial" w:cs="Arial" w:eastAsia="Arial" w:hAnsi="Arial"/>
                <w:sz w:val="18"/>
                <w:szCs w:val="18"/>
                <w:color w:val="auto"/>
              </w:rPr>
              <w:t>Total operating expenses</w:t>
            </w:r>
          </w:p>
        </w:tc>
        <w:tc>
          <w:tcPr>
            <w:tcW w:w="196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129.3</w:t>
            </w:r>
          </w:p>
        </w:tc>
        <w:tc>
          <w:tcPr>
            <w:tcW w:w="28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3"/>
        </w:trPr>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7"/>
          </w:tcPr>
          <w:p>
            <w:pPr>
              <w:jc w:val="right"/>
              <w:ind w:right="192"/>
              <w:spacing w:after="0"/>
              <w:rPr>
                <w:sz w:val="20"/>
                <w:szCs w:val="20"/>
                <w:color w:val="auto"/>
              </w:rPr>
            </w:pPr>
            <w:r>
              <w:rPr>
                <w:rFonts w:ascii="Arial" w:cs="Arial" w:eastAsia="Arial" w:hAnsi="Arial"/>
                <w:sz w:val="18"/>
                <w:szCs w:val="18"/>
                <w:b w:val="1"/>
                <w:bCs w:val="1"/>
                <w:color w:val="auto"/>
                <w:w w:val="89"/>
              </w:rPr>
              <w:t>For the three months ended September 30, 2009</w:t>
            </w: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Expenses before</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w w:val="99"/>
              </w:rPr>
              <w:t>inclusion of Non-cash</w:t>
            </w:r>
          </w:p>
        </w:tc>
        <w:tc>
          <w:tcPr>
            <w:tcW w:w="120" w:type="dxa"/>
            <w:vAlign w:val="bottom"/>
          </w:tcPr>
          <w:p>
            <w:pPr>
              <w:spacing w:after="0"/>
              <w:rPr>
                <w:sz w:val="21"/>
                <w:szCs w:val="21"/>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Non-cash</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Compensation</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78"/>
              </w:rPr>
              <w:t>Expenses as</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vMerge w:val="restart"/>
          </w:tcPr>
          <w:p>
            <w:pPr>
              <w:jc w:val="center"/>
              <w:ind w:right="52"/>
              <w:spacing w:after="0"/>
              <w:rPr>
                <w:sz w:val="20"/>
                <w:szCs w:val="20"/>
                <w:color w:val="auto"/>
              </w:rPr>
            </w:pPr>
            <w:r>
              <w:rPr>
                <w:rFonts w:ascii="Arial" w:cs="Arial" w:eastAsia="Arial" w:hAnsi="Arial"/>
                <w:sz w:val="18"/>
                <w:szCs w:val="18"/>
                <w:b w:val="1"/>
                <w:bCs w:val="1"/>
                <w:color w:val="auto"/>
                <w:w w:val="83"/>
              </w:rPr>
              <w:t>Expense</w:t>
            </w:r>
          </w:p>
        </w:tc>
        <w:tc>
          <w:tcPr>
            <w:tcW w:w="2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vMerge w:val="restart"/>
          </w:tcPr>
          <w:p>
            <w:pPr>
              <w:jc w:val="center"/>
              <w:ind w:right="52"/>
              <w:spacing w:after="0"/>
              <w:rPr>
                <w:sz w:val="20"/>
                <w:szCs w:val="20"/>
                <w:color w:val="auto"/>
              </w:rPr>
            </w:pPr>
            <w:r>
              <w:rPr>
                <w:rFonts w:ascii="Arial" w:cs="Arial" w:eastAsia="Arial" w:hAnsi="Arial"/>
                <w:sz w:val="18"/>
                <w:szCs w:val="18"/>
                <w:b w:val="1"/>
                <w:bCs w:val="1"/>
                <w:color w:val="auto"/>
                <w:w w:val="83"/>
              </w:rPr>
              <w:t>Expense</w:t>
            </w:r>
          </w:p>
        </w:tc>
        <w:tc>
          <w:tcPr>
            <w:tcW w:w="2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w w:val="86"/>
              </w:rPr>
              <w:t>Reported</w:t>
            </w:r>
          </w:p>
        </w:tc>
        <w:tc>
          <w:tcPr>
            <w:tcW w:w="0" w:type="dxa"/>
            <w:vAlign w:val="bottom"/>
          </w:tcPr>
          <w:p>
            <w:pPr>
              <w:spacing w:after="0" w:line="20" w:lineRule="exact"/>
              <w:rPr>
                <w:sz w:val="1"/>
                <w:szCs w:val="1"/>
                <w:color w:val="auto"/>
              </w:rPr>
            </w:pPr>
          </w:p>
        </w:tc>
      </w:tr>
      <w:tr>
        <w:trPr>
          <w:trHeight w:val="244"/>
        </w:trPr>
        <w:tc>
          <w:tcPr>
            <w:tcW w:w="4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82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C0C0C0"/>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C0C0C0"/>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1960" w:type="dxa"/>
            <w:vAlign w:val="bottom"/>
            <w:gridSpan w:val="2"/>
            <w:shd w:val="clear" w:color="auto" w:fill="C0C0C0"/>
          </w:tcPr>
          <w:p>
            <w:pPr>
              <w:ind w:left="18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100.8</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C0C0C0"/>
            </w:tcBorders>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0C0C0"/>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35"/>
        </w:trPr>
        <w:tc>
          <w:tcPr>
            <w:tcW w:w="43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4"/>
        </w:trPr>
        <w:tc>
          <w:tcPr>
            <w:tcW w:w="43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Cost of goods sold</w:t>
            </w:r>
          </w:p>
        </w:tc>
        <w:tc>
          <w:tcPr>
            <w:tcW w:w="182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spacing w:after="0"/>
              <w:rPr>
                <w:sz w:val="21"/>
                <w:szCs w:val="21"/>
                <w:color w:val="auto"/>
              </w:rPr>
            </w:pPr>
          </w:p>
        </w:tc>
        <w:tc>
          <w:tcPr>
            <w:tcW w:w="280" w:type="dxa"/>
            <w:vAlign w:val="bottom"/>
            <w:tcBorders>
              <w:right w:val="single" w:sz="8" w:color="C0C0C0"/>
            </w:tcBorders>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2"/>
        </w:trPr>
        <w:tc>
          <w:tcPr>
            <w:tcW w:w="4320" w:type="dxa"/>
            <w:vAlign w:val="bottom"/>
            <w:gridSpan w:val="2"/>
          </w:tcPr>
          <w:p>
            <w:pPr>
              <w:ind w:left="320"/>
              <w:spacing w:after="0"/>
              <w:rPr>
                <w:sz w:val="20"/>
                <w:szCs w:val="20"/>
                <w:color w:val="auto"/>
              </w:rPr>
            </w:pPr>
            <w:r>
              <w:rPr>
                <w:rFonts w:ascii="Arial" w:cs="Arial" w:eastAsia="Arial" w:hAnsi="Arial"/>
                <w:sz w:val="18"/>
                <w:szCs w:val="18"/>
                <w:color w:val="auto"/>
              </w:rPr>
              <w:t>Total operating expenses</w:t>
            </w:r>
          </w:p>
        </w:tc>
        <w:tc>
          <w:tcPr>
            <w:tcW w:w="196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111.2</w:t>
            </w:r>
          </w:p>
        </w:tc>
        <w:tc>
          <w:tcPr>
            <w:tcW w:w="28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ind w:right="20" w:firstLine="297"/>
        <w:spacing w:after="0" w:line="332" w:lineRule="auto"/>
        <w:rPr>
          <w:sz w:val="20"/>
          <w:szCs w:val="20"/>
          <w:color w:val="auto"/>
        </w:rPr>
      </w:pPr>
      <w:r>
        <w:rPr>
          <w:rFonts w:ascii="Arial" w:cs="Arial" w:eastAsia="Arial" w:hAnsi="Arial"/>
          <w:sz w:val="16"/>
          <w:szCs w:val="16"/>
          <w:color w:val="auto"/>
        </w:rPr>
        <w:t>Research and development expenses increased to $122.0 million in the third quarter of 2010 from $105.4 million in the same period of 2009. The following table summarizes the major categories of our research and development expenses for the three months ended September 30, 2010 and 2009:</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340" w:type="dxa"/>
            <w:vAlign w:val="bottom"/>
            <w:gridSpan w:val="7"/>
          </w:tcPr>
          <w:p>
            <w:pPr>
              <w:spacing w:after="0"/>
              <w:rPr>
                <w:sz w:val="20"/>
                <w:szCs w:val="20"/>
                <w:color w:val="auto"/>
              </w:rPr>
            </w:pPr>
            <w:r>
              <w:rPr>
                <w:rFonts w:ascii="Arial" w:cs="Arial" w:eastAsia="Arial" w:hAnsi="Arial"/>
                <w:sz w:val="18"/>
                <w:szCs w:val="18"/>
                <w:b w:val="1"/>
                <w:bCs w:val="1"/>
                <w:color w:val="auto"/>
                <w:w w:val="97"/>
              </w:rPr>
              <w:t>For the three months ended</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42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Research and Development Expenses</w:t>
            </w:r>
          </w:p>
        </w:tc>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gridSpan w:val="6"/>
          </w:tcPr>
          <w:p>
            <w:pPr>
              <w:ind w:left="320"/>
              <w:spacing w:after="0" w:line="205" w:lineRule="exact"/>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7"/>
                <w:szCs w:val="17"/>
                <w:color w:val="auto"/>
              </w:rPr>
            </w:pPr>
          </w:p>
        </w:tc>
        <w:tc>
          <w:tcPr>
            <w:tcW w:w="760" w:type="dxa"/>
            <w:vAlign w:val="bottom"/>
          </w:tcPr>
          <w:p>
            <w:pPr>
              <w:jc w:val="right"/>
              <w:ind w:right="32"/>
              <w:spacing w:after="0" w:line="205" w:lineRule="exact"/>
              <w:rPr>
                <w:sz w:val="20"/>
                <w:szCs w:val="20"/>
                <w:color w:val="auto"/>
              </w:rPr>
            </w:pPr>
            <w:r>
              <w:rPr>
                <w:rFonts w:ascii="Arial" w:cs="Arial" w:eastAsia="Arial" w:hAnsi="Arial"/>
                <w:sz w:val="18"/>
                <w:szCs w:val="18"/>
                <w:b w:val="1"/>
                <w:bCs w:val="1"/>
                <w:color w:val="auto"/>
                <w:w w:val="84"/>
              </w:rPr>
              <w:t>Increase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7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64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86"/>
              </w:rPr>
              <w:t>(Decrease)</w:t>
            </w: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80" w:type="dxa"/>
            <w:vAlign w:val="bottom"/>
            <w:tcBorders>
              <w:bottom w:val="single" w:sz="8" w:color="C0C0C0"/>
            </w:tcBorders>
            <w:vMerge w:val="continue"/>
          </w:tcPr>
          <w:p>
            <w:pPr>
              <w:spacing w:after="0"/>
              <w:rPr>
                <w:sz w:val="20"/>
                <w:szCs w:val="20"/>
                <w:color w:val="auto"/>
              </w:rPr>
            </w:pPr>
          </w:p>
        </w:tc>
        <w:tc>
          <w:tcPr>
            <w:tcW w:w="1640" w:type="dxa"/>
            <w:vAlign w:val="bottom"/>
            <w:tcBorders>
              <w:bottom w:val="single" w:sz="8" w:color="C0C0C0"/>
            </w:tcBorders>
            <w:vMerge w:val="continue"/>
          </w:tcPr>
          <w:p>
            <w:pPr>
              <w:spacing w:after="0"/>
              <w:rPr>
                <w:sz w:val="20"/>
                <w:szCs w:val="20"/>
                <w:color w:val="auto"/>
              </w:rPr>
            </w:pPr>
          </w:p>
        </w:tc>
        <w:tc>
          <w:tcPr>
            <w:tcW w:w="266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30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bottom w:val="single" w:sz="8" w:color="C0C0C0"/>
            </w:tcBorders>
          </w:tcPr>
          <w:p>
            <w:pPr>
              <w:spacing w:after="0"/>
              <w:rPr>
                <w:sz w:val="20"/>
                <w:szCs w:val="20"/>
                <w:color w:val="auto"/>
              </w:rPr>
            </w:pPr>
          </w:p>
        </w:tc>
        <w:tc>
          <w:tcPr>
            <w:tcW w:w="860" w:type="dxa"/>
            <w:vAlign w:val="bottom"/>
            <w:tcBorders>
              <w:bottom w:val="single" w:sz="8" w:color="auto"/>
            </w:tcBorders>
            <w:gridSpan w:val="2"/>
            <w:vMerge w:val="continue"/>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Payroll and benefits (1)</w:t>
            </w:r>
          </w:p>
        </w:tc>
        <w:tc>
          <w:tcPr>
            <w:tcW w:w="2840" w:type="dxa"/>
            <w:vAlign w:val="bottom"/>
            <w:gridSpan w:val="2"/>
            <w:shd w:val="clear" w:color="auto" w:fill="C0C0C0"/>
          </w:tcPr>
          <w:p>
            <w:pPr>
              <w:ind w:left="26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34.7</w:t>
            </w:r>
          </w:p>
        </w:tc>
        <w:tc>
          <w:tcPr>
            <w:tcW w:w="300" w:type="dxa"/>
            <w:vAlign w:val="bottom"/>
            <w:shd w:val="clear" w:color="auto" w:fill="C0C0C0"/>
          </w:tcPr>
          <w:p>
            <w:pPr>
              <w:spacing w:after="0"/>
              <w:rPr>
                <w:sz w:val="21"/>
                <w:szCs w:val="21"/>
                <w:color w:val="auto"/>
              </w:rPr>
            </w:pPr>
          </w:p>
        </w:tc>
        <w:tc>
          <w:tcPr>
            <w:tcW w:w="180" w:type="dxa"/>
            <w:vAlign w:val="bottom"/>
            <w:gridSpan w:val="2"/>
            <w:shd w:val="clear" w:color="auto" w:fill="C0C0C0"/>
          </w:tcPr>
          <w:p>
            <w:pPr>
              <w:jc w:val="right"/>
              <w:ind w:right="10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24.5</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10.2</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420" w:type="dxa"/>
            <w:vAlign w:val="bottom"/>
            <w:gridSpan w:val="2"/>
          </w:tcPr>
          <w:p>
            <w:pPr>
              <w:spacing w:after="0"/>
              <w:rPr>
                <w:sz w:val="20"/>
                <w:szCs w:val="20"/>
                <w:color w:val="auto"/>
              </w:rPr>
            </w:pPr>
            <w:r>
              <w:rPr>
                <w:rFonts w:ascii="Arial" w:cs="Arial" w:eastAsia="Arial" w:hAnsi="Arial"/>
                <w:sz w:val="18"/>
                <w:szCs w:val="18"/>
                <w:color w:val="auto"/>
              </w:rPr>
              <w:t>Clinical trial expenses</w:t>
            </w:r>
          </w:p>
        </w:tc>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4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Clinical manufacturing costs (2)</w:t>
            </w:r>
          </w:p>
        </w:tc>
        <w:tc>
          <w:tcPr>
            <w:tcW w:w="2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25.1</w:t>
            </w:r>
          </w:p>
        </w:tc>
        <w:tc>
          <w:tcPr>
            <w:tcW w:w="3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18.0</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7.1</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420" w:type="dxa"/>
            <w:vAlign w:val="bottom"/>
            <w:gridSpan w:val="2"/>
          </w:tcPr>
          <w:p>
            <w:pPr>
              <w:spacing w:after="0"/>
              <w:rPr>
                <w:sz w:val="20"/>
                <w:szCs w:val="20"/>
                <w:color w:val="auto"/>
              </w:rPr>
            </w:pPr>
            <w:r>
              <w:rPr>
                <w:rFonts w:ascii="Arial" w:cs="Arial" w:eastAsia="Arial" w:hAnsi="Arial"/>
                <w:sz w:val="18"/>
                <w:szCs w:val="18"/>
                <w:color w:val="auto"/>
              </w:rPr>
              <w:t>Research and other development costs</w:t>
            </w:r>
          </w:p>
        </w:tc>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4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Occupancy and other operating costs</w:t>
            </w:r>
          </w:p>
        </w:tc>
        <w:tc>
          <w:tcPr>
            <w:tcW w:w="2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13.5</w:t>
            </w:r>
          </w:p>
        </w:tc>
        <w:tc>
          <w:tcPr>
            <w:tcW w:w="3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3.0</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420" w:type="dxa"/>
            <w:vAlign w:val="bottom"/>
            <w:gridSpan w:val="2"/>
          </w:tcPr>
          <w:p>
            <w:pPr>
              <w:spacing w:after="0"/>
              <w:rPr>
                <w:sz w:val="20"/>
                <w:szCs w:val="20"/>
                <w:color w:val="auto"/>
              </w:rPr>
            </w:pPr>
            <w:r>
              <w:rPr>
                <w:rFonts w:ascii="Arial" w:cs="Arial" w:eastAsia="Arial" w:hAnsi="Arial"/>
                <w:sz w:val="18"/>
                <w:szCs w:val="18"/>
                <w:color w:val="auto"/>
              </w:rPr>
              <w:t>Cost-sharing of Bayer HealthCare VEGF</w:t>
            </w: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420" w:type="dxa"/>
            <w:vAlign w:val="bottom"/>
            <w:tcBorders>
              <w:bottom w:val="single" w:sz="8" w:color="C0C0C0"/>
            </w:tcBorders>
            <w:gridSpan w:val="2"/>
          </w:tcPr>
          <w:p>
            <w:pPr>
              <w:ind w:left="320"/>
              <w:spacing w:after="0"/>
              <w:rPr>
                <w:sz w:val="20"/>
                <w:szCs w:val="20"/>
                <w:color w:val="auto"/>
              </w:rPr>
            </w:pPr>
            <w:r>
              <w:rPr>
                <w:rFonts w:ascii="Arial" w:cs="Arial" w:eastAsia="Arial" w:hAnsi="Arial"/>
                <w:sz w:val="18"/>
                <w:szCs w:val="18"/>
                <w:color w:val="auto"/>
              </w:rPr>
              <w:t>Trap-Eye development expenses (3)</w:t>
            </w:r>
          </w:p>
        </w:tc>
        <w:tc>
          <w:tcPr>
            <w:tcW w:w="266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Borders>
              <w:bottom w:val="single" w:sz="8" w:color="C0C0C0"/>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20" w:type="dxa"/>
            <w:vAlign w:val="bottom"/>
            <w:gridSpan w:val="2"/>
            <w:shd w:val="clear" w:color="auto" w:fill="C0C0C0"/>
          </w:tcPr>
          <w:p>
            <w:pPr>
              <w:ind w:left="320"/>
              <w:spacing w:after="0" w:line="189" w:lineRule="exact"/>
              <w:rPr>
                <w:sz w:val="20"/>
                <w:szCs w:val="20"/>
                <w:color w:val="auto"/>
              </w:rPr>
            </w:pPr>
            <w:r>
              <w:rPr>
                <w:rFonts w:ascii="Arial" w:cs="Arial" w:eastAsia="Arial" w:hAnsi="Arial"/>
                <w:sz w:val="18"/>
                <w:szCs w:val="18"/>
                <w:color w:val="auto"/>
              </w:rPr>
              <w:t>Total research and development expenses</w:t>
            </w:r>
          </w:p>
        </w:tc>
        <w:tc>
          <w:tcPr>
            <w:tcW w:w="2840" w:type="dxa"/>
            <w:vAlign w:val="bottom"/>
            <w:gridSpan w:val="2"/>
            <w:shd w:val="clear" w:color="auto" w:fill="C0C0C0"/>
          </w:tcPr>
          <w:p>
            <w:pPr>
              <w:ind w:left="2660"/>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line="189" w:lineRule="exact"/>
              <w:rPr>
                <w:sz w:val="20"/>
                <w:szCs w:val="20"/>
                <w:color w:val="auto"/>
              </w:rPr>
            </w:pPr>
            <w:r>
              <w:rPr>
                <w:rFonts w:ascii="Arial" w:cs="Arial" w:eastAsia="Arial" w:hAnsi="Arial"/>
                <w:sz w:val="18"/>
                <w:szCs w:val="18"/>
                <w:color w:val="auto"/>
              </w:rPr>
              <w:t>122.0</w:t>
            </w:r>
          </w:p>
        </w:tc>
        <w:tc>
          <w:tcPr>
            <w:tcW w:w="300" w:type="dxa"/>
            <w:vAlign w:val="bottom"/>
            <w:shd w:val="clear" w:color="auto" w:fill="C0C0C0"/>
          </w:tcPr>
          <w:p>
            <w:pPr>
              <w:spacing w:after="0"/>
              <w:rPr>
                <w:sz w:val="22"/>
                <w:szCs w:val="22"/>
                <w:color w:val="auto"/>
              </w:rPr>
            </w:pPr>
          </w:p>
        </w:tc>
        <w:tc>
          <w:tcPr>
            <w:tcW w:w="180" w:type="dxa"/>
            <w:vAlign w:val="bottom"/>
            <w:gridSpan w:val="2"/>
            <w:shd w:val="clear" w:color="auto" w:fill="C0C0C0"/>
          </w:tcPr>
          <w:p>
            <w:pPr>
              <w:jc w:val="right"/>
              <w:ind w:right="10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0C0C0"/>
          </w:tcPr>
          <w:p>
            <w:pPr>
              <w:jc w:val="right"/>
              <w:spacing w:after="0" w:line="189" w:lineRule="exact"/>
              <w:rPr>
                <w:sz w:val="20"/>
                <w:szCs w:val="20"/>
                <w:color w:val="auto"/>
              </w:rPr>
            </w:pPr>
            <w:r>
              <w:rPr>
                <w:rFonts w:ascii="Arial" w:cs="Arial" w:eastAsia="Arial" w:hAnsi="Arial"/>
                <w:sz w:val="18"/>
                <w:szCs w:val="18"/>
                <w:color w:val="auto"/>
              </w:rPr>
              <w:t>105.4</w:t>
            </w:r>
          </w:p>
        </w:tc>
        <w:tc>
          <w:tcPr>
            <w:tcW w:w="260" w:type="dxa"/>
            <w:vAlign w:val="bottom"/>
            <w:shd w:val="clear" w:color="auto" w:fill="C0C0C0"/>
          </w:tcPr>
          <w:p>
            <w:pPr>
              <w:spacing w:after="0"/>
              <w:rPr>
                <w:sz w:val="22"/>
                <w:szCs w:val="22"/>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0C0C0"/>
          </w:tcPr>
          <w:p>
            <w:pPr>
              <w:jc w:val="right"/>
              <w:ind w:right="12"/>
              <w:spacing w:after="0" w:line="189" w:lineRule="exact"/>
              <w:rPr>
                <w:sz w:val="20"/>
                <w:szCs w:val="20"/>
                <w:color w:val="auto"/>
              </w:rPr>
            </w:pPr>
            <w:r>
              <w:rPr>
                <w:rFonts w:ascii="Arial" w:cs="Arial" w:eastAsia="Arial" w:hAnsi="Arial"/>
                <w:sz w:val="18"/>
                <w:szCs w:val="18"/>
                <w:color w:val="auto"/>
              </w:rPr>
              <w:t>16.6</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8"/>
        </w:trPr>
        <w:tc>
          <w:tcPr>
            <w:tcW w:w="2780" w:type="dxa"/>
            <w:vAlign w:val="bottom"/>
            <w:tcBorders>
              <w:top w:val="single" w:sz="8" w:color="C0C0C0"/>
            </w:tcBorders>
          </w:tcPr>
          <w:p>
            <w:pPr>
              <w:spacing w:after="0"/>
              <w:rPr>
                <w:sz w:val="24"/>
                <w:szCs w:val="24"/>
                <w:color w:val="auto"/>
              </w:rPr>
            </w:pPr>
          </w:p>
        </w:tc>
        <w:tc>
          <w:tcPr>
            <w:tcW w:w="1640" w:type="dxa"/>
            <w:vAlign w:val="bottom"/>
            <w:tcBorders>
              <w:top w:val="single" w:sz="8" w:color="C0C0C0"/>
            </w:tcBorders>
          </w:tcPr>
          <w:p>
            <w:pPr>
              <w:spacing w:after="0"/>
              <w:rPr>
                <w:sz w:val="24"/>
                <w:szCs w:val="24"/>
                <w:color w:val="auto"/>
              </w:rPr>
            </w:pPr>
          </w:p>
        </w:tc>
        <w:tc>
          <w:tcPr>
            <w:tcW w:w="2660" w:type="dxa"/>
            <w:vAlign w:val="bottom"/>
            <w:tcBorders>
              <w:top w:val="single" w:sz="8" w:color="C0C0C0"/>
            </w:tcBorders>
          </w:tcPr>
          <w:p>
            <w:pPr>
              <w:jc w:val="right"/>
              <w:ind w:right="1192"/>
              <w:spacing w:after="0"/>
              <w:rPr>
                <w:sz w:val="20"/>
                <w:szCs w:val="20"/>
                <w:color w:val="auto"/>
              </w:rPr>
            </w:pPr>
            <w:r>
              <w:rPr>
                <w:rFonts w:ascii="Arial" w:cs="Arial" w:eastAsia="Arial" w:hAnsi="Arial"/>
                <w:sz w:val="18"/>
                <w:szCs w:val="18"/>
                <w:color w:val="auto"/>
              </w:rPr>
              <w:t>27</w:t>
            </w: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Borders>
              <w:top w:val="single" w:sz="8" w:color="C0C0C0"/>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78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63" w:right="219" w:bottom="1440" w:gutter="0" w:footer="0" w:header="0"/>
        </w:sectPr>
      </w:pPr>
    </w:p>
    <w:bookmarkStart w:id="27" w:name="page28"/>
    <w:bookmarkEnd w:id="27"/>
    <w:p>
      <w:pPr>
        <w:ind w:left="760" w:hanging="482"/>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$4.6 million and $3.9 million of Non-cash Compensation Expense for the three months ended September 30, 2010 and 2009, respectively.</w:t>
      </w:r>
    </w:p>
    <w:p>
      <w:pPr>
        <w:spacing w:after="0" w:line="288" w:lineRule="exact"/>
        <w:rPr>
          <w:rFonts w:ascii="Arial" w:cs="Arial" w:eastAsia="Arial" w:hAnsi="Arial"/>
          <w:sz w:val="16"/>
          <w:szCs w:val="16"/>
          <w:color w:val="auto"/>
        </w:rPr>
      </w:pPr>
    </w:p>
    <w:p>
      <w:pPr>
        <w:jc w:val="both"/>
        <w:ind w:left="760" w:right="20" w:hanging="482"/>
        <w:spacing w:after="0" w:line="306"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$0.7 million of Non-cash Compensation Expense for both the three months ended September 30, 2010 and 2009.</w:t>
      </w:r>
    </w:p>
    <w:p>
      <w:pPr>
        <w:spacing w:after="0" w:line="187" w:lineRule="exact"/>
        <w:rPr>
          <w:rFonts w:ascii="Arial" w:cs="Arial" w:eastAsia="Arial" w:hAnsi="Arial"/>
          <w:sz w:val="16"/>
          <w:szCs w:val="16"/>
          <w:color w:val="auto"/>
        </w:rPr>
      </w:pPr>
    </w:p>
    <w:p>
      <w:pPr>
        <w:jc w:val="both"/>
        <w:ind w:left="760" w:right="20" w:hanging="482"/>
        <w:spacing w:after="0" w:line="25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 our collaboration with Bayer HealthCare, in periods when Bayer HealthCare incurs VEGF Trap-Eye development expenses, we also recognize, as additional research and development expense, the portion of Bayer HealthCare’s VEGF Trap-Eye development expenses that we are obligated to reimburse. Bayer HealthCare provides us with estimated VEGF Trap-Eye development expenses for the most recent fiscal quarter. Bayer HealthCare’s estimate is reconciled to its actual expenses for such quarter in the subsequent fiscal quarter and our portion of its VEGF Trap-Eye development expenses that we are obligated to reimburse is adjusted accordingly.</w:t>
      </w:r>
    </w:p>
    <w:p>
      <w:pPr>
        <w:spacing w:after="0" w:line="197" w:lineRule="exact"/>
        <w:rPr>
          <w:sz w:val="20"/>
          <w:szCs w:val="20"/>
          <w:color w:val="auto"/>
        </w:rPr>
      </w:pPr>
    </w:p>
    <w:p>
      <w:pPr>
        <w:jc w:val="both"/>
        <w:ind w:right="20" w:firstLine="260"/>
        <w:spacing w:after="0" w:line="252" w:lineRule="auto"/>
        <w:rPr>
          <w:sz w:val="20"/>
          <w:szCs w:val="20"/>
          <w:color w:val="auto"/>
        </w:rPr>
      </w:pPr>
      <w:r>
        <w:rPr>
          <w:rFonts w:ascii="Arial" w:cs="Arial" w:eastAsia="Arial" w:hAnsi="Arial"/>
          <w:sz w:val="16"/>
          <w:szCs w:val="16"/>
          <w:color w:val="auto"/>
        </w:rPr>
        <w:t>Payroll and benefits increased principally due to the increase in employee headcount, as described above. Clinical trial expenses decreased due primarily to lower costs related to our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clinical development program in gout and certain monoclonal antibodies which are in earlier stage clinical development. Clinical manufacturing costs increased primarily due to higher facility-related costs in connection with the expansion of our manufacturing capacity at our Rensselaer facility. In addition, we incurred higher costs related to manufacturing clinical supplies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VEGF Trap-Eye, partly offset by lower costs related to manufacturing clinical supplies of monoclonal antibodies and aflibercept. Research and other development costs increased primarily due to higher co sts associated with our VEGF Trap-Eye, ARCALYST</w:t>
      </w:r>
      <w:r>
        <w:rPr>
          <w:rFonts w:ascii="Arial" w:cs="Arial" w:eastAsia="Arial" w:hAnsi="Arial"/>
          <w:sz w:val="22"/>
          <w:szCs w:val="22"/>
          <w:color w:val="auto"/>
          <w:vertAlign w:val="superscript"/>
        </w:rPr>
        <w:t>®</w:t>
      </w:r>
      <w:r>
        <w:rPr>
          <w:rFonts w:ascii="Arial" w:cs="Arial" w:eastAsia="Arial" w:hAnsi="Arial"/>
          <w:sz w:val="16"/>
          <w:szCs w:val="16"/>
          <w:color w:val="auto"/>
        </w:rPr>
        <w:t>, and antibody programs. Occupancy and other operating costs increased principally in connection with our higher headcount, expanded research and development activities, and new and expanded leased laboratory and office facilities in Tarrytown, New York. Cost-sharing of Bayer HealthCare’s VEGF Trap-Eye development expenses decreased slightly primarily due to lower costs associated with the VIEW 2 trial in wet AMD which were offset by higher costs in connection with the GALILEO trial in CRVO, both of which are being conducted by Bayer HealthCare.</w:t>
      </w:r>
    </w:p>
    <w:p>
      <w:pPr>
        <w:spacing w:after="0" w:line="232" w:lineRule="exact"/>
        <w:rPr>
          <w:sz w:val="20"/>
          <w:szCs w:val="20"/>
          <w:color w:val="auto"/>
        </w:rPr>
      </w:pPr>
    </w:p>
    <w:p>
      <w:pPr>
        <w:jc w:val="both"/>
        <w:ind w:right="20" w:firstLine="297"/>
        <w:spacing w:after="0" w:line="298" w:lineRule="auto"/>
        <w:rPr>
          <w:sz w:val="20"/>
          <w:szCs w:val="20"/>
          <w:color w:val="auto"/>
        </w:rPr>
      </w:pPr>
      <w:r>
        <w:rPr>
          <w:rFonts w:ascii="Arial" w:cs="Arial" w:eastAsia="Arial" w:hAnsi="Arial"/>
          <w:sz w:val="16"/>
          <w:szCs w:val="16"/>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VEGF Trap-Eye development expenses that we are obligated to reimburse. Our estimates of research and development costs for clinical development programs are shown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200" w:type="dxa"/>
            <w:vAlign w:val="bottom"/>
            <w:gridSpan w:val="6"/>
          </w:tcPr>
          <w:p>
            <w:pPr>
              <w:spacing w:after="0"/>
              <w:rPr>
                <w:sz w:val="20"/>
                <w:szCs w:val="20"/>
                <w:color w:val="auto"/>
              </w:rPr>
            </w:pPr>
            <w:r>
              <w:rPr>
                <w:rFonts w:ascii="Arial" w:cs="Arial" w:eastAsia="Arial" w:hAnsi="Arial"/>
                <w:sz w:val="18"/>
                <w:szCs w:val="18"/>
                <w:b w:val="1"/>
                <w:bCs w:val="1"/>
                <w:color w:val="auto"/>
                <w:w w:val="91"/>
              </w:rPr>
              <w:t>For the three months ended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5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Project Costs</w:t>
            </w:r>
          </w:p>
        </w:tc>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5"/>
          </w:tcPr>
          <w:p>
            <w:pPr>
              <w:ind w:left="340"/>
              <w:spacing w:after="0" w:line="205" w:lineRule="exact"/>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72"/>
              <w:spacing w:after="0" w:line="205" w:lineRule="exact"/>
              <w:rPr>
                <w:sz w:val="20"/>
                <w:szCs w:val="20"/>
                <w:color w:val="auto"/>
              </w:rPr>
            </w:pPr>
            <w:r>
              <w:rPr>
                <w:rFonts w:ascii="Arial" w:cs="Arial" w:eastAsia="Arial" w:hAnsi="Arial"/>
                <w:sz w:val="18"/>
                <w:szCs w:val="18"/>
                <w:b w:val="1"/>
                <w:bCs w:val="1"/>
                <w:color w:val="auto"/>
                <w:w w:val="90"/>
              </w:rPr>
              <w:t>Increase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0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i w:val="1"/>
                <w:iCs w:val="1"/>
                <w:color w:val="auto"/>
                <w:w w:val="96"/>
              </w:rPr>
              <w:t>(In millions)</w:t>
            </w:r>
          </w:p>
        </w:tc>
        <w:tc>
          <w:tcPr>
            <w:tcW w:w="3580" w:type="dxa"/>
            <w:vAlign w:val="bottom"/>
            <w:vMerge w:val="restart"/>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(Decrease)</w:t>
            </w: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0" w:type="dxa"/>
            <w:vAlign w:val="bottom"/>
            <w:tcBorders>
              <w:bottom w:val="single" w:sz="8" w:color="C0C0C0"/>
            </w:tcBorders>
            <w:vMerge w:val="continue"/>
          </w:tcPr>
          <w:p>
            <w:pPr>
              <w:spacing w:after="0"/>
              <w:rPr>
                <w:sz w:val="20"/>
                <w:szCs w:val="20"/>
                <w:color w:val="auto"/>
              </w:rPr>
            </w:pPr>
          </w:p>
        </w:tc>
        <w:tc>
          <w:tcPr>
            <w:tcW w:w="3580" w:type="dxa"/>
            <w:vAlign w:val="bottom"/>
            <w:tcBorders>
              <w:bottom w:val="single" w:sz="8" w:color="C0C0C0"/>
            </w:tcBorders>
            <w:vMerge w:val="continue"/>
          </w:tcPr>
          <w:p>
            <w:pPr>
              <w:spacing w:after="0"/>
              <w:rPr>
                <w:sz w:val="20"/>
                <w:szCs w:val="20"/>
                <w:color w:val="auto"/>
              </w:rPr>
            </w:pPr>
          </w:p>
        </w:tc>
        <w:tc>
          <w:tcPr>
            <w:tcW w:w="242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2010</w:t>
            </w:r>
          </w:p>
        </w:tc>
        <w:tc>
          <w:tcPr>
            <w:tcW w:w="42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2009</w:t>
            </w: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960" w:type="dxa"/>
            <w:vAlign w:val="bottom"/>
            <w:tcBorders>
              <w:bottom w:val="single" w:sz="8" w:color="auto"/>
            </w:tcBorders>
            <w:gridSpan w:val="2"/>
            <w:vMerge w:val="continue"/>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ARCALYST</w:t>
            </w:r>
            <w:r>
              <w:rPr>
                <w:rFonts w:ascii="Arial" w:cs="Arial" w:eastAsia="Arial" w:hAnsi="Arial"/>
                <w:sz w:val="12"/>
                <w:szCs w:val="12"/>
                <w:color w:val="auto"/>
              </w:rPr>
              <w:t>®</w:t>
            </w:r>
          </w:p>
        </w:tc>
        <w:tc>
          <w:tcPr>
            <w:tcW w:w="2580" w:type="dxa"/>
            <w:vAlign w:val="bottom"/>
            <w:gridSpan w:val="2"/>
            <w:shd w:val="clear" w:color="auto" w:fill="C0C0C0"/>
          </w:tcPr>
          <w:p>
            <w:pPr>
              <w:ind w:left="2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0C0C0"/>
          </w:tcPr>
          <w:p>
            <w:pPr>
              <w:jc w:val="right"/>
              <w:ind w:right="42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15.5</w:t>
            </w: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580" w:type="dxa"/>
            <w:vAlign w:val="bottom"/>
            <w:gridSpan w:val="2"/>
          </w:tcPr>
          <w:p>
            <w:pPr>
              <w:spacing w:after="0"/>
              <w:rPr>
                <w:sz w:val="20"/>
                <w:szCs w:val="20"/>
                <w:color w:val="auto"/>
              </w:rPr>
            </w:pPr>
            <w:r>
              <w:rPr>
                <w:rFonts w:ascii="Arial" w:cs="Arial" w:eastAsia="Arial" w:hAnsi="Arial"/>
                <w:sz w:val="18"/>
                <w:szCs w:val="18"/>
                <w:color w:val="auto"/>
              </w:rPr>
              <w:t>VEGF Trap-Eye</w:t>
            </w:r>
          </w:p>
        </w:tc>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5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Aflibercept</w:t>
            </w:r>
          </w:p>
        </w:tc>
        <w:tc>
          <w:tcPr>
            <w:tcW w:w="24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80" w:type="dxa"/>
            <w:vAlign w:val="bottom"/>
            <w:gridSpan w:val="2"/>
            <w:shd w:val="clear" w:color="auto" w:fill="C0C0C0"/>
          </w:tcPr>
          <w:p>
            <w:pPr>
              <w:jc w:val="right"/>
              <w:ind w:right="42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0C0C0"/>
          </w:tcPr>
          <w:p>
            <w:pPr>
              <w:spacing w:after="0"/>
              <w:rPr>
                <w:sz w:val="21"/>
                <w:szCs w:val="21"/>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580" w:type="dxa"/>
            <w:vAlign w:val="bottom"/>
            <w:gridSpan w:val="2"/>
          </w:tcPr>
          <w:p>
            <w:pPr>
              <w:spacing w:after="0"/>
              <w:rPr>
                <w:sz w:val="20"/>
                <w:szCs w:val="20"/>
                <w:color w:val="auto"/>
              </w:rPr>
            </w:pPr>
            <w:r>
              <w:rPr>
                <w:rFonts w:ascii="Arial" w:cs="Arial" w:eastAsia="Arial" w:hAnsi="Arial"/>
                <w:sz w:val="18"/>
                <w:szCs w:val="18"/>
                <w:color w:val="auto"/>
              </w:rPr>
              <w:t>REGN88</w:t>
            </w:r>
          </w:p>
        </w:tc>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5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Other antibody candidates in clinical development</w:t>
            </w:r>
          </w:p>
        </w:tc>
        <w:tc>
          <w:tcPr>
            <w:tcW w:w="24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80" w:type="dxa"/>
            <w:vAlign w:val="bottom"/>
            <w:gridSpan w:val="2"/>
            <w:shd w:val="clear" w:color="auto" w:fill="C0C0C0"/>
          </w:tcPr>
          <w:p>
            <w:pPr>
              <w:jc w:val="right"/>
              <w:ind w:right="42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0C0C0"/>
          </w:tcPr>
          <w:p>
            <w:pPr>
              <w:spacing w:after="0"/>
              <w:rPr>
                <w:sz w:val="21"/>
                <w:szCs w:val="21"/>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8.9</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580" w:type="dxa"/>
            <w:vAlign w:val="bottom"/>
            <w:gridSpan w:val="2"/>
          </w:tcPr>
          <w:p>
            <w:pPr>
              <w:spacing w:after="0"/>
              <w:rPr>
                <w:sz w:val="20"/>
                <w:szCs w:val="20"/>
                <w:color w:val="auto"/>
              </w:rPr>
            </w:pPr>
            <w:r>
              <w:rPr>
                <w:rFonts w:ascii="Arial" w:cs="Arial" w:eastAsia="Arial" w:hAnsi="Arial"/>
                <w:sz w:val="18"/>
                <w:szCs w:val="18"/>
                <w:color w:val="auto"/>
              </w:rPr>
              <w:t>Other research programs &amp; unallocated costs</w:t>
            </w:r>
          </w:p>
        </w:tc>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45.1</w:t>
            </w: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000" w:type="dxa"/>
            <w:vAlign w:val="bottom"/>
            <w:shd w:val="clear" w:color="auto" w:fill="C0C0C0"/>
          </w:tcPr>
          <w:p>
            <w:pPr>
              <w:spacing w:after="0" w:line="20" w:lineRule="exact"/>
              <w:rPr>
                <w:sz w:val="1"/>
                <w:szCs w:val="1"/>
                <w:color w:val="auto"/>
              </w:rPr>
            </w:pPr>
          </w:p>
        </w:tc>
        <w:tc>
          <w:tcPr>
            <w:tcW w:w="3580" w:type="dxa"/>
            <w:vAlign w:val="bottom"/>
            <w:shd w:val="clear" w:color="auto" w:fill="C0C0C0"/>
          </w:tcPr>
          <w:p>
            <w:pPr>
              <w:spacing w:after="0" w:line="20" w:lineRule="exact"/>
              <w:rPr>
                <w:sz w:val="1"/>
                <w:szCs w:val="1"/>
                <w:color w:val="auto"/>
              </w:rPr>
            </w:pPr>
          </w:p>
        </w:tc>
        <w:tc>
          <w:tcPr>
            <w:tcW w:w="242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8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Total research and development expenses</w:t>
            </w:r>
          </w:p>
        </w:tc>
        <w:tc>
          <w:tcPr>
            <w:tcW w:w="24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0C0C0"/>
          </w:tcPr>
          <w:p>
            <w:pPr>
              <w:jc w:val="right"/>
              <w:ind w:right="420"/>
              <w:spacing w:after="0"/>
              <w:rPr>
                <w:sz w:val="20"/>
                <w:szCs w:val="20"/>
                <w:color w:val="auto"/>
              </w:rPr>
            </w:pPr>
            <w:r>
              <w:rPr>
                <w:rFonts w:ascii="Arial" w:cs="Arial" w:eastAsia="Arial" w:hAnsi="Arial"/>
                <w:sz w:val="18"/>
                <w:szCs w:val="18"/>
                <w:color w:val="auto"/>
              </w:rPr>
              <w:t>122.0</w:t>
            </w: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105.4</w:t>
            </w: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16.6</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000" w:type="dxa"/>
            <w:vAlign w:val="bottom"/>
            <w:tcBorders>
              <w:top w:val="single" w:sz="8" w:color="C0C0C0"/>
            </w:tcBorders>
          </w:tcPr>
          <w:p>
            <w:pPr>
              <w:spacing w:after="0"/>
              <w:rPr>
                <w:sz w:val="24"/>
                <w:szCs w:val="24"/>
                <w:color w:val="auto"/>
              </w:rPr>
            </w:pPr>
          </w:p>
        </w:tc>
        <w:tc>
          <w:tcPr>
            <w:tcW w:w="3580" w:type="dxa"/>
            <w:vAlign w:val="bottom"/>
            <w:tcBorders>
              <w:top w:val="single" w:sz="8" w:color="C0C0C0"/>
            </w:tcBorders>
          </w:tcPr>
          <w:p>
            <w:pPr>
              <w:spacing w:after="0"/>
              <w:rPr>
                <w:sz w:val="24"/>
                <w:szCs w:val="24"/>
                <w:color w:val="auto"/>
              </w:rPr>
            </w:pPr>
          </w:p>
        </w:tc>
        <w:tc>
          <w:tcPr>
            <w:tcW w:w="2420" w:type="dxa"/>
            <w:vAlign w:val="bottom"/>
            <w:tcBorders>
              <w:top w:val="single" w:sz="8" w:color="C0C0C0"/>
            </w:tcBorders>
          </w:tcPr>
          <w:p>
            <w:pPr>
              <w:jc w:val="right"/>
              <w:ind w:right="1112"/>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20" w:type="dxa"/>
            <w:vAlign w:val="bottom"/>
            <w:tcBorders>
              <w:top w:val="single" w:sz="8" w:color="C0C0C0"/>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C0C0C0"/>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00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28" w:name="page29"/>
    <w:bookmarkEnd w:id="28"/>
    <w:p>
      <w:pPr>
        <w:jc w:val="both"/>
        <w:ind w:firstLine="341"/>
        <w:spacing w:after="0" w:line="287"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biologics license application (or BLA) must be submitted to, and accepted by, the FDA, and the FDA must approve the BLA prior to commercialization of the drug. It is not uncommon for the FDA to request additional data following its review of a BLA, which can signific 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 For example, we, and our collaborators where applicable, continue to explore further development of ARCAL YST</w:t>
      </w:r>
      <w:r>
        <w:rPr>
          <w:rFonts w:ascii="Arial" w:cs="Arial" w:eastAsia="Arial" w:hAnsi="Arial"/>
          <w:sz w:val="22"/>
          <w:szCs w:val="22"/>
          <w:color w:val="auto"/>
          <w:vertAlign w:val="superscript"/>
        </w:rPr>
        <w:t>®</w:t>
      </w:r>
      <w:r>
        <w:rPr>
          <w:rFonts w:ascii="Arial" w:cs="Arial" w:eastAsia="Arial" w:hAnsi="Arial"/>
          <w:sz w:val="16"/>
          <w:szCs w:val="16"/>
          <w:color w:val="auto"/>
        </w:rPr>
        <w:t>, aflibercept, and VEGF Trap-Eye in different disease indications.</w:t>
      </w:r>
    </w:p>
    <w:p>
      <w:pPr>
        <w:spacing w:after="0" w:line="109" w:lineRule="exact"/>
        <w:rPr>
          <w:sz w:val="20"/>
          <w:szCs w:val="20"/>
          <w:color w:val="auto"/>
        </w:rPr>
      </w:pPr>
    </w:p>
    <w:p>
      <w:pPr>
        <w:jc w:val="both"/>
        <w:ind w:firstLine="365"/>
        <w:spacing w:after="0" w:line="271"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Item 1A, “Risk Factors” under “Risks Related to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and the Development of Our Product Candidates,” “Regulatory and Litigation Risks,” and “Risks Related to Commercialization of Products.” The lengthy process of seeking FDA approvals, and subsequent compliance with applicable statu tes and regulations, require the expenditure of substantial resources. Any failure by us to obtain, or delay in obtaining, regulatory approvals could materially adversely affect our business.</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For these reasons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 In 2008, we received FDA approval for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the treatment of CAPS, a group of rare, inherited auto-inflammatory diseases that affect a very small group of people. We currently do not expect to generate material product revenue s and net cash inflows from the sale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the treatment of CAPS.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46" w:lineRule="exact"/>
        <w:rPr>
          <w:sz w:val="20"/>
          <w:szCs w:val="20"/>
          <w:color w:val="auto"/>
        </w:rPr>
      </w:pPr>
    </w:p>
    <w:p>
      <w:pPr>
        <w:jc w:val="both"/>
        <w:ind w:firstLine="284"/>
        <w:spacing w:after="0" w:line="264" w:lineRule="auto"/>
        <w:rPr>
          <w:sz w:val="20"/>
          <w:szCs w:val="20"/>
          <w:color w:val="auto"/>
        </w:rPr>
      </w:pPr>
      <w:r>
        <w:rPr>
          <w:rFonts w:ascii="Arial" w:cs="Arial" w:eastAsia="Arial" w:hAnsi="Arial"/>
          <w:sz w:val="18"/>
          <w:szCs w:val="18"/>
          <w:color w:val="auto"/>
        </w:rPr>
        <w:t>Selling, general, and administrative expenses increased to $15.7 million in the third quarter of 2010 from $12.8 million in the same period of 2009. In the third quarter of 2010, we incurred higher compensation expense due primarily to increases in headcount, higher Non-cash Compensation Expense, and higher recruitment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49" w:lineRule="exact"/>
        <w:rPr>
          <w:sz w:val="20"/>
          <w:szCs w:val="20"/>
          <w:color w:val="auto"/>
        </w:rPr>
      </w:pPr>
    </w:p>
    <w:p>
      <w:pPr>
        <w:jc w:val="both"/>
        <w:ind w:firstLine="297"/>
        <w:spacing w:after="0" w:line="202" w:lineRule="auto"/>
        <w:rPr>
          <w:sz w:val="20"/>
          <w:szCs w:val="20"/>
          <w:color w:val="auto"/>
        </w:rPr>
      </w:pPr>
      <w:r>
        <w:rPr>
          <w:rFonts w:ascii="Arial" w:cs="Arial" w:eastAsia="Arial" w:hAnsi="Arial"/>
          <w:sz w:val="18"/>
          <w:szCs w:val="18"/>
          <w:color w:val="auto"/>
        </w:rPr>
        <w:t>Cost of goods sold related to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sales, which consisted primarily of royalties and other period costs, totaled $0.4 million and $0.5 million for the quarters ended September 30, 2010 and 2009, respectively. To date,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shipments to our customers have consisted of supplies of inventory manufactured and expensed prior to FDA approval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for the treatment of CAPS in February 2008; therefore, the costs of these supplies were not included in costs of goods sold.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52"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Investment income decreased to $0.5 million in the third quarter of 2010 from $0.9 million in the comparable quarter of 2009, primarily due to lower average balances of, and lower yields on, cash and marketable securities. Interest expense of $2.2 million and $0.6 million in the third quarter of 2010 and 2009, respectively, was attributable to the imputed interest portion of payments to our landlord to lease newly constructed laboratory and office facilities in Tarrytown, New York. These payments commenced in the third quarter of 2009.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2010 and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19" w:lineRule="exact"/>
        <w:rPr>
          <w:sz w:val="20"/>
          <w:szCs w:val="20"/>
          <w:color w:val="auto"/>
        </w:rPr>
      </w:pPr>
    </w:p>
    <w:p>
      <w:pPr>
        <w:jc w:val="both"/>
        <w:ind w:firstLine="260"/>
        <w:spacing w:after="0" w:line="259" w:lineRule="auto"/>
        <w:rPr>
          <w:sz w:val="20"/>
          <w:szCs w:val="20"/>
          <w:color w:val="auto"/>
        </w:rPr>
      </w:pPr>
      <w:r>
        <w:rPr>
          <w:rFonts w:ascii="Arial" w:cs="Arial" w:eastAsia="Arial" w:hAnsi="Arial"/>
          <w:sz w:val="18"/>
          <w:szCs w:val="18"/>
          <w:color w:val="auto"/>
        </w:rPr>
        <w:t>Regeneron reported a net loss of $89.9 million, or $1.10 per share (basic and diluted), for the first nine months of 2010, compared to a net loss of $31.3 million, or $0.39 per share (basic and diluted) for the first nine months of 2009. The increase in our net loss was principally due to higher research and development expenses in 2010, as detailed below, partly offset by higher collaboration revenue in 2010 primarily in connection with our antibody collaboration with sanofi-aventis.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59"/>
        </w:trPr>
        <w:tc>
          <w:tcPr>
            <w:tcW w:w="7880" w:type="dxa"/>
            <w:vAlign w:val="bottom"/>
            <w:gridSpan w:val="2"/>
          </w:tcPr>
          <w:p>
            <w:pPr>
              <w:ind w:left="280"/>
              <w:spacing w:after="0"/>
              <w:rPr>
                <w:sz w:val="20"/>
                <w:szCs w:val="20"/>
                <w:color w:val="auto"/>
              </w:rPr>
            </w:pPr>
            <w:r>
              <w:rPr>
                <w:rFonts w:ascii="Arial" w:cs="Arial" w:eastAsia="Arial" w:hAnsi="Arial"/>
                <w:sz w:val="18"/>
                <w:szCs w:val="18"/>
                <w:color w:val="auto"/>
              </w:rPr>
              <w:t>Revenues for the nine months ended September 30, 2010 and 2009 consist of the following:</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68"/>
        </w:trPr>
        <w:tc>
          <w:tcPr>
            <w:tcW w:w="7880" w:type="dxa"/>
            <w:vAlign w:val="bottom"/>
            <w:gridSpan w:val="2"/>
          </w:tcPr>
          <w:p>
            <w:pPr>
              <w:ind w:left="1140"/>
              <w:spacing w:after="0"/>
              <w:rPr>
                <w:sz w:val="20"/>
                <w:szCs w:val="20"/>
                <w:color w:val="auto"/>
              </w:rPr>
            </w:pPr>
            <w:r>
              <w:rPr>
                <w:rFonts w:ascii="Arial" w:cs="Arial" w:eastAsia="Arial" w:hAnsi="Arial"/>
                <w:sz w:val="18"/>
                <w:szCs w:val="18"/>
                <w:b w:val="1"/>
                <w:bCs w:val="1"/>
                <w:i w:val="1"/>
                <w:iCs w:val="1"/>
                <w:color w:val="auto"/>
              </w:rPr>
              <w:t>(In millions)</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r>
      <w:tr>
        <w:trPr>
          <w:trHeight w:val="243"/>
        </w:trPr>
        <w:tc>
          <w:tcPr>
            <w:tcW w:w="1160" w:type="dxa"/>
            <w:vAlign w:val="bottom"/>
          </w:tcPr>
          <w:p>
            <w:pPr>
              <w:spacing w:after="0"/>
              <w:rPr>
                <w:sz w:val="21"/>
                <w:szCs w:val="21"/>
                <w:color w:val="auto"/>
              </w:rPr>
            </w:pPr>
          </w:p>
        </w:tc>
        <w:tc>
          <w:tcPr>
            <w:tcW w:w="672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Collaboration revenue</w:t>
            </w:r>
          </w:p>
        </w:tc>
        <w:tc>
          <w:tcPr>
            <w:tcW w:w="1140" w:type="dxa"/>
            <w:vAlign w:val="bottom"/>
            <w:tcBorders>
              <w:top w:val="single" w:sz="8" w:color="C0C0C0"/>
            </w:tcBorders>
            <w:shd w:val="clear" w:color="auto" w:fill="C0C0C0"/>
          </w:tcPr>
          <w:p>
            <w:pPr>
              <w:spacing w:after="0"/>
              <w:rPr>
                <w:sz w:val="21"/>
                <w:szCs w:val="21"/>
                <w:color w:val="auto"/>
              </w:rPr>
            </w:pPr>
          </w:p>
        </w:tc>
        <w:tc>
          <w:tcPr>
            <w:tcW w:w="50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500" w:type="dxa"/>
            <w:vAlign w:val="bottom"/>
            <w:tcBorders>
              <w:top w:val="single" w:sz="8" w:color="auto"/>
            </w:tcBorders>
            <w:shd w:val="clear" w:color="auto" w:fill="C0C0C0"/>
          </w:tcPr>
          <w:p>
            <w:pPr>
              <w:spacing w:after="0"/>
              <w:rPr>
                <w:sz w:val="21"/>
                <w:szCs w:val="21"/>
                <w:color w:val="auto"/>
              </w:rPr>
            </w:pPr>
          </w:p>
        </w:tc>
      </w:tr>
      <w:tr>
        <w:trPr>
          <w:trHeight w:val="235"/>
        </w:trPr>
        <w:tc>
          <w:tcPr>
            <w:tcW w:w="1160" w:type="dxa"/>
            <w:vAlign w:val="bottom"/>
          </w:tcPr>
          <w:p>
            <w:pPr>
              <w:spacing w:after="0"/>
              <w:rPr>
                <w:sz w:val="20"/>
                <w:szCs w:val="20"/>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Sanofi-aventis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$229.2</w:t>
            </w: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$178.9</w:t>
            </w:r>
          </w:p>
        </w:tc>
      </w:tr>
      <w:tr>
        <w:trPr>
          <w:trHeight w:val="251"/>
        </w:trPr>
        <w:tc>
          <w:tcPr>
            <w:tcW w:w="1160" w:type="dxa"/>
            <w:vAlign w:val="bottom"/>
          </w:tcPr>
          <w:p>
            <w:pPr>
              <w:spacing w:after="0"/>
              <w:rPr>
                <w:sz w:val="21"/>
                <w:szCs w:val="21"/>
                <w:color w:val="auto"/>
              </w:rPr>
            </w:pPr>
          </w:p>
        </w:tc>
        <w:tc>
          <w:tcPr>
            <w:tcW w:w="67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Bayer HealthCare</w:t>
            </w:r>
          </w:p>
        </w:tc>
        <w:tc>
          <w:tcPr>
            <w:tcW w:w="1140" w:type="dxa"/>
            <w:vAlign w:val="bottom"/>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40.5</w:t>
            </w:r>
          </w:p>
        </w:tc>
        <w:tc>
          <w:tcPr>
            <w:tcW w:w="260" w:type="dxa"/>
            <w:vAlign w:val="bottom"/>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54.9</w:t>
            </w:r>
          </w:p>
        </w:tc>
      </w:tr>
      <w:tr>
        <w:trPr>
          <w:trHeight w:val="229"/>
        </w:trPr>
        <w:tc>
          <w:tcPr>
            <w:tcW w:w="1160" w:type="dxa"/>
            <w:vAlign w:val="bottom"/>
          </w:tcPr>
          <w:p>
            <w:pPr>
              <w:spacing w:after="0"/>
              <w:rPr>
                <w:sz w:val="19"/>
                <w:szCs w:val="19"/>
                <w:color w:val="auto"/>
              </w:rPr>
            </w:pPr>
          </w:p>
        </w:tc>
        <w:tc>
          <w:tcPr>
            <w:tcW w:w="6720" w:type="dxa"/>
            <w:vAlign w:val="bottom"/>
          </w:tcPr>
          <w:p>
            <w:pPr>
              <w:ind w:left="600"/>
              <w:spacing w:after="0"/>
              <w:rPr>
                <w:sz w:val="20"/>
                <w:szCs w:val="20"/>
                <w:color w:val="auto"/>
              </w:rPr>
            </w:pPr>
            <w:r>
              <w:rPr>
                <w:rFonts w:ascii="Arial" w:cs="Arial" w:eastAsia="Arial" w:hAnsi="Arial"/>
                <w:sz w:val="18"/>
                <w:szCs w:val="18"/>
                <w:color w:val="auto"/>
              </w:rPr>
              <w:t>Total collaboration revenue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269.7</w:t>
            </w: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233.8</w:t>
            </w:r>
          </w:p>
        </w:tc>
      </w:tr>
      <w:tr>
        <w:trPr>
          <w:trHeight w:val="251"/>
        </w:trPr>
        <w:tc>
          <w:tcPr>
            <w:tcW w:w="1160" w:type="dxa"/>
            <w:vAlign w:val="bottom"/>
          </w:tcPr>
          <w:p>
            <w:pPr>
              <w:spacing w:after="0"/>
              <w:rPr>
                <w:sz w:val="21"/>
                <w:szCs w:val="21"/>
                <w:color w:val="auto"/>
              </w:rPr>
            </w:pPr>
          </w:p>
        </w:tc>
        <w:tc>
          <w:tcPr>
            <w:tcW w:w="6720" w:type="dxa"/>
            <w:vAlign w:val="bottom"/>
            <w:shd w:val="clear" w:color="auto" w:fill="C0C0C0"/>
          </w:tcPr>
          <w:p>
            <w:pPr>
              <w:spacing w:after="0"/>
              <w:rPr>
                <w:sz w:val="20"/>
                <w:szCs w:val="20"/>
                <w:color w:val="auto"/>
              </w:rPr>
            </w:pPr>
            <w:r>
              <w:rPr>
                <w:rFonts w:ascii="Arial" w:cs="Arial" w:eastAsia="Arial" w:hAnsi="Arial"/>
                <w:sz w:val="18"/>
                <w:szCs w:val="18"/>
                <w:color w:val="auto"/>
              </w:rPr>
              <w:t>Technology licensing revenue</w:t>
            </w:r>
          </w:p>
        </w:tc>
        <w:tc>
          <w:tcPr>
            <w:tcW w:w="16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30.1</w:t>
            </w:r>
          </w:p>
        </w:tc>
        <w:tc>
          <w:tcPr>
            <w:tcW w:w="26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30.0</w:t>
            </w:r>
          </w:p>
        </w:tc>
      </w:tr>
      <w:tr>
        <w:trPr>
          <w:trHeight w:val="235"/>
        </w:trPr>
        <w:tc>
          <w:tcPr>
            <w:tcW w:w="7880" w:type="dxa"/>
            <w:vAlign w:val="bottom"/>
            <w:gridSpan w:val="2"/>
          </w:tcPr>
          <w:p>
            <w:pPr>
              <w:ind w:left="1140"/>
              <w:spacing w:after="0"/>
              <w:rPr>
                <w:sz w:val="20"/>
                <w:szCs w:val="20"/>
                <w:color w:val="auto"/>
              </w:rPr>
            </w:pPr>
            <w:r>
              <w:rPr>
                <w:rFonts w:ascii="Arial" w:cs="Arial" w:eastAsia="Arial" w:hAnsi="Arial"/>
                <w:sz w:val="18"/>
                <w:szCs w:val="18"/>
                <w:color w:val="auto"/>
              </w:rPr>
              <w:t>Net product sales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44"/>
        </w:trPr>
        <w:tc>
          <w:tcPr>
            <w:tcW w:w="1160" w:type="dxa"/>
            <w:vAlign w:val="bottom"/>
          </w:tcPr>
          <w:p>
            <w:pPr>
              <w:spacing w:after="0"/>
              <w:rPr>
                <w:sz w:val="21"/>
                <w:szCs w:val="21"/>
                <w:color w:val="auto"/>
              </w:rPr>
            </w:pPr>
          </w:p>
        </w:tc>
        <w:tc>
          <w:tcPr>
            <w:tcW w:w="6720" w:type="dxa"/>
            <w:vAlign w:val="bottom"/>
            <w:shd w:val="clear" w:color="auto" w:fill="C0C0C0"/>
          </w:tcPr>
          <w:p>
            <w:pPr>
              <w:spacing w:after="0"/>
              <w:rPr>
                <w:sz w:val="20"/>
                <w:szCs w:val="20"/>
                <w:color w:val="auto"/>
              </w:rPr>
            </w:pPr>
            <w:r>
              <w:rPr>
                <w:rFonts w:ascii="Arial" w:cs="Arial" w:eastAsia="Arial" w:hAnsi="Arial"/>
                <w:sz w:val="18"/>
                <w:szCs w:val="18"/>
                <w:color w:val="auto"/>
              </w:rPr>
              <w:t>Contract research and other revenue</w:t>
            </w:r>
          </w:p>
        </w:tc>
        <w:tc>
          <w:tcPr>
            <w:tcW w:w="1140" w:type="dxa"/>
            <w:vAlign w:val="bottom"/>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5.3</w:t>
            </w:r>
          </w:p>
        </w:tc>
      </w:tr>
      <w:tr>
        <w:trPr>
          <w:trHeight w:val="242"/>
        </w:trPr>
        <w:tc>
          <w:tcPr>
            <w:tcW w:w="1160" w:type="dxa"/>
            <w:vAlign w:val="bottom"/>
          </w:tcPr>
          <w:p>
            <w:pPr>
              <w:spacing w:after="0"/>
              <w:rPr>
                <w:sz w:val="21"/>
                <w:szCs w:val="21"/>
                <w:color w:val="auto"/>
              </w:rPr>
            </w:pPr>
          </w:p>
        </w:tc>
        <w:tc>
          <w:tcPr>
            <w:tcW w:w="6720" w:type="dxa"/>
            <w:vAlign w:val="bottom"/>
          </w:tcPr>
          <w:p>
            <w:pPr>
              <w:ind w:left="600"/>
              <w:spacing w:after="0"/>
              <w:rPr>
                <w:sz w:val="20"/>
                <w:szCs w:val="20"/>
                <w:color w:val="auto"/>
              </w:rPr>
            </w:pPr>
            <w:r>
              <w:rPr>
                <w:rFonts w:ascii="Arial" w:cs="Arial" w:eastAsia="Arial" w:hAnsi="Arial"/>
                <w:sz w:val="18"/>
                <w:szCs w:val="18"/>
                <w:color w:val="auto"/>
              </w:rPr>
              <w:t>Total revenue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$325.4</w:t>
            </w: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$282.5</w:t>
            </w:r>
          </w:p>
        </w:tc>
      </w:tr>
      <w:tr>
        <w:trPr>
          <w:trHeight w:val="28"/>
        </w:trPr>
        <w:tc>
          <w:tcPr>
            <w:tcW w:w="11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Sanofi-aventis Collaboration Revenue</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collaboration revenue we earn from sanofi-aventis, as detailed below, consists primarily of reimbursement for research and development expenses and recognition of revenue related to non-refundable up-front payments of $105.0 million related to the aflibercept collaboration and $85.0 million related to the antibody collaboration.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20" w:type="dxa"/>
            <w:vAlign w:val="bottom"/>
            <w:gridSpan w:val="5"/>
          </w:tcPr>
          <w:p>
            <w:pPr>
              <w:jc w:val="right"/>
              <w:spacing w:after="0"/>
              <w:rPr>
                <w:sz w:val="20"/>
                <w:szCs w:val="20"/>
                <w:color w:val="auto"/>
              </w:rPr>
            </w:pPr>
            <w:r>
              <w:rPr>
                <w:rFonts w:ascii="Arial" w:cs="Arial" w:eastAsia="Arial" w:hAnsi="Arial"/>
                <w:sz w:val="18"/>
                <w:szCs w:val="18"/>
                <w:b w:val="1"/>
                <w:bCs w:val="1"/>
                <w:color w:val="auto"/>
                <w:w w:val="87"/>
              </w:rPr>
              <w:t>Nine months ended</w:t>
            </w:r>
          </w:p>
        </w:tc>
        <w:tc>
          <w:tcPr>
            <w:tcW w:w="0" w:type="dxa"/>
            <w:vAlign w:val="bottom"/>
          </w:tcPr>
          <w:p>
            <w:pPr>
              <w:spacing w:after="0"/>
              <w:rPr>
                <w:sz w:val="1"/>
                <w:szCs w:val="1"/>
                <w:color w:val="auto"/>
              </w:rPr>
            </w:pPr>
          </w:p>
        </w:tc>
      </w:tr>
      <w:tr>
        <w:trPr>
          <w:trHeight w:val="205"/>
        </w:trPr>
        <w:tc>
          <w:tcPr>
            <w:tcW w:w="70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Sanofi-aventis Collaboration Revenue</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4"/>
          </w:tcPr>
          <w:p>
            <w:pPr>
              <w:jc w:val="right"/>
              <w:ind w:right="132"/>
              <w:spacing w:after="0" w:line="205" w:lineRule="exact"/>
              <w:rPr>
                <w:sz w:val="20"/>
                <w:szCs w:val="20"/>
                <w:color w:val="auto"/>
              </w:rPr>
            </w:pPr>
            <w:r>
              <w:rPr>
                <w:rFonts w:ascii="Arial" w:cs="Arial" w:eastAsia="Arial" w:hAnsi="Arial"/>
                <w:sz w:val="18"/>
                <w:szCs w:val="18"/>
                <w:b w:val="1"/>
                <w:bCs w:val="1"/>
                <w:color w:val="auto"/>
                <w:w w:val="94"/>
              </w:rPr>
              <w:t>September 30,</w:t>
            </w:r>
          </w:p>
        </w:tc>
        <w:tc>
          <w:tcPr>
            <w:tcW w:w="0" w:type="dxa"/>
            <w:vAlign w:val="bottom"/>
          </w:tcPr>
          <w:p>
            <w:pPr>
              <w:spacing w:after="0"/>
              <w:rPr>
                <w:sz w:val="1"/>
                <w:szCs w:val="1"/>
                <w:color w:val="auto"/>
              </w:rPr>
            </w:pPr>
          </w:p>
        </w:tc>
      </w:tr>
      <w:tr>
        <w:trPr>
          <w:trHeight w:val="34"/>
        </w:trPr>
        <w:tc>
          <w:tcPr>
            <w:tcW w:w="28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i w:val="1"/>
                <w:iCs w:val="1"/>
                <w:color w:val="auto"/>
              </w:rPr>
              <w:t>(In millions)</w:t>
            </w:r>
          </w:p>
        </w:tc>
        <w:tc>
          <w:tcPr>
            <w:tcW w:w="420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40" w:type="dxa"/>
            <w:vAlign w:val="bottom"/>
            <w:tcBorders>
              <w:bottom w:val="single" w:sz="8" w:color="C0C0C0"/>
            </w:tcBorders>
            <w:vMerge w:val="continue"/>
          </w:tcPr>
          <w:p>
            <w:pPr>
              <w:spacing w:after="0"/>
              <w:rPr>
                <w:sz w:val="20"/>
                <w:szCs w:val="20"/>
                <w:color w:val="auto"/>
              </w:rPr>
            </w:pPr>
          </w:p>
        </w:tc>
        <w:tc>
          <w:tcPr>
            <w:tcW w:w="4200" w:type="dxa"/>
            <w:vAlign w:val="bottom"/>
            <w:tcBorders>
              <w:bottom w:val="single" w:sz="8" w:color="C0C0C0"/>
            </w:tcBorders>
            <w:vMerge w:val="continue"/>
          </w:tcPr>
          <w:p>
            <w:pPr>
              <w:spacing w:after="0"/>
              <w:rPr>
                <w:sz w:val="20"/>
                <w:szCs w:val="20"/>
                <w:color w:val="auto"/>
              </w:rPr>
            </w:pPr>
          </w:p>
        </w:tc>
        <w:tc>
          <w:tcPr>
            <w:tcW w:w="17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2010</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9"/>
              </w:rPr>
              <w:t>2009</w:t>
            </w:r>
          </w:p>
        </w:tc>
        <w:tc>
          <w:tcPr>
            <w:tcW w:w="0" w:type="dxa"/>
            <w:vAlign w:val="bottom"/>
          </w:tcPr>
          <w:p>
            <w:pPr>
              <w:spacing w:after="0"/>
              <w:rPr>
                <w:sz w:val="1"/>
                <w:szCs w:val="1"/>
                <w:color w:val="auto"/>
              </w:rPr>
            </w:pPr>
          </w:p>
        </w:tc>
      </w:tr>
      <w:tr>
        <w:trPr>
          <w:trHeight w:val="243"/>
        </w:trPr>
        <w:tc>
          <w:tcPr>
            <w:tcW w:w="70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Aflibercept:</w:t>
            </w:r>
          </w:p>
        </w:tc>
        <w:tc>
          <w:tcPr>
            <w:tcW w:w="17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040" w:type="dxa"/>
            <w:vAlign w:val="bottom"/>
            <w:gridSpan w:val="2"/>
          </w:tcPr>
          <w:p>
            <w:pPr>
              <w:ind w:left="320"/>
              <w:spacing w:after="0"/>
              <w:rPr>
                <w:sz w:val="20"/>
                <w:szCs w:val="20"/>
                <w:color w:val="auto"/>
              </w:rPr>
            </w:pPr>
            <w:r>
              <w:rPr>
                <w:rFonts w:ascii="Arial" w:cs="Arial" w:eastAsia="Arial" w:hAnsi="Arial"/>
                <w:sz w:val="18"/>
                <w:szCs w:val="18"/>
                <w:color w:val="auto"/>
              </w:rPr>
              <w:t>Regeneron expense reimbursement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51"/>
        </w:trPr>
        <w:tc>
          <w:tcPr>
            <w:tcW w:w="704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payments</w:t>
            </w:r>
          </w:p>
        </w:tc>
        <w:tc>
          <w:tcPr>
            <w:tcW w:w="172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4</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0C0C0"/>
            </w:tcBorders>
            <w:gridSpan w:val="2"/>
          </w:tcPr>
          <w:p>
            <w:pPr>
              <w:ind w:left="620"/>
              <w:spacing w:after="0"/>
              <w:rPr>
                <w:sz w:val="20"/>
                <w:szCs w:val="20"/>
                <w:color w:val="auto"/>
              </w:rPr>
            </w:pPr>
            <w:r>
              <w:rPr>
                <w:rFonts w:ascii="Arial" w:cs="Arial" w:eastAsia="Arial" w:hAnsi="Arial"/>
                <w:sz w:val="18"/>
                <w:szCs w:val="18"/>
                <w:color w:val="auto"/>
              </w:rPr>
              <w:t>Total aflibercept</w:t>
            </w:r>
          </w:p>
        </w:tc>
        <w:tc>
          <w:tcPr>
            <w:tcW w:w="17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r>
              <w:rPr>
                <w:rFonts w:ascii="Arial" w:cs="Arial" w:eastAsia="Arial" w:hAnsi="Arial"/>
                <w:sz w:val="18"/>
                <w:szCs w:val="18"/>
                <w:u w:val="single" w:color="auto"/>
                <w:color w:val="auto"/>
              </w:rPr>
              <w:t>0</w:t>
            </w:r>
          </w:p>
        </w:tc>
        <w:tc>
          <w:tcPr>
            <w:tcW w:w="0" w:type="dxa"/>
            <w:vAlign w:val="bottom"/>
          </w:tcPr>
          <w:p>
            <w:pPr>
              <w:spacing w:after="0"/>
              <w:rPr>
                <w:sz w:val="1"/>
                <w:szCs w:val="1"/>
                <w:color w:val="auto"/>
              </w:rPr>
            </w:pPr>
          </w:p>
        </w:tc>
      </w:tr>
      <w:tr>
        <w:trPr>
          <w:trHeight w:val="243"/>
        </w:trPr>
        <w:tc>
          <w:tcPr>
            <w:tcW w:w="70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Antibody:</w:t>
            </w:r>
          </w:p>
        </w:tc>
        <w:tc>
          <w:tcPr>
            <w:tcW w:w="17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040" w:type="dxa"/>
            <w:vAlign w:val="bottom"/>
            <w:gridSpan w:val="2"/>
          </w:tcPr>
          <w:p>
            <w:pPr>
              <w:ind w:left="320"/>
              <w:spacing w:after="0"/>
              <w:rPr>
                <w:sz w:val="20"/>
                <w:szCs w:val="20"/>
                <w:color w:val="auto"/>
              </w:rPr>
            </w:pPr>
            <w:r>
              <w:rPr>
                <w:rFonts w:ascii="Arial" w:cs="Arial" w:eastAsia="Arial" w:hAnsi="Arial"/>
                <w:sz w:val="18"/>
                <w:szCs w:val="18"/>
                <w:color w:val="auto"/>
              </w:rPr>
              <w:t>Regeneron expense reimbursement</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202.7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51"/>
        </w:trPr>
        <w:tc>
          <w:tcPr>
            <w:tcW w:w="704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and other payments</w:t>
            </w:r>
          </w:p>
        </w:tc>
        <w:tc>
          <w:tcPr>
            <w:tcW w:w="17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50"/>
        </w:trPr>
        <w:tc>
          <w:tcPr>
            <w:tcW w:w="7040" w:type="dxa"/>
            <w:vAlign w:val="bottom"/>
            <w:tcBorders>
              <w:bottom w:val="single" w:sz="8" w:color="C0C0C0"/>
            </w:tcBorders>
            <w:gridSpan w:val="2"/>
          </w:tcPr>
          <w:p>
            <w:pPr>
              <w:ind w:left="320"/>
              <w:spacing w:after="0"/>
              <w:rPr>
                <w:sz w:val="20"/>
                <w:szCs w:val="20"/>
                <w:color w:val="auto"/>
              </w:rPr>
            </w:pPr>
            <w:r>
              <w:rPr>
                <w:rFonts w:ascii="Arial" w:cs="Arial" w:eastAsia="Arial" w:hAnsi="Arial"/>
                <w:sz w:val="18"/>
                <w:szCs w:val="18"/>
                <w:color w:val="auto"/>
              </w:rPr>
              <w:t xml:space="preserve">Recognition of revenue related to </w:t>
            </w:r>
            <w:r>
              <w:rPr>
                <w:rFonts w:ascii="Arial" w:cs="Arial" w:eastAsia="Arial" w:hAnsi="Arial"/>
                <w:sz w:val="18"/>
                <w:szCs w:val="18"/>
                <w:i w:val="1"/>
                <w:iCs w:val="1"/>
                <w:color w:val="auto"/>
              </w:rPr>
              <w:t>VelociGene</w:t>
            </w:r>
            <w:r>
              <w:rPr>
                <w:rFonts w:ascii="Arial" w:cs="Arial" w:eastAsia="Arial" w:hAnsi="Arial"/>
                <w:sz w:val="12"/>
                <w:szCs w:val="12"/>
                <w:color w:val="auto"/>
              </w:rPr>
              <w:t>®</w:t>
            </w:r>
            <w:r>
              <w:rPr>
                <w:rFonts w:ascii="Arial" w:cs="Arial" w:eastAsia="Arial" w:hAnsi="Arial"/>
                <w:sz w:val="18"/>
                <w:szCs w:val="18"/>
                <w:color w:val="auto"/>
              </w:rPr>
              <w:t xml:space="preserve"> agreement</w:t>
            </w:r>
          </w:p>
        </w:tc>
        <w:tc>
          <w:tcPr>
            <w:tcW w:w="172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2</w:t>
            </w:r>
          </w:p>
        </w:tc>
        <w:tc>
          <w:tcPr>
            <w:tcW w:w="0" w:type="dxa"/>
            <w:vAlign w:val="bottom"/>
          </w:tcPr>
          <w:p>
            <w:pPr>
              <w:spacing w:after="0"/>
              <w:rPr>
                <w:sz w:val="1"/>
                <w:szCs w:val="1"/>
                <w:color w:val="auto"/>
              </w:rPr>
            </w:pPr>
          </w:p>
        </w:tc>
      </w:tr>
      <w:tr>
        <w:trPr>
          <w:trHeight w:val="237"/>
        </w:trPr>
        <w:tc>
          <w:tcPr>
            <w:tcW w:w="7040" w:type="dxa"/>
            <w:vAlign w:val="bottom"/>
            <w:gridSpan w:val="2"/>
            <w:shd w:val="clear" w:color="auto" w:fill="C0C0C0"/>
          </w:tcPr>
          <w:p>
            <w:pPr>
              <w:ind w:left="620"/>
              <w:spacing w:after="0"/>
              <w:rPr>
                <w:sz w:val="20"/>
                <w:szCs w:val="20"/>
                <w:color w:val="auto"/>
              </w:rPr>
            </w:pPr>
            <w:r>
              <w:rPr>
                <w:rFonts w:ascii="Arial" w:cs="Arial" w:eastAsia="Arial" w:hAnsi="Arial"/>
                <w:sz w:val="18"/>
                <w:szCs w:val="18"/>
                <w:color w:val="auto"/>
              </w:rPr>
              <w:t>Total antibody</w:t>
            </w:r>
          </w:p>
        </w:tc>
        <w:tc>
          <w:tcPr>
            <w:tcW w:w="172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209.2</w:t>
            </w:r>
          </w:p>
        </w:tc>
        <w:tc>
          <w:tcPr>
            <w:tcW w:w="28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149.</w:t>
            </w:r>
            <w:r>
              <w:rPr>
                <w:rFonts w:ascii="Arial" w:cs="Arial" w:eastAsia="Arial" w:hAnsi="Arial"/>
                <w:sz w:val="18"/>
                <w:szCs w:val="18"/>
                <w:u w:val="single" w:color="auto"/>
                <w:color w:val="auto"/>
              </w:rPr>
              <w:t>9</w:t>
            </w:r>
          </w:p>
        </w:tc>
        <w:tc>
          <w:tcPr>
            <w:tcW w:w="0" w:type="dxa"/>
            <w:vAlign w:val="bottom"/>
          </w:tcPr>
          <w:p>
            <w:pPr>
              <w:spacing w:after="0"/>
              <w:rPr>
                <w:sz w:val="1"/>
                <w:szCs w:val="1"/>
                <w:color w:val="auto"/>
              </w:rPr>
            </w:pPr>
          </w:p>
        </w:tc>
      </w:tr>
      <w:tr>
        <w:trPr>
          <w:trHeight w:val="242"/>
        </w:trPr>
        <w:tc>
          <w:tcPr>
            <w:tcW w:w="7040" w:type="dxa"/>
            <w:vAlign w:val="bottom"/>
            <w:gridSpan w:val="2"/>
          </w:tcPr>
          <w:p>
            <w:pPr>
              <w:spacing w:after="0"/>
              <w:rPr>
                <w:sz w:val="20"/>
                <w:szCs w:val="20"/>
                <w:color w:val="auto"/>
              </w:rPr>
            </w:pPr>
            <w:r>
              <w:rPr>
                <w:rFonts w:ascii="Arial" w:cs="Arial" w:eastAsia="Arial" w:hAnsi="Arial"/>
                <w:sz w:val="18"/>
                <w:szCs w:val="18"/>
                <w:color w:val="auto"/>
              </w:rPr>
              <w:t>Total sanofi-aventis collaboration revenue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229.2</w:t>
            </w:r>
          </w:p>
        </w:tc>
        <w:tc>
          <w:tcPr>
            <w:tcW w:w="2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8"/>
        </w:trPr>
        <w:tc>
          <w:tcPr>
            <w:tcW w:w="28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both"/>
        <w:ind w:firstLine="297"/>
        <w:spacing w:after="0" w:line="268" w:lineRule="auto"/>
        <w:rPr>
          <w:sz w:val="20"/>
          <w:szCs w:val="20"/>
          <w:color w:val="auto"/>
        </w:rPr>
      </w:pPr>
      <w:r>
        <w:rPr>
          <w:rFonts w:ascii="Arial" w:cs="Arial" w:eastAsia="Arial" w:hAnsi="Arial"/>
          <w:sz w:val="18"/>
          <w:szCs w:val="18"/>
          <w:color w:val="auto"/>
        </w:rPr>
        <w:t>Sanofi-aventis’ reimbursement of our aflibercept expenses decreased in the first nine months of 2010 compared to the same period in 2009, primarily due to lower costs related to manufacturing aflibercept clinical supplies as well as a decrease in internal research activities.</w:t>
      </w:r>
    </w:p>
    <w:p>
      <w:pPr>
        <w:spacing w:after="0" w:line="213" w:lineRule="exact"/>
        <w:rPr>
          <w:sz w:val="20"/>
          <w:szCs w:val="20"/>
          <w:color w:val="auto"/>
        </w:rPr>
      </w:pPr>
    </w:p>
    <w:p>
      <w:pPr>
        <w:jc w:val="both"/>
        <w:ind w:firstLine="338"/>
        <w:spacing w:after="0" w:line="298" w:lineRule="auto"/>
        <w:rPr>
          <w:sz w:val="20"/>
          <w:szCs w:val="20"/>
          <w:color w:val="auto"/>
        </w:rPr>
      </w:pPr>
      <w:r>
        <w:rPr>
          <w:rFonts w:ascii="Arial" w:cs="Arial" w:eastAsia="Arial" w:hAnsi="Arial"/>
          <w:sz w:val="16"/>
          <w:szCs w:val="16"/>
          <w:color w:val="auto"/>
        </w:rPr>
        <w:t>In the first nine months of 2010, sanofi-aventis’ reimbursement of our antibody expenses consisted of $100.3 million under the discovery agreement and $102.4 million of development costs under the license agreement, compared to $76.7 million and $63.1 million, respectively, in the first nine months of 2009. The higher reimbursement amounts in the first nine months of 2010 compared to the same period in 2009 were due to an increase in our research activities conducted under the discovery agreement and increases in our development activities for antibody candidates under the license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0" w:name="page31"/>
    <w:bookmarkEnd w:id="30"/>
    <w:p>
      <w:pPr>
        <w:jc w:val="both"/>
        <w:ind w:firstLine="220"/>
        <w:spacing w:after="0" w:line="332" w:lineRule="auto"/>
        <w:rPr>
          <w:sz w:val="20"/>
          <w:szCs w:val="20"/>
          <w:color w:val="auto"/>
        </w:rPr>
      </w:pPr>
      <w:r>
        <w:rPr>
          <w:rFonts w:ascii="Arial" w:cs="Arial" w:eastAsia="Arial" w:hAnsi="Arial"/>
          <w:sz w:val="16"/>
          <w:szCs w:val="16"/>
          <w:color w:val="auto"/>
        </w:rPr>
        <w:t>Recognition of deferred revenue, related primarily to sanofi-aventis’ $85.0 million up-front payment, decreased during the first nine months of 2010 compared to the same period in 2009 due to the November 2009 amendments to expand and extend the companies’ antibody collaboration.</w:t>
      </w:r>
    </w:p>
    <w:p>
      <w:pPr>
        <w:spacing w:after="0" w:line="163" w:lineRule="exact"/>
        <w:rPr>
          <w:sz w:val="20"/>
          <w:szCs w:val="20"/>
          <w:color w:val="auto"/>
        </w:rPr>
      </w:pPr>
    </w:p>
    <w:p>
      <w:pPr>
        <w:jc w:val="both"/>
        <w:ind w:firstLine="378"/>
        <w:spacing w:after="0" w:line="219" w:lineRule="auto"/>
        <w:rPr>
          <w:sz w:val="20"/>
          <w:szCs w:val="20"/>
          <w:color w:val="auto"/>
        </w:rPr>
      </w:pPr>
      <w:r>
        <w:rPr>
          <w:rFonts w:ascii="Arial" w:cs="Arial" w:eastAsia="Arial" w:hAnsi="Arial"/>
          <w:sz w:val="18"/>
          <w:szCs w:val="18"/>
          <w:color w:val="auto"/>
        </w:rPr>
        <w:t xml:space="preserve">In August 2008, we entered into a separate </w:t>
      </w:r>
      <w:r>
        <w:rPr>
          <w:rFonts w:ascii="Arial" w:cs="Arial" w:eastAsia="Arial" w:hAnsi="Arial"/>
          <w:sz w:val="18"/>
          <w:szCs w:val="18"/>
          <w:i w:val="1"/>
          <w:iCs w:val="1"/>
          <w:color w:val="auto"/>
        </w:rPr>
        <w:t>VelociGene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agreement with sanofi-aventis. For the nine months ended September 30, 2010 and 2009, we recognized $1.2 million and $2.2 million, respectively, in revenue related to this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52"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The collaboration revenue we earn from Bayer HealthCare, as detailed below, consists of cost sharing of Regeneron VEGF Trap-Eye development expenses, substantive performance milestone payments, and recognition of revenue related to a non-refundable $75.0 million up-front payment received in October 2006 and a $20.0 million milestone payment received in August 2007 (which, for the purpose of revenue recognition, was not considered substantive).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4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520" w:type="dxa"/>
            <w:vAlign w:val="bottom"/>
            <w:gridSpan w:val="5"/>
          </w:tcPr>
          <w:p>
            <w:pPr>
              <w:jc w:val="right"/>
              <w:spacing w:after="0"/>
              <w:rPr>
                <w:sz w:val="20"/>
                <w:szCs w:val="20"/>
                <w:color w:val="auto"/>
              </w:rPr>
            </w:pPr>
            <w:r>
              <w:rPr>
                <w:rFonts w:ascii="Arial" w:cs="Arial" w:eastAsia="Arial" w:hAnsi="Arial"/>
                <w:sz w:val="18"/>
                <w:szCs w:val="18"/>
                <w:b w:val="1"/>
                <w:bCs w:val="1"/>
                <w:color w:val="auto"/>
                <w:w w:val="87"/>
              </w:rPr>
              <w:t>Nine months ended</w:t>
            </w:r>
          </w:p>
        </w:tc>
      </w:tr>
      <w:tr>
        <w:trPr>
          <w:trHeight w:val="205"/>
        </w:trPr>
        <w:tc>
          <w:tcPr>
            <w:tcW w:w="99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Bayer HealthCare Collaboration Revenue</w:t>
            </w:r>
          </w:p>
        </w:tc>
        <w:tc>
          <w:tcPr>
            <w:tcW w:w="140" w:type="dxa"/>
            <w:vAlign w:val="bottom"/>
          </w:tcPr>
          <w:p>
            <w:pPr>
              <w:spacing w:after="0"/>
              <w:rPr>
                <w:sz w:val="17"/>
                <w:szCs w:val="17"/>
                <w:color w:val="auto"/>
              </w:rPr>
            </w:pPr>
          </w:p>
        </w:tc>
        <w:tc>
          <w:tcPr>
            <w:tcW w:w="1380" w:type="dxa"/>
            <w:vAlign w:val="bottom"/>
            <w:gridSpan w:val="4"/>
          </w:tcPr>
          <w:p>
            <w:pPr>
              <w:jc w:val="right"/>
              <w:ind w:right="132"/>
              <w:spacing w:after="0" w:line="205" w:lineRule="exact"/>
              <w:rPr>
                <w:sz w:val="20"/>
                <w:szCs w:val="20"/>
                <w:color w:val="auto"/>
              </w:rPr>
            </w:pPr>
            <w:r>
              <w:rPr>
                <w:rFonts w:ascii="Arial" w:cs="Arial" w:eastAsia="Arial" w:hAnsi="Arial"/>
                <w:sz w:val="18"/>
                <w:szCs w:val="18"/>
                <w:b w:val="1"/>
                <w:bCs w:val="1"/>
                <w:color w:val="auto"/>
                <w:w w:val="92"/>
              </w:rPr>
              <w:t>September 30,</w:t>
            </w:r>
          </w:p>
        </w:tc>
      </w:tr>
      <w:tr>
        <w:trPr>
          <w:trHeight w:val="34"/>
        </w:trPr>
        <w:tc>
          <w:tcPr>
            <w:tcW w:w="3140" w:type="dxa"/>
            <w:vAlign w:val="bottom"/>
            <w:tcBorders>
              <w:top w:val="single" w:sz="8" w:color="auto"/>
            </w:tcBorders>
          </w:tcPr>
          <w:p>
            <w:pPr>
              <w:spacing w:after="0"/>
              <w:rPr>
                <w:sz w:val="2"/>
                <w:szCs w:val="2"/>
                <w:color w:val="auto"/>
              </w:rPr>
            </w:pPr>
          </w:p>
        </w:tc>
        <w:tc>
          <w:tcPr>
            <w:tcW w:w="6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99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2010</w:t>
            </w:r>
          </w:p>
        </w:tc>
        <w:tc>
          <w:tcPr>
            <w:tcW w:w="28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2009</w:t>
            </w:r>
          </w:p>
        </w:tc>
      </w:tr>
      <w:tr>
        <w:trPr>
          <w:trHeight w:val="243"/>
        </w:trPr>
        <w:tc>
          <w:tcPr>
            <w:tcW w:w="99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Cost-sharing of Regeneron VEGF Trap-Eye development expenses</w:t>
            </w: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33.1</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27.5</w:t>
            </w:r>
          </w:p>
        </w:tc>
      </w:tr>
      <w:tr>
        <w:trPr>
          <w:trHeight w:val="235"/>
        </w:trPr>
        <w:tc>
          <w:tcPr>
            <w:tcW w:w="9900" w:type="dxa"/>
            <w:vAlign w:val="bottom"/>
            <w:gridSpan w:val="2"/>
          </w:tcPr>
          <w:p>
            <w:pPr>
              <w:spacing w:after="0"/>
              <w:rPr>
                <w:sz w:val="20"/>
                <w:szCs w:val="20"/>
                <w:color w:val="auto"/>
              </w:rPr>
            </w:pPr>
            <w:r>
              <w:rPr>
                <w:rFonts w:ascii="Arial" w:cs="Arial" w:eastAsia="Arial" w:hAnsi="Arial"/>
                <w:sz w:val="18"/>
                <w:szCs w:val="18"/>
                <w:color w:val="auto"/>
              </w:rPr>
              <w:t>Substantive performance milestone payment</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44"/>
        </w:trPr>
        <w:tc>
          <w:tcPr>
            <w:tcW w:w="99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Recognition of deferred revenue related to up-front and milestone payments</w:t>
            </w:r>
          </w:p>
        </w:tc>
        <w:tc>
          <w:tcPr>
            <w:tcW w:w="140" w:type="dxa"/>
            <w:vAlign w:val="bottom"/>
            <w:tcBorders>
              <w:bottom w:val="single" w:sz="8" w:color="auto"/>
            </w:tcBorders>
            <w:shd w:val="clear" w:color="auto" w:fill="C0C0C0"/>
          </w:tcPr>
          <w:p>
            <w:pPr>
              <w:spacing w:after="0"/>
              <w:rPr>
                <w:sz w:val="21"/>
                <w:szCs w:val="21"/>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7.4</w:t>
            </w:r>
          </w:p>
        </w:tc>
      </w:tr>
      <w:tr>
        <w:trPr>
          <w:trHeight w:val="250"/>
        </w:trPr>
        <w:tc>
          <w:tcPr>
            <w:tcW w:w="9900" w:type="dxa"/>
            <w:vAlign w:val="bottom"/>
            <w:gridSpan w:val="2"/>
          </w:tcPr>
          <w:p>
            <w:pPr>
              <w:ind w:left="320"/>
              <w:spacing w:after="0"/>
              <w:rPr>
                <w:sz w:val="20"/>
                <w:szCs w:val="20"/>
                <w:color w:val="auto"/>
              </w:rPr>
            </w:pPr>
            <w:r>
              <w:rPr>
                <w:rFonts w:ascii="Arial" w:cs="Arial" w:eastAsia="Arial" w:hAnsi="Arial"/>
                <w:sz w:val="18"/>
                <w:szCs w:val="18"/>
                <w:color w:val="auto"/>
              </w:rPr>
              <w:t>Total Bayer HealthCare collaboration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r>
    </w:tbl>
    <w:p>
      <w:pPr>
        <w:spacing w:after="0" w:line="27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Cost-sharing of our VEGF Trap-Eye development expenses with Bayer HealthCare increased in the first nine months of 2010, compared to the same period in 2009, due to higher internal development activities, higher costs related to manufacturing VEGF Trap-Eye clinical supplies, and higher clinical development costs in connection with our Phase 3 trial in CRVO. In July 2009, we received a $20.0 million substantive milestone payment from Bayer HealthCare in connection with the dosing of the first patient in a Phase 3 trial of VEGF Trap-Eye in CRVO. The payment was recognized in other collaboration revenue for the nine months ended September 30,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Revenue</w:t>
      </w:r>
    </w:p>
    <w:p>
      <w:pPr>
        <w:spacing w:after="0" w:line="25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 xml:space="preserve">In connection with our </w:t>
      </w:r>
      <w:r>
        <w:rPr>
          <w:rFonts w:ascii="Arial" w:cs="Arial" w:eastAsia="Arial" w:hAnsi="Arial"/>
          <w:sz w:val="18"/>
          <w:szCs w:val="18"/>
          <w:i w:val="1"/>
          <w:iCs w:val="1"/>
          <w:color w:val="auto"/>
        </w:rPr>
        <w:t>VelocImmune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license agreements with AstraZeneca and Astellas, each of the $20.0 million annual, non-refundable payments have been deferred upon receipt and recognized as revenue ratably over approximately the ensuing year of each agreement In the first nine months of both 2010 and 2009, we recognized $30.0 million of technology licensing revenue related to these agreements. In addition, in connection with the amendment and extension of our license agreement with Astellas, the $165.0 million up-front payment was deferred upon receipt in August 2010 and will be recognized as revenue ratably over a seven-year period beginning in mid-2011.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49" w:lineRule="exact"/>
        <w:rPr>
          <w:sz w:val="20"/>
          <w:szCs w:val="20"/>
          <w:color w:val="auto"/>
        </w:rPr>
      </w:pPr>
    </w:p>
    <w:p>
      <w:pPr>
        <w:jc w:val="both"/>
        <w:ind w:firstLine="311"/>
        <w:spacing w:after="0" w:line="196" w:lineRule="auto"/>
        <w:rPr>
          <w:sz w:val="20"/>
          <w:szCs w:val="20"/>
          <w:color w:val="auto"/>
        </w:rPr>
      </w:pPr>
      <w:r>
        <w:rPr>
          <w:rFonts w:ascii="Arial" w:cs="Arial" w:eastAsia="Arial" w:hAnsi="Arial"/>
          <w:sz w:val="18"/>
          <w:szCs w:val="18"/>
          <w:color w:val="auto"/>
        </w:rPr>
        <w:t>In February 2008, we received marketing approval from the FDA for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for the treatment of CAPS. We had limited historical return experience for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beginning with initial sales in 2008 through the end of 2009; therefore,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 were deferred until the right of return no longer existed and rebates could be reasonably estimated. Effective in the first quarter of 2010, we determined that we had accumulated sufficient historical data to reasonably estimate both product returns and rebates of ARCALYST</w:t>
      </w:r>
      <w:r>
        <w:rPr>
          <w:rFonts w:ascii="Arial" w:cs="Arial" w:eastAsia="Arial" w:hAnsi="Arial"/>
          <w:sz w:val="24"/>
          <w:szCs w:val="24"/>
          <w:color w:val="auto"/>
          <w:vertAlign w:val="superscript"/>
        </w:rPr>
        <w:t>®</w:t>
      </w:r>
      <w:r>
        <w:rPr>
          <w:rFonts w:ascii="Arial" w:cs="Arial" w:eastAsia="Arial" w:hAnsi="Arial"/>
          <w:sz w:val="18"/>
          <w:szCs w:val="18"/>
          <w:color w:val="auto"/>
        </w:rPr>
        <w:t>. As a result, for the nine months ended September 30, 2010, w e recognized as revenue $20.0 million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 which included $15.2 million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 made during the period and $4.8 million of previously deferred net product sales. For the nine months ended September 30, 2009, we recognized as revenue $13.4 million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Contract Research and Other Revenue</w:t>
      </w:r>
    </w:p>
    <w:p>
      <w:pPr>
        <w:spacing w:after="0" w:line="225" w:lineRule="exact"/>
        <w:rPr>
          <w:sz w:val="20"/>
          <w:szCs w:val="20"/>
          <w:color w:val="auto"/>
        </w:rPr>
      </w:pPr>
    </w:p>
    <w:p>
      <w:pPr>
        <w:jc w:val="both"/>
        <w:ind w:firstLine="233"/>
        <w:spacing w:after="0" w:line="332" w:lineRule="auto"/>
        <w:rPr>
          <w:sz w:val="20"/>
          <w:szCs w:val="20"/>
          <w:color w:val="auto"/>
        </w:rPr>
      </w:pPr>
      <w:r>
        <w:rPr>
          <w:rFonts w:ascii="Arial" w:cs="Arial" w:eastAsia="Arial" w:hAnsi="Arial"/>
          <w:sz w:val="16"/>
          <w:szCs w:val="16"/>
          <w:color w:val="auto"/>
        </w:rPr>
        <w:t>Contract research and other revenue for the first nine months of 2010 and 2009 included $3.5 million and $4.4 million, respectively, recognized in connection with our five-year grant from the NIH, which we were awarded in September 2006 as part of the NIH’s Knockout Mouse Project.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52"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Total operating expenses increased to $410.1 million in the first nine months of 2010 from $317.2 million in the same period of 2009. Our average headcount increased to 1,206 in the first nine months of 2010 from 967 in the same period of 2009 principally as a result of our expanding research and development activities, which are primarily attributable to our antibody collaboration with sanofi-aventis.</w:t>
      </w:r>
    </w:p>
    <w:p>
      <w:pPr>
        <w:spacing w:after="0" w:line="22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Operating expenses in the first nine months of 2010 and 2009 include a total of $26.3 million and $22.6 million, respectively, of Non-cash Compensation Expense, as detailed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7"/>
          </w:tcPr>
          <w:p>
            <w:pPr>
              <w:jc w:val="right"/>
              <w:ind w:right="232"/>
              <w:spacing w:after="0"/>
              <w:rPr>
                <w:sz w:val="20"/>
                <w:szCs w:val="20"/>
                <w:color w:val="auto"/>
              </w:rPr>
            </w:pPr>
            <w:r>
              <w:rPr>
                <w:rFonts w:ascii="Arial" w:cs="Arial" w:eastAsia="Arial" w:hAnsi="Arial"/>
                <w:sz w:val="18"/>
                <w:szCs w:val="18"/>
                <w:b w:val="1"/>
                <w:bCs w:val="1"/>
                <w:color w:val="auto"/>
                <w:w w:val="90"/>
              </w:rPr>
              <w:t>For the nine months ended September 30, 2010</w:t>
            </w:r>
          </w:p>
        </w:tc>
      </w:tr>
      <w:tr>
        <w:trPr>
          <w:trHeight w:val="228"/>
        </w:trPr>
        <w:tc>
          <w:tcPr>
            <w:tcW w:w="5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Expenses before</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2"/>
        </w:trPr>
        <w:tc>
          <w:tcPr>
            <w:tcW w:w="5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w w:val="99"/>
              </w:rPr>
              <w:t>inclusion of Non-cash</w:t>
            </w:r>
          </w:p>
        </w:tc>
        <w:tc>
          <w:tcPr>
            <w:tcW w:w="120" w:type="dxa"/>
            <w:vAlign w:val="bottom"/>
          </w:tcPr>
          <w:p>
            <w:pPr>
              <w:spacing w:after="0"/>
              <w:rPr>
                <w:sz w:val="21"/>
                <w:szCs w:val="21"/>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Non-cash</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2"/>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Compensation</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w w:val="80"/>
              </w:rPr>
              <w:t>Expenses as</w:t>
            </w:r>
          </w:p>
        </w:tc>
      </w:tr>
      <w:tr>
        <w:trPr>
          <w:trHeight w:val="237"/>
        </w:trPr>
        <w:tc>
          <w:tcPr>
            <w:tcW w:w="586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3"/>
              </w:rPr>
              <w:t>Expense</w:t>
            </w:r>
          </w:p>
        </w:tc>
        <w:tc>
          <w:tcPr>
            <w:tcW w:w="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Expense</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6"/>
              </w:rPr>
              <w:t>Reported</w:t>
            </w:r>
          </w:p>
        </w:tc>
      </w:tr>
      <w:tr>
        <w:trPr>
          <w:trHeight w:val="243"/>
        </w:trPr>
        <w:tc>
          <w:tcPr>
            <w:tcW w:w="586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42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348.7</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364.0</w:t>
            </w:r>
          </w:p>
        </w:tc>
      </w:tr>
      <w:tr>
        <w:trPr>
          <w:trHeight w:val="235"/>
        </w:trPr>
        <w:tc>
          <w:tcPr>
            <w:tcW w:w="58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44"/>
        </w:trPr>
        <w:tc>
          <w:tcPr>
            <w:tcW w:w="5860" w:type="dxa"/>
            <w:vAlign w:val="bottom"/>
            <w:shd w:val="clear" w:color="auto" w:fill="C0C0C0"/>
          </w:tcPr>
          <w:p>
            <w:pPr>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1.5</w:t>
            </w:r>
          </w:p>
        </w:tc>
      </w:tr>
      <w:tr>
        <w:trPr>
          <w:trHeight w:val="242"/>
        </w:trPr>
        <w:tc>
          <w:tcPr>
            <w:tcW w:w="586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383.8</w:t>
            </w:r>
          </w:p>
        </w:tc>
        <w:tc>
          <w:tcPr>
            <w:tcW w:w="28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410.1</w:t>
            </w:r>
          </w:p>
        </w:tc>
      </w:tr>
      <w:tr>
        <w:trPr>
          <w:trHeight w:val="28"/>
        </w:trPr>
        <w:tc>
          <w:tcPr>
            <w:tcW w:w="5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r>
      <w:tr>
        <w:trPr>
          <w:trHeight w:val="493"/>
        </w:trPr>
        <w:tc>
          <w:tcPr>
            <w:tcW w:w="5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7"/>
          </w:tcPr>
          <w:p>
            <w:pPr>
              <w:jc w:val="right"/>
              <w:ind w:right="232"/>
              <w:spacing w:after="0"/>
              <w:rPr>
                <w:sz w:val="20"/>
                <w:szCs w:val="20"/>
                <w:color w:val="auto"/>
              </w:rPr>
            </w:pPr>
            <w:r>
              <w:rPr>
                <w:rFonts w:ascii="Arial" w:cs="Arial" w:eastAsia="Arial" w:hAnsi="Arial"/>
                <w:sz w:val="18"/>
                <w:szCs w:val="18"/>
                <w:b w:val="1"/>
                <w:bCs w:val="1"/>
                <w:color w:val="auto"/>
                <w:w w:val="90"/>
              </w:rPr>
              <w:t>For the nine months ended September 30, 2009</w:t>
            </w:r>
          </w:p>
        </w:tc>
      </w:tr>
      <w:tr>
        <w:trPr>
          <w:trHeight w:val="228"/>
        </w:trPr>
        <w:tc>
          <w:tcPr>
            <w:tcW w:w="5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Expenses before</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2"/>
        </w:trPr>
        <w:tc>
          <w:tcPr>
            <w:tcW w:w="5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w w:val="99"/>
              </w:rPr>
              <w:t>inclusion of Non-cash</w:t>
            </w:r>
          </w:p>
        </w:tc>
        <w:tc>
          <w:tcPr>
            <w:tcW w:w="120" w:type="dxa"/>
            <w:vAlign w:val="bottom"/>
          </w:tcPr>
          <w:p>
            <w:pPr>
              <w:spacing w:after="0"/>
              <w:rPr>
                <w:sz w:val="21"/>
                <w:szCs w:val="21"/>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0"/>
              </w:rPr>
              <w:t>Non-cash</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2"/>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Compensation</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w w:val="80"/>
              </w:rPr>
              <w:t>Expenses as</w:t>
            </w:r>
          </w:p>
        </w:tc>
      </w:tr>
      <w:tr>
        <w:trPr>
          <w:trHeight w:val="237"/>
        </w:trPr>
        <w:tc>
          <w:tcPr>
            <w:tcW w:w="586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3"/>
              </w:rPr>
              <w:t>Expense</w:t>
            </w:r>
          </w:p>
        </w:tc>
        <w:tc>
          <w:tcPr>
            <w:tcW w:w="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Expense</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6"/>
              </w:rPr>
              <w:t>Reported</w:t>
            </w:r>
          </w:p>
        </w:tc>
      </w:tr>
      <w:tr>
        <w:trPr>
          <w:trHeight w:val="243"/>
        </w:trPr>
        <w:tc>
          <w:tcPr>
            <w:tcW w:w="586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42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266.0</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280.0</w:t>
            </w:r>
          </w:p>
        </w:tc>
      </w:tr>
      <w:tr>
        <w:trPr>
          <w:trHeight w:val="235"/>
        </w:trPr>
        <w:tc>
          <w:tcPr>
            <w:tcW w:w="58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44"/>
        </w:trPr>
        <w:tc>
          <w:tcPr>
            <w:tcW w:w="5860" w:type="dxa"/>
            <w:vAlign w:val="bottom"/>
            <w:shd w:val="clear" w:color="auto" w:fill="C0C0C0"/>
          </w:tcPr>
          <w:p>
            <w:pPr>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w:t>
            </w:r>
          </w:p>
        </w:tc>
      </w:tr>
      <w:tr>
        <w:trPr>
          <w:trHeight w:val="242"/>
        </w:trPr>
        <w:tc>
          <w:tcPr>
            <w:tcW w:w="586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294.6</w:t>
            </w:r>
          </w:p>
        </w:tc>
        <w:tc>
          <w:tcPr>
            <w:tcW w:w="28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317.2</w:t>
            </w:r>
          </w:p>
        </w:tc>
      </w:tr>
      <w:tr>
        <w:trPr>
          <w:trHeight w:val="28"/>
        </w:trPr>
        <w:tc>
          <w:tcPr>
            <w:tcW w:w="5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ind w:right="20" w:firstLine="365"/>
        <w:spacing w:after="0" w:line="332" w:lineRule="auto"/>
        <w:rPr>
          <w:sz w:val="20"/>
          <w:szCs w:val="20"/>
          <w:color w:val="auto"/>
        </w:rPr>
      </w:pPr>
      <w:r>
        <w:rPr>
          <w:rFonts w:ascii="Arial" w:cs="Arial" w:eastAsia="Arial" w:hAnsi="Arial"/>
          <w:sz w:val="16"/>
          <w:szCs w:val="16"/>
          <w:color w:val="auto"/>
        </w:rPr>
        <w:t>Research and development expenses increased to $364.0 million in the first nine months of 2010 from $280.0 million in the same period of 2009. The following table summarizes the major categories of our research and development expenses for the nine months ended September 30, 2010 and 2009:</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300" w:type="dxa"/>
            <w:vAlign w:val="bottom"/>
            <w:gridSpan w:val="7"/>
          </w:tcPr>
          <w:p>
            <w:pPr>
              <w:spacing w:after="0"/>
              <w:rPr>
                <w:sz w:val="20"/>
                <w:szCs w:val="20"/>
                <w:color w:val="auto"/>
              </w:rPr>
            </w:pPr>
            <w:r>
              <w:rPr>
                <w:rFonts w:ascii="Arial" w:cs="Arial" w:eastAsia="Arial" w:hAnsi="Arial"/>
                <w:sz w:val="18"/>
                <w:szCs w:val="18"/>
                <w:b w:val="1"/>
                <w:bCs w:val="1"/>
                <w:color w:val="auto"/>
                <w:w w:val="98"/>
              </w:rPr>
              <w:t>For the nine months ended</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52"/>
        </w:trPr>
        <w:tc>
          <w:tcPr>
            <w:tcW w:w="5300" w:type="dxa"/>
            <w:vAlign w:val="bottom"/>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2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gridSpan w:val="6"/>
          </w:tcPr>
          <w:p>
            <w:pPr>
              <w:ind w:left="30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37"/>
        </w:trPr>
        <w:tc>
          <w:tcPr>
            <w:tcW w:w="5300" w:type="dxa"/>
            <w:vAlign w:val="bottom"/>
            <w:tcBorders>
              <w:top w:val="single" w:sz="8" w:color="auto"/>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060" w:type="dxa"/>
            <w:vAlign w:val="bottom"/>
            <w:tcBorders>
              <w:top w:val="single" w:sz="8" w:color="auto"/>
              <w:bottom w:val="single" w:sz="8" w:color="C0C0C0"/>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9"/>
              </w:rPr>
              <w:t>2010</w:t>
            </w:r>
          </w:p>
        </w:tc>
        <w:tc>
          <w:tcPr>
            <w:tcW w:w="120" w:type="dxa"/>
            <w:vAlign w:val="bottom"/>
            <w:tcBorders>
              <w:top w:val="single" w:sz="8" w:color="auto"/>
              <w:bottom w:val="single" w:sz="8" w:color="C0C0C0"/>
            </w:tcBorders>
          </w:tcPr>
          <w:p>
            <w:pPr>
              <w:spacing w:after="0"/>
              <w:rPr>
                <w:sz w:val="20"/>
                <w:szCs w:val="20"/>
                <w:color w:val="auto"/>
              </w:rPr>
            </w:pPr>
          </w:p>
        </w:tc>
        <w:tc>
          <w:tcPr>
            <w:tcW w:w="140" w:type="dxa"/>
            <w:vAlign w:val="bottom"/>
            <w:tcBorders>
              <w:top w:val="single" w:sz="8" w:color="auto"/>
              <w:bottom w:val="single" w:sz="8" w:color="C0C0C0"/>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C0C0C0"/>
            </w:tcBorders>
          </w:tcPr>
          <w:p>
            <w:pPr>
              <w:spacing w:after="0"/>
              <w:rPr>
                <w:sz w:val="20"/>
                <w:szCs w:val="20"/>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2"/>
              </w:rPr>
              <w:t>Increase</w:t>
            </w:r>
          </w:p>
        </w:tc>
      </w:tr>
      <w:tr>
        <w:trPr>
          <w:trHeight w:val="243"/>
        </w:trPr>
        <w:tc>
          <w:tcPr>
            <w:tcW w:w="5300" w:type="dxa"/>
            <w:vAlign w:val="bottom"/>
            <w:shd w:val="clear" w:color="auto" w:fill="C0C0C0"/>
          </w:tcPr>
          <w:p>
            <w:pPr>
              <w:spacing w:after="0"/>
              <w:rPr>
                <w:sz w:val="20"/>
                <w:szCs w:val="20"/>
                <w:color w:val="auto"/>
              </w:rPr>
            </w:pPr>
            <w:r>
              <w:rPr>
                <w:rFonts w:ascii="Arial" w:cs="Arial" w:eastAsia="Arial" w:hAnsi="Arial"/>
                <w:sz w:val="18"/>
                <w:szCs w:val="18"/>
                <w:color w:val="auto"/>
              </w:rPr>
              <w:t>Payroll and benefits (1)</w:t>
            </w:r>
          </w:p>
        </w:tc>
        <w:tc>
          <w:tcPr>
            <w:tcW w:w="2240" w:type="dxa"/>
            <w:vAlign w:val="bottom"/>
            <w:gridSpan w:val="2"/>
            <w:shd w:val="clear" w:color="auto" w:fill="C0C0C0"/>
          </w:tcPr>
          <w:p>
            <w:pPr>
              <w:ind w:left="20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94.3</w:t>
            </w:r>
          </w:p>
        </w:tc>
        <w:tc>
          <w:tcPr>
            <w:tcW w:w="32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71.0</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23.3</w:t>
            </w:r>
          </w:p>
        </w:tc>
      </w:tr>
      <w:tr>
        <w:trPr>
          <w:trHeight w:val="235"/>
        </w:trPr>
        <w:tc>
          <w:tcPr>
            <w:tcW w:w="530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83.8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51"/>
        </w:trPr>
        <w:tc>
          <w:tcPr>
            <w:tcW w:w="5300" w:type="dxa"/>
            <w:vAlign w:val="bottom"/>
            <w:shd w:val="clear" w:color="auto" w:fill="C0C0C0"/>
          </w:tcPr>
          <w:p>
            <w:pPr>
              <w:spacing w:after="0"/>
              <w:rPr>
                <w:sz w:val="20"/>
                <w:szCs w:val="20"/>
                <w:color w:val="auto"/>
              </w:rPr>
            </w:pPr>
            <w:r>
              <w:rPr>
                <w:rFonts w:ascii="Arial" w:cs="Arial" w:eastAsia="Arial" w:hAnsi="Arial"/>
                <w:sz w:val="18"/>
                <w:szCs w:val="18"/>
                <w:color w:val="auto"/>
              </w:rPr>
              <w:t>Clinical manufacturing costs (2)</w:t>
            </w:r>
          </w:p>
        </w:tc>
        <w:tc>
          <w:tcPr>
            <w:tcW w:w="20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46.0</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26.6</w:t>
            </w:r>
          </w:p>
        </w:tc>
      </w:tr>
      <w:tr>
        <w:trPr>
          <w:trHeight w:val="235"/>
        </w:trPr>
        <w:tc>
          <w:tcPr>
            <w:tcW w:w="5300" w:type="dxa"/>
            <w:vAlign w:val="bottom"/>
          </w:tcPr>
          <w:p>
            <w:pPr>
              <w:spacing w:after="0"/>
              <w:rPr>
                <w:sz w:val="20"/>
                <w:szCs w:val="20"/>
                <w:color w:val="auto"/>
              </w:rPr>
            </w:pPr>
            <w:r>
              <w:rPr>
                <w:rFonts w:ascii="Arial" w:cs="Arial" w:eastAsia="Arial" w:hAnsi="Arial"/>
                <w:sz w:val="18"/>
                <w:szCs w:val="18"/>
                <w:color w:val="auto"/>
              </w:rPr>
              <w:t>Research and other development costs</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51"/>
        </w:trPr>
        <w:tc>
          <w:tcPr>
            <w:tcW w:w="5300" w:type="dxa"/>
            <w:vAlign w:val="bottom"/>
            <w:shd w:val="clear" w:color="auto" w:fill="C0C0C0"/>
          </w:tcPr>
          <w:p>
            <w:pPr>
              <w:spacing w:after="0"/>
              <w:rPr>
                <w:sz w:val="20"/>
                <w:szCs w:val="20"/>
                <w:color w:val="auto"/>
              </w:rPr>
            </w:pPr>
            <w:r>
              <w:rPr>
                <w:rFonts w:ascii="Arial" w:cs="Arial" w:eastAsia="Arial" w:hAnsi="Arial"/>
                <w:sz w:val="18"/>
                <w:szCs w:val="18"/>
                <w:color w:val="auto"/>
              </w:rPr>
              <w:t>Occupancy and other operating costs</w:t>
            </w:r>
          </w:p>
        </w:tc>
        <w:tc>
          <w:tcPr>
            <w:tcW w:w="20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27.9</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w:t>
            </w:r>
          </w:p>
        </w:tc>
      </w:tr>
      <w:tr>
        <w:trPr>
          <w:trHeight w:val="228"/>
        </w:trPr>
        <w:tc>
          <w:tcPr>
            <w:tcW w:w="5300" w:type="dxa"/>
            <w:vAlign w:val="bottom"/>
          </w:tcPr>
          <w:p>
            <w:pPr>
              <w:spacing w:after="0"/>
              <w:rPr>
                <w:sz w:val="20"/>
                <w:szCs w:val="20"/>
                <w:color w:val="auto"/>
              </w:rPr>
            </w:pPr>
            <w:r>
              <w:rPr>
                <w:rFonts w:ascii="Arial" w:cs="Arial" w:eastAsia="Arial" w:hAnsi="Arial"/>
                <w:sz w:val="18"/>
                <w:szCs w:val="18"/>
                <w:color w:val="auto"/>
              </w:rPr>
              <w:t>Cost-sharing of Bayer HealthCare VEGF</w:t>
            </w: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52"/>
        </w:trPr>
        <w:tc>
          <w:tcPr>
            <w:tcW w:w="530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Trap-Eye development expenses (3)</w:t>
            </w:r>
          </w:p>
        </w:tc>
        <w:tc>
          <w:tcPr>
            <w:tcW w:w="206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42"/>
        </w:trPr>
        <w:tc>
          <w:tcPr>
            <w:tcW w:w="53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Total research and development expenses</w:t>
            </w:r>
          </w:p>
        </w:tc>
        <w:tc>
          <w:tcPr>
            <w:tcW w:w="2240" w:type="dxa"/>
            <w:vAlign w:val="bottom"/>
            <w:gridSpan w:val="2"/>
            <w:shd w:val="clear" w:color="auto" w:fill="C0C0C0"/>
          </w:tcPr>
          <w:p>
            <w:pPr>
              <w:ind w:left="20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364.0</w:t>
            </w:r>
          </w:p>
        </w:tc>
        <w:tc>
          <w:tcPr>
            <w:tcW w:w="32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280.0</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84.0</w:t>
            </w:r>
          </w:p>
        </w:tc>
      </w:tr>
      <w:tr>
        <w:trPr>
          <w:trHeight w:val="28"/>
        </w:trPr>
        <w:tc>
          <w:tcPr>
            <w:tcW w:w="5300" w:type="dxa"/>
            <w:vAlign w:val="bottom"/>
            <w:shd w:val="clear" w:color="auto" w:fill="C0C0C0"/>
          </w:tcPr>
          <w:p>
            <w:pPr>
              <w:spacing w:after="0"/>
              <w:rPr>
                <w:sz w:val="2"/>
                <w:szCs w:val="2"/>
                <w:color w:val="auto"/>
              </w:rPr>
            </w:pPr>
          </w:p>
        </w:tc>
        <w:tc>
          <w:tcPr>
            <w:tcW w:w="206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r>
    </w:tbl>
    <w:p>
      <w:pPr>
        <w:spacing w:after="0" w:line="262" w:lineRule="exact"/>
        <w:rPr>
          <w:sz w:val="20"/>
          <w:szCs w:val="20"/>
          <w:color w:val="auto"/>
        </w:rPr>
      </w:pPr>
    </w:p>
    <w:p>
      <w:pPr>
        <w:ind w:left="760" w:hanging="482"/>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$13.1 million and $11.8 million of Non-cash Compensation Expense for the nine months ended September 30, 2010 and 2009, respectively.</w:t>
      </w:r>
    </w:p>
    <w:p>
      <w:pPr>
        <w:spacing w:after="0" w:line="288" w:lineRule="exact"/>
        <w:rPr>
          <w:rFonts w:ascii="Arial" w:cs="Arial" w:eastAsia="Arial" w:hAnsi="Arial"/>
          <w:sz w:val="16"/>
          <w:szCs w:val="16"/>
          <w:color w:val="auto"/>
        </w:rPr>
      </w:pPr>
    </w:p>
    <w:p>
      <w:pPr>
        <w:jc w:val="both"/>
        <w:ind w:left="760" w:hanging="482"/>
        <w:spacing w:after="0" w:line="306"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$2.2 million of Non-cash Compensation Expense for both the nine months ended September 30, 2010 and 2009.</w:t>
      </w:r>
    </w:p>
    <w:p>
      <w:pPr>
        <w:spacing w:after="0" w:line="187" w:lineRule="exact"/>
        <w:rPr>
          <w:rFonts w:ascii="Arial" w:cs="Arial" w:eastAsia="Arial" w:hAnsi="Arial"/>
          <w:sz w:val="16"/>
          <w:szCs w:val="16"/>
          <w:color w:val="auto"/>
        </w:rPr>
      </w:pPr>
    </w:p>
    <w:p>
      <w:pPr>
        <w:jc w:val="both"/>
        <w:ind w:left="760" w:hanging="482"/>
        <w:spacing w:after="0" w:line="255"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Under our collaboration with Bayer HealthCare, in periods when Bayer HealthCare incurs VEGF Trap-Eye development expenses, we also recognize, as additional research and development expense, the portion of Bayer HealthCare’s VEGF Trap-Eye development expenses that we are obligated to reimburse. Bayer HealthCare provides us with estimated VEGF Trap-Eye development expenses for the most recent fiscal quarter. Bayer HealthCare’s estimate is reconciled to its actual expenses for such quarter in the subsequent fiscal quarter and our portion of its VEGF Trap-Eye development expenses that we are obligated to reimburse is adjusted accordingly.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593" w:gutter="0" w:footer="0" w:header="0"/>
        </w:sectPr>
      </w:pPr>
    </w:p>
    <w:bookmarkStart w:id="32" w:name="page33"/>
    <w:bookmarkEnd w:id="32"/>
    <w:p>
      <w:pPr>
        <w:jc w:val="both"/>
        <w:ind w:firstLine="274"/>
        <w:spacing w:after="0" w:line="255" w:lineRule="auto"/>
        <w:rPr>
          <w:sz w:val="20"/>
          <w:szCs w:val="20"/>
          <w:color w:val="auto"/>
        </w:rPr>
      </w:pPr>
      <w:r>
        <w:rPr>
          <w:rFonts w:ascii="Arial" w:cs="Arial" w:eastAsia="Arial" w:hAnsi="Arial"/>
          <w:sz w:val="16"/>
          <w:szCs w:val="16"/>
          <w:color w:val="auto"/>
        </w:rPr>
        <w:t>Payroll and benefits increased principally due to the increase in employee headcount, as described above. Clinical trial expenses increased due primarily to higher costs related to our clinical development programs for VEGF Trap-Eye, principally in connection with our COPERNICUS trial in CRVO, and certain monoclonal antibody candidates, which are in earlier stage clinical development, partly offset by lower costs related to our Phase 3 clinical development program for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gout. Clinical manufacturing costs increased primarily due to higher facility-related costs in connection with the expansion of our manufacturing capacity at our Rensselaer facility. In addition, we incurred higher costs related to manufacturing clinical supplies of VEGF Trap-Eye, ARCALYST</w:t>
      </w:r>
      <w:r>
        <w:rPr>
          <w:rFonts w:ascii="Arial" w:cs="Arial" w:eastAsia="Arial" w:hAnsi="Arial"/>
          <w:sz w:val="22"/>
          <w:szCs w:val="22"/>
          <w:color w:val="auto"/>
          <w:vertAlign w:val="superscript"/>
        </w:rPr>
        <w:t>®</w:t>
      </w:r>
      <w:r>
        <w:rPr>
          <w:rFonts w:ascii="Arial" w:cs="Arial" w:eastAsia="Arial" w:hAnsi="Arial"/>
          <w:sz w:val="16"/>
          <w:szCs w:val="16"/>
          <w:color w:val="auto"/>
        </w:rPr>
        <w:t>, and certain monoclonal antibodies partly offset by lower costs related to manufacturing clinical supplies of aflibercept. Research and other development costs increased primarily due to higher costs associated with our VEGF Trap-Eye, ARCALYST</w:t>
      </w:r>
      <w:r>
        <w:rPr>
          <w:rFonts w:ascii="Arial" w:cs="Arial" w:eastAsia="Arial" w:hAnsi="Arial"/>
          <w:sz w:val="22"/>
          <w:szCs w:val="22"/>
          <w:color w:val="auto"/>
          <w:vertAlign w:val="superscript"/>
        </w:rPr>
        <w:t>®</w:t>
      </w:r>
      <w:r>
        <w:rPr>
          <w:rFonts w:ascii="Arial" w:cs="Arial" w:eastAsia="Arial" w:hAnsi="Arial"/>
          <w:sz w:val="16"/>
          <w:szCs w:val="16"/>
          <w:color w:val="auto"/>
        </w:rPr>
        <w:t>, and antibody programs. Occupancy and other operating costs increased principally in connection with our higher headcount, expanded research and development activities, and new and expanded leased laboratory and office facilities in Tarrytown, New York. Cost-sharing of Bayer HealthCare’s VEGF Trap-Eye development expenses increased primarily due to higher costs in connection with the VIEW 2 trial in wet AMD and the GALILEO trial in CRVO, both of which are being conducted by Bayer HealthCare.</w:t>
      </w:r>
    </w:p>
    <w:p>
      <w:pPr>
        <w:spacing w:after="0" w:line="229"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6"/>
          <w:szCs w:val="16"/>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VEGF Trap-Eye development expenses that we are obligated to reimburse. Our estimates of research and development costs for clinical development programs are shown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160" w:type="dxa"/>
            <w:vAlign w:val="bottom"/>
            <w:gridSpan w:val="6"/>
          </w:tcPr>
          <w:p>
            <w:pPr>
              <w:spacing w:after="0"/>
              <w:rPr>
                <w:sz w:val="20"/>
                <w:szCs w:val="20"/>
                <w:color w:val="auto"/>
              </w:rPr>
            </w:pPr>
            <w:r>
              <w:rPr>
                <w:rFonts w:ascii="Arial" w:cs="Arial" w:eastAsia="Arial" w:hAnsi="Arial"/>
                <w:sz w:val="18"/>
                <w:szCs w:val="18"/>
                <w:b w:val="1"/>
                <w:bCs w:val="1"/>
                <w:color w:val="auto"/>
                <w:w w:val="92"/>
              </w:rPr>
              <w:t>For the nine months ended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0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Project Costs</w:t>
            </w:r>
          </w:p>
        </w:tc>
        <w:tc>
          <w:tcPr>
            <w:tcW w:w="160" w:type="dxa"/>
            <w:vAlign w:val="bottom"/>
          </w:tcPr>
          <w:p>
            <w:pPr>
              <w:spacing w:after="0"/>
              <w:rPr>
                <w:sz w:val="17"/>
                <w:szCs w:val="17"/>
                <w:color w:val="auto"/>
              </w:rPr>
            </w:pPr>
          </w:p>
        </w:tc>
        <w:tc>
          <w:tcPr>
            <w:tcW w:w="2000" w:type="dxa"/>
            <w:vAlign w:val="bottom"/>
            <w:gridSpan w:val="5"/>
          </w:tcPr>
          <w:p>
            <w:pPr>
              <w:ind w:left="300"/>
              <w:spacing w:after="0" w:line="205" w:lineRule="exact"/>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72"/>
              <w:spacing w:after="0" w:line="205" w:lineRule="exact"/>
              <w:rPr>
                <w:sz w:val="20"/>
                <w:szCs w:val="20"/>
                <w:color w:val="auto"/>
              </w:rPr>
            </w:pPr>
            <w:r>
              <w:rPr>
                <w:rFonts w:ascii="Arial" w:cs="Arial" w:eastAsia="Arial" w:hAnsi="Arial"/>
                <w:sz w:val="18"/>
                <w:szCs w:val="18"/>
                <w:b w:val="1"/>
                <w:bCs w:val="1"/>
                <w:color w:val="auto"/>
                <w:w w:val="90"/>
              </w:rPr>
              <w:t>Increase</w:t>
            </w:r>
          </w:p>
        </w:tc>
        <w:tc>
          <w:tcPr>
            <w:tcW w:w="0" w:type="dxa"/>
            <w:vAlign w:val="bottom"/>
          </w:tcPr>
          <w:p>
            <w:pPr>
              <w:spacing w:after="0"/>
              <w:rPr>
                <w:sz w:val="1"/>
                <w:szCs w:val="1"/>
                <w:color w:val="auto"/>
              </w:rPr>
            </w:pPr>
          </w:p>
        </w:tc>
      </w:tr>
      <w:tr>
        <w:trPr>
          <w:trHeight w:val="34"/>
        </w:trPr>
        <w:tc>
          <w:tcPr>
            <w:tcW w:w="10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i w:val="1"/>
                <w:iCs w:val="1"/>
                <w:color w:val="auto"/>
                <w:w w:val="96"/>
              </w:rPr>
              <w:t>(In millions)</w:t>
            </w:r>
          </w:p>
        </w:tc>
        <w:tc>
          <w:tcPr>
            <w:tcW w:w="604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(Decrease)</w:t>
            </w:r>
          </w:p>
        </w:tc>
        <w:tc>
          <w:tcPr>
            <w:tcW w:w="0" w:type="dxa"/>
            <w:vAlign w:val="bottom"/>
          </w:tcPr>
          <w:p>
            <w:pPr>
              <w:spacing w:after="0"/>
              <w:rPr>
                <w:sz w:val="1"/>
                <w:szCs w:val="1"/>
                <w:color w:val="auto"/>
              </w:rPr>
            </w:pPr>
          </w:p>
        </w:tc>
      </w:tr>
      <w:tr>
        <w:trPr>
          <w:trHeight w:val="230"/>
        </w:trPr>
        <w:tc>
          <w:tcPr>
            <w:tcW w:w="1000" w:type="dxa"/>
            <w:vAlign w:val="bottom"/>
            <w:tcBorders>
              <w:bottom w:val="single" w:sz="8" w:color="C0C0C0"/>
            </w:tcBorders>
            <w:vMerge w:val="continue"/>
          </w:tcPr>
          <w:p>
            <w:pPr>
              <w:spacing w:after="0"/>
              <w:rPr>
                <w:sz w:val="20"/>
                <w:szCs w:val="20"/>
                <w:color w:val="auto"/>
              </w:rPr>
            </w:pPr>
          </w:p>
        </w:tc>
        <w:tc>
          <w:tcPr>
            <w:tcW w:w="6040" w:type="dxa"/>
            <w:vAlign w:val="bottom"/>
            <w:tcBorders>
              <w:bottom w:val="single" w:sz="8" w:color="C0C0C0"/>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96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ARCALYST</w:t>
            </w:r>
            <w:r>
              <w:rPr>
                <w:rFonts w:ascii="Arial" w:cs="Arial" w:eastAsia="Arial" w:hAnsi="Arial"/>
                <w:sz w:val="12"/>
                <w:szCs w:val="12"/>
                <w:color w:val="auto"/>
              </w:rPr>
              <w:t>®</w:t>
            </w: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48.2</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49.1</w:t>
            </w: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5"/>
        </w:trPr>
        <w:tc>
          <w:tcPr>
            <w:tcW w:w="7040" w:type="dxa"/>
            <w:vAlign w:val="bottom"/>
            <w:gridSpan w:val="2"/>
          </w:tcPr>
          <w:p>
            <w:pPr>
              <w:spacing w:after="0"/>
              <w:rPr>
                <w:sz w:val="20"/>
                <w:szCs w:val="20"/>
                <w:color w:val="auto"/>
              </w:rPr>
            </w:pPr>
            <w:r>
              <w:rPr>
                <w:rFonts w:ascii="Arial" w:cs="Arial" w:eastAsia="Arial" w:hAnsi="Arial"/>
                <w:sz w:val="18"/>
                <w:szCs w:val="18"/>
                <w:color w:val="auto"/>
              </w:rPr>
              <w:t>VEGF Trap-Eye</w:t>
            </w: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98.0</w:t>
            </w: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51"/>
        </w:trPr>
        <w:tc>
          <w:tcPr>
            <w:tcW w:w="70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Aflibercept</w:t>
            </w:r>
          </w:p>
        </w:tc>
        <w:tc>
          <w:tcPr>
            <w:tcW w:w="16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5"/>
        </w:trPr>
        <w:tc>
          <w:tcPr>
            <w:tcW w:w="7040" w:type="dxa"/>
            <w:vAlign w:val="bottom"/>
            <w:gridSpan w:val="2"/>
          </w:tcPr>
          <w:p>
            <w:pPr>
              <w:spacing w:after="0"/>
              <w:rPr>
                <w:sz w:val="20"/>
                <w:szCs w:val="20"/>
                <w:color w:val="auto"/>
              </w:rPr>
            </w:pPr>
            <w:r>
              <w:rPr>
                <w:rFonts w:ascii="Arial" w:cs="Arial" w:eastAsia="Arial" w:hAnsi="Arial"/>
                <w:sz w:val="18"/>
                <w:szCs w:val="18"/>
                <w:color w:val="auto"/>
              </w:rPr>
              <w:t>REGN88</w:t>
            </w: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1"/>
        </w:trPr>
        <w:tc>
          <w:tcPr>
            <w:tcW w:w="70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Other antibody candidates in clinical development</w:t>
            </w:r>
          </w:p>
        </w:tc>
        <w:tc>
          <w:tcPr>
            <w:tcW w:w="16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68.7</w:t>
            </w: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35"/>
        </w:trPr>
        <w:tc>
          <w:tcPr>
            <w:tcW w:w="7040" w:type="dxa"/>
            <w:vAlign w:val="bottom"/>
            <w:gridSpan w:val="2"/>
          </w:tcPr>
          <w:p>
            <w:pPr>
              <w:spacing w:after="0"/>
              <w:rPr>
                <w:sz w:val="20"/>
                <w:szCs w:val="20"/>
                <w:color w:val="auto"/>
              </w:rPr>
            </w:pPr>
            <w:r>
              <w:rPr>
                <w:rFonts w:ascii="Arial" w:cs="Arial" w:eastAsia="Arial" w:hAnsi="Arial"/>
                <w:sz w:val="18"/>
                <w:szCs w:val="18"/>
                <w:color w:val="auto"/>
              </w:rPr>
              <w:t>Other research programs &amp; unallocated costs</w:t>
            </w: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118.6</w:t>
            </w: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
        </w:trPr>
        <w:tc>
          <w:tcPr>
            <w:tcW w:w="1000" w:type="dxa"/>
            <w:vAlign w:val="bottom"/>
            <w:shd w:val="clear" w:color="auto" w:fill="C0C0C0"/>
          </w:tcPr>
          <w:p>
            <w:pPr>
              <w:spacing w:after="0" w:line="20" w:lineRule="exact"/>
              <w:rPr>
                <w:sz w:val="1"/>
                <w:szCs w:val="1"/>
                <w:color w:val="auto"/>
              </w:rPr>
            </w:pPr>
          </w:p>
        </w:tc>
        <w:tc>
          <w:tcPr>
            <w:tcW w:w="604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04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364.0</w:t>
            </w: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280.0</w:t>
            </w: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8"/>
        </w:trPr>
        <w:tc>
          <w:tcPr>
            <w:tcW w:w="1000" w:type="dxa"/>
            <w:vAlign w:val="bottom"/>
            <w:shd w:val="clear" w:color="auto" w:fill="C0C0C0"/>
          </w:tcPr>
          <w:p>
            <w:pPr>
              <w:spacing w:after="0"/>
              <w:rPr>
                <w:sz w:val="2"/>
                <w:szCs w:val="2"/>
                <w:color w:val="auto"/>
              </w:rPr>
            </w:pPr>
          </w:p>
        </w:tc>
        <w:tc>
          <w:tcPr>
            <w:tcW w:w="604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7"/>
          <w:szCs w:val="17"/>
          <w:color w:val="auto"/>
        </w:rPr>
        <w:t>For the reasons described above under “Research and Development Expenses” for the three months ended September 30, 2010 and 2009,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 In 2008, we received FDA approval for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the treatment of CAPS, a group of rare, inherited auto-inf lammatory diseases that affect a very small group of people. We currently do not expect to generate material product revenues and net cash inflows from the sale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the treatment of CAPS.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233"/>
        <w:spacing w:after="0" w:line="306" w:lineRule="auto"/>
        <w:rPr>
          <w:sz w:val="20"/>
          <w:szCs w:val="20"/>
          <w:color w:val="auto"/>
        </w:rPr>
      </w:pPr>
      <w:r>
        <w:rPr>
          <w:rFonts w:ascii="Arial" w:cs="Arial" w:eastAsia="Arial" w:hAnsi="Arial"/>
          <w:sz w:val="16"/>
          <w:szCs w:val="16"/>
          <w:color w:val="auto"/>
        </w:rPr>
        <w:t>Selling, general, and administrative expenses increased to $44.6 million in the first nine months of 2010 from $35.9 million in the same period of 2009. In the first nine months of 2010, we incurred higher compensation expense due primarily to increases in headcount, higher Non-cash Compensation Expense, higher recruitment costs, and higher patent-related costs associated with our monoclonal antibody programs.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49" w:lineRule="exact"/>
        <w:rPr>
          <w:sz w:val="20"/>
          <w:szCs w:val="20"/>
          <w:color w:val="auto"/>
        </w:rPr>
      </w:pPr>
    </w:p>
    <w:p>
      <w:pPr>
        <w:jc w:val="both"/>
        <w:ind w:firstLine="297"/>
        <w:spacing w:after="0" w:line="202" w:lineRule="auto"/>
        <w:rPr>
          <w:sz w:val="20"/>
          <w:szCs w:val="20"/>
          <w:color w:val="auto"/>
        </w:rPr>
      </w:pPr>
      <w:r>
        <w:rPr>
          <w:rFonts w:ascii="Arial" w:cs="Arial" w:eastAsia="Arial" w:hAnsi="Arial"/>
          <w:sz w:val="18"/>
          <w:szCs w:val="18"/>
          <w:color w:val="auto"/>
        </w:rPr>
        <w:t>Cost of goods sold related to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sales, which consisted primarily of royalties and other period costs, totaled $1.5 million and $1.3 million for the nine months ended September 30, 2010 and 2009, respectively. To date,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shipments to our customers have consisted of supplies of inventory manufactured and expensed prior to FDA approval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for the treatment of CAPS in February 2008; therefore, the costs of these supplies were not included in costs of goods sold.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52"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Investment income decreased to $1.5 million in the first nine months of 2010 from $3.9 million in the comparable period of 2009, primarily due to lower average balances of, and lower yields on, cash and marketable securities and a $0.1 million other-than-temporary impairment charge. Interest expense of $6.7 million and $0.6 million in the first nine months of 2010 and 2009, respectively, was attributable to the imputed interest portion of payments to our landlord to lease newly constructed laboratory and office facilities in Tarrytown, New York. These payments commenced in the third quarter of 2009.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jc w:val="both"/>
        <w:ind w:firstLine="338"/>
        <w:spacing w:after="0" w:line="281" w:lineRule="auto"/>
        <w:rPr>
          <w:sz w:val="20"/>
          <w:szCs w:val="20"/>
          <w:color w:val="auto"/>
        </w:rPr>
      </w:pPr>
      <w:r>
        <w:rPr>
          <w:rFonts w:ascii="Arial" w:cs="Arial" w:eastAsia="Arial" w:hAnsi="Arial"/>
          <w:sz w:val="17"/>
          <w:szCs w:val="17"/>
          <w:color w:val="auto"/>
        </w:rPr>
        <w:t>Since our inception in 1988, we have financed our operations primarily through offerings of our equity securities, a private placement of convertible debt (which was repurchased or repaid in 2008), purchases of our equity securities by our collaborators, including sanofi-aventis, revenue earned under our past and present research and development agreements, including our agreements with sanofi-aventis and Bayer HealthCare, our past contract manufacturing agreements, our technology licensing agreements,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 revenue, and investment income.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2010 and 2009</w:t>
      </w:r>
    </w:p>
    <w:p>
      <w:pPr>
        <w:spacing w:after="0" w:line="246" w:lineRule="exact"/>
        <w:rPr>
          <w:sz w:val="20"/>
          <w:szCs w:val="20"/>
          <w:color w:val="auto"/>
        </w:rPr>
      </w:pPr>
    </w:p>
    <w:p>
      <w:pPr>
        <w:jc w:val="both"/>
        <w:ind w:firstLine="365"/>
        <w:spacing w:after="0" w:line="276" w:lineRule="auto"/>
        <w:rPr>
          <w:sz w:val="20"/>
          <w:szCs w:val="20"/>
          <w:color w:val="auto"/>
        </w:rPr>
      </w:pPr>
      <w:r>
        <w:rPr>
          <w:rFonts w:ascii="Arial" w:cs="Arial" w:eastAsia="Arial" w:hAnsi="Arial"/>
          <w:sz w:val="17"/>
          <w:szCs w:val="17"/>
          <w:color w:val="auto"/>
        </w:rPr>
        <w:t xml:space="preserve">At September 30, 2010, we had $520.4 million in cash, cash equivalents, restricted cash, and marketable securities compared with $390.0 million at December 31, 2009. In February 2010, we received $47.5 million from our landlord in connection with tenant improvement costs for the new laboratory and office facilities that we lease in Tarrytown, New York. In February and June 2010, we received $20.0 million annual technology licensing payments from both AstraZeneca and Astellas. In August 2010, we received a $165.0 million up-front payment in connection with the amendment and extension of our </w:t>
      </w:r>
      <w:r>
        <w:rPr>
          <w:rFonts w:ascii="Arial" w:cs="Arial" w:eastAsia="Arial" w:hAnsi="Arial"/>
          <w:sz w:val="17"/>
          <w:szCs w:val="17"/>
          <w:i w:val="1"/>
          <w:iCs w:val="1"/>
          <w:color w:val="auto"/>
        </w:rPr>
        <w:t xml:space="preserve">VelocImmune </w:t>
      </w:r>
      <w:r>
        <w:rPr>
          <w:rFonts w:ascii="Arial" w:cs="Arial" w:eastAsia="Arial" w:hAnsi="Arial"/>
          <w:sz w:val="16"/>
          <w:szCs w:val="16"/>
          <w:color w:val="auto"/>
        </w:rPr>
        <w:t>license agreement with Astellas, as described above under “Antibody Collaboration and License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Operating Activities:</w:t>
      </w:r>
    </w:p>
    <w:p>
      <w:pPr>
        <w:spacing w:after="0" w:line="252"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Net cash provided by operating activities was $138.0 million in the first nine months of 2010 and net cash used in operating activities was $25.8 million in the first nine months of 2009. Our net losses of $89.9 million in the first nine months of 2010 and $31.3 million in the first nine months of 2009 included $26.3 million and $22.6 million, respectively, of Non-cash Compensation Expense, and $13.6 million and $9.3 million, respectively, of depreciation and amortization.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4" w:name="page35"/>
    <w:bookmarkEnd w:id="34"/>
    <w:p>
      <w:pPr>
        <w:jc w:val="both"/>
        <w:ind w:right="20" w:firstLine="270"/>
        <w:spacing w:after="0" w:line="287" w:lineRule="auto"/>
        <w:rPr>
          <w:sz w:val="20"/>
          <w:szCs w:val="20"/>
          <w:color w:val="auto"/>
        </w:rPr>
      </w:pPr>
      <w:r>
        <w:rPr>
          <w:rFonts w:ascii="Arial" w:cs="Arial" w:eastAsia="Arial" w:hAnsi="Arial"/>
          <w:sz w:val="16"/>
          <w:szCs w:val="16"/>
          <w:color w:val="auto"/>
        </w:rPr>
        <w:t>At September 30, 2010, accounts receivable increased by $16.7 million, compared to end-of-year 2009, primarily due to a higher receivable balance related to our antibody collaboration with sanofi-aventis. Also, our deferred revenue balances at September 30, 2010 increased by $172.7 million, compared to end-of-year 2009, primarily due to (i) the receipt of the $165.0 million up-front payment from Astellas, as described above, which was deferred and will be recognized ratably over the seven-year period commencing in mid-2011, (ii) the receipt of the $20.0 million payments from AstraZeneca and Astellas, as described above, which were deferred and are being recognized ratably over the ensuing year, and (iii) sanofi-aventis’ funding of $21.1 million of agreed-upon costs incurred by us during the first nine months of 2010 to expand our manufacturing capacity at our Rensselaer facilities, wh ich was deferred and is being recognized as collaboration revenue prospectively over the related performance period in conjunction with the original $85.0 million up-front payment received from sanofi-aventis. These increases were partially offset by amortization of previously received deferred payments under our sanofi-aventis and Bayer HealthCare collaborations. At September 30, 2010, accounts payable, accrued expenses, and other liabilities increased by $28.4 million, compared to end-of-year 2009, primarily in connection with our expanded levels of activities and expenditures, including higher liabilities for payroll and related costs and clinical trial expenses.</w:t>
      </w:r>
    </w:p>
    <w:p>
      <w:pPr>
        <w:spacing w:after="0" w:line="204" w:lineRule="exact"/>
        <w:rPr>
          <w:sz w:val="20"/>
          <w:szCs w:val="20"/>
          <w:color w:val="auto"/>
        </w:rPr>
      </w:pPr>
    </w:p>
    <w:p>
      <w:pPr>
        <w:jc w:val="both"/>
        <w:ind w:right="20" w:firstLine="252"/>
        <w:spacing w:after="0" w:line="289" w:lineRule="auto"/>
        <w:rPr>
          <w:sz w:val="20"/>
          <w:szCs w:val="20"/>
          <w:color w:val="auto"/>
        </w:rPr>
      </w:pPr>
      <w:r>
        <w:rPr>
          <w:rFonts w:ascii="Arial" w:cs="Arial" w:eastAsia="Arial" w:hAnsi="Arial"/>
          <w:sz w:val="16"/>
          <w:szCs w:val="16"/>
          <w:color w:val="auto"/>
        </w:rPr>
        <w:t>At September 30, 2009, accounts receivable increased by $32.6 million, compared to end-of-year 2008, primarily due to a higher receivable balance related to our antibody collaboration with sanofi-aventis. Also, our deferred revenue balances at September 30, 2009 decreased by $11.4 million, compared to end-of-year 2008, primarily due to the amortization of previously received deferred payments under our collaborations with sanofi-aventis and Bayer HealthCare. This decrease was partly offset by the receipt of $20.0 million payments from AstraZeneca and Astellas in February and June 2009, respectively, which were deferred and recognized ratably over the ensuing year. At September 30, 2009, accounts payable, accrued expenses, and other liabilities increased by $18.0 million compared to end-of-year 2008. The increase was due primarily to hig her liabilities for clinical trial and payroll-related costs, partially offset by a $7.0 million decrease in the cost-sharing payment due to Bayer HealthCare at September 30, 2009 compared to December 31, 2008 in connection with the companies’ VEGF Trap-Eye collaboration.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Investing Activities:</w:t>
      </w:r>
    </w:p>
    <w:p>
      <w:pPr>
        <w:spacing w:after="0" w:line="252" w:lineRule="exact"/>
        <w:rPr>
          <w:sz w:val="20"/>
          <w:szCs w:val="20"/>
          <w:color w:val="auto"/>
        </w:rPr>
      </w:pPr>
    </w:p>
    <w:p>
      <w:pPr>
        <w:jc w:val="both"/>
        <w:ind w:right="20" w:firstLine="269"/>
        <w:spacing w:after="0" w:line="294" w:lineRule="auto"/>
        <w:rPr>
          <w:sz w:val="20"/>
          <w:szCs w:val="20"/>
          <w:color w:val="auto"/>
        </w:rPr>
      </w:pPr>
      <w:r>
        <w:rPr>
          <w:rFonts w:ascii="Arial" w:cs="Arial" w:eastAsia="Arial" w:hAnsi="Arial"/>
          <w:sz w:val="16"/>
          <w:szCs w:val="16"/>
          <w:color w:val="auto"/>
        </w:rPr>
        <w:t>Net cash used in investing activities was $80.4 million in the first nine months of 2010 and net cash provided by investing activities was $19.3 million in the first nine months of 2009. In the first nine months of 2010, purchases of marketable securities exceeded sales or maturities by $11.2 million, whereas in the first nine months of 2009, sales or maturities of marketable securities exceeded purchases by $94.3 million. Capital expenditures in the first nine months of 2010 and 2009 included costs in connection with expanding our manufacturing capacity at our Rensselaer, New York facilities and tenant improvements and related costs in connection with our leased office and laboratory facilities in Tarrytown, New York.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52" w:lineRule="exact"/>
        <w:rPr>
          <w:sz w:val="20"/>
          <w:szCs w:val="20"/>
          <w:color w:val="auto"/>
        </w:rPr>
      </w:pPr>
    </w:p>
    <w:p>
      <w:pPr>
        <w:jc w:val="both"/>
        <w:ind w:right="20" w:firstLine="253"/>
        <w:spacing w:after="0" w:line="255" w:lineRule="auto"/>
        <w:rPr>
          <w:sz w:val="20"/>
          <w:szCs w:val="20"/>
          <w:color w:val="auto"/>
        </w:rPr>
      </w:pPr>
      <w:r>
        <w:rPr>
          <w:rFonts w:ascii="Arial" w:cs="Arial" w:eastAsia="Arial" w:hAnsi="Arial"/>
          <w:sz w:val="18"/>
          <w:szCs w:val="18"/>
          <w:color w:val="auto"/>
        </w:rPr>
        <w:t>Net cash provided by financing activities was $60.5 million in the first nine months of 2010 and $9.0 million in the first nine months of 2009. In the first nine months of 2010 and 2009, we received $47.5 million and $5.2 million, respectively, from our landlord in connection with tenant improvement costs for our new Tarrytown facilities, which we recognized as additional facility lease obligations since we are deemed to own these facilities in accordance with FASB authoritative guidance. In addition, proceeds from issuances of Common Stock in connection with exercises of employee stock options were $13.8 million in the first nine months of 2010 and $4.6 million in the first nine months of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Marketable Securities:</w:t>
      </w:r>
    </w:p>
    <w:p>
      <w:pPr>
        <w:spacing w:after="0" w:line="252" w:lineRule="exact"/>
        <w:rPr>
          <w:sz w:val="20"/>
          <w:szCs w:val="20"/>
          <w:color w:val="auto"/>
        </w:rPr>
      </w:pPr>
    </w:p>
    <w:p>
      <w:pPr>
        <w:jc w:val="both"/>
        <w:ind w:right="20" w:firstLine="371"/>
        <w:spacing w:after="0" w:line="268" w:lineRule="auto"/>
        <w:rPr>
          <w:sz w:val="20"/>
          <w:szCs w:val="20"/>
          <w:color w:val="auto"/>
        </w:rPr>
      </w:pPr>
      <w:r>
        <w:rPr>
          <w:rFonts w:ascii="Arial" w:cs="Arial" w:eastAsia="Arial" w:hAnsi="Arial"/>
          <w:sz w:val="18"/>
          <w:szCs w:val="18"/>
          <w:color w:val="auto"/>
        </w:rPr>
        <w:t>At September 30, 2010 and December 31, 2009, we held marketable securities whose aggregate fair value totaled $191.7 million and $181.3 million, respectively. The composition of our portfolio of marketable securities on these dates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4"/>
          </w:tcPr>
          <w:p>
            <w:pPr>
              <w:ind w:left="20"/>
              <w:spacing w:after="0"/>
              <w:rPr>
                <w:sz w:val="20"/>
                <w:szCs w:val="20"/>
                <w:color w:val="auto"/>
              </w:rPr>
            </w:pPr>
            <w:r>
              <w:rPr>
                <w:rFonts w:ascii="Arial" w:cs="Arial" w:eastAsia="Arial" w:hAnsi="Arial"/>
                <w:sz w:val="18"/>
                <w:szCs w:val="18"/>
                <w:b w:val="1"/>
                <w:bCs w:val="1"/>
                <w:color w:val="auto"/>
              </w:rPr>
              <w:t>September 30, 2010</w:t>
            </w:r>
          </w:p>
        </w:tc>
        <w:tc>
          <w:tcPr>
            <w:tcW w:w="120" w:type="dxa"/>
            <w:vAlign w:val="bottom"/>
          </w:tcPr>
          <w:p>
            <w:pPr>
              <w:spacing w:after="0"/>
              <w:rPr>
                <w:sz w:val="20"/>
                <w:szCs w:val="20"/>
                <w:color w:val="auto"/>
              </w:rPr>
            </w:pPr>
          </w:p>
        </w:tc>
        <w:tc>
          <w:tcPr>
            <w:tcW w:w="162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w w:val="88"/>
              </w:rPr>
              <w:t>December 31, 2009</w:t>
            </w:r>
          </w:p>
        </w:tc>
        <w:tc>
          <w:tcPr>
            <w:tcW w:w="20" w:type="dxa"/>
            <w:vAlign w:val="bottom"/>
          </w:tcPr>
          <w:p>
            <w:pPr>
              <w:spacing w:after="0"/>
              <w:rPr>
                <w:sz w:val="20"/>
                <w:szCs w:val="20"/>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b w:val="1"/>
                <w:bCs w:val="1"/>
                <w:color w:val="auto"/>
              </w:rPr>
              <w:t>Investment type</w:t>
            </w:r>
          </w:p>
        </w:tc>
        <w:tc>
          <w:tcPr>
            <w:tcW w:w="2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Fair Value</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Percent</w:t>
            </w:r>
          </w:p>
        </w:tc>
        <w:tc>
          <w:tcPr>
            <w:tcW w:w="280" w:type="dxa"/>
            <w:vAlign w:val="bottom"/>
          </w:tcPr>
          <w:p>
            <w:pPr>
              <w:spacing w:after="0"/>
              <w:rPr>
                <w:sz w:val="20"/>
                <w:szCs w:val="20"/>
                <w:color w:val="auto"/>
              </w:rPr>
            </w:pPr>
          </w:p>
        </w:tc>
        <w:tc>
          <w:tcPr>
            <w:tcW w:w="10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Fair Value</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Percent</w:t>
            </w:r>
          </w:p>
        </w:tc>
        <w:tc>
          <w:tcPr>
            <w:tcW w:w="20" w:type="dxa"/>
            <w:vAlign w:val="bottom"/>
          </w:tcPr>
          <w:p>
            <w:pPr>
              <w:spacing w:after="0"/>
              <w:rPr>
                <w:sz w:val="20"/>
                <w:szCs w:val="20"/>
                <w:color w:val="auto"/>
              </w:rPr>
            </w:pPr>
          </w:p>
        </w:tc>
      </w:tr>
      <w:tr>
        <w:trPr>
          <w:trHeight w:val="243"/>
        </w:trPr>
        <w:tc>
          <w:tcPr>
            <w:tcW w:w="46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U.S. government agency securities</w:t>
            </w:r>
          </w:p>
        </w:tc>
        <w:tc>
          <w:tcPr>
            <w:tcW w:w="274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115.3</w:t>
            </w:r>
          </w:p>
        </w:tc>
        <w:tc>
          <w:tcPr>
            <w:tcW w:w="280" w:type="dxa"/>
            <w:vAlign w:val="bottom"/>
            <w:tcBorders>
              <w:top w:val="single" w:sz="8" w:color="C0C0C0"/>
            </w:tcBorders>
            <w:shd w:val="clear" w:color="auto" w:fill="C0C0C0"/>
          </w:tcPr>
          <w:p>
            <w:pPr>
              <w:spacing w:after="0"/>
              <w:rPr>
                <w:sz w:val="21"/>
                <w:szCs w:val="21"/>
                <w:color w:val="auto"/>
              </w:rPr>
            </w:pPr>
          </w:p>
        </w:tc>
        <w:tc>
          <w:tcPr>
            <w:tcW w:w="6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29.6</w:t>
            </w:r>
          </w:p>
        </w:tc>
        <w:tc>
          <w:tcPr>
            <w:tcW w:w="280" w:type="dxa"/>
            <w:vAlign w:val="bottom"/>
            <w:tcBorders>
              <w:top w:val="single" w:sz="8" w:color="C0C0C0"/>
            </w:tcBorders>
            <w:shd w:val="clear" w:color="auto" w:fill="C0C0C0"/>
          </w:tcPr>
          <w:p>
            <w:pPr>
              <w:spacing w:after="0"/>
              <w:rPr>
                <w:sz w:val="21"/>
                <w:szCs w:val="21"/>
                <w:color w:val="auto"/>
              </w:rPr>
            </w:pPr>
          </w:p>
        </w:tc>
        <w:tc>
          <w:tcPr>
            <w:tcW w:w="6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r>
      <w:tr>
        <w:trPr>
          <w:trHeight w:val="235"/>
        </w:trPr>
        <w:tc>
          <w:tcPr>
            <w:tcW w:w="46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80.4</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r>
      <w:tr>
        <w:trPr>
          <w:trHeight w:val="251"/>
        </w:trPr>
        <w:tc>
          <w:tcPr>
            <w:tcW w:w="4660" w:type="dxa"/>
            <w:vAlign w:val="bottom"/>
            <w:shd w:val="clear" w:color="auto" w:fill="C0C0C0"/>
          </w:tcPr>
          <w:p>
            <w:pPr>
              <w:spacing w:after="0"/>
              <w:rPr>
                <w:sz w:val="20"/>
                <w:szCs w:val="20"/>
                <w:color w:val="auto"/>
              </w:rPr>
            </w:pPr>
            <w:r>
              <w:rPr>
                <w:rFonts w:ascii="Arial" w:cs="Arial" w:eastAsia="Arial" w:hAnsi="Arial"/>
                <w:sz w:val="18"/>
                <w:szCs w:val="18"/>
                <w:color w:val="auto"/>
              </w:rPr>
              <w:t>U.S. government-guaranteed corporate bonds</w:t>
            </w:r>
          </w:p>
        </w:tc>
        <w:tc>
          <w:tcPr>
            <w:tcW w:w="27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66.1</w:t>
            </w:r>
          </w:p>
        </w:tc>
        <w:tc>
          <w:tcPr>
            <w:tcW w:w="2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48.7</w:t>
            </w:r>
          </w:p>
        </w:tc>
        <w:tc>
          <w:tcPr>
            <w:tcW w:w="2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r>
      <w:tr>
        <w:trPr>
          <w:trHeight w:val="228"/>
        </w:trPr>
        <w:tc>
          <w:tcPr>
            <w:tcW w:w="4660" w:type="dxa"/>
            <w:vAlign w:val="bottom"/>
          </w:tcPr>
          <w:p>
            <w:pPr>
              <w:spacing w:after="0"/>
              <w:rPr>
                <w:sz w:val="20"/>
                <w:szCs w:val="20"/>
                <w:color w:val="auto"/>
              </w:rPr>
            </w:pPr>
            <w:r>
              <w:rPr>
                <w:rFonts w:ascii="Arial" w:cs="Arial" w:eastAsia="Arial" w:hAnsi="Arial"/>
                <w:sz w:val="18"/>
                <w:szCs w:val="18"/>
                <w:color w:val="auto"/>
              </w:rPr>
              <w:t>U.S. government guaranteed collateralized mortgage</w:t>
            </w:r>
          </w:p>
        </w:tc>
        <w:tc>
          <w:tcPr>
            <w:tcW w:w="2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4660" w:type="dxa"/>
            <w:vAlign w:val="bottom"/>
          </w:tcPr>
          <w:p>
            <w:pPr>
              <w:ind w:left="320"/>
              <w:spacing w:after="0"/>
              <w:rPr>
                <w:sz w:val="20"/>
                <w:szCs w:val="20"/>
                <w:color w:val="auto"/>
              </w:rPr>
            </w:pPr>
            <w:r>
              <w:rPr>
                <w:rFonts w:ascii="Arial" w:cs="Arial" w:eastAsia="Arial" w:hAnsi="Arial"/>
                <w:sz w:val="18"/>
                <w:szCs w:val="18"/>
                <w:color w:val="auto"/>
              </w:rPr>
              <w:t>obligations</w:t>
            </w:r>
          </w:p>
        </w:tc>
        <w:tc>
          <w:tcPr>
            <w:tcW w:w="2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r>
      <w:tr>
        <w:trPr>
          <w:trHeight w:val="251"/>
        </w:trPr>
        <w:tc>
          <w:tcPr>
            <w:tcW w:w="4660" w:type="dxa"/>
            <w:vAlign w:val="bottom"/>
            <w:shd w:val="clear" w:color="auto" w:fill="C0C0C0"/>
          </w:tcPr>
          <w:p>
            <w:pPr>
              <w:spacing w:after="0"/>
              <w:rPr>
                <w:sz w:val="20"/>
                <w:szCs w:val="20"/>
                <w:color w:val="auto"/>
              </w:rPr>
            </w:pPr>
            <w:r>
              <w:rPr>
                <w:rFonts w:ascii="Arial" w:cs="Arial" w:eastAsia="Arial" w:hAnsi="Arial"/>
                <w:sz w:val="18"/>
                <w:szCs w:val="18"/>
                <w:color w:val="auto"/>
              </w:rPr>
              <w:t>Corporate bonds</w:t>
            </w:r>
          </w:p>
        </w:tc>
        <w:tc>
          <w:tcPr>
            <w:tcW w:w="27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r>
      <w:tr>
        <w:trPr>
          <w:trHeight w:val="235"/>
        </w:trPr>
        <w:tc>
          <w:tcPr>
            <w:tcW w:w="46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r>
      <w:tr>
        <w:trPr>
          <w:trHeight w:val="251"/>
        </w:trPr>
        <w:tc>
          <w:tcPr>
            <w:tcW w:w="4660" w:type="dxa"/>
            <w:vAlign w:val="bottom"/>
            <w:shd w:val="clear" w:color="auto" w:fill="C0C0C0"/>
          </w:tcPr>
          <w:p>
            <w:pPr>
              <w:spacing w:after="0"/>
              <w:rPr>
                <w:sz w:val="20"/>
                <w:szCs w:val="20"/>
                <w:color w:val="auto"/>
              </w:rPr>
            </w:pPr>
            <w:r>
              <w:rPr>
                <w:rFonts w:ascii="Arial" w:cs="Arial" w:eastAsia="Arial" w:hAnsi="Arial"/>
                <w:sz w:val="18"/>
                <w:szCs w:val="18"/>
                <w:color w:val="auto"/>
              </w:rPr>
              <w:t>Equity security</w:t>
            </w:r>
          </w:p>
        </w:tc>
        <w:tc>
          <w:tcPr>
            <w:tcW w:w="27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r>
      <w:tr>
        <w:trPr>
          <w:trHeight w:val="237"/>
        </w:trPr>
        <w:tc>
          <w:tcPr>
            <w:tcW w:w="46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w:t>
            </w:r>
          </w:p>
        </w:tc>
        <w:tc>
          <w:tcPr>
            <w:tcW w:w="274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0C0C0"/>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62"/>
        </w:trPr>
        <w:tc>
          <w:tcPr>
            <w:tcW w:w="46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Total marketable securities</w:t>
            </w:r>
          </w:p>
        </w:tc>
        <w:tc>
          <w:tcPr>
            <w:tcW w:w="3120" w:type="dxa"/>
            <w:vAlign w:val="bottom"/>
            <w:gridSpan w:val="3"/>
            <w:shd w:val="clear" w:color="auto" w:fill="C0C0C0"/>
          </w:tcPr>
          <w:p>
            <w:pPr>
              <w:ind w:left="30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191.7</w:t>
            </w:r>
          </w:p>
        </w:tc>
        <w:tc>
          <w:tcPr>
            <w:tcW w:w="280" w:type="dxa"/>
            <w:vAlign w:val="bottom"/>
            <w:shd w:val="clear" w:color="auto" w:fill="C0C0C0"/>
          </w:tcPr>
          <w:p>
            <w:pPr>
              <w:spacing w:after="0"/>
              <w:rPr>
                <w:sz w:val="22"/>
                <w:szCs w:val="22"/>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181.3</w:t>
            </w:r>
          </w:p>
        </w:tc>
        <w:tc>
          <w:tcPr>
            <w:tcW w:w="280" w:type="dxa"/>
            <w:vAlign w:val="bottom"/>
            <w:shd w:val="clear" w:color="auto" w:fill="C0C0C0"/>
          </w:tcPr>
          <w:p>
            <w:pPr>
              <w:spacing w:after="0"/>
              <w:rPr>
                <w:sz w:val="22"/>
                <w:szCs w:val="22"/>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r>
      <w:tr>
        <w:trPr>
          <w:trHeight w:val="432"/>
        </w:trPr>
        <w:tc>
          <w:tcPr>
            <w:tcW w:w="4660" w:type="dxa"/>
            <w:vAlign w:val="bottom"/>
            <w:tcBorders>
              <w:top w:val="single" w:sz="8" w:color="C0C0C0"/>
            </w:tcBorders>
          </w:tcPr>
          <w:p>
            <w:pPr>
              <w:spacing w:after="0"/>
              <w:rPr>
                <w:sz w:val="24"/>
                <w:szCs w:val="24"/>
                <w:color w:val="auto"/>
              </w:rPr>
            </w:pPr>
          </w:p>
        </w:tc>
        <w:tc>
          <w:tcPr>
            <w:tcW w:w="2740" w:type="dxa"/>
            <w:vAlign w:val="bottom"/>
            <w:tcBorders>
              <w:top w:val="single" w:sz="8" w:color="C0C0C0"/>
            </w:tcBorders>
          </w:tcPr>
          <w:p>
            <w:pPr>
              <w:jc w:val="right"/>
              <w:ind w:right="1512"/>
              <w:spacing w:after="0"/>
              <w:rPr>
                <w:sz w:val="20"/>
                <w:szCs w:val="20"/>
                <w:color w:val="auto"/>
              </w:rPr>
            </w:pPr>
            <w:r>
              <w:rPr>
                <w:rFonts w:ascii="Arial" w:cs="Arial" w:eastAsia="Arial" w:hAnsi="Arial"/>
                <w:sz w:val="18"/>
                <w:szCs w:val="18"/>
                <w:color w:val="auto"/>
              </w:rPr>
              <w:t>35</w:t>
            </w:r>
          </w:p>
        </w:tc>
        <w:tc>
          <w:tcPr>
            <w:tcW w:w="260" w:type="dxa"/>
            <w:vAlign w:val="bottom"/>
            <w:tcBorders>
              <w:top w:val="single" w:sz="8" w:color="C0C0C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Borders>
              <w:top w:val="single" w:sz="8" w:color="C0C0C0"/>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Borders>
              <w:top w:val="single" w:sz="8" w:color="C0C0C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Borders>
              <w:top w:val="single" w:sz="8" w:color="C0C0C0"/>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23"/>
        </w:trPr>
        <w:tc>
          <w:tcPr>
            <w:tcW w:w="466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90" w:right="219" w:bottom="1440" w:gutter="0" w:footer="0" w:header="0"/>
        </w:sectPr>
      </w:pPr>
    </w:p>
    <w:bookmarkStart w:id="35" w:name="page36"/>
    <w:bookmarkEnd w:id="35"/>
    <w:p>
      <w:pPr>
        <w:jc w:val="both"/>
        <w:ind w:firstLine="270"/>
        <w:spacing w:after="0" w:line="268" w:lineRule="auto"/>
        <w:rPr>
          <w:sz w:val="20"/>
          <w:szCs w:val="20"/>
          <w:color w:val="auto"/>
        </w:rPr>
      </w:pPr>
      <w:r>
        <w:rPr>
          <w:rFonts w:ascii="Arial" w:cs="Arial" w:eastAsia="Arial" w:hAnsi="Arial"/>
          <w:sz w:val="18"/>
          <w:szCs w:val="18"/>
          <w:color w:val="auto"/>
        </w:rPr>
        <w:t>In addition, at September 30, 2010 and December 31, 2009, we had $328.7 million and $208.7 million, respectively, of cash, cash equivalents, and restricted cash, primarily held in money market funds that invest in U.S. government securities.</w:t>
      </w:r>
    </w:p>
    <w:p>
      <w:pPr>
        <w:spacing w:after="0" w:line="213" w:lineRule="exact"/>
        <w:rPr>
          <w:sz w:val="20"/>
          <w:szCs w:val="20"/>
          <w:color w:val="auto"/>
        </w:rPr>
      </w:pPr>
    </w:p>
    <w:p>
      <w:pPr>
        <w:jc w:val="both"/>
        <w:ind w:firstLine="250"/>
        <w:spacing w:after="0" w:line="259" w:lineRule="auto"/>
        <w:rPr>
          <w:sz w:val="20"/>
          <w:szCs w:val="20"/>
          <w:color w:val="auto"/>
        </w:rPr>
      </w:pPr>
      <w:r>
        <w:rPr>
          <w:rFonts w:ascii="Arial" w:cs="Arial" w:eastAsia="Arial" w:hAnsi="Arial"/>
          <w:sz w:val="18"/>
          <w:szCs w:val="18"/>
          <w:color w:val="auto"/>
        </w:rPr>
        <w:t>During 2009 and 2010 to date, as marketable securities in our portfolio matured or paid down, we purchased higher quality securities such as U.S. government agency obligations, U.S. government-guaranteed debt, and U.S. Treasury securities. This shift in our investment portfolio, which we initiated in 2008, has reduced the risk profile, as well as the overall yield, of our portfolio.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of Antibody Discovery Activities under Collaboration with sanofi-aventis</w:t>
      </w:r>
    </w:p>
    <w:p>
      <w:pPr>
        <w:spacing w:after="0" w:line="252" w:lineRule="exact"/>
        <w:rPr>
          <w:sz w:val="20"/>
          <w:szCs w:val="20"/>
          <w:color w:val="auto"/>
        </w:rPr>
      </w:pPr>
    </w:p>
    <w:p>
      <w:pPr>
        <w:jc w:val="both"/>
        <w:ind w:firstLine="406"/>
        <w:spacing w:after="0" w:line="290" w:lineRule="auto"/>
        <w:rPr>
          <w:sz w:val="20"/>
          <w:szCs w:val="20"/>
          <w:color w:val="auto"/>
        </w:rPr>
      </w:pPr>
      <w:r>
        <w:rPr>
          <w:rFonts w:ascii="Arial" w:cs="Arial" w:eastAsia="Arial" w:hAnsi="Arial"/>
          <w:sz w:val="16"/>
          <w:szCs w:val="16"/>
          <w:color w:val="auto"/>
        </w:rPr>
        <w:t>As described above under “Antibody Collaboration and License Agreements,” in November 2009, we and sanofi-aventis amended our collaboration agreements to expand and extend our antibody collaboration. Sanofi-aventis will now fund up to $160 million per year of our antibody discovery activities over the period from 2010-2017, subject to a one-time option for sanofi-aventis to adjust the maximum reimbursement amount down to $120 million per year commencing in 2014 if over the prior two years certain specified criteria are not satisfied. In 2010, as we scale up our capacity to conduct antibody discovery activities, we will incur and seek reimbursement of only $130-$140 million of antibody discovery costs, with the balance between that amount and $160 million added to the funding otherwise available to us in 2011-2012. The discovery agreem ent under the antibody collaboration will expire at the end of 2017; however, sanofi-aventis has an option to extend the agreement for up to an additional three years for further antibody development and preclinical activities.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of License Agreement with Astellas</w:t>
      </w:r>
    </w:p>
    <w:p>
      <w:pPr>
        <w:spacing w:after="0" w:line="252" w:lineRule="exact"/>
        <w:rPr>
          <w:sz w:val="20"/>
          <w:szCs w:val="20"/>
          <w:color w:val="auto"/>
        </w:rPr>
      </w:pPr>
    </w:p>
    <w:p>
      <w:pPr>
        <w:jc w:val="both"/>
        <w:ind w:firstLine="269"/>
        <w:spacing w:after="0" w:line="306" w:lineRule="auto"/>
        <w:rPr>
          <w:sz w:val="20"/>
          <w:szCs w:val="20"/>
          <w:color w:val="auto"/>
        </w:rPr>
      </w:pPr>
      <w:r>
        <w:rPr>
          <w:rFonts w:ascii="Arial" w:cs="Arial" w:eastAsia="Arial" w:hAnsi="Arial"/>
          <w:sz w:val="16"/>
          <w:szCs w:val="16"/>
          <w:color w:val="auto"/>
        </w:rPr>
        <w:t>As described above under “Antibody Collaboration and License Agreements,” in July 2010, the non-exclusive license agreement with Astellas was amended and extended through June 2023. Under the terms of the amended agreement, Astellas made a $165.0 million up-front payment to us in August 2010, and will make a $130.0 million payment to us in June 2018 unless the license agreement has been terminated prior to that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 of Common Stock</w:t>
      </w:r>
    </w:p>
    <w:p>
      <w:pPr>
        <w:spacing w:after="0" w:line="252" w:lineRule="exact"/>
        <w:rPr>
          <w:sz w:val="20"/>
          <w:szCs w:val="20"/>
          <w:color w:val="auto"/>
        </w:rPr>
      </w:pPr>
    </w:p>
    <w:p>
      <w:pPr>
        <w:jc w:val="both"/>
        <w:ind w:right="20" w:firstLine="251"/>
        <w:spacing w:after="0" w:line="268" w:lineRule="auto"/>
        <w:rPr>
          <w:sz w:val="20"/>
          <w:szCs w:val="20"/>
          <w:color w:val="auto"/>
        </w:rPr>
      </w:pPr>
      <w:r>
        <w:rPr>
          <w:rFonts w:ascii="Arial" w:cs="Arial" w:eastAsia="Arial" w:hAnsi="Arial"/>
          <w:sz w:val="18"/>
          <w:szCs w:val="18"/>
          <w:color w:val="auto"/>
        </w:rPr>
        <w:t>In October 2010, the Company completed an underwritten public offering of approximately 6.3 million shares of Common Stock and received net proceeds of approximately $174.7 million. We intend to use the net proceeds from this offering for general corporate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jc w:val="both"/>
        <w:ind w:firstLine="253"/>
        <w:spacing w:after="0" w:line="290" w:lineRule="auto"/>
        <w:rPr>
          <w:sz w:val="20"/>
          <w:szCs w:val="20"/>
          <w:color w:val="auto"/>
        </w:rPr>
      </w:pPr>
      <w:r>
        <w:rPr>
          <w:rFonts w:ascii="Arial" w:cs="Arial" w:eastAsia="Arial" w:hAnsi="Arial"/>
          <w:sz w:val="16"/>
          <w:szCs w:val="16"/>
          <w:color w:val="auto"/>
        </w:rPr>
        <w:t>Our cash expenditures for property, plant, and equipment totaled $67.4 million and $75.0 million for the first nine months of 2010 and 2009, respectively. We expect to incur capital expenditures of approximately $30 to $50 million during the remainder of 2010 and approximately $40 to $70 million in 2011, primarily in connection with expanding our Rensselaer, New York manufacturing facilities and tenant improvements at our leased Tarrytown facilities. As described above, in February 2010, we received $47.5 million from our landlord in connection with tenant improvement costs in Tarrytown. In addition, as described above, sanofi-aventis has funded $21.1 million of agreed-upon capital expenditures incurred by us during the first nine months of 2010 to expand our manufacturing capacity at our Rensselaer facilities, which was either received or receiv able at September 30, 2010. We expect to be reimbursed for a portion of additional capital expenditures in 2010 and 2011 for our Rensselaer facilities by sanofi-aventis, with the remaining amount to be funded by our existing capital resources.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5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7"/>
          <w:szCs w:val="17"/>
          <w:color w:val="auto"/>
        </w:rPr>
        <w:t>We expect to continue to incur substantial funding requirements primarily for research and development activities (including preclinical and clinical testing). Before taking into account reimbursements from our collaborators, and exclusive of anticipated funding for capital expenditures as described above, we currently anticipate that approximately 65-75% of our expenditures for 2010 will be directed toward the clinical development of product candidates, including ARCALYST</w:t>
      </w:r>
      <w:r>
        <w:rPr>
          <w:rFonts w:ascii="Arial" w:cs="Arial" w:eastAsia="Arial" w:hAnsi="Arial"/>
          <w:sz w:val="23"/>
          <w:szCs w:val="23"/>
          <w:color w:val="auto"/>
          <w:vertAlign w:val="superscript"/>
        </w:rPr>
        <w:t>®</w:t>
      </w:r>
      <w:r>
        <w:rPr>
          <w:rFonts w:ascii="Arial" w:cs="Arial" w:eastAsia="Arial" w:hAnsi="Arial"/>
          <w:sz w:val="17"/>
          <w:szCs w:val="17"/>
          <w:color w:val="auto"/>
        </w:rPr>
        <w:t>, aflibercept, VEGF Trap-Eye, and clinical stage monoclonal antibodies; approximately 15-25% of our expenditures for 2010 will be applied to our basic research and preclinical activities; and the remainder of our expenditures for 2010 will be used for the continued development of our novel technology platforms a nd general corporate purposes. While we expect that funding requirements for our research and development activities will continue to increase in 2010, we also expect that a greater proportion of our research and development expenditures will be reimbursed by our collaborators, especially in connection with our antibody collaboration with sanofi-aventis.</w:t>
      </w:r>
    </w:p>
    <w:p>
      <w:pPr>
        <w:spacing w:after="0" w:line="223" w:lineRule="exact"/>
        <w:rPr>
          <w:sz w:val="20"/>
          <w:szCs w:val="20"/>
          <w:color w:val="auto"/>
        </w:rPr>
      </w:pPr>
    </w:p>
    <w:p>
      <w:pPr>
        <w:jc w:val="both"/>
        <w:ind w:firstLine="386"/>
        <w:spacing w:after="0" w:line="267" w:lineRule="auto"/>
        <w:rPr>
          <w:sz w:val="20"/>
          <w:szCs w:val="20"/>
          <w:color w:val="auto"/>
        </w:rPr>
      </w:pPr>
      <w:r>
        <w:rPr>
          <w:rFonts w:ascii="Arial" w:cs="Arial" w:eastAsia="Arial" w:hAnsi="Arial"/>
          <w:sz w:val="16"/>
          <w:szCs w:val="16"/>
          <w:color w:val="auto"/>
        </w:rPr>
        <w:t>The amount we need to fund operations will depend on various factors, including the status of competitive products, the success of our research and development programs, the potential future need to fund costs to commercialize our product candidates, the potential future need to expand our professional and support staff and facilities, the status of patents and other intellectual property rights, the delay or failure of a clinical trial of any of our potential drug candidates, and the continuation, extent, and success of our collaborations with sanofi-aventis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 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 Currently, we are required to remit royalties on product sales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treatment of CAPS. In the future, if we are able to successfully develop, market, and sell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other indications or certain of our product candidates, we may be required to pay royalties or otherwise share the profits generated on such sales in connection with our collaboration and licensing agreements.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We expect that expenses related to the filing, prosecution, defense, and enforcement of patents and other intellectual property will continue to be substantial.</w:t>
      </w:r>
    </w:p>
    <w:p>
      <w:pPr>
        <w:spacing w:after="0" w:line="275" w:lineRule="exact"/>
        <w:rPr>
          <w:sz w:val="20"/>
          <w:szCs w:val="20"/>
          <w:color w:val="auto"/>
        </w:rPr>
      </w:pPr>
    </w:p>
    <w:p>
      <w:pPr>
        <w:jc w:val="both"/>
        <w:ind w:firstLine="269"/>
        <w:spacing w:after="0" w:line="291" w:lineRule="auto"/>
        <w:rPr>
          <w:sz w:val="20"/>
          <w:szCs w:val="20"/>
          <w:color w:val="auto"/>
        </w:rPr>
      </w:pPr>
      <w:r>
        <w:rPr>
          <w:rFonts w:ascii="Arial" w:cs="Arial" w:eastAsia="Arial" w:hAnsi="Arial"/>
          <w:sz w:val="16"/>
          <w:szCs w:val="16"/>
          <w:color w:val="auto"/>
        </w:rPr>
        <w:t>We believe that our existing capital resources, including funding we are entitled to receive under our collaboration agreements and the net proceeds from our October 2010 public offering of Common Stock, will enable us to meet operating needs through at least 2013. However, this is a forward-looking statement based on our current operating plan, and there may be a change in projected revenues or expenses that would lead to our capital being consumed significantly before such time. For example, if we choose to commercialize products that are not licensed to a third party, we could incur substantial pre-marketing and commercialization expenses that could lead us to consume our cash at a faster rate. If there is insufficient capital to fund all of our planned operations and activities, we would expect to prioritize available capital to fund selected preclinical and clinical development programs or license selected products.</w:t>
      </w:r>
    </w:p>
    <w:p>
      <w:pPr>
        <w:spacing w:after="0" w:line="201" w:lineRule="exact"/>
        <w:rPr>
          <w:sz w:val="20"/>
          <w:szCs w:val="20"/>
          <w:color w:val="auto"/>
        </w:rPr>
      </w:pPr>
    </w:p>
    <w:p>
      <w:pPr>
        <w:jc w:val="both"/>
        <w:ind w:firstLine="289"/>
        <w:spacing w:after="0" w:line="287" w:lineRule="auto"/>
        <w:rPr>
          <w:sz w:val="20"/>
          <w:szCs w:val="20"/>
          <w:color w:val="auto"/>
        </w:rPr>
      </w:pPr>
      <w:r>
        <w:rPr>
          <w:rFonts w:ascii="Arial" w:cs="Arial" w:eastAsia="Arial" w:hAnsi="Arial"/>
          <w:sz w:val="16"/>
          <w:szCs w:val="16"/>
          <w:color w:val="auto"/>
        </w:rPr>
        <w:t>Other than a $3.4 million letter of credit issued to our landlord in connection with our lease for facilities in Tarrytown, New York, we have no off-balance sheet arrangements. In addition, we do not guarantee the obligations of any other entity. As of September 30, 2010,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In October 2010, we filed a shelf registration statement on Form S-3 registering the sale, in one or more offerings, of an indeterminate amount of equity or debt securities, together or separately. Our October 2010 public offering of approximately 6.3 million shares of Common Stock was completed under this shelf registration statement; however, there is no assurance that we will be able to complete any additional offerings of securities.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materially harm our business.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58"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6"/>
          <w:szCs w:val="16"/>
          <w:color w:val="auto"/>
        </w:rPr>
        <w:t>In March 2010, the FASB amended its authoritative guidance on the milestone method of revenue recognition. The milestone method of revenue recognition has now been codified as an acceptable revenue recognition model when a milestone is deemed to be substantive. This guidance may be applied retrospectively to all arrangements or prospectively for milestones achieved after the adoption of the guidance. We will adopt this amended guidance for the fiscal year beginning January 1, 2011. Management does not anticipate that the adoption of this guidance will have a material impact on our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Our earnings and cash flows are subject to fluctuations due to changes in interest rates principally in connection with our investment of excess cash in direct obligations of the U.S. government and its agencies, other debt securities guaranteed by the U.S. government, and money market funds that invest in U.S. government securities and, to a lesser extent, investment grade debt securities issued by corporations, bank deposits, and asset-backed securities. We do not believe we are materially exposed to changes in interest rates. Under our current policies, we do not use interest rate derivative instruments to manage exposure to interest rate changes. We estimate that a one percent unfavorable change in interest rates would have resulted in approximately a $0.4 million and $0.9 million decrease in the fair value of our investment portfolio at Sept ember 30, 2010 and 2009,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Risk:</w:t>
      </w:r>
    </w:p>
    <w:p>
      <w:pPr>
        <w:spacing w:after="0" w:line="252" w:lineRule="exact"/>
        <w:rPr>
          <w:sz w:val="20"/>
          <w:szCs w:val="20"/>
          <w:color w:val="auto"/>
        </w:rPr>
      </w:pPr>
    </w:p>
    <w:p>
      <w:pPr>
        <w:jc w:val="both"/>
        <w:ind w:firstLine="288"/>
        <w:spacing w:after="0" w:line="298" w:lineRule="auto"/>
        <w:rPr>
          <w:sz w:val="20"/>
          <w:szCs w:val="20"/>
          <w:color w:val="auto"/>
        </w:rPr>
      </w:pPr>
      <w:r>
        <w:rPr>
          <w:rFonts w:ascii="Arial" w:cs="Arial" w:eastAsia="Arial" w:hAnsi="Arial"/>
          <w:sz w:val="16"/>
          <w:szCs w:val="16"/>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We have recognized other-than-temporary impairment charges related to certain marketable securities of $2.5 million, $0.1 million, and $0.1 million in 2008, 2009, and the first nine months of 2010,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8" w:lineRule="exact"/>
        <w:rPr>
          <w:sz w:val="20"/>
          <w:szCs w:val="20"/>
          <w:color w:val="auto"/>
        </w:rPr>
      </w:pPr>
    </w:p>
    <w:p>
      <w:pPr>
        <w:jc w:val="both"/>
        <w:ind w:firstLine="387"/>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chief executive officer and chief financial officer, as appropriate to allow timely decisions regarding required disclosure.</w:t>
      </w:r>
    </w:p>
    <w:p>
      <w:pPr>
        <w:spacing w:after="0" w:line="228" w:lineRule="exact"/>
        <w:rPr>
          <w:sz w:val="20"/>
          <w:szCs w:val="20"/>
          <w:color w:val="auto"/>
        </w:rPr>
      </w:pPr>
    </w:p>
    <w:p>
      <w:pPr>
        <w:jc w:val="both"/>
        <w:ind w:firstLine="271"/>
        <w:spacing w:after="0" w:line="332" w:lineRule="auto"/>
        <w:rPr>
          <w:sz w:val="20"/>
          <w:szCs w:val="20"/>
          <w:color w:val="auto"/>
        </w:rPr>
      </w:pPr>
      <w:r>
        <w:rPr>
          <w:rFonts w:ascii="Arial" w:cs="Arial" w:eastAsia="Arial" w:hAnsi="Arial"/>
          <w:sz w:val="16"/>
          <w:szCs w:val="16"/>
          <w:color w:val="auto"/>
        </w:rPr>
        <w:t>There has been no change in our internal control over financial reporting (as such term is defined in Rules 13a-15(f) and 15d-15(f) under the Exchange Act) during the quarter ended September 30, 2010 that has materially affected, or is reasonably likely to materially affect, our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8"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From time to time, we are a party to legal proceedings in the course of our business. We do not expect any such current legal proceedings to have a material adverse effect on our business or financial condition.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1A. RISK FACTORS</w:t>
      </w:r>
    </w:p>
    <w:p>
      <w:pPr>
        <w:spacing w:after="0" w:line="258" w:lineRule="exact"/>
        <w:rPr>
          <w:sz w:val="20"/>
          <w:szCs w:val="20"/>
          <w:color w:val="auto"/>
        </w:rPr>
      </w:pPr>
    </w:p>
    <w:p>
      <w:pPr>
        <w:jc w:val="both"/>
        <w:ind w:firstLine="317"/>
        <w:spacing w:after="0" w:line="294"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described under other captions in this report and should be considered by our investors.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231"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213" w:lineRule="exact"/>
        <w:rPr>
          <w:sz w:val="20"/>
          <w:szCs w:val="20"/>
          <w:color w:val="auto"/>
        </w:rPr>
      </w:pPr>
    </w:p>
    <w:p>
      <w:pPr>
        <w:jc w:val="both"/>
        <w:ind w:firstLine="268"/>
        <w:spacing w:after="0" w:line="306" w:lineRule="auto"/>
        <w:rPr>
          <w:sz w:val="20"/>
          <w:szCs w:val="20"/>
          <w:color w:val="auto"/>
        </w:rPr>
      </w:pPr>
      <w:r>
        <w:rPr>
          <w:rFonts w:ascii="Arial" w:cs="Arial" w:eastAsia="Arial" w:hAnsi="Arial"/>
          <w:sz w:val="16"/>
          <w:szCs w:val="16"/>
          <w:color w:val="auto"/>
        </w:rPr>
        <w:t>From inception on January 8, 1988 through September 30, 2010, we had a cumulative loss of $1.0 billion. If we continue to incur operating losses and fail to become a profitable company, we may be unable to continue our operations. In the absence of substantial revenue from the sale of products or other sources, the amount, timing, nature or source of which cannot be predicted, our losses will continue as we conduct our research and development activities.</w:t>
      </w:r>
    </w:p>
    <w:p>
      <w:pPr>
        <w:spacing w:after="0" w:line="161" w:lineRule="exact"/>
        <w:rPr>
          <w:sz w:val="20"/>
          <w:szCs w:val="20"/>
          <w:color w:val="auto"/>
        </w:rPr>
      </w:pPr>
    </w:p>
    <w:p>
      <w:pPr>
        <w:ind w:left="180" w:right="20"/>
        <w:spacing w:after="0" w:line="268"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13" w:lineRule="exact"/>
        <w:rPr>
          <w:sz w:val="20"/>
          <w:szCs w:val="20"/>
          <w:color w:val="auto"/>
        </w:rPr>
      </w:pPr>
    </w:p>
    <w:p>
      <w:pPr>
        <w:jc w:val="both"/>
        <w:ind w:firstLine="319"/>
        <w:spacing w:after="0" w:line="259" w:lineRule="auto"/>
        <w:rPr>
          <w:sz w:val="20"/>
          <w:szCs w:val="20"/>
          <w:color w:val="auto"/>
        </w:rPr>
      </w:pPr>
      <w:r>
        <w:rPr>
          <w:rFonts w:ascii="Arial" w:cs="Arial" w:eastAsia="Arial" w:hAnsi="Arial"/>
          <w:sz w:val="16"/>
          <w:szCs w:val="16"/>
          <w:color w:val="auto"/>
        </w:rPr>
        <w:t xml:space="preserve">We will need to expend substantial resources for research and development, including costs associated with clinical testing of our product candidates. We believe our existing capital resources, including funding we are entitled to receive under our collaboration agreements and the net proceeds from our October 2010 public offering of Common Stock, will enable us to meet operating needs through at least 2013; however, one or more of our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licenses or collaboration agreements may terminate, our projected revenue may decrease, or our expenses may increase and that would lead to our capital being consu med significantly before such time. Our expenses may increase for many reasons, including for expenses in connection with the commercial launch of our products, for expenses related to new clinical trials testing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 VEGF Trap-Eye, or for the potential requirement for us to fund 20% of Phase 3 clinical trial costs for any of our antibody product candidates pursuant to the terms of our collaboration with sanofi-aventis.</w:t>
      </w:r>
    </w:p>
    <w:p>
      <w:pPr>
        <w:spacing w:after="0" w:line="217" w:lineRule="exact"/>
        <w:rPr>
          <w:sz w:val="20"/>
          <w:szCs w:val="20"/>
          <w:color w:val="auto"/>
        </w:rPr>
      </w:pPr>
    </w:p>
    <w:p>
      <w:pPr>
        <w:jc w:val="both"/>
        <w:ind w:firstLine="254"/>
        <w:spacing w:after="0" w:line="289" w:lineRule="auto"/>
        <w:rPr>
          <w:sz w:val="20"/>
          <w:szCs w:val="20"/>
          <w:color w:val="auto"/>
        </w:rPr>
      </w:pPr>
      <w:r>
        <w:rPr>
          <w:rFonts w:ascii="Arial" w:cs="Arial" w:eastAsia="Arial" w:hAnsi="Arial"/>
          <w:sz w:val="16"/>
          <w:szCs w:val="16"/>
          <w:color w:val="auto"/>
        </w:rPr>
        <w:t>We may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In October 2010, we filed a shelf registration statement on Form S-3 registering the sale, in one or more offerings, of an indeterminate amount of equity or debt securities, together or separately. Our October 2010 public offering of approximately 6.3 million shares of Common Stock was completed under this shelf registration statement; however, there is no assurance that we will be able to complete any additional offerings of securities.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172"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b w:val="1"/>
          <w:bCs w:val="1"/>
          <w:i w:val="1"/>
          <w:iCs w:val="1"/>
          <w:color w:val="auto"/>
        </w:rPr>
        <w:t>The value of our investment portfolio, which includes cash, cash equivalents, and marketable securities, is influenced by varying economic and market conditions. A decrease in the value of an asset in our investment portfolio or a default by the issuer may result in our inability to recover the principal we invested and/or a recognition of a loss charged against income.</w:t>
      </w:r>
    </w:p>
    <w:p>
      <w:pPr>
        <w:spacing w:after="0" w:line="221" w:lineRule="exact"/>
        <w:rPr>
          <w:sz w:val="20"/>
          <w:szCs w:val="20"/>
          <w:color w:val="auto"/>
        </w:rPr>
      </w:pPr>
    </w:p>
    <w:p>
      <w:pPr>
        <w:jc w:val="both"/>
        <w:ind w:firstLine="250"/>
        <w:spacing w:after="0" w:line="286" w:lineRule="auto"/>
        <w:rPr>
          <w:sz w:val="20"/>
          <w:szCs w:val="20"/>
          <w:color w:val="auto"/>
        </w:rPr>
      </w:pPr>
      <w:r>
        <w:rPr>
          <w:rFonts w:ascii="Arial" w:cs="Arial" w:eastAsia="Arial" w:hAnsi="Arial"/>
          <w:sz w:val="16"/>
          <w:szCs w:val="16"/>
          <w:color w:val="auto"/>
        </w:rPr>
        <w:t>As of September 30, 2010, cash, cash equivalents, restricted cash, and marketable securities totaled $520.4 million and represented 55% of our total assets. We have invested our excess cash primarily in direct obligations of the U.S. government and its agencies, other debt securities guaranteed by the U.S. government, and money market funds that invest in U.S. government securities and, to a lesser extent, investment grade debt securities issued by corporations, bank deposits, and asset-backed securities. We consider assets classified as marketable securities to be “available-for-sale,” as defined by FASB authoritative guidance. Marketable securities totaled $191.7 million at September 30, 2010, are carried at fair value, and the unrealized gains and losses are included in other accumulated comprehensive income (loss) as a separate co mponent of stockholders’ equity. If the decline in the value of a security in our investment portfolio is deemed to be other-than-temporary, we write down the security to its current fair value and recognize a loss which may be fully charged against income. For example, we recognized other-than-temporary impairment charges related to certain marketable securities of $2.5 million, $0.1 million, and $0.1 million in 2008, 2009, and the first nine months of 2010, respectively. The current economic environment, the deterioration in the credit quality of some of the issuers of securities that we hold, and the continued volatility of securities markets increase the risk that we may not recover the principal we invested and/or there may be further declines in the market value of securities in our investment portfolio. As a result, we may incur additional charges against income in future periods for other-than-temporary impairments or realized losses upon a security’s sale or maturity, and such amounts ma y be material.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Risks Related to ARCALYST</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(rilonacept) and the Development of Our Product Candidates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Successful development of any of our product candidates is highly uncertain.</w:t>
      </w:r>
    </w:p>
    <w:p>
      <w:pPr>
        <w:spacing w:after="0" w:line="252" w:lineRule="exact"/>
        <w:rPr>
          <w:sz w:val="20"/>
          <w:szCs w:val="20"/>
          <w:color w:val="auto"/>
        </w:rPr>
      </w:pPr>
    </w:p>
    <w:p>
      <w:pPr>
        <w:jc w:val="both"/>
        <w:ind w:firstLine="290"/>
        <w:spacing w:after="0" w:line="291"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Even if clinical trials demonstrate the safety and effectiveness of any of our product candidates for a specific disease and the necessary regulatory approvals are obtained, the commercial success of any of our product candidates will depend upon their acceptance by patients, the medical community, and 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 ve made in developing such products and our business would be severely harmed.</w:t>
      </w:r>
    </w:p>
    <w:p>
      <w:pPr>
        <w:spacing w:after="0" w:line="198" w:lineRule="exact"/>
        <w:rPr>
          <w:sz w:val="20"/>
          <w:szCs w:val="20"/>
          <w:color w:val="auto"/>
        </w:rPr>
      </w:pPr>
    </w:p>
    <w:p>
      <w:pPr>
        <w:jc w:val="both"/>
        <w:ind w:firstLine="355"/>
        <w:spacing w:after="0" w:line="228" w:lineRule="auto"/>
        <w:rPr>
          <w:sz w:val="20"/>
          <w:szCs w:val="20"/>
          <w:color w:val="auto"/>
        </w:rPr>
      </w:pPr>
      <w:r>
        <w:rPr>
          <w:rFonts w:ascii="Arial" w:cs="Arial" w:eastAsia="Arial" w:hAnsi="Arial"/>
          <w:sz w:val="18"/>
          <w:szCs w:val="18"/>
          <w:color w:val="auto"/>
        </w:rPr>
        <w:t>We are testing aflibercept, VEGF Trap-Eye, and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 a number of late-stage clinical trials. Clinical trials may not demonstrate statistically sufficient effectiveness and safety to obtain the requisite regulatory approvals for these product candidates. In a number of instances, we have terminated the development of product candidates due to a lack of or only modest effectiveness.</w:t>
      </w:r>
    </w:p>
    <w:p>
      <w:pPr>
        <w:spacing w:after="0" w:line="236" w:lineRule="exact"/>
        <w:rPr>
          <w:sz w:val="20"/>
          <w:szCs w:val="20"/>
          <w:color w:val="auto"/>
        </w:rPr>
      </w:pPr>
    </w:p>
    <w:p>
      <w:pPr>
        <w:jc w:val="both"/>
        <w:ind w:firstLine="268"/>
        <w:spacing w:after="0" w:line="227" w:lineRule="auto"/>
        <w:rPr>
          <w:sz w:val="20"/>
          <w:szCs w:val="20"/>
          <w:color w:val="auto"/>
        </w:rPr>
      </w:pPr>
      <w:r>
        <w:rPr>
          <w:rFonts w:ascii="Arial" w:cs="Arial" w:eastAsia="Arial" w:hAnsi="Arial"/>
          <w:sz w:val="17"/>
          <w:szCs w:val="17"/>
          <w:color w:val="auto"/>
        </w:rPr>
        <w:t>Aflibercept is in Phase 3 clinical trials in combination with standard chemotherapy regimens for the treatment of 2</w:t>
      </w:r>
      <w:r>
        <w:rPr>
          <w:rFonts w:ascii="Arial" w:cs="Arial" w:eastAsia="Arial" w:hAnsi="Arial"/>
          <w:sz w:val="23"/>
          <w:szCs w:val="23"/>
          <w:color w:val="auto"/>
          <w:vertAlign w:val="superscript"/>
        </w:rPr>
        <w:t>nd</w:t>
      </w:r>
      <w:r>
        <w:rPr>
          <w:rFonts w:ascii="Arial" w:cs="Arial" w:eastAsia="Arial" w:hAnsi="Arial"/>
          <w:sz w:val="17"/>
          <w:szCs w:val="17"/>
          <w:color w:val="auto"/>
        </w:rPr>
        <w:t>-line metastatic colorectal cancer, 1</w:t>
      </w:r>
      <w:r>
        <w:rPr>
          <w:rFonts w:ascii="Arial" w:cs="Arial" w:eastAsia="Arial" w:hAnsi="Arial"/>
          <w:sz w:val="23"/>
          <w:szCs w:val="23"/>
          <w:color w:val="auto"/>
          <w:vertAlign w:val="superscript"/>
        </w:rPr>
        <w:t>st</w:t>
      </w:r>
      <w:r>
        <w:rPr>
          <w:rFonts w:ascii="Arial" w:cs="Arial" w:eastAsia="Arial" w:hAnsi="Arial"/>
          <w:sz w:val="17"/>
          <w:szCs w:val="17"/>
          <w:color w:val="auto"/>
        </w:rPr>
        <w:t>-line androgen independent prostate cancer, and 2</w:t>
      </w:r>
      <w:r>
        <w:rPr>
          <w:rFonts w:ascii="Arial" w:cs="Arial" w:eastAsia="Arial" w:hAnsi="Arial"/>
          <w:sz w:val="23"/>
          <w:szCs w:val="23"/>
          <w:color w:val="auto"/>
          <w:vertAlign w:val="superscript"/>
        </w:rPr>
        <w:t>nd</w:t>
      </w:r>
      <w:r>
        <w:rPr>
          <w:rFonts w:ascii="Arial" w:cs="Arial" w:eastAsia="Arial" w:hAnsi="Arial"/>
          <w:sz w:val="17"/>
          <w:szCs w:val="17"/>
          <w:color w:val="auto"/>
        </w:rPr>
        <w:t>-line metastatic non-small cell lung cancer. Aflibercept may not demonstrate the required safety or efficacy to support an application for approval in any of these indications. We do not have proof of concept data from early-stage, double-blind, controlled clinical trials that aflibercept will be safe or effective in any of these cancer settings. In March 2010, Genentech announced that a Phase 3 trial of its VEGF antagonist, Avastin</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(bevacizumab), in combination with chemotherapy in men with prostate cancer, did not meet its primary endpoint. This trial had a very similar design to our ongoing Phase 3 trial of aflibercept in prostate cancer.</w:t>
      </w:r>
    </w:p>
    <w:p>
      <w:pPr>
        <w:spacing w:after="0" w:line="238" w:lineRule="exact"/>
        <w:rPr>
          <w:sz w:val="20"/>
          <w:szCs w:val="20"/>
          <w:color w:val="auto"/>
        </w:rPr>
      </w:pPr>
    </w:p>
    <w:p>
      <w:pPr>
        <w:jc w:val="both"/>
        <w:ind w:firstLine="251"/>
        <w:spacing w:after="0" w:line="255" w:lineRule="auto"/>
        <w:rPr>
          <w:sz w:val="20"/>
          <w:szCs w:val="20"/>
          <w:color w:val="auto"/>
        </w:rPr>
      </w:pPr>
      <w:r>
        <w:rPr>
          <w:rFonts w:ascii="Arial" w:cs="Arial" w:eastAsia="Arial" w:hAnsi="Arial"/>
          <w:sz w:val="18"/>
          <w:szCs w:val="18"/>
          <w:color w:val="auto"/>
        </w:rPr>
        <w:t>We are testing VEGF Trap-Eye in Phase 3 trials for the treatment of wet AMD and the treatment of CRVO. Although we reported positive Phase 2 trial results with VEGF Trap-Eye in wet AMD, based on a limited number of patients, the results from the larger Phase 3 trials may not demonstrate that VEGF Trap-Eye is safe and effective or compares favorably to Lucentis (Genentech). A number of other potential new drugs and biologics which showed promising results in initial clinical trials subsequently failed to establish sufficient safety and efficacy data to obtain necessary regulatory approvals. VEGF Trap-Eye has not been previously studied in CRVO.</w:t>
      </w:r>
    </w:p>
    <w:p>
      <w:pPr>
        <w:spacing w:after="0" w:line="221" w:lineRule="exact"/>
        <w:rPr>
          <w:sz w:val="20"/>
          <w:szCs w:val="20"/>
          <w:color w:val="auto"/>
        </w:rPr>
      </w:pPr>
    </w:p>
    <w:p>
      <w:pPr>
        <w:jc w:val="both"/>
        <w:ind w:firstLine="250"/>
        <w:spacing w:after="0" w:line="223" w:lineRule="auto"/>
        <w:rPr>
          <w:sz w:val="20"/>
          <w:szCs w:val="20"/>
          <w:color w:val="auto"/>
        </w:rPr>
      </w:pPr>
      <w:r>
        <w:rPr>
          <w:rFonts w:ascii="Arial" w:cs="Arial" w:eastAsia="Arial" w:hAnsi="Arial"/>
          <w:sz w:val="18"/>
          <w:szCs w:val="18"/>
          <w:color w:val="auto"/>
        </w:rPr>
        <w:t>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in Phase 3 clinical trials for the prevention of gout flares in patients initiating uric acid-lowering drug therapy. Although we reported positive Phase 3 data from one trial in patients with gout initiating uric acid-lowering drug therapy, there is a risk that the results of the other ongoing trials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 patients initiating uric acid-lowering drug therapy will differ from the previously reported Phase 3 trial. A number of potential new drugs and biologics which showed promising results in initial clinical trials subsequently failed to establish sufficient safety and efficacy data to obtain necessary regulatory approvals.</w:t>
      </w:r>
    </w:p>
    <w:p>
      <w:pPr>
        <w:spacing w:after="0" w:line="237" w:lineRule="exact"/>
        <w:rPr>
          <w:sz w:val="20"/>
          <w:szCs w:val="20"/>
          <w:color w:val="auto"/>
        </w:rPr>
      </w:pPr>
    </w:p>
    <w:p>
      <w:pPr>
        <w:jc w:val="both"/>
        <w:ind w:firstLine="269"/>
        <w:spacing w:after="0" w:line="256" w:lineRule="auto"/>
        <w:rPr>
          <w:sz w:val="20"/>
          <w:szCs w:val="20"/>
          <w:color w:val="auto"/>
        </w:rPr>
      </w:pPr>
      <w:r>
        <w:rPr>
          <w:rFonts w:ascii="Arial" w:cs="Arial" w:eastAsia="Arial" w:hAnsi="Arial"/>
          <w:sz w:val="18"/>
          <w:szCs w:val="18"/>
          <w:color w:val="auto"/>
        </w:rPr>
        <w:t>We are studying our antibody candidates in a wide variety of indications in early stage clinical trials. Many of these trials are exploratory studies designed to evaluate the safety profile of these compounds and to identify what diseases and uses, if any, are best suited for these product candidates. These early stage product candidates may not demonstrate the requisite efficacy and/or safety profile to support continued development for some or all of the indications that are being, or are planned to be, studied.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40" w:name="page41"/>
    <w:bookmarkEnd w:id="40"/>
    <w:p>
      <w:pPr>
        <w:ind w:left="180" w:right="20"/>
        <w:spacing w:after="0" w:line="332"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yield unfavorable results, we will have to delay or may be unable to obtain regulatory approval for our product candidates.</w:t>
      </w:r>
    </w:p>
    <w:p>
      <w:pPr>
        <w:spacing w:after="0" w:line="166" w:lineRule="exact"/>
        <w:rPr>
          <w:sz w:val="20"/>
          <w:szCs w:val="20"/>
          <w:color w:val="auto"/>
        </w:rPr>
      </w:pPr>
    </w:p>
    <w:p>
      <w:pPr>
        <w:jc w:val="both"/>
        <w:ind w:firstLine="319"/>
        <w:spacing w:after="0" w:line="289" w:lineRule="auto"/>
        <w:rPr>
          <w:sz w:val="20"/>
          <w:szCs w:val="20"/>
          <w:color w:val="auto"/>
        </w:rPr>
      </w:pPr>
      <w:r>
        <w:rPr>
          <w:rFonts w:ascii="Arial" w:cs="Arial" w:eastAsia="Arial" w:hAnsi="Arial"/>
          <w:sz w:val="16"/>
          <w:szCs w:val="16"/>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contractors,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199" w:lineRule="exact"/>
        <w:rPr>
          <w:sz w:val="20"/>
          <w:szCs w:val="20"/>
          <w:color w:val="auto"/>
        </w:rPr>
      </w:pPr>
    </w:p>
    <w:p>
      <w:pPr>
        <w:jc w:val="both"/>
        <w:ind w:firstLine="272"/>
        <w:spacing w:after="0" w:line="257"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(or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aflibercept as a 1</w:t>
      </w:r>
      <w:r>
        <w:rPr>
          <w:rFonts w:ascii="Arial" w:cs="Arial" w:eastAsia="Arial" w:hAnsi="Arial"/>
          <w:sz w:val="23"/>
          <w:szCs w:val="23"/>
          <w:color w:val="auto"/>
          <w:vertAlign w:val="superscript"/>
        </w:rPr>
        <w:t>st</w:t>
      </w:r>
      <w:r>
        <w:rPr>
          <w:rFonts w:ascii="Arial" w:cs="Arial" w:eastAsia="Arial" w:hAnsi="Arial"/>
          <w:sz w:val="17"/>
          <w:szCs w:val="17"/>
          <w:color w:val="auto"/>
        </w:rPr>
        <w:t>-line treatment for metastic pancreatic cancer in combination with gemcitabine was discontinued at the recommendation of a 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may be materially harmed.</w:t>
      </w:r>
    </w:p>
    <w:p>
      <w:pPr>
        <w:spacing w:after="0" w:line="223" w:lineRule="exact"/>
        <w:rPr>
          <w:sz w:val="20"/>
          <w:szCs w:val="20"/>
          <w:color w:val="auto"/>
        </w:rPr>
      </w:pPr>
    </w:p>
    <w:p>
      <w:pPr>
        <w:jc w:val="both"/>
        <w:ind w:firstLine="251"/>
        <w:spacing w:after="0" w:line="294" w:lineRule="auto"/>
        <w:rPr>
          <w:sz w:val="20"/>
          <w:szCs w:val="20"/>
          <w:color w:val="auto"/>
        </w:rPr>
      </w:pPr>
      <w:r>
        <w:rPr>
          <w:rFonts w:ascii="Arial" w:cs="Arial" w:eastAsia="Arial" w:hAnsi="Arial"/>
          <w:sz w:val="16"/>
          <w:szCs w:val="16"/>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Regeneron, have suffered significant setbacks in clinical trials, even after promising results have been obtained in earlier trials. The failure of clinical trials to demonstrate safety and effectiveness for the desired indication(s) could harm the development of our product candidate(s), and our business, financial condition, and results of operations may be materially harmed.</w:t>
      </w:r>
    </w:p>
    <w:p>
      <w:pPr>
        <w:spacing w:after="0" w:line="170" w:lineRule="exact"/>
        <w:rPr>
          <w:sz w:val="20"/>
          <w:szCs w:val="20"/>
          <w:color w:val="auto"/>
        </w:rPr>
      </w:pPr>
    </w:p>
    <w:p>
      <w:pPr>
        <w:jc w:val="both"/>
        <w:ind w:left="180"/>
        <w:spacing w:after="0" w:line="306" w:lineRule="auto"/>
        <w:rPr>
          <w:sz w:val="20"/>
          <w:szCs w:val="20"/>
          <w:color w:val="auto"/>
        </w:rPr>
      </w:pPr>
      <w:r>
        <w:rPr>
          <w:rFonts w:ascii="Arial" w:cs="Arial" w:eastAsia="Arial" w:hAnsi="Arial"/>
          <w:sz w:val="16"/>
          <w:szCs w:val="16"/>
          <w:b w:val="1"/>
          <w:bCs w:val="1"/>
          <w:i w:val="1"/>
          <w:iCs w:val="1"/>
          <w:color w:val="auto"/>
        </w:rPr>
        <w:t>Serious complications or side effects have occurred, and may continue to occur, in connection with the use of our approved product and in clinical trials of some of our product candidates which could cause our regulatory approval to be revoked or otherwise negatively affected or lead to delay or discontinuation of development of our product candidates which could severely harm our business.</w:t>
      </w:r>
    </w:p>
    <w:p>
      <w:pPr>
        <w:spacing w:after="0" w:line="188" w:lineRule="exact"/>
        <w:rPr>
          <w:sz w:val="20"/>
          <w:szCs w:val="20"/>
          <w:color w:val="auto"/>
        </w:rPr>
      </w:pPr>
    </w:p>
    <w:p>
      <w:pPr>
        <w:jc w:val="both"/>
        <w:ind w:firstLine="254"/>
        <w:spacing w:after="0" w:line="253"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It is possible that as we test our drug candidates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226" w:lineRule="exact"/>
        <w:rPr>
          <w:sz w:val="20"/>
          <w:szCs w:val="20"/>
          <w:color w:val="auto"/>
        </w:rPr>
      </w:pPr>
    </w:p>
    <w:p>
      <w:pPr>
        <w:jc w:val="both"/>
        <w:ind w:firstLine="254"/>
        <w:spacing w:after="0" w:line="289" w:lineRule="auto"/>
        <w:rPr>
          <w:sz w:val="20"/>
          <w:szCs w:val="20"/>
          <w:color w:val="auto"/>
        </w:rPr>
      </w:pPr>
      <w:r>
        <w:rPr>
          <w:rFonts w:ascii="Arial" w:cs="Arial" w:eastAsia="Arial" w:hAnsi="Arial"/>
          <w:sz w:val="16"/>
          <w:szCs w:val="16"/>
          <w:color w:val="auto"/>
        </w:rPr>
        <w:t>Aflibercept (VEGF Trap) is being studied for the potential treatment of certain types of cancer and our VEGF Trap-Eye candidate is being studied in diseases of the eye. There are many potential safety concerns associated with significant blockade of vascular endothelial growth factor, or VEGF, that may limit our ability to successfully develop aflibercept and VEGF Trap-Eye. These serious and potentially life-threatening risks, based on clinical and preclinical experience of VEGF inhibitors, include bleeding, intestinal perforation, hypertension, proteinuria, congestive heart failure, heart attack, and stroke. In addition, patients given infusions of any protein, including VEGF Trap delivered through intravenous administration, may develop severe hypersensitivity reactions or infusion reactions. Other VEGF blockers have reported side effects that became evident only after large scale trials or after marketing approval when large numbers of patients were treated. These and other complications or side effects could harm the development of aflibercept for the treatment of cancer or VEGF Trap-Eye for the treatment of diseases of the eye.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1" w:name="page42"/>
    <w:bookmarkEnd w:id="41"/>
    <w:p>
      <w:pPr>
        <w:jc w:val="both"/>
        <w:ind w:firstLine="250"/>
        <w:spacing w:after="0" w:line="220" w:lineRule="auto"/>
        <w:rPr>
          <w:sz w:val="20"/>
          <w:szCs w:val="20"/>
          <w:color w:val="auto"/>
        </w:rPr>
      </w:pPr>
      <w:r>
        <w:rPr>
          <w:rFonts w:ascii="Arial" w:cs="Arial" w:eastAsia="Arial" w:hAnsi="Arial"/>
          <w:sz w:val="16"/>
          <w:szCs w:val="16"/>
          <w:color w:val="auto"/>
        </w:rPr>
        <w:t>We have tested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only a small number of patients. As more patients begin to use our product and as we test it in new disease settings, new risks and side effects associated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may be discovered, and risks previously viewed as inconsequential could be determined to be significant. Like cytokine antagonists such as Kineret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(anakinra), marketed by Biovitrum, Enbrel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(etanercept), marketed by Amgen Inc. and Wyeth Pharmaceuticals, Inc., and Remicade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(infliximab) marketed by Centocor Ortho Biotech, Inc.,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affects the immune defense system of the body by blocking some of its functions. Therefore,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may interfere with the body’s ability to fight infections. Treatment with Kineret (Biovitrum), a medication that works through the inhibition of IL-1, has been associated with an increased risk of serious infections, and serious, life threatening infections have been reported in patients taking ARCALYST</w:t>
      </w:r>
      <w:r>
        <w:rPr>
          <w:rFonts w:ascii="Arial" w:cs="Arial" w:eastAsia="Arial" w:hAnsi="Arial"/>
          <w:sz w:val="22"/>
          <w:szCs w:val="22"/>
          <w:color w:val="auto"/>
          <w:vertAlign w:val="superscript"/>
        </w:rPr>
        <w:t>®</w:t>
      </w:r>
      <w:r>
        <w:rPr>
          <w:rFonts w:ascii="Arial" w:cs="Arial" w:eastAsia="Arial" w:hAnsi="Arial"/>
          <w:sz w:val="16"/>
          <w:szCs w:val="16"/>
          <w:color w:val="auto"/>
        </w:rPr>
        <w:t>. These or other complications or side effects could cause regulatory authorities to revoke approvals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treatment of CAPS or deny the approval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gout or other disease settings. Alternatively, we may be required to conduct addi tional clinical trials, make changes in the labeling of our product, or limit or abandon our efforts to develop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new disease settings. Any such side effects may also result in a reduction, or even the elimination, of sales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approved indications.</w:t>
      </w:r>
    </w:p>
    <w:p>
      <w:pPr>
        <w:spacing w:after="0" w:line="151" w:lineRule="exact"/>
        <w:rPr>
          <w:sz w:val="20"/>
          <w:szCs w:val="20"/>
          <w:color w:val="auto"/>
        </w:rPr>
      </w:pPr>
    </w:p>
    <w:p>
      <w:pPr>
        <w:jc w:val="both"/>
        <w:ind w:firstLine="250"/>
        <w:spacing w:after="0" w:line="253" w:lineRule="auto"/>
        <w:rPr>
          <w:sz w:val="20"/>
          <w:szCs w:val="20"/>
          <w:color w:val="auto"/>
        </w:rPr>
      </w:pPr>
      <w:r>
        <w:rPr>
          <w:rFonts w:ascii="Arial" w:cs="Arial" w:eastAsia="Arial" w:hAnsi="Arial"/>
          <w:sz w:val="18"/>
          <w:szCs w:val="18"/>
          <w:color w:val="auto"/>
        </w:rPr>
        <w:t>We are studying REGN475, a fully human monoclonal antibody to NGF, in a variety of pain indications, including osteoarthritis of the knee. Recently, another pharmaceutical company that is developing an antibody to NGF announced that it has suspended clinical programs for its agent in patients with osteoarthritis and other chronic use indications at the request of the FDA following a small number of reports of patients experiencing a worsening of osteoarthritis or osteonecrosis leading to joint replacement. Although REGN475 has some differences from this third party antibody, the safety risks reported in clinical trials with this other agent could be risks associated with all antibodies to NGF, including our product candidate. This risk or other complications or side effects could result in the discontinuation or limitation of the further developm ent of REGN475 in osteoarthritis and other pain indications, including as a result of being placed on clinical hold by the FDA.</w:t>
      </w:r>
    </w:p>
    <w:p>
      <w:pPr>
        <w:spacing w:after="0" w:line="198" w:lineRule="exact"/>
        <w:rPr>
          <w:sz w:val="20"/>
          <w:szCs w:val="20"/>
          <w:color w:val="auto"/>
        </w:rPr>
      </w:pPr>
    </w:p>
    <w:p>
      <w:pPr>
        <w:ind w:left="180"/>
        <w:spacing w:after="0" w:line="219" w:lineRule="auto"/>
        <w:rPr>
          <w:sz w:val="20"/>
          <w:szCs w:val="20"/>
          <w:color w:val="auto"/>
        </w:rPr>
      </w:pPr>
      <w:r>
        <w:rPr>
          <w:rFonts w:ascii="Arial" w:cs="Arial" w:eastAsia="Arial" w:hAnsi="Arial"/>
          <w:sz w:val="18"/>
          <w:szCs w:val="18"/>
          <w:b w:val="1"/>
          <w:bCs w:val="1"/>
          <w:i w:val="1"/>
          <w:iCs w:val="1"/>
          <w:color w:val="auto"/>
        </w:rPr>
        <w:t>ARCALYST</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and our product candidates in development are recombinant proteins that could cause an immune response, resulting in the creation of harmful or neutralizing antibodies against the therapeutic protein.</w:t>
      </w:r>
    </w:p>
    <w:p>
      <w:pPr>
        <w:spacing w:after="0" w:line="238" w:lineRule="exact"/>
        <w:rPr>
          <w:sz w:val="20"/>
          <w:szCs w:val="20"/>
          <w:color w:val="auto"/>
        </w:rPr>
      </w:pPr>
    </w:p>
    <w:p>
      <w:pPr>
        <w:jc w:val="both"/>
        <w:ind w:firstLine="388"/>
        <w:spacing w:after="0" w:line="266" w:lineRule="auto"/>
        <w:rPr>
          <w:sz w:val="20"/>
          <w:szCs w:val="20"/>
          <w:color w:val="auto"/>
        </w:rPr>
      </w:pPr>
      <w:r>
        <w:rPr>
          <w:rFonts w:ascii="Arial" w:cs="Arial" w:eastAsia="Arial" w:hAnsi="Arial"/>
          <w:sz w:val="16"/>
          <w:szCs w:val="16"/>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that there can be no assurance that neutralizing antibodies will not be detected at a later date, in some cases even after pivotal clin ical trials have been completed. Antibodies directed against the receptor domains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were detected in patients with CAPS after treatment with ARCALYST</w:t>
      </w:r>
      <w:r>
        <w:rPr>
          <w:rFonts w:ascii="Arial" w:cs="Arial" w:eastAsia="Arial" w:hAnsi="Arial"/>
          <w:sz w:val="22"/>
          <w:szCs w:val="22"/>
          <w:color w:val="auto"/>
          <w:vertAlign w:val="superscript"/>
        </w:rPr>
        <w:t>®</w:t>
      </w:r>
      <w:r>
        <w:rPr>
          <w:rFonts w:ascii="Arial" w:cs="Arial" w:eastAsia="Arial" w:hAnsi="Arial"/>
          <w:sz w:val="16"/>
          <w:szCs w:val="16"/>
          <w:color w:val="auto"/>
        </w:rPr>
        <w:t>. Nineteen of 55 subjects (35%) who received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at least 6 weeks tested positive for treatment-emerging binding antibodies on at least one occasion. To date, no side effects related to antibodies were observed in these subjects and there were no observed effects on drug efficacy or drug levels. It is possible that as we continue to test aflibercept and VEGF Trap-Eye with more sensitive assays in different patient populations and larger clinical trials, we will find that subjects given aflibercept and VEGF Trap-Eye develop antibodies to these product candidates, and may also experience side effects related to the antibodies, which could advers ely impact the development of such candidates.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7" w:right="239" w:bottom="1440" w:gutter="0" w:footer="0" w:header="0"/>
        </w:sectPr>
      </w:pPr>
    </w:p>
    <w:bookmarkStart w:id="42" w:name="page43"/>
    <w:bookmarkEnd w:id="42"/>
    <w:p>
      <w:pPr>
        <w:ind w:left="180"/>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252" w:lineRule="exact"/>
        <w:rPr>
          <w:sz w:val="20"/>
          <w:szCs w:val="20"/>
          <w:color w:val="auto"/>
        </w:rPr>
      </w:pPr>
    </w:p>
    <w:p>
      <w:pPr>
        <w:jc w:val="both"/>
        <w:ind w:firstLine="321"/>
        <w:spacing w:after="0" w:line="294" w:lineRule="auto"/>
        <w:rPr>
          <w:sz w:val="20"/>
          <w:szCs w:val="20"/>
          <w:color w:val="auto"/>
        </w:rPr>
      </w:pPr>
      <w:r>
        <w:rPr>
          <w:rFonts w:ascii="Arial" w:cs="Arial" w:eastAsia="Arial" w:hAnsi="Arial"/>
          <w:sz w:val="16"/>
          <w:szCs w:val="16"/>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aflibercept, VEGF Trap-Eye, and our antibody candidates,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31"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13" w:lineRule="exact"/>
        <w:rPr>
          <w:sz w:val="20"/>
          <w:szCs w:val="20"/>
          <w:color w:val="auto"/>
        </w:rPr>
      </w:pPr>
    </w:p>
    <w:p>
      <w:pPr>
        <w:jc w:val="both"/>
        <w:ind w:firstLine="386"/>
        <w:spacing w:after="0" w:line="287" w:lineRule="auto"/>
        <w:rPr>
          <w:sz w:val="20"/>
          <w:szCs w:val="20"/>
          <w:color w:val="auto"/>
        </w:rPr>
      </w:pPr>
      <w:r>
        <w:rPr>
          <w:rFonts w:ascii="Arial" w:cs="Arial" w:eastAsia="Arial" w:hAnsi="Arial"/>
          <w:sz w:val="16"/>
          <w:szCs w:val="16"/>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 ed States may be challenged by third parties who file an opposition. Such opposition proceedings are increasingly common in the European Union and are costly to defend. We have pending patent applications in the European Patent Office and it is likely that we will need to defend patent applications from third party challengers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77"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and could be subject to damage awards if we are found to have infringed, third party patents or other proprietary rights.</w:t>
      </w:r>
    </w:p>
    <w:p>
      <w:pPr>
        <w:spacing w:after="0" w:line="213" w:lineRule="exact"/>
        <w:rPr>
          <w:sz w:val="20"/>
          <w:szCs w:val="20"/>
          <w:color w:val="auto"/>
        </w:rPr>
      </w:pPr>
    </w:p>
    <w:p>
      <w:pPr>
        <w:jc w:val="both"/>
        <w:ind w:firstLine="250"/>
        <w:spacing w:after="0" w:line="236" w:lineRule="auto"/>
        <w:rPr>
          <w:sz w:val="20"/>
          <w:szCs w:val="20"/>
          <w:color w:val="auto"/>
        </w:rPr>
      </w:pPr>
      <w:r>
        <w:rPr>
          <w:rFonts w:ascii="Arial" w:cs="Arial" w:eastAsia="Arial" w:hAnsi="Arial"/>
          <w:sz w:val="18"/>
          <w:szCs w:val="18"/>
          <w:color w:val="auto"/>
        </w:rPr>
        <w:t xml:space="preserve">Our commercial success depends significantly on our ability to operate without infringing the patents and other proprietary rights of third parties. Other parties may allege that they have blocking patents to our products in clinical development, either because they claim to hold proprietary rights to the composition of a product or the way it is manufactured or used. Moreover, other parties may allege that they have blocking patents to antibody products made using our </w:t>
      </w:r>
      <w:r>
        <w:rPr>
          <w:rFonts w:ascii="Arial" w:cs="Arial" w:eastAsia="Arial" w:hAnsi="Arial"/>
          <w:sz w:val="18"/>
          <w:szCs w:val="18"/>
          <w:i w:val="1"/>
          <w:iCs w:val="1"/>
          <w:color w:val="auto"/>
        </w:rPr>
        <w:t>VelocImmune</w:t>
      </w:r>
      <w:r>
        <w:rPr>
          <w:rFonts w:ascii="Arial" w:cs="Arial" w:eastAsia="Arial" w:hAnsi="Arial"/>
          <w:sz w:val="24"/>
          <w:szCs w:val="24"/>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either because of the way the antibodies are discovered or produced or because of a proprietary position covering an antibody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antibody’s target.</w:t>
      </w:r>
    </w:p>
    <w:p>
      <w:pPr>
        <w:spacing w:after="0" w:line="238"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8"/>
          <w:szCs w:val="18"/>
          <w:color w:val="auto"/>
        </w:rPr>
        <w:t>We are aware of patents and pending applications owned by Genentech that claim certain chimeric VEGF receptors. Although we do not believe that aflibercept or VEGF Trap-Eye infringes any valid claim in these patents or patent applications, Genentech could initiate a lawsuit for patent infringement and assert that its patents are valid and cover aflibercept or VEGF Trap-Eye or uses thereof. Genentech may be motivated to initiate such a lawsuit at some point in an effort to impair our ability to develop and sell aflibercept or VEGF Trap-Eye, which represent potential competitive threats to Genentech’s VEGF-binding products and product candidates. An adverse determination by a court in any such potential patent litigation would likely materially harm our business by requiring us to seek a license, which may not be available, or resulting in ou r inability to manufacture, develop, and sell aflibercept or VEGF Trap-Eye or in a damage award.</w:t>
      </w:r>
    </w:p>
    <w:p>
      <w:pPr>
        <w:spacing w:after="0" w:line="22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We are aware of patents and pending applications owned by Roche that claim antibodies to the interleukin-6 receptor and methods of treating rheumatoid arthritis with such antibodies. We are developing REGN88, an antibody to the interleukin-6 receptor, for the treatment of rheumatoid arthritis. Although we do not believe that REGN88 infringes any valid claim in these patents or patent applications, Roche could initiate a lawsuit for patent infringement and assert its patents are valid and cover REGN88.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3" w:name="page44"/>
    <w:bookmarkEnd w:id="43"/>
    <w:p>
      <w:pPr>
        <w:jc w:val="both"/>
        <w:ind w:firstLine="270"/>
        <w:spacing w:after="0" w:line="255" w:lineRule="auto"/>
        <w:rPr>
          <w:sz w:val="20"/>
          <w:szCs w:val="20"/>
          <w:color w:val="auto"/>
        </w:rPr>
      </w:pPr>
      <w:r>
        <w:rPr>
          <w:rFonts w:ascii="Arial" w:cs="Arial" w:eastAsia="Arial" w:hAnsi="Arial"/>
          <w:sz w:val="17"/>
          <w:szCs w:val="17"/>
          <w:color w:val="auto"/>
        </w:rPr>
        <w:t>We are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 manner. Neither ARCALYST</w:t>
      </w:r>
      <w:r>
        <w:rPr>
          <w:rFonts w:ascii="Arial" w:cs="Arial" w:eastAsia="Arial" w:hAnsi="Arial"/>
          <w:sz w:val="23"/>
          <w:szCs w:val="23"/>
          <w:color w:val="auto"/>
          <w:vertAlign w:val="superscript"/>
        </w:rPr>
        <w:t>®</w:t>
      </w:r>
      <w:r>
        <w:rPr>
          <w:rFonts w:ascii="Arial" w:cs="Arial" w:eastAsia="Arial" w:hAnsi="Arial"/>
          <w:sz w:val="17"/>
          <w:szCs w:val="17"/>
          <w:color w:val="auto"/>
        </w:rPr>
        <w:t>, aflibercept, nor VEGF Trap-Eye are recombinant antibodies.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use Genentech’s techniques to make recombinant antibodies in or to import them into the United States.</w:t>
      </w:r>
    </w:p>
    <w:p>
      <w:pPr>
        <w:spacing w:after="0" w:line="229" w:lineRule="exact"/>
        <w:rPr>
          <w:sz w:val="20"/>
          <w:szCs w:val="20"/>
          <w:color w:val="auto"/>
        </w:rPr>
      </w:pPr>
    </w:p>
    <w:p>
      <w:pPr>
        <w:jc w:val="both"/>
        <w:ind w:firstLine="270"/>
        <w:spacing w:after="0" w:line="332" w:lineRule="auto"/>
        <w:rPr>
          <w:sz w:val="20"/>
          <w:szCs w:val="20"/>
          <w:color w:val="auto"/>
        </w:rPr>
      </w:pPr>
      <w:r>
        <w:rPr>
          <w:rFonts w:ascii="Arial" w:cs="Arial" w:eastAsia="Arial" w:hAnsi="Arial"/>
          <w:sz w:val="16"/>
          <w:szCs w:val="16"/>
          <w:color w:val="auto"/>
        </w:rPr>
        <w:t>Further, we are aware of a number of other third party patent applications that, if granted, with claims as currently drafted, may cover our current or planned activities. We cannot assure you that our products and/or actions in manufacturing and selling our product candidates will not infringe such patents.</w:t>
      </w:r>
    </w:p>
    <w:p>
      <w:pPr>
        <w:spacing w:after="0" w:line="166" w:lineRule="exact"/>
        <w:rPr>
          <w:sz w:val="20"/>
          <w:szCs w:val="20"/>
          <w:color w:val="auto"/>
        </w:rPr>
      </w:pPr>
    </w:p>
    <w:p>
      <w:pPr>
        <w:jc w:val="both"/>
        <w:ind w:firstLine="252"/>
        <w:spacing w:after="0" w:line="255"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224" w:lineRule="exact"/>
        <w:rPr>
          <w:sz w:val="20"/>
          <w:szCs w:val="20"/>
          <w:color w:val="auto"/>
        </w:rPr>
      </w:pPr>
    </w:p>
    <w:p>
      <w:pPr>
        <w:jc w:val="both"/>
        <w:ind w:firstLine="252"/>
        <w:spacing w:after="0" w:line="259"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252" w:lineRule="exact"/>
        <w:rPr>
          <w:sz w:val="20"/>
          <w:szCs w:val="20"/>
          <w:color w:val="auto"/>
        </w:rPr>
      </w:pPr>
    </w:p>
    <w:p>
      <w:pPr>
        <w:jc w:val="both"/>
        <w:ind w:firstLine="289"/>
        <w:spacing w:after="0" w:line="273" w:lineRule="auto"/>
        <w:rPr>
          <w:sz w:val="20"/>
          <w:szCs w:val="20"/>
          <w:color w:val="auto"/>
        </w:rPr>
      </w:pPr>
      <w:r>
        <w:rPr>
          <w:rFonts w:ascii="Arial" w:cs="Arial" w:eastAsia="Arial" w:hAnsi="Arial"/>
          <w:sz w:val="16"/>
          <w:szCs w:val="16"/>
          <w:color w:val="auto"/>
        </w:rPr>
        <w:t>We cannot sell or market products without regulatory approval. If we do not obtain and maintain regulatory approval for our product candidates, including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treatment of diseases other than CAPS,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Except for the FDA approval of ARCALYST</w:t>
      </w:r>
      <w:r>
        <w:rPr>
          <w:rFonts w:ascii="Arial" w:cs="Arial" w:eastAsia="Arial" w:hAnsi="Arial"/>
          <w:sz w:val="11"/>
          <w:szCs w:val="11"/>
          <w:color w:val="auto"/>
        </w:rPr>
        <w:t>®</w:t>
      </w:r>
      <w:r>
        <w:rPr>
          <w:rFonts w:ascii="Arial" w:cs="Arial" w:eastAsia="Arial" w:hAnsi="Arial"/>
          <w:sz w:val="16"/>
          <w:szCs w:val="16"/>
          <w:color w:val="auto"/>
        </w:rPr>
        <w:t xml:space="preserve"> and the Europeans Medicines Agency approval of rilonacept for the treatment of CAPS, none of our product candidates has ever received regulatory approval to be marketed and sold in the United States or any other country. We may never receive regulatory approval for any of our product candidates.</w:t>
      </w:r>
    </w:p>
    <w:p>
      <w:pPr>
        <w:spacing w:after="0" w:line="212" w:lineRule="exact"/>
        <w:rPr>
          <w:sz w:val="20"/>
          <w:szCs w:val="20"/>
          <w:color w:val="auto"/>
        </w:rPr>
      </w:pPr>
    </w:p>
    <w:p>
      <w:pPr>
        <w:jc w:val="both"/>
        <w:ind w:firstLine="385"/>
        <w:spacing w:after="0" w:line="294" w:lineRule="auto"/>
        <w:rPr>
          <w:sz w:val="20"/>
          <w:szCs w:val="20"/>
          <w:color w:val="auto"/>
        </w:rPr>
      </w:pPr>
      <w:r>
        <w:rPr>
          <w:rFonts w:ascii="Arial" w:cs="Arial" w:eastAsia="Arial" w:hAnsi="Arial"/>
          <w:sz w:val="16"/>
          <w:szCs w:val="16"/>
          <w:color w:val="auto"/>
        </w:rPr>
        <w:t>The FDA enforces good clinical practices and other regulations through periodic inspections of trial sponsors, clinical research organizations (CROs), principal investigators, and trial sites. If we or any of the third parties conducting our clinical studies are determined to have failed to fully comply with Good Clinical Practice regulations (GCPs), the study protocol or applicable regulations, the clinical data generated in our studies may be deemed unreliable. This could result in non-approval of our product candidates by the FDA, or we or the FDA may decide to conduct additional audits or require additional clinical studies, which would delay our development programs and substantially harm our business.</w:t>
      </w:r>
    </w:p>
    <w:p>
      <w:pPr>
        <w:spacing w:after="0" w:line="197" w:lineRule="exact"/>
        <w:rPr>
          <w:sz w:val="20"/>
          <w:szCs w:val="20"/>
          <w:color w:val="auto"/>
        </w:rPr>
      </w:pPr>
    </w:p>
    <w:p>
      <w:pPr>
        <w:jc w:val="both"/>
        <w:ind w:firstLine="251"/>
        <w:spacing w:after="0" w:line="253"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 As a result, our business, financial condition, and results of operations may be materially harmed.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4" w:name="page45"/>
    <w:bookmarkEnd w:id="44"/>
    <w:p>
      <w:pPr>
        <w:jc w:val="both"/>
        <w:ind w:firstLine="269"/>
        <w:spacing w:after="0" w:line="277" w:lineRule="auto"/>
        <w:rPr>
          <w:sz w:val="20"/>
          <w:szCs w:val="20"/>
          <w:color w:val="auto"/>
        </w:rPr>
      </w:pPr>
      <w:r>
        <w:rPr>
          <w:rFonts w:ascii="Arial" w:cs="Arial" w:eastAsia="Arial" w:hAnsi="Arial"/>
          <w:sz w:val="17"/>
          <w:szCs w:val="17"/>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includes all of the risks associated with FDA approval as well as country specific regulations. Whether or not we obtain FDA approval for a product in the United States, we must obtain approval by the comparable regulatory authorities of foreign countries before we can commence clinical trials or marketing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or any of our product candidates in those countries.</w:t>
      </w:r>
    </w:p>
    <w:p>
      <w:pPr>
        <w:spacing w:after="0" w:line="89" w:lineRule="exact"/>
        <w:rPr>
          <w:sz w:val="20"/>
          <w:szCs w:val="20"/>
          <w:color w:val="auto"/>
        </w:rPr>
      </w:pPr>
    </w:p>
    <w:p>
      <w:pPr>
        <w:ind w:left="180"/>
        <w:spacing w:after="0" w:line="332" w:lineRule="auto"/>
        <w:rPr>
          <w:sz w:val="20"/>
          <w:szCs w:val="20"/>
          <w:color w:val="auto"/>
        </w:rPr>
      </w:pPr>
      <w:r>
        <w:rPr>
          <w:rFonts w:ascii="Arial" w:cs="Arial" w:eastAsia="Arial" w:hAnsi="Arial"/>
          <w:sz w:val="16"/>
          <w:szCs w:val="16"/>
          <w:b w:val="1"/>
          <w:bCs w:val="1"/>
          <w:i w:val="1"/>
          <w:iCs w:val="1"/>
          <w:color w:val="auto"/>
        </w:rPr>
        <w:t>If we fail to meet the stringent requirements of governmental regulation in the manufacture of our marketed product and clinical candidates, we could incur substantial remedial costs, delays in the development of our clinical candidates, and a reduction in sales.</w:t>
      </w:r>
    </w:p>
    <w:p>
      <w:pPr>
        <w:spacing w:after="0" w:line="166" w:lineRule="exact"/>
        <w:rPr>
          <w:sz w:val="20"/>
          <w:szCs w:val="20"/>
          <w:color w:val="auto"/>
        </w:rPr>
      </w:pPr>
    </w:p>
    <w:p>
      <w:pPr>
        <w:jc w:val="both"/>
        <w:ind w:firstLine="268"/>
        <w:spacing w:after="0" w:line="288" w:lineRule="auto"/>
        <w:rPr>
          <w:sz w:val="20"/>
          <w:szCs w:val="20"/>
          <w:color w:val="auto"/>
        </w:rPr>
      </w:pPr>
      <w:r>
        <w:rPr>
          <w:rFonts w:ascii="Arial" w:cs="Arial" w:eastAsia="Arial" w:hAnsi="Arial"/>
          <w:sz w:val="16"/>
          <w:szCs w:val="16"/>
          <w:color w:val="auto"/>
        </w:rPr>
        <w:t>We and our third party providers are required to maintain compliance with cGMP, and are subject to inspections by the FDA or comparable agencies in other jurisdictions to confirm such compliance. Changes of suppliers or modifications of methods of manufacturing may require amending our application to the FDA and acceptance of the change by the FDA prior to release of product. Because we produce multiple product candidates at our facility in Rensselaer, New York, there are increased risks associated with cGMP compliance. Our inability, or the inability of our third party service providers, to demonstrate ongoing cGMP compliance could require us to engage in lengthy and expensive remediation efforts, withdraw or recall product, halt or interrupt clinical trials, and/or interrupt commercial supply of our marketed product. Any delay, interruption or other issues that arise in the manufacture, fill-finish, packaging, or storage of our marketed product and product candidates as a result of a failure of our facilities or the facilities or operations of third parties to pass any regulatory agency inspection or maintain cGMP compliance could significantly impair our ability to develop and commercialize our products. Any finding of non-compliance could increase our costs, cause us to delay the development of our product candidates, and cause us to lose revenue from our marketed product.</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the testing or use of our products harms people, we could be subject to costly and damaging product liability claims.</w:t>
      </w:r>
    </w:p>
    <w:p>
      <w:pPr>
        <w:spacing w:after="0" w:line="252" w:lineRule="exact"/>
        <w:rPr>
          <w:sz w:val="20"/>
          <w:szCs w:val="20"/>
          <w:color w:val="auto"/>
        </w:rPr>
      </w:pPr>
    </w:p>
    <w:p>
      <w:pPr>
        <w:jc w:val="both"/>
        <w:ind w:firstLine="254"/>
        <w:spacing w:after="0" w:line="236"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sign up for our clinical trials may not protect us from liability or the cost of litigation. We may be subject to claims by CAPS patients who use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that they have been injured by a side effect associated with the drug. Our product liability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If we market and sell ARCALYST</w:t>
      </w:r>
      <w:r>
        <w:rPr>
          <w:rFonts w:ascii="Arial" w:cs="Arial" w:eastAsia="Arial" w:hAnsi="Arial"/>
          <w:sz w:val="22"/>
          <w:szCs w:val="22"/>
          <w:b w:val="1"/>
          <w:bCs w:val="1"/>
          <w:color w:val="auto"/>
          <w:vertAlign w:val="superscript"/>
        </w:rPr>
        <w:t>®</w:t>
      </w:r>
      <w:r>
        <w:rPr>
          <w:rFonts w:ascii="Arial" w:cs="Arial" w:eastAsia="Arial" w:hAnsi="Arial"/>
          <w:sz w:val="16"/>
          <w:szCs w:val="16"/>
          <w:b w:val="1"/>
          <w:bCs w:val="1"/>
          <w:i w:val="1"/>
          <w:iCs w:val="1"/>
          <w:color w:val="auto"/>
        </w:rPr>
        <w:t xml:space="preserve"> in a way that violates federal or state fraud and abuse laws, we may be subject to civil or criminal penalties.</w:t>
      </w:r>
    </w:p>
    <w:p>
      <w:pPr>
        <w:spacing w:after="0" w:line="213"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 financed health care programs.</w:t>
      </w:r>
    </w:p>
    <w:p>
      <w:pPr>
        <w:spacing w:after="0" w:line="224" w:lineRule="exact"/>
        <w:rPr>
          <w:sz w:val="20"/>
          <w:szCs w:val="20"/>
          <w:color w:val="auto"/>
        </w:rPr>
      </w:pPr>
    </w:p>
    <w:p>
      <w:pPr>
        <w:jc w:val="both"/>
        <w:ind w:firstLine="269"/>
        <w:spacing w:after="0" w:line="291"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or off-label uses, that caused claims to be submitted to Medicaid for non-covered off-label uses, and submitting inflated best price information to the Medi caid Rebate program.</w:t>
      </w:r>
    </w:p>
    <w:p>
      <w:pPr>
        <w:spacing w:after="0" w:line="201" w:lineRule="exact"/>
        <w:rPr>
          <w:sz w:val="20"/>
          <w:szCs w:val="20"/>
          <w:color w:val="auto"/>
        </w:rPr>
      </w:pPr>
    </w:p>
    <w:p>
      <w:pPr>
        <w:jc w:val="both"/>
        <w:ind w:right="20" w:firstLine="336"/>
        <w:spacing w:after="0" w:line="306"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5" w:name="page46"/>
    <w:bookmarkEnd w:id="45"/>
    <w:p>
      <w:pPr>
        <w:jc w:val="both"/>
        <w:ind w:firstLine="357"/>
        <w:spacing w:after="0" w:line="306" w:lineRule="auto"/>
        <w:rPr>
          <w:sz w:val="20"/>
          <w:szCs w:val="20"/>
          <w:color w:val="auto"/>
        </w:rPr>
      </w:pPr>
      <w:r>
        <w:rPr>
          <w:rFonts w:ascii="Arial" w:cs="Arial" w:eastAsia="Arial" w:hAnsi="Arial"/>
          <w:sz w:val="16"/>
          <w:szCs w:val="16"/>
          <w:color w:val="auto"/>
        </w:rPr>
        <w:t>Even if we are not determined to have violated these laws, government investigations into these issues typically require the expenditure of significant resources and generate negative publicity, which would also harm our financial condition. Because of the breadth of these laws and the narrowness of the safe harbors, it is possible that some of our business activities could be subject to challenge under one or more of such laws.</w:t>
      </w:r>
    </w:p>
    <w:p>
      <w:pPr>
        <w:spacing w:after="0" w:line="188" w:lineRule="exact"/>
        <w:rPr>
          <w:sz w:val="20"/>
          <w:szCs w:val="20"/>
          <w:color w:val="auto"/>
        </w:rPr>
      </w:pPr>
    </w:p>
    <w:p>
      <w:pPr>
        <w:jc w:val="both"/>
        <w:ind w:firstLine="250"/>
        <w:spacing w:after="0" w:line="291" w:lineRule="auto"/>
        <w:rPr>
          <w:sz w:val="20"/>
          <w:szCs w:val="20"/>
          <w:color w:val="auto"/>
        </w:rPr>
      </w:pPr>
      <w:r>
        <w:rPr>
          <w:rFonts w:ascii="Arial" w:cs="Arial" w:eastAsia="Arial" w:hAnsi="Arial"/>
          <w:sz w:val="16"/>
          <w:szCs w:val="16"/>
          <w:color w:val="auto"/>
        </w:rPr>
        <w:t>In recent years, several states and localities, including California, the District of Columbia, Massachusetts, Maine, Minnesota, Nevada, New Mexico, Vermont, and West Virginia, have enacted legislation requiring pharmaceutical companies to establish marketing compliance programs, and file periodic reports with the state or make periodic public disclosures on sales, marketing, pricing, clinical trials, and other activities. Similar requirements are being considered in other states and were included in health care reform legislation recently enacted by the federal government. Many of these requirements are new and uncertain, and the penalties for failure to comply with these requirements are unclear. Nonetheless, if we are found not to be in full compliance with these laws, we could face enforcement action and fines and other penalties, and could r eceive adverse publicity.</w:t>
      </w:r>
    </w:p>
    <w:p>
      <w:pPr>
        <w:spacing w:after="0" w:line="174"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213" w:lineRule="exact"/>
        <w:rPr>
          <w:sz w:val="20"/>
          <w:szCs w:val="20"/>
          <w:color w:val="auto"/>
        </w:rPr>
      </w:pPr>
    </w:p>
    <w:p>
      <w:pPr>
        <w:jc w:val="both"/>
        <w:ind w:firstLine="408"/>
        <w:spacing w:after="0" w:line="255" w:lineRule="auto"/>
        <w:rPr>
          <w:sz w:val="20"/>
          <w:szCs w:val="20"/>
          <w:color w:val="auto"/>
        </w:rPr>
      </w:pPr>
      <w:r>
        <w:rPr>
          <w:rFonts w:ascii="Arial" w:cs="Arial" w:eastAsia="Arial" w:hAnsi="Arial"/>
          <w:sz w:val="18"/>
          <w:szCs w:val="18"/>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97" w:lineRule="exact"/>
        <w:rPr>
          <w:sz w:val="20"/>
          <w:szCs w:val="20"/>
          <w:color w:val="auto"/>
        </w:rPr>
      </w:pPr>
    </w:p>
    <w:p>
      <w:pPr>
        <w:ind w:left="180" w:right="20"/>
        <w:spacing w:after="0" w:line="268" w:lineRule="auto"/>
        <w:rPr>
          <w:sz w:val="20"/>
          <w:szCs w:val="20"/>
          <w:color w:val="auto"/>
        </w:rPr>
      </w:pPr>
      <w:r>
        <w:rPr>
          <w:rFonts w:ascii="Arial" w:cs="Arial" w:eastAsia="Arial" w:hAnsi="Arial"/>
          <w:sz w:val="18"/>
          <w:szCs w:val="18"/>
          <w:b w:val="1"/>
          <w:bCs w:val="1"/>
          <w:i w:val="1"/>
          <w:iCs w:val="1"/>
          <w:color w:val="auto"/>
        </w:rPr>
        <w:t>In future years, if we are unable to conclude that our internal control over financial reporting is effective, the market value of our Common Stock could be adversely affected.</w:t>
      </w:r>
    </w:p>
    <w:p>
      <w:pPr>
        <w:spacing w:after="0" w:line="213" w:lineRule="exact"/>
        <w:rPr>
          <w:sz w:val="20"/>
          <w:szCs w:val="20"/>
          <w:color w:val="auto"/>
        </w:rPr>
      </w:pPr>
    </w:p>
    <w:p>
      <w:pPr>
        <w:jc w:val="both"/>
        <w:ind w:firstLine="271"/>
        <w:spacing w:after="0" w:line="287" w:lineRule="auto"/>
        <w:rPr>
          <w:sz w:val="20"/>
          <w:szCs w:val="20"/>
          <w:color w:val="auto"/>
        </w:rPr>
      </w:pPr>
      <w:r>
        <w:rPr>
          <w:rFonts w:ascii="Arial" w:cs="Arial" w:eastAsia="Arial" w:hAnsi="Arial"/>
          <w:sz w:val="16"/>
          <w:szCs w:val="16"/>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the effectiveness of our internal control over financial reporting. Our independent registered public accounting firm provided us with an unqualified report as to the effectiveness of our internal control over financial reporting as of December 31, 2009, which report is included in our Annual Report on Form 10-K. However, we cannot assure you that management or our inde pendent registered public accounting firm will be able to provide such an unqualified report as of future year-ends. In this event, investors could lose confidence in the reliability of our financial statements, which could result in a decrease in the market value of our Common Stock. In addition, if it is determined that deficiencies in the design or operation of internal controls exist and that they are reasonably likely to adversely affect our ability to record, process, summarize, and report financial information, we would likely incur additional costs to remediate these deficiencies and the costs of such remediation could be material.</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52" w:lineRule="exact"/>
        <w:rPr>
          <w:sz w:val="20"/>
          <w:szCs w:val="20"/>
          <w:color w:val="auto"/>
        </w:rPr>
      </w:pPr>
    </w:p>
    <w:p>
      <w:pPr>
        <w:jc w:val="both"/>
        <w:ind w:firstLine="337"/>
        <w:spacing w:after="0" w:line="259"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 adverse effect on our business. These include:</w:t>
      </w:r>
    </w:p>
    <w:p>
      <w:pPr>
        <w:spacing w:after="0" w:line="154"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6" w:name="page47"/>
    <w:bookmarkEnd w:id="46"/>
    <w:p>
      <w:pPr>
        <w:ind w:left="540"/>
        <w:spacing w:after="0" w:line="286" w:lineRule="auto"/>
        <w:rPr>
          <w:sz w:val="20"/>
          <w:szCs w:val="20"/>
          <w:color w:val="auto"/>
        </w:rPr>
      </w:pPr>
      <w:r>
        <w:rPr>
          <w:rFonts w:ascii="Arial" w:cs="Arial" w:eastAsia="Arial" w:hAnsi="Arial"/>
          <w:sz w:val="16"/>
          <w:szCs w:val="16"/>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-233680</wp:posOffset>
            </wp:positionV>
            <wp:extent cx="59690"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0"/>
        <w:spacing w:after="0" w:line="250" w:lineRule="auto"/>
        <w:rPr>
          <w:sz w:val="20"/>
          <w:szCs w:val="20"/>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61" w:lineRule="auto"/>
        <w:rPr>
          <w:sz w:val="20"/>
          <w:szCs w:val="20"/>
          <w:color w:val="auto"/>
        </w:rPr>
      </w:pPr>
      <w:r>
        <w:rPr>
          <w:rFonts w:ascii="Arial" w:cs="Arial" w:eastAsia="Arial" w:hAnsi="Arial"/>
          <w:sz w:val="18"/>
          <w:szCs w:val="18"/>
          <w:color w:val="auto"/>
        </w:rPr>
        <w:t>changes in FDA and foreign current Good Manufacturing Practice, or cGMPs, that make it more difficult for us to manufacture our marketed product and clinical candidates in accordance with cGMPs.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-245110</wp:posOffset>
            </wp:positionV>
            <wp:extent cx="59690"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5" w:lineRule="exact"/>
        <w:rPr>
          <w:sz w:val="20"/>
          <w:szCs w:val="20"/>
          <w:color w:val="auto"/>
        </w:rPr>
      </w:pPr>
    </w:p>
    <w:p>
      <w:pPr>
        <w:jc w:val="both"/>
        <w:ind w:firstLine="328"/>
        <w:spacing w:after="0" w:line="256" w:lineRule="auto"/>
        <w:rPr>
          <w:sz w:val="20"/>
          <w:szCs w:val="20"/>
          <w:color w:val="auto"/>
        </w:rPr>
      </w:pPr>
      <w:r>
        <w:rPr>
          <w:rFonts w:ascii="Arial" w:cs="Arial" w:eastAsia="Arial" w:hAnsi="Arial"/>
          <w:sz w:val="18"/>
          <w:szCs w:val="18"/>
          <w:color w:val="auto"/>
        </w:rPr>
        <w:t>The enactment in the U.S. of the Patient Protection and Affordable Care Act, or PPACA, potential regulations easing the entry of competing follow-on biologics in the marketplace,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31"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If our antibody collaboration with sanofi-aventis is terminated, our business operations and our ability to discover, develop, manufacture, and commercialize our pipeline of product candidates in the time expected, or at all, would be materially harmed.</w:t>
      </w:r>
    </w:p>
    <w:p>
      <w:pPr>
        <w:spacing w:after="0" w:line="213"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We rely heavily on funding from sanofi-aventis to support our target discovery and antibody research and development programs. Sanofi-aventis has committed to pay up to $1.28 billion between 2010 and 2017 to fund our efforts to identify and validate drug discovery targets and pre-clinically develop fully human monoclonal antibodies against such targets. In addition, sanofi-aventis funds almost all of the development expenses incurred by both companies in connection with the clinical development of antibodies that sanofi-aventis elects to co-develop with us. We rely on sanofi-aventis to fund these activities. In addition, with respect to those antibodies that sanofi-aventis elects to co-develop with us, such as REGN88, REGN421, REGN475, REGN727, and REGN668, we rely on sanofi-aventis to lead much of the clinical development efforts and assist with obtaini ng regulatory approval, particularly outside the United States. We also rely on sanofi-aventis to lead the commercialization efforts to support all of the antibody products that are co-developed by sanofi-aventis and us. If sanofi-aventis does not elect to co-develop the antibodies that we discover or opts-out of their development, we would be required to fund and oversee on our own the clinical trials, any regulatory responsibilities, and the ensuing commercialization efforts to support our antibody products. If sanofi-aventis terminates the antibody collaboration or fails to comply with its payment obligations thereunder, our business, financial condition, and results of operations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While we c annot assure you that any of the antibodies from this collaboration will ever be successfully developed and commercialized, if sanofi-aventis does not perform its obligations with respect to antibodies that it elects to co-develop, our ability to develop, manufacture, and commercialize these antibody product candidates will be significantly adversely affected.</w:t>
      </w:r>
    </w:p>
    <w:p>
      <w:pPr>
        <w:spacing w:after="0" w:line="180"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b w:val="1"/>
          <w:bCs w:val="1"/>
          <w:i w:val="1"/>
          <w:iCs w:val="1"/>
          <w:color w:val="auto"/>
        </w:rPr>
        <w:t>If our collaboration with sanofi-aventis for aflibercept (VEGF Trap) is terminated, or sanofi-aventis materially breaches its obligations thereunder, our business operations and financial condition, and our ability to develop, manufacture, and commercialize aflibercept in the time expected, or at all, would be materially harmed.</w:t>
      </w:r>
    </w:p>
    <w:p>
      <w:pPr>
        <w:spacing w:after="0" w:line="221" w:lineRule="exact"/>
        <w:rPr>
          <w:sz w:val="20"/>
          <w:szCs w:val="20"/>
          <w:color w:val="auto"/>
        </w:rPr>
      </w:pPr>
    </w:p>
    <w:p>
      <w:pPr>
        <w:jc w:val="both"/>
        <w:ind w:firstLine="338"/>
        <w:spacing w:after="0" w:line="286" w:lineRule="auto"/>
        <w:rPr>
          <w:sz w:val="20"/>
          <w:szCs w:val="20"/>
          <w:color w:val="auto"/>
        </w:rPr>
      </w:pPr>
      <w:r>
        <w:rPr>
          <w:rFonts w:ascii="Arial" w:cs="Arial" w:eastAsia="Arial" w:hAnsi="Arial"/>
          <w:sz w:val="16"/>
          <w:szCs w:val="16"/>
          <w:color w:val="auto"/>
        </w:rPr>
        <w:t>We rely heavily on sanofi-aventis to lead much of the development of aflibercept. Sanofi-aventis funds all of the development expenses incurred by both companies in connection with the aflibercept program. If the aflibercept program continues, we will rely on sanofi-aventis to assist with funding the aflibercept program, provide commercial manufacturing capacity, enroll and monitor clinical trials, obtain regulatory approval, particularly outside the United States, and lead the commercialization of aflibercept. While we cannot assure you that aflibercept will ever be successfully developed and commercialized, if sanofi-aventis does not perform its obligations in a timely manner, or at all, our ability to develop, manufacture, and commercialize aflibercept in cancer indications will be significantly adversely affected. Sanofi-aventis has the right to term inate its collaboration agreement with us at any time upon twelve months advance notice. If sanofi-aventis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manufacture of aflibercept and result in substantial additional costs to us. We have limited commercial capabilities and would have to develop or outsource these capabilities. Termination of the sanofi-aventis collaboration agreement for aflibercept would create substantial new and additional risks to the successful development and commercialization of aflibercept.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39" w:right="239" w:bottom="1440" w:gutter="0" w:footer="0" w:header="0"/>
        </w:sectPr>
      </w:pPr>
    </w:p>
    <w:bookmarkStart w:id="47" w:name="page48"/>
    <w:bookmarkEnd w:id="47"/>
    <w:p>
      <w:pPr>
        <w:jc w:val="both"/>
        <w:ind w:left="180"/>
        <w:spacing w:after="0" w:line="259" w:lineRule="auto"/>
        <w:rPr>
          <w:sz w:val="20"/>
          <w:szCs w:val="20"/>
          <w:color w:val="auto"/>
        </w:rPr>
      </w:pPr>
      <w:r>
        <w:rPr>
          <w:rFonts w:ascii="Arial" w:cs="Arial" w:eastAsia="Arial" w:hAnsi="Arial"/>
          <w:sz w:val="18"/>
          <w:szCs w:val="18"/>
          <w:b w:val="1"/>
          <w:bCs w:val="1"/>
          <w:i w:val="1"/>
          <w:iCs w:val="1"/>
          <w:color w:val="auto"/>
        </w:rPr>
        <w:t>If our collaboration with Bayer HealthCare for VEGF Trap-Eye is terminated, or Bayer HealthCare materially breaches its obligations thereunder, our business operations and financial condition, and our ability to develop and commercialize VEGF Trap-Eye in the time expected, or at all, would be materially harmed.</w:t>
      </w:r>
    </w:p>
    <w:p>
      <w:pPr>
        <w:spacing w:after="0" w:line="194" w:lineRule="exact"/>
        <w:rPr>
          <w:sz w:val="20"/>
          <w:szCs w:val="20"/>
          <w:color w:val="auto"/>
        </w:rPr>
      </w:pPr>
    </w:p>
    <w:p>
      <w:pPr>
        <w:jc w:val="both"/>
        <w:ind w:firstLine="274"/>
        <w:spacing w:after="0" w:line="286" w:lineRule="auto"/>
        <w:rPr>
          <w:sz w:val="20"/>
          <w:szCs w:val="20"/>
          <w:color w:val="auto"/>
        </w:rPr>
      </w:pPr>
      <w:r>
        <w:rPr>
          <w:rFonts w:ascii="Arial" w:cs="Arial" w:eastAsia="Arial" w:hAnsi="Arial"/>
          <w:sz w:val="16"/>
          <w:szCs w:val="16"/>
          <w:color w:val="auto"/>
        </w:rPr>
        <w:t>We rely heavily on Bayer HealthCare to assist with the development of VEGF Trap-Eye. Under our agreement with them, Bayer HealthCare is required to fund approximately half of the development expenses incurred by both companies in connection with the global VEGF Trap-Eye development program. If the VEGF Trap-Eye program continues, we will rely on Bayer HealthCare to assist with funding the VEGF Trap-Eye development program, lead the development of VEGF Trap-Eye outside the United States, obtain regulatory approval outside the United States, and provide all sales, marketing, and commercial support for the product outside the United States. In particular, Bayer HealthCare has responsibility for selling VEGF Trap-Eye outside the United States using its sales force. While we cannot assure you that VEGF Trap-Eye will ever be successfully developed and commercialized, if Bayer HealthCare does not perform its obligation s in a timely manner, or at all, our ability to develop, manufacture, and commercialize VEGF Trap-Eye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commercialization of VEGF Trap-Eye outside the United States and result in substantial additional costs to us. We have limited commercial capabilities and would have to develop or outsource these capabilities outside the United States. Termination of the Bayer HealthCare collaboration agreement would create substantial new and additional r isks to the successful development and commercialization of VEGF Trap-Eye.</w:t>
      </w:r>
    </w:p>
    <w:p>
      <w:pPr>
        <w:spacing w:after="0" w:line="175" w:lineRule="exact"/>
        <w:rPr>
          <w:sz w:val="20"/>
          <w:szCs w:val="20"/>
          <w:color w:val="auto"/>
        </w:rPr>
      </w:pPr>
    </w:p>
    <w:p>
      <w:pPr>
        <w:ind w:left="180"/>
        <w:spacing w:after="0" w:line="283"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ARCALYST</w:t>
      </w:r>
      <w:r>
        <w:rPr>
          <w:rFonts w:ascii="Arial" w:cs="Arial" w:eastAsia="Arial" w:hAnsi="Arial"/>
          <w:sz w:val="24"/>
          <w:szCs w:val="24"/>
          <w:b w:val="1"/>
          <w:bCs w:val="1"/>
          <w:color w:val="auto"/>
          <w:vertAlign w:val="superscript"/>
        </w:rPr>
        <w:t>®</w:t>
      </w:r>
      <w:r>
        <w:rPr>
          <w:rFonts w:ascii="Arial" w:cs="Arial" w:eastAsia="Arial" w:hAnsi="Arial"/>
          <w:sz w:val="18"/>
          <w:szCs w:val="18"/>
          <w:b w:val="1"/>
          <w:bCs w:val="1"/>
          <w:i w:val="1"/>
          <w:iCs w:val="1"/>
          <w:color w:val="auto"/>
        </w:rPr>
        <w:t xml:space="preserve"> and our drug candidates.</w:t>
      </w:r>
    </w:p>
    <w:p>
      <w:pPr>
        <w:spacing w:after="0" w:line="106" w:lineRule="exact"/>
        <w:rPr>
          <w:sz w:val="20"/>
          <w:szCs w:val="20"/>
          <w:color w:val="auto"/>
        </w:rPr>
      </w:pPr>
    </w:p>
    <w:p>
      <w:pPr>
        <w:jc w:val="both"/>
        <w:ind w:firstLine="297"/>
        <w:spacing w:after="0" w:line="291" w:lineRule="auto"/>
        <w:rPr>
          <w:sz w:val="20"/>
          <w:szCs w:val="20"/>
          <w:color w:val="auto"/>
        </w:rPr>
      </w:pPr>
      <w:r>
        <w:rPr>
          <w:rFonts w:ascii="Arial" w:cs="Arial" w:eastAsia="Arial" w:hAnsi="Arial"/>
          <w:sz w:val="16"/>
          <w:szCs w:val="16"/>
          <w:color w:val="auto"/>
        </w:rPr>
        <w:t>We depend upon third-party collaborators, including sanofi-aventis, Bayer HealthCare, and service providers such as clinical research organizations, outside testing laboratories, clinical investigator sites, and third-party manufacturers and product packagers and labelers, to assist us in the manufacture and preclinical and clinical development of our product candidates. If any of our existing collaborators or service providers breaches or terminates its agreement with us or does not perform its development or manufacturing services under an agreement in a timely manner or in compliance with applicable Good Manufacturing Practices (GMPs), Good Laboratory Practices (GLPs), or Good Clinical Practice (GCP) Standards, we could experience additional costs, delays, and difficulties in the manufacture or development or in obtaining approval by regulatory author ities for our product candidates.</w:t>
      </w:r>
    </w:p>
    <w:p>
      <w:pPr>
        <w:spacing w:after="0" w:line="198" w:lineRule="exact"/>
        <w:rPr>
          <w:sz w:val="20"/>
          <w:szCs w:val="20"/>
          <w:color w:val="auto"/>
        </w:rPr>
      </w:pPr>
    </w:p>
    <w:p>
      <w:pPr>
        <w:jc w:val="both"/>
        <w:ind w:firstLine="513"/>
        <w:spacing w:after="0" w:line="227" w:lineRule="auto"/>
        <w:rPr>
          <w:sz w:val="20"/>
          <w:szCs w:val="20"/>
          <w:color w:val="auto"/>
        </w:rPr>
      </w:pPr>
      <w:r>
        <w:rPr>
          <w:rFonts w:ascii="Arial" w:cs="Arial" w:eastAsia="Arial" w:hAnsi="Arial"/>
          <w:sz w:val="17"/>
          <w:szCs w:val="17"/>
          <w:color w:val="auto"/>
        </w:rPr>
        <w:t>We rely on third party service providers to support the distribution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many other related activities in connection with the commercialization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the treatment of CAPS. We cannot be certain that these third parties will perform adequately. If these service providers do not perform their services adequately, our efforts to market and sell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the treatment of CAPS will not be successful.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252"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8" w:name="page49"/>
    <w:bookmarkEnd w:id="48"/>
    <w:p>
      <w:pPr>
        <w:jc w:val="both"/>
        <w:ind w:firstLine="328"/>
        <w:spacing w:after="0" w:line="290" w:lineRule="auto"/>
        <w:rPr>
          <w:sz w:val="20"/>
          <w:szCs w:val="20"/>
          <w:color w:val="auto"/>
        </w:rPr>
      </w:pPr>
      <w:r>
        <w:rPr>
          <w:rFonts w:ascii="Arial" w:cs="Arial" w:eastAsia="Arial" w:hAnsi="Arial"/>
          <w:sz w:val="16"/>
          <w:szCs w:val="16"/>
          <w:color w:val="auto"/>
        </w:rPr>
        <w:t>We must expand our own manufacturing capacity to support the planned growth of our clinical pipeline. Moreover, we may expand our manufacturing capacity to support commercial production of active pharmaceutical ingredients, or API, for our product candidates. This will require substantial additional expenditures,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This may delay our clinical development plans and interfere with our efforts to commercialize our products. In addition, we may be unable to secure adequate filling and finishing services to support our products. As a result, our bus iness, financial condition, and results of operations may be materially harmed.</w:t>
      </w:r>
    </w:p>
    <w:p>
      <w:pPr>
        <w:spacing w:after="0" w:line="196" w:lineRule="exact"/>
        <w:rPr>
          <w:sz w:val="20"/>
          <w:szCs w:val="20"/>
          <w:color w:val="auto"/>
        </w:rPr>
      </w:pPr>
    </w:p>
    <w:p>
      <w:pPr>
        <w:jc w:val="both"/>
        <w:ind w:right="20" w:firstLine="351"/>
        <w:spacing w:after="0" w:line="260" w:lineRule="auto"/>
        <w:rPr>
          <w:sz w:val="20"/>
          <w:szCs w:val="20"/>
          <w:color w:val="auto"/>
        </w:rPr>
      </w:pPr>
      <w:r>
        <w:rPr>
          <w:rFonts w:ascii="Arial" w:cs="Arial" w:eastAsia="Arial" w:hAnsi="Arial"/>
          <w:sz w:val="16"/>
          <w:szCs w:val="16"/>
          <w:color w:val="auto"/>
        </w:rPr>
        <w:t>We may be unable to obtain key raw materials and supplies for the manufacture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unused capacity at our manufacturing facilities.</w:t>
      </w:r>
    </w:p>
    <w:p>
      <w:pPr>
        <w:spacing w:after="0" w:line="252"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We have large-scale manufacturing operations in Rensselaer, New York. We use our facilities to produce bulk product for clinical and preclinical candidates for ourselves and our collaborations. If our clinical candidates are discontinued, we will have to absorb one hundred percent of related overhead costs and inefficiencies.</w:t>
      </w:r>
    </w:p>
    <w:p>
      <w:pPr>
        <w:spacing w:after="0" w:line="194" w:lineRule="exact"/>
        <w:rPr>
          <w:sz w:val="20"/>
          <w:szCs w:val="20"/>
          <w:color w:val="auto"/>
        </w:rPr>
      </w:pPr>
    </w:p>
    <w:p>
      <w:pPr>
        <w:ind w:left="180" w:right="20"/>
        <w:spacing w:after="0" w:line="268" w:lineRule="auto"/>
        <w:rPr>
          <w:sz w:val="20"/>
          <w:szCs w:val="20"/>
          <w:color w:val="auto"/>
        </w:rPr>
      </w:pPr>
      <w:r>
        <w:rPr>
          <w:rFonts w:ascii="Arial" w:cs="Arial" w:eastAsia="Arial" w:hAnsi="Arial"/>
          <w:sz w:val="18"/>
          <w:szCs w:val="18"/>
          <w:b w:val="1"/>
          <w:bCs w:val="1"/>
          <w:i w:val="1"/>
          <w:iCs w:val="1"/>
          <w:color w:val="auto"/>
        </w:rPr>
        <w:t>Third-party supply failures, business interruptions, or natural disasters affecting our manufacturing facilities in Rensselaer, New York could adversely affect our ability to supply our products.</w:t>
      </w:r>
    </w:p>
    <w:p>
      <w:pPr>
        <w:spacing w:after="0" w:line="210" w:lineRule="exact"/>
        <w:rPr>
          <w:sz w:val="20"/>
          <w:szCs w:val="20"/>
          <w:color w:val="auto"/>
        </w:rPr>
      </w:pPr>
    </w:p>
    <w:p>
      <w:pPr>
        <w:jc w:val="both"/>
        <w:ind w:firstLine="338"/>
        <w:spacing w:after="0" w:line="228" w:lineRule="auto"/>
        <w:rPr>
          <w:sz w:val="20"/>
          <w:szCs w:val="20"/>
          <w:color w:val="auto"/>
        </w:rPr>
      </w:pPr>
      <w:r>
        <w:rPr>
          <w:rFonts w:ascii="Arial" w:cs="Arial" w:eastAsia="Arial" w:hAnsi="Arial"/>
          <w:sz w:val="18"/>
          <w:szCs w:val="18"/>
          <w:color w:val="auto"/>
        </w:rPr>
        <w:t>We manufacture all of our bulk drug materials for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our product candidates at our manufacturing facilities in Rensselaer, New York. We would be unable to supply our product requirements if we were to cease production due to regulatory requirements or action, business interruptions, labor shortages or disputes, contaminations, fire, natural disasters, or other problems at the facilities.</w:t>
      </w:r>
    </w:p>
    <w:p>
      <w:pPr>
        <w:spacing w:after="0" w:line="23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7"/>
          <w:szCs w:val="17"/>
          <w:color w:val="auto"/>
        </w:rPr>
        <w:t>Certain raw materials necessary for manufacturing and formulation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our product candidates are provided by single-source unaffiliated third-party suppliers. In addition, we rely on certain third parties to perform filling, finishing, distribution, and other services related to the manufacture of our products. We would be unable to obtain these raw materials or services for an indeterminate period of time if any of these third-parties were to cease or interrupt production or otherwise fail to supply these materials, products, or services to us for any reason, including due to regulatory requirements or action, adverse financial developments at or affecting the supplier, failure by the supplier to comply with GMPs, business interruptions, or labor shortages or disputes. This, in turn, could materially and adversely affect our ability to manufacture or supply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or our product candidates for use in clinical trials, which could materially and adversely affect our business and future prospects.</w:t>
      </w:r>
    </w:p>
    <w:p>
      <w:pPr>
        <w:spacing w:after="0" w:line="234"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31"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183" w:lineRule="exact"/>
        <w:rPr>
          <w:sz w:val="20"/>
          <w:szCs w:val="20"/>
          <w:color w:val="auto"/>
        </w:rPr>
      </w:pPr>
    </w:p>
    <w:p>
      <w:pPr>
        <w:jc w:val="both"/>
        <w:ind w:firstLine="220"/>
        <w:spacing w:after="0" w:line="251" w:lineRule="auto"/>
        <w:rPr>
          <w:sz w:val="20"/>
          <w:szCs w:val="20"/>
          <w:color w:val="auto"/>
        </w:rPr>
      </w:pPr>
      <w:r>
        <w:rPr>
          <w:rFonts w:ascii="Arial" w:cs="Arial" w:eastAsia="Arial" w:hAnsi="Arial"/>
          <w:sz w:val="17"/>
          <w:szCs w:val="17"/>
          <w:color w:val="auto"/>
        </w:rPr>
        <w:t>We are marketing and selling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the treatment of CAPS ourselves in the United States, primarily through third party service providers. We have no sales or distribution personnel in the United States and have only a small staff with commercial capabilities. We currently have no sales, marketing, commercial, or distribution capabilities outside the United States. If we are unable to obtain those capabilities, either by developing our own organizations or entering into agreements with service providers, even if our current or future product candidates receive marketing approval, we will not be able to successfully sell those products. In that event, we will not be able to generate significant revenue, even if our product candidates are approved. We cannot guarantee that we will be able to hire the qualified sales and marketing personnel w e need or that we will be able to enter into marketing or distribution agreements with third-party providers on acceptable terms, if at all. Under the terms of our collaboration agreement with sanofi-aventis, we will rely on sanofi-aventis for sales, marketing, and distribution of aflibercept in cancer indications, should it be approved in the future by regulatory authorities for marketing. We will have to rely on a third party or devote significant resources to develop our own sales, marketing, and distribution capabilities for our other product candidates, including VEGF Trap-Eye in the United States and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patients with gout initiating uric acid-lowering drug therapy, and we may be unsuccessful in developing our own sales, marketing, and distribution organization.</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There may be too few patients with CAPS to profitably commercialize ARCALYST</w:t>
      </w:r>
      <w:r>
        <w:rPr>
          <w:rFonts w:ascii="Arial" w:cs="Arial" w:eastAsia="Arial" w:hAnsi="Arial"/>
          <w:sz w:val="24"/>
          <w:szCs w:val="24"/>
          <w:b w:val="1"/>
          <w:bCs w:val="1"/>
          <w:color w:val="auto"/>
          <w:vertAlign w:val="superscript"/>
        </w:rPr>
        <w:t>®</w:t>
      </w:r>
      <w:r>
        <w:rPr>
          <w:rFonts w:ascii="Arial" w:cs="Arial" w:eastAsia="Arial" w:hAnsi="Arial"/>
          <w:sz w:val="18"/>
          <w:szCs w:val="18"/>
          <w:b w:val="1"/>
          <w:bCs w:val="1"/>
          <w:i w:val="1"/>
          <w:iCs w:val="1"/>
          <w:color w:val="auto"/>
        </w:rPr>
        <w:t xml:space="preserve"> in this indication.</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Our only approved product is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treatment of CAPS, a group of rare, inherited auto-inflammatory diseases. These rare diseases affect a very small group of people. The incidence of CAPS has been reported to be approximately 1 in 1,000,000 people in the United States. Although the incidence rate of CAPS in Europe has not been reported, it is known to be a rare set of diseases. In October 2009, we received European marketing authorization for rilonacept for CAPS. In 2009, Novartis received regulatory approval in the U.S. and Europe for its IL-1 antibody product for the treatment of CAPS. Given the very rare nature of the disease and the competition from Novartis’ IL-1 antibody product, we may be unable to profitably commercialize ARCALYST</w:t>
      </w:r>
      <w:r>
        <w:rPr>
          <w:rFonts w:ascii="Arial" w:cs="Arial" w:eastAsia="Arial" w:hAnsi="Arial"/>
          <w:sz w:val="11"/>
          <w:szCs w:val="11"/>
          <w:color w:val="auto"/>
        </w:rPr>
        <w:t>®</w:t>
      </w:r>
      <w:r>
        <w:rPr>
          <w:rFonts w:ascii="Arial" w:cs="Arial" w:eastAsia="Arial" w:hAnsi="Arial"/>
          <w:sz w:val="16"/>
          <w:szCs w:val="16"/>
          <w:color w:val="auto"/>
        </w:rPr>
        <w:t xml:space="preserve"> in this indication.</w:t>
      </w:r>
    </w:p>
    <w:p>
      <w:pPr>
        <w:spacing w:after="0" w:line="187" w:lineRule="exact"/>
        <w:rPr>
          <w:sz w:val="20"/>
          <w:szCs w:val="20"/>
          <w:color w:val="auto"/>
        </w:rPr>
      </w:pPr>
    </w:p>
    <w:p>
      <w:pPr>
        <w:ind w:left="180" w:right="20"/>
        <w:spacing w:after="0" w:line="332" w:lineRule="auto"/>
        <w:rPr>
          <w:sz w:val="20"/>
          <w:szCs w:val="20"/>
          <w:color w:val="auto"/>
        </w:rPr>
      </w:pPr>
      <w:r>
        <w:rPr>
          <w:rFonts w:ascii="Arial" w:cs="Arial" w:eastAsia="Arial" w:hAnsi="Arial"/>
          <w:sz w:val="16"/>
          <w:szCs w:val="16"/>
          <w:b w:val="1"/>
          <w:bCs w:val="1"/>
          <w:i w:val="1"/>
          <w:iCs w:val="1"/>
          <w:color w:val="auto"/>
        </w:rPr>
        <w:t>Even if our product candidates are approved for marketing, their commercial success is highly uncertain because our competitors have received approval for products with a similar mechanism of action, and competitors may get to the marketplace with better or lower cost drugs.</w:t>
      </w:r>
    </w:p>
    <w:p>
      <w:pPr>
        <w:spacing w:after="0" w:line="166"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197" w:lineRule="exact"/>
        <w:rPr>
          <w:sz w:val="20"/>
          <w:szCs w:val="20"/>
          <w:color w:val="auto"/>
        </w:rPr>
      </w:pPr>
    </w:p>
    <w:p>
      <w:pPr>
        <w:jc w:val="both"/>
        <w:ind w:firstLine="365"/>
        <w:spacing w:after="0" w:line="286" w:lineRule="auto"/>
        <w:rPr>
          <w:sz w:val="20"/>
          <w:szCs w:val="20"/>
          <w:color w:val="auto"/>
        </w:rPr>
      </w:pPr>
      <w:r>
        <w:rPr>
          <w:rFonts w:ascii="Arial" w:cs="Arial" w:eastAsia="Arial" w:hAnsi="Arial"/>
          <w:sz w:val="16"/>
          <w:szCs w:val="16"/>
          <w:color w:val="auto"/>
        </w:rPr>
        <w:t>Genentech has an approved VEGF antagonist, Avastin, on the market for treating certain cancers and many different pharmaceutical and biotechnology companies are working to develop competing VEGF antagonists, including Novartis, Amgen, Imclone LLC/Eli Lilly and Company, Pfizer, AstraZeneca, and GlaxoSmithKline. Many of these molecules are farther along in development than aflibercept and may offer competitive advantages over our molecule. Each of Pfizer and Onyx Pharmaceuticals, (together with its partner Bayer HealthCare) has received approval from the FDA to market and sell an oral medication that targets tumor cell growth and new vasculature formation that fuels the growth of tumor s. The marketing approvals for Genentech’s VEGF antagonist, Avastin, and their extensive, ongoing clinical development plan for Avastin in other cancer indications, make it more difficult for us to enroll patients in clinical trials to support aflibercept and to obtain regulatory approval of aflibercept in these cancer settings. This may delay or impair our ability to successfully develop and commercialize aflibercept. In addition, even if aflibercept is ever approved for sale for the treatment of certain cancers, it will be difficult for our drug to compete against Avastin (Genentech)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jc w:val="both"/>
        <w:ind w:firstLine="220"/>
        <w:spacing w:after="0" w:line="290" w:lineRule="auto"/>
        <w:rPr>
          <w:sz w:val="20"/>
          <w:szCs w:val="20"/>
          <w:color w:val="auto"/>
        </w:rPr>
      </w:pPr>
      <w:r>
        <w:rPr>
          <w:rFonts w:ascii="Arial" w:cs="Arial" w:eastAsia="Arial" w:hAnsi="Arial"/>
          <w:sz w:val="16"/>
          <w:szCs w:val="16"/>
          <w:color w:val="auto"/>
        </w:rPr>
        <w:t>The market for eye disease products is also very competitive. Novartis and Genentech are collaborating on the commercialization and further development of a VEGF antibody fragment, Lucentis (Genentech), for the treatment of age-related macular degeneration (wet AMD), DME, and other eye indications. Lucentis (Genentech) was approved by the FDA in June 2006 for the treatment of wet AMD. In addition, in June 2010, Lucentis (Genentech) was approved by the FDA for the treatment of macular edema because of a blockage in a retinal vein. Many other companies are working on the development of product candidates for the potential treatment of wet AMD and DME that act by blocking VEGF and VEGF receptors, and through the use of small interfering ribonucleic acids (siRNAs) that modulate gene expression. In addition, ophthalmologists are using off-label, with success for the treatment of wet AMD, a third-party repackaged version of Genentech’s approved VEGF antagonist, Avastin.</w:t>
      </w:r>
    </w:p>
    <w:p>
      <w:pPr>
        <w:spacing w:after="0" w:line="199"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color w:val="auto"/>
        </w:rPr>
        <w:t>The National Eye Institute and others are conducting long-term, controlled clinical trials comparing Lucentis (Genentech) to Avastin (Genentech) in the treatment of wet AMD. Data from these trials are expected in 2011. Even if VEGF Trap-Eye is ever approved for sale for the treatment of eye diseases, it may be difficult for our drug to compete against Lucentis (Genentech), because doctors and patients will have significant experience using this medicine. Moreover, the relatively low cost of therapy with Avastin (Genentech) in patients with wet AMD presents a significant competitive challenge in this indication. While we believe that aflibercept would not be well tolerated if administered directly to the eye, if aflibercept is ever approved for the treatment of certain cancers, there is a risk that third parties will attempt to repackage aflibercept for use and sale for the treatment of wet AMD and other diseases of the eye, which would present a potential low-cost competitive threat to the VEGF Trap-Eye if it is ever approved for sale.</w:t>
      </w:r>
    </w:p>
    <w:p>
      <w:pPr>
        <w:spacing w:after="0" w:line="196" w:lineRule="exact"/>
        <w:rPr>
          <w:sz w:val="20"/>
          <w:szCs w:val="20"/>
          <w:color w:val="auto"/>
        </w:rPr>
      </w:pPr>
    </w:p>
    <w:p>
      <w:pPr>
        <w:jc w:val="both"/>
        <w:ind w:firstLine="365"/>
        <w:spacing w:after="0" w:line="203" w:lineRule="auto"/>
        <w:rPr>
          <w:sz w:val="20"/>
          <w:szCs w:val="20"/>
          <w:color w:val="auto"/>
        </w:rPr>
      </w:pPr>
      <w:r>
        <w:rPr>
          <w:rFonts w:ascii="Arial" w:cs="Arial" w:eastAsia="Arial" w:hAnsi="Arial"/>
          <w:sz w:val="18"/>
          <w:szCs w:val="18"/>
          <w:color w:val="auto"/>
        </w:rPr>
        <w:t>The availability of highly effective FDA approved TNF-antagonists such as Enbrel (Amgen and Wyeth), Remicade (Centocor), Humira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(adalimumab), marketed by Abbott, and Simponi</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(golimumab), marketed by Centocor, and the IL-1 receptor antagonist Kineret (Biovitrum), and other marketed therapies makes it more difficult to successfully develop and commercialize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 other indications, and this is one of the reasons we discontinued the development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 adult rheumatoid arthritis. In addition, even if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ever approved for sale in indications where TNF-antagonists are approved, it will be difficult for our drug to compete against these FDA approved TNF-antagonists because doctors and patients will have significant experience using these effective medicines. Moreover, in such indications these approved therapeutics may offer competitive advantages over ARCALYST</w:t>
      </w:r>
      <w:r>
        <w:rPr>
          <w:rFonts w:ascii="Arial" w:cs="Arial" w:eastAsia="Arial" w:hAnsi="Arial"/>
          <w:sz w:val="24"/>
          <w:szCs w:val="24"/>
          <w:color w:val="auto"/>
          <w:vertAlign w:val="superscript"/>
        </w:rPr>
        <w:t>®</w:t>
      </w:r>
      <w:r>
        <w:rPr>
          <w:rFonts w:ascii="Arial" w:cs="Arial" w:eastAsia="Arial" w:hAnsi="Arial"/>
          <w:sz w:val="18"/>
          <w:szCs w:val="18"/>
          <w:color w:val="auto"/>
        </w:rPr>
        <w:t>, such as requiring fewer injections.</w:t>
      </w:r>
    </w:p>
    <w:p>
      <w:pPr>
        <w:spacing w:after="0" w:line="241" w:lineRule="exact"/>
        <w:rPr>
          <w:sz w:val="20"/>
          <w:szCs w:val="20"/>
          <w:color w:val="auto"/>
        </w:rPr>
      </w:pPr>
    </w:p>
    <w:p>
      <w:pPr>
        <w:jc w:val="both"/>
        <w:ind w:firstLine="338"/>
        <w:spacing w:after="0" w:line="246" w:lineRule="auto"/>
        <w:rPr>
          <w:sz w:val="20"/>
          <w:szCs w:val="20"/>
          <w:color w:val="auto"/>
        </w:rPr>
      </w:pPr>
      <w:r>
        <w:rPr>
          <w:rFonts w:ascii="Arial" w:cs="Arial" w:eastAsia="Arial" w:hAnsi="Arial"/>
          <w:sz w:val="17"/>
          <w:szCs w:val="17"/>
          <w:color w:val="auto"/>
        </w:rPr>
        <w:t>There are both small molecules and antibodies in development by other companies that are designed to block the synthesis of interleukin-1 or inhibit the signaling of interleukin-1. For example, Eli Lilly, Xoma Ltd., and Novartis are each developing antibodies to interleukin-1 and Amgen is developing an antibody to the interleukin-1 receptor. Novartis received marketing approval for its IL-1 antibody for the treatment of CAPS from the FDA in June 2009 and from the European Medicines Agency in October 2009. Novartis is also developing this IL-1 antibody in gout and other inflammatory diseases. Novartis’ IL-1 antibody and these other drug candidates could offer competitive advantages over ARCALYST</w:t>
      </w:r>
      <w:r>
        <w:rPr>
          <w:rFonts w:ascii="Arial" w:cs="Arial" w:eastAsia="Arial" w:hAnsi="Arial"/>
          <w:sz w:val="23"/>
          <w:szCs w:val="23"/>
          <w:color w:val="auto"/>
          <w:vertAlign w:val="superscript"/>
        </w:rPr>
        <w:t>®</w:t>
      </w:r>
      <w:r>
        <w:rPr>
          <w:rFonts w:ascii="Arial" w:cs="Arial" w:eastAsia="Arial" w:hAnsi="Arial"/>
          <w:sz w:val="17"/>
          <w:szCs w:val="17"/>
          <w:color w:val="auto"/>
        </w:rPr>
        <w:t>. For example, Novartis’ IL-1 a ntibody is dosed once every eight weeks compared to the once-weekly dosing regimen for ARCALYST</w:t>
      </w:r>
      <w:r>
        <w:rPr>
          <w:rFonts w:ascii="Arial" w:cs="Arial" w:eastAsia="Arial" w:hAnsi="Arial"/>
          <w:sz w:val="23"/>
          <w:szCs w:val="23"/>
          <w:color w:val="auto"/>
          <w:vertAlign w:val="superscript"/>
        </w:rPr>
        <w:t>®</w:t>
      </w:r>
      <w:r>
        <w:rPr>
          <w:rFonts w:ascii="Arial" w:cs="Arial" w:eastAsia="Arial" w:hAnsi="Arial"/>
          <w:sz w:val="17"/>
          <w:szCs w:val="17"/>
          <w:color w:val="auto"/>
        </w:rPr>
        <w:t>. The successful development and/or commercialization of these competing molecules could impair our ability to successfully commercialize ARCALYST</w:t>
      </w:r>
      <w:r>
        <w:rPr>
          <w:rFonts w:ascii="Arial" w:cs="Arial" w:eastAsia="Arial" w:hAnsi="Arial"/>
          <w:sz w:val="23"/>
          <w:szCs w:val="23"/>
          <w:color w:val="auto"/>
          <w:vertAlign w:val="superscript"/>
        </w:rPr>
        <w:t>®</w:t>
      </w:r>
      <w:r>
        <w:rPr>
          <w:rFonts w:ascii="Arial" w:cs="Arial" w:eastAsia="Arial" w:hAnsi="Arial"/>
          <w:sz w:val="17"/>
          <w:szCs w:val="17"/>
          <w:color w:val="auto"/>
        </w:rPr>
        <w:t>.</w:t>
      </w:r>
    </w:p>
    <w:p>
      <w:pPr>
        <w:spacing w:after="0" w:line="138" w:lineRule="exact"/>
        <w:rPr>
          <w:sz w:val="20"/>
          <w:szCs w:val="20"/>
          <w:color w:val="auto"/>
        </w:rPr>
      </w:pPr>
    </w:p>
    <w:p>
      <w:pPr>
        <w:jc w:val="both"/>
        <w:ind w:firstLine="351"/>
        <w:spacing w:after="0" w:line="272" w:lineRule="auto"/>
        <w:rPr>
          <w:sz w:val="20"/>
          <w:szCs w:val="20"/>
          <w:color w:val="auto"/>
        </w:rPr>
      </w:pPr>
      <w:r>
        <w:rPr>
          <w:rFonts w:ascii="Arial" w:cs="Arial" w:eastAsia="Arial" w:hAnsi="Arial"/>
          <w:sz w:val="16"/>
          <w:szCs w:val="16"/>
          <w:color w:val="auto"/>
        </w:rPr>
        <w:t>We are developing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prevention of gout flares in patients initiating uric acid-lowering therapy. In October 2009, Novartis announced positive Phase 2 results showing that canakinumab is more effective than an injectable corticosteroid at reducing pain and preventing recurrent attacks or “flares” in patients with hard-to-treat gout. Novartis’ IL-1 antibody is dosed less frequently for the treatment of CAPS and may be perceived as offering competitive advantages over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gout by some physicians, which would make it difficult for us to successfully commercialize ARCALYST</w:t>
      </w:r>
      <w:r>
        <w:rPr>
          <w:rFonts w:ascii="Arial" w:cs="Arial" w:eastAsia="Arial" w:hAnsi="Arial"/>
          <w:sz w:val="22"/>
          <w:szCs w:val="22"/>
          <w:color w:val="auto"/>
          <w:vertAlign w:val="superscript"/>
        </w:rPr>
        <w:t>® in that disease.</w:t>
      </w:r>
    </w:p>
    <w:p>
      <w:pPr>
        <w:spacing w:after="0" w:line="120" w:lineRule="exact"/>
        <w:rPr>
          <w:sz w:val="20"/>
          <w:szCs w:val="20"/>
          <w:color w:val="auto"/>
        </w:rPr>
      </w:pPr>
    </w:p>
    <w:p>
      <w:pPr>
        <w:jc w:val="both"/>
        <w:ind w:firstLine="405"/>
        <w:spacing w:after="0" w:line="227" w:lineRule="auto"/>
        <w:rPr>
          <w:sz w:val="20"/>
          <w:szCs w:val="20"/>
          <w:color w:val="auto"/>
        </w:rPr>
      </w:pPr>
      <w:r>
        <w:rPr>
          <w:rFonts w:ascii="Arial" w:cs="Arial" w:eastAsia="Arial" w:hAnsi="Arial"/>
          <w:sz w:val="18"/>
          <w:szCs w:val="18"/>
          <w:color w:val="auto"/>
        </w:rPr>
        <w:t>Currently, inexpensive, oral therapies such as analgesics and other non-steroidal anti-inflammatory drugs are used as the standard of care to treat the symptoms of gout diseases. These established, inexpensive, orally delivered drugs will make it difficult for us to successfully commercialize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 these diseases.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1" w:name="page52"/>
    <w:bookmarkEnd w:id="51"/>
    <w:p>
      <w:pPr>
        <w:ind w:left="180"/>
        <w:spacing w:after="0" w:line="232" w:lineRule="auto"/>
        <w:rPr>
          <w:sz w:val="20"/>
          <w:szCs w:val="20"/>
          <w:color w:val="auto"/>
        </w:rPr>
      </w:pPr>
      <w:r>
        <w:rPr>
          <w:rFonts w:ascii="Arial" w:cs="Arial" w:eastAsia="Arial" w:hAnsi="Arial"/>
          <w:sz w:val="17"/>
          <w:szCs w:val="17"/>
          <w:b w:val="1"/>
          <w:bCs w:val="1"/>
          <w:i w:val="1"/>
          <w:iCs w:val="1"/>
          <w:color w:val="auto"/>
        </w:rPr>
        <w:t>The successful commercialization of ARCALYST</w:t>
      </w:r>
      <w:r>
        <w:rPr>
          <w:rFonts w:ascii="Arial" w:cs="Arial" w:eastAsia="Arial" w:hAnsi="Arial"/>
          <w:sz w:val="23"/>
          <w:szCs w:val="23"/>
          <w:b w:val="1"/>
          <w:bCs w:val="1"/>
          <w:color w:val="auto"/>
          <w:vertAlign w:val="superscript"/>
        </w:rPr>
        <w:t>®</w:t>
      </w:r>
      <w:r>
        <w:rPr>
          <w:rFonts w:ascii="Arial" w:cs="Arial" w:eastAsia="Arial" w:hAnsi="Arial"/>
          <w:sz w:val="17"/>
          <w:szCs w:val="17"/>
          <w:b w:val="1"/>
          <w:bCs w:val="1"/>
          <w:i w:val="1"/>
          <w:iCs w:val="1"/>
          <w:color w:val="auto"/>
        </w:rPr>
        <w:t xml:space="preserve"> and our product candidates will depend on obtaining coverage and reimbursement for use of these products from third-party payers and these payers may not agree to cover or reimburse for use of our products.</w:t>
      </w:r>
    </w:p>
    <w:p>
      <w:pPr>
        <w:spacing w:after="0" w:line="238" w:lineRule="exact"/>
        <w:rPr>
          <w:sz w:val="20"/>
          <w:szCs w:val="20"/>
          <w:color w:val="auto"/>
        </w:rPr>
      </w:pPr>
    </w:p>
    <w:p>
      <w:pPr>
        <w:jc w:val="both"/>
        <w:ind w:firstLine="459"/>
        <w:spacing w:after="0" w:line="258" w:lineRule="auto"/>
        <w:rPr>
          <w:sz w:val="20"/>
          <w:szCs w:val="20"/>
          <w:color w:val="auto"/>
        </w:rPr>
      </w:pPr>
      <w:r>
        <w:rPr>
          <w:rFonts w:ascii="Arial" w:cs="Arial" w:eastAsia="Arial" w:hAnsi="Arial"/>
          <w:sz w:val="17"/>
          <w:szCs w:val="17"/>
          <w:color w:val="auto"/>
        </w:rPr>
        <w:t>Our product candidates, if commercialized, may be significantly more expensive than traditional drug treatments. For example, we are developing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the prevention of gout flares in patients initiating uric acid-lowering drug therapy. Patients suffering from this gout indication are currently treated with inexpensive therapies, including non-steroidal anti-inflammatory drugs. These existing treatment options are likely to be considerably less expensive and may be preferable to a biologic medication for some patients. Our future revenues and profitability will be adversely affected if United States and foreign governmental, private third-party insurers and payers, and other third-party payers, including Medicare and Medicaid, do not agree to defray or reimburse the cost of our products to the patients. If these entities refuse to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payers more expensive for patients, and require prior authorization or failure on another type of treatment before covering a particular drug. Payers may especially impose these obstacles to coverage on higher-priced drugs, as our product candidates are likely to be.</w:t>
      </w:r>
    </w:p>
    <w:p>
      <w:pPr>
        <w:spacing w:after="0" w:line="225"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7"/>
          <w:szCs w:val="17"/>
          <w:color w:val="auto"/>
        </w:rPr>
        <w:t>We market and sell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 the United States for the treatment of a group of rare genetic disorders called CAPS. We have received European Union marketing authorization for rilonacept for the treatment of CAPS. There may be too few patients with CAPS to profitably commercialize ARCALYST</w:t>
      </w:r>
      <w:r>
        <w:rPr>
          <w:rFonts w:ascii="Arial" w:cs="Arial" w:eastAsia="Arial" w:hAnsi="Arial"/>
          <w:sz w:val="23"/>
          <w:szCs w:val="23"/>
          <w:color w:val="auto"/>
          <w:vertAlign w:val="superscript"/>
        </w:rPr>
        <w:t>®</w:t>
      </w:r>
      <w:r>
        <w:rPr>
          <w:rFonts w:ascii="Arial" w:cs="Arial" w:eastAsia="Arial" w:hAnsi="Arial"/>
          <w:sz w:val="17"/>
          <w:szCs w:val="17"/>
          <w:color w:val="auto"/>
        </w:rPr>
        <w:t>. Physicians may not prescribe ARCALYST</w:t>
      </w:r>
      <w:r>
        <w:rPr>
          <w:rFonts w:ascii="Arial" w:cs="Arial" w:eastAsia="Arial" w:hAnsi="Arial"/>
          <w:sz w:val="23"/>
          <w:szCs w:val="23"/>
          <w:color w:val="auto"/>
          <w:vertAlign w:val="superscript"/>
        </w:rPr>
        <w:t>®</w:t>
      </w:r>
      <w:r>
        <w:rPr>
          <w:rFonts w:ascii="Arial" w:cs="Arial" w:eastAsia="Arial" w:hAnsi="Arial"/>
          <w:sz w:val="17"/>
          <w:szCs w:val="17"/>
          <w:color w:val="auto"/>
        </w:rPr>
        <w:t>, and CAPS patients may not be able to afford ARCALYST</w:t>
      </w:r>
      <w:r>
        <w:rPr>
          <w:rFonts w:ascii="Arial" w:cs="Arial" w:eastAsia="Arial" w:hAnsi="Arial"/>
          <w:sz w:val="23"/>
          <w:szCs w:val="23"/>
          <w:color w:val="auto"/>
          <w:vertAlign w:val="superscript"/>
        </w:rPr>
        <w:t>®</w:t>
      </w:r>
      <w:r>
        <w:rPr>
          <w:rFonts w:ascii="Arial" w:cs="Arial" w:eastAsia="Arial" w:hAnsi="Arial"/>
          <w:sz w:val="17"/>
          <w:szCs w:val="17"/>
          <w:color w:val="auto"/>
        </w:rPr>
        <w:t>, if third party payers do not agree to reimburse the cost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therapy and this wo uld adversely affect our ability to commercialize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profitably.</w:t>
      </w:r>
    </w:p>
    <w:p>
      <w:pPr>
        <w:spacing w:after="0" w:line="146"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In addition to potential restrictions on coverage, the amount of reimbursement for our products may also reduce our profitability. Government and other third-party payers are challenging the prices charged for healthcare products and increasingly limiting, and attempting to limit, both coverage and level of reimbursement for prescription drugs. In March 2010, the Patient Protection and Affordable Care Act, or PPACA, and a related reconciliation bill were enacted in the U.S. This legislation imposes cost containment measures that are likely to adversely affect the amount of reimbursement for our future products. The full effects of this legislation are unknown at this time and will not be known until regulations and guidance are issued by the Centers for Medicare and Medicaid Services and other federal a nd state agencies.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198" w:lineRule="exact"/>
        <w:rPr>
          <w:sz w:val="20"/>
          <w:szCs w:val="20"/>
          <w:color w:val="auto"/>
        </w:rPr>
      </w:pPr>
    </w:p>
    <w:p>
      <w:pPr>
        <w:jc w:val="both"/>
        <w:ind w:firstLine="351"/>
        <w:spacing w:after="0" w:line="233" w:lineRule="auto"/>
        <w:rPr>
          <w:sz w:val="20"/>
          <w:szCs w:val="20"/>
          <w:color w:val="auto"/>
        </w:rPr>
      </w:pPr>
      <w:r>
        <w:rPr>
          <w:rFonts w:ascii="Arial" w:cs="Arial" w:eastAsia="Arial" w:hAnsi="Arial"/>
          <w:sz w:val="18"/>
          <w:szCs w:val="18"/>
          <w:color w:val="auto"/>
        </w:rPr>
        <w:t>Since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our product candidates in clinical development will likely be too expensive for most patients to afford without health insurance coverage, if our products are unable to obtain adequate coverage and reimbursement by third-party payers our ability to successfully commercialize our product candidates may be adversely impacted. Any limitation on the use of our products or any decrease in the price of our products will have a material adverse effect on our ability to achieve profitability.</w:t>
      </w:r>
    </w:p>
    <w:p>
      <w:pPr>
        <w:spacing w:after="0" w:line="240"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In certain foreign countries, pricing, coverage, and level of reimbursement of prescription drugs are subject to governmental control, and we may be unable to negotiate coverage, pricing, and reimbursement on terms that are favorable to us.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are unable to market our products in foreign countries or if coverage and reimbursement for our products in foreign countries is limited or delayed.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31"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13"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6"/>
          <w:szCs w:val="16"/>
          <w:color w:val="auto"/>
        </w:rPr>
        <w:t>We are highly dependent on certain of our executive officers. If we are not able to retain any of these persons or our Chairman, our business may suffer. In particular, we depend on the services of P. Roy Vagelos, M.D., the Chairman of our board of directors, Leonard Schleifer, M.D., Ph.D., our President and Chief Executive Officer, George D. Yancopoulos, M.D., Ph.D., our Executive Vice President, Chief Scientific Officer and President, Regeneron Research Laboratories, and Neil Stahl, Ph.D., our Senior Vice President, Research and Development Sciences. There is intense competition in the biotechnology industry for qualified scientists and managerial personnel in the development, manufacture, and commercialization of drugs. We may not be able to continue to attract and retain the qualified personnel nece ssary for developing our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25" w:lineRule="exact"/>
        <w:rPr>
          <w:sz w:val="20"/>
          <w:szCs w:val="20"/>
          <w:color w:val="auto"/>
        </w:rPr>
      </w:pPr>
    </w:p>
    <w:p>
      <w:pPr>
        <w:jc w:val="both"/>
        <w:ind w:firstLine="260"/>
        <w:spacing w:after="0" w:line="268"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progress, delays, or adverse results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720"/>
        <w:spacing w:after="0" w:line="250" w:lineRule="auto"/>
        <w:rPr>
          <w:sz w:val="20"/>
          <w:szCs w:val="20"/>
          <w:color w:val="auto"/>
        </w:rPr>
      </w:pPr>
      <w:r>
        <w:rPr>
          <w:rFonts w:ascii="Arial" w:cs="Arial" w:eastAsia="Arial" w:hAnsi="Arial"/>
          <w:sz w:val="18"/>
          <w:szCs w:val="18"/>
          <w:color w:val="auto"/>
        </w:rPr>
        <w:t>announcement of technological innovations or product candidates by us or competitors; fluctuations in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-95885</wp:posOffset>
            </wp:positionV>
            <wp:extent cx="59690" cy="596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third party claims that our products or technologies infringe their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000"/>
        <w:spacing w:after="0" w:line="214" w:lineRule="auto"/>
        <w:rPr>
          <w:sz w:val="20"/>
          <w:szCs w:val="20"/>
          <w:color w:val="auto"/>
        </w:rPr>
      </w:pPr>
      <w:r>
        <w:rPr>
          <w:rFonts w:ascii="Arial" w:cs="Arial" w:eastAsia="Arial" w:hAnsi="Arial"/>
          <w:sz w:val="18"/>
          <w:szCs w:val="18"/>
          <w:color w:val="auto"/>
        </w:rPr>
        <w:t>public concern as to the safety or effectiveness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or any of our product candidates; developments in our relationship with collaborative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-95885</wp:posOffset>
            </wp:positionV>
            <wp:extent cx="59690" cy="59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developments in the biotechnology industry or in government regulation of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large sales of our common stock by our executive officers, directors, or significant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arrivals and departures of key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general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9"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94"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13" w:lineRule="exact"/>
        <w:rPr>
          <w:sz w:val="20"/>
          <w:szCs w:val="20"/>
          <w:color w:val="auto"/>
        </w:rPr>
      </w:pPr>
    </w:p>
    <w:p>
      <w:pPr>
        <w:jc w:val="both"/>
        <w:ind w:firstLine="270"/>
        <w:spacing w:after="0" w:line="287"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September 30, 2010, our six largest shareholders plus Leonard Schleifer, M.D, Ph.D., our Chief Executive Officer, beneficially owned 62.5% of our outstanding shares of Common Stock, assuming, in the case of our Chief Executive Officer, the conversion of his Class A Stock into Common Stock and the exercise of all options held by him which are exercisable within 60 days of September 30, 2010. As of September 30, 2010, sanofi-aventis beneficially owned 14,799,552 shares of Common Stock, representing approximately 18.5% of the shares of Common Stock then outstanding. Under our investor agreement, as amended, with sanofi-aventis, sanofi-aventis may not sell these shares until December 20, 2017 except under lim ited circumstances and subject to earlier termination of these restrictions upon the occurrence of certain events. Notwithstanding these restrictions,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ind w:left="180"/>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225" w:lineRule="exact"/>
        <w:rPr>
          <w:sz w:val="20"/>
          <w:szCs w:val="20"/>
          <w:color w:val="auto"/>
        </w:rPr>
      </w:pPr>
    </w:p>
    <w:p>
      <w:pPr>
        <w:jc w:val="both"/>
        <w:ind w:firstLine="233"/>
        <w:spacing w:after="0" w:line="291" w:lineRule="auto"/>
        <w:rPr>
          <w:sz w:val="20"/>
          <w:szCs w:val="20"/>
          <w:color w:val="auto"/>
        </w:rPr>
      </w:pPr>
      <w:r>
        <w:rPr>
          <w:rFonts w:ascii="Arial" w:cs="Arial" w:eastAsia="Arial" w:hAnsi="Arial"/>
          <w:sz w:val="16"/>
          <w:szCs w:val="16"/>
          <w:color w:val="auto"/>
        </w:rPr>
        <w:t>Holders of Class A Stock, who are generally the shareholders who purchased their stock from us before our initial public offering, are entitled to ten votes per share, while holders of Common Stock are entitled to one vote per share. As of September 30, 2010, holders of Class A Stock held 21.4% of the combined voting power of all shares of Common Stock and Class A Stock then outstanding.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September 30, 2010:</w:t>
      </w:r>
    </w:p>
    <w:p>
      <w:pPr>
        <w:spacing w:after="0" w:line="134" w:lineRule="exact"/>
        <w:rPr>
          <w:sz w:val="20"/>
          <w:szCs w:val="20"/>
          <w:color w:val="auto"/>
        </w:rPr>
      </w:pPr>
    </w:p>
    <w:p>
      <w:pPr>
        <w:jc w:val="both"/>
        <w:ind w:left="540"/>
        <w:spacing w:after="0" w:line="252" w:lineRule="auto"/>
        <w:rPr>
          <w:sz w:val="20"/>
          <w:szCs w:val="20"/>
          <w:color w:val="auto"/>
        </w:rPr>
      </w:pPr>
      <w:r>
        <w:rPr>
          <w:rFonts w:ascii="Arial" w:cs="Arial" w:eastAsia="Arial" w:hAnsi="Arial"/>
          <w:sz w:val="18"/>
          <w:szCs w:val="18"/>
          <w:color w:val="auto"/>
        </w:rPr>
        <w:t>our current executive officers and directors beneficially owned 13.6% of our outstanding shares of Common Stock, assuming conversion of their Class A Stock into Common Stock and the exercise of all options held by such persons which are exercisable within 60 days of September 30, 2010, and 28.0% of the combined voting power of our outstanding shares of Common Stock and Class A Stock, assuming the exercise of all options held by such persons which are exercisable within 60 days of September 30, 2010;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-507365</wp:posOffset>
            </wp:positionV>
            <wp:extent cx="59690"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3" w:lineRule="auto"/>
        <w:rPr>
          <w:sz w:val="20"/>
          <w:szCs w:val="20"/>
          <w:color w:val="auto"/>
        </w:rPr>
      </w:pPr>
      <w:r>
        <w:rPr>
          <w:rFonts w:ascii="Arial" w:cs="Arial" w:eastAsia="Arial" w:hAnsi="Arial"/>
          <w:sz w:val="18"/>
          <w:szCs w:val="18"/>
          <w:color w:val="auto"/>
        </w:rPr>
        <w:t>our six largest shareholders plus Leonard S. Schleifer, M.D., Ph.D. our Chief Executive Officer, beneficially owned 62.5% of our outstanding shares of Common Stock, assuming, in the case of our Chief Executive Officer, the conversion of his Class A Stock into Common Stock and the exercise of all options held by him which are exercisable within 60 days of September 30, 2010. In addition, these seven shareholders held 65.5% of the combined voting power of our outstanding shares of Common Stock and Class A Stock, assuming the exercise of all options held by our Chief Executive Officer which are exercisable within 60 days of 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-652145</wp:posOffset>
            </wp:positionV>
            <wp:extent cx="59690"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9"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6"/>
          <w:szCs w:val="16"/>
          <w:color w:val="auto"/>
        </w:rPr>
        <w:t>Pursuant to an investor agreement, as amended, sanofi-aventis has agreed to vote its shares, at sanofi-aventis’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167"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and the contractual “standstill” provisions in our investor agreement with sanofi-aventis, could deter, delay, or prevent an acquisition or other “change in control” of us and could adversely affect the price of our Common Stock.</w:t>
      </w:r>
    </w:p>
    <w:p>
      <w:pPr>
        <w:spacing w:after="0" w:line="221"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6"/>
          <w:szCs w:val="16"/>
          <w:color w:val="auto"/>
        </w:rPr>
        <w:t>Our amended and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26" w:lineRule="exact"/>
        <w:rPr>
          <w:sz w:val="20"/>
          <w:szCs w:val="20"/>
          <w:color w:val="auto"/>
        </w:rPr>
      </w:pPr>
    </w:p>
    <w:p>
      <w:pPr>
        <w:jc w:val="both"/>
        <w:ind w:left="540"/>
        <w:spacing w:after="0" w:line="254" w:lineRule="auto"/>
        <w:rPr>
          <w:sz w:val="20"/>
          <w:szCs w:val="20"/>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-233680</wp:posOffset>
            </wp:positionV>
            <wp:extent cx="59690"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-370205</wp:posOffset>
            </wp:positionV>
            <wp:extent cx="59690"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Arial" w:cs="Arial" w:eastAsia="Arial" w:hAnsi="Arial"/>
          <w:sz w:val="18"/>
          <w:szCs w:val="18"/>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Arial" w:cs="Arial" w:eastAsia="Arial" w:hAnsi="Arial"/>
          <w:sz w:val="18"/>
          <w:szCs w:val="18"/>
          <w:color w:val="auto"/>
        </w:rPr>
        <w:t>any shareholder seeking to bring business before an annual meeting of shareholders must provide timely notice of this intention in writing and meet various other requirements;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right="20"/>
        <w:spacing w:after="0" w:line="254" w:lineRule="auto"/>
        <w:rPr>
          <w:sz w:val="20"/>
          <w:szCs w:val="20"/>
          <w:color w:val="auto"/>
        </w:rPr>
      </w:pPr>
      <w:r>
        <w:rPr>
          <w:rFonts w:ascii="Arial" w:cs="Arial" w:eastAsia="Arial" w:hAnsi="Arial"/>
          <w:sz w:val="18"/>
          <w:szCs w:val="18"/>
          <w:color w:val="auto"/>
        </w:rPr>
        <w:t xml:space="preserve">under the New York Business Corporation Law, in addition to certain restrictions which may apply to “business combinations” involving the Company and an “interested shareholder”, a plan of merger or consolidation of the Company must be approved by two-thirds of the votes of all outstanding shares entitled to vote thereon. See the risk factor immediately above captioned </w:t>
      </w:r>
      <w:r>
        <w:rPr>
          <w:rFonts w:ascii="Arial" w:cs="Arial" w:eastAsia="Arial" w:hAnsi="Arial"/>
          <w:sz w:val="18"/>
          <w:szCs w:val="18"/>
          <w:i w:val="1"/>
          <w:iCs w:val="1"/>
          <w:color w:val="auto"/>
        </w:rPr>
        <w:t>“Our existing shareholders may be able to exert significant influence over</w:t>
      </w:r>
      <w:r>
        <w:rPr>
          <w:rFonts w:ascii="Arial" w:cs="Arial" w:eastAsia="Arial" w:hAnsi="Arial"/>
          <w:sz w:val="18"/>
          <w:szCs w:val="18"/>
          <w:color w:val="auto"/>
        </w:rPr>
        <w:t xml:space="preserve"> </w:t>
      </w:r>
      <w:r>
        <w:rPr>
          <w:rFonts w:ascii="Arial" w:cs="Arial" w:eastAsia="Arial" w:hAnsi="Arial"/>
          <w:sz w:val="18"/>
          <w:szCs w:val="18"/>
          <w:i w:val="1"/>
          <w:iCs w:val="1"/>
          <w:color w:val="auto"/>
        </w:rPr>
        <w:t>matters requiring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-515620</wp:posOffset>
            </wp:positionV>
            <wp:extent cx="59690"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4" w:name="page55"/>
    <w:bookmarkEnd w:id="54"/>
    <w:p>
      <w:pPr>
        <w:jc w:val="both"/>
        <w:ind w:firstLine="233"/>
        <w:spacing w:after="0" w:line="256" w:lineRule="auto"/>
        <w:rPr>
          <w:sz w:val="20"/>
          <w:szCs w:val="20"/>
          <w:color w:val="auto"/>
        </w:rPr>
      </w:pPr>
      <w:r>
        <w:rPr>
          <w:rFonts w:ascii="Arial" w:cs="Arial" w:eastAsia="Arial" w:hAnsi="Arial"/>
          <w:sz w:val="18"/>
          <w:szCs w:val="18"/>
          <w:color w:val="auto"/>
        </w:rPr>
        <w:t>Until the later of the fifth anniversaries of the expiration or earlier termination of our antibody collaboration agreements with sanofi-aventis or our aflibercept collaboration with sanofi-aventis, sanofi-aventis will be bound by certain “standstill” provisions, as amended, which contractually prohibit sanofi-aventis from acquiring more than certain specified percentages of our Class A Stock and Common Stock (taken together) or otherwise seeking to obtain control of the Company.</w:t>
      </w:r>
    </w:p>
    <w:p>
      <w:pPr>
        <w:spacing w:after="0" w:line="224"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6"/>
          <w:szCs w:val="16"/>
          <w:color w:val="auto"/>
        </w:rPr>
        <w:t>In addition, we have a Change in Control Severance Plan and our Chief Executive Officer has an employment agreement that provides severance benefits in the event our officers are terminated as a result of a change in control of the Company. Many of our stock options issued under our Amended and Restated 2000 Long-Term Incentive Plan may become fully vested in connection with a “change in control” of our company, as defined in the plan. These contractual provisions may also have the effect of deterring, delaying, or preventing an acquisition or other change in control.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8" w:lineRule="exact"/>
        <w:rPr>
          <w:sz w:val="20"/>
          <w:szCs w:val="20"/>
          <w:color w:val="auto"/>
        </w:rPr>
      </w:pPr>
    </w:p>
    <w:tbl>
      <w:tblPr>
        <w:tblLayout w:type="fixed"/>
        <w:tblInd w:w="280" w:type="dxa"/>
        <w:tblCellMar>
          <w:top w:w="0" w:type="dxa"/>
          <w:left w:w="0" w:type="dxa"/>
          <w:bottom w:w="0" w:type="dxa"/>
          <w:right w:w="0" w:type="dxa"/>
        </w:tblCellMar>
      </w:tblPr>
      <w:tr>
        <w:trPr>
          <w:trHeight w:val="222"/>
        </w:trPr>
        <w:tc>
          <w:tcPr>
            <w:tcW w:w="900" w:type="dxa"/>
            <w:vAlign w:val="bottom"/>
            <w:gridSpan w:val="3"/>
          </w:tcPr>
          <w:p>
            <w:pPr>
              <w:spacing w:after="0"/>
              <w:rPr>
                <w:sz w:val="20"/>
                <w:szCs w:val="20"/>
                <w:color w:val="auto"/>
              </w:rPr>
            </w:pPr>
            <w:r>
              <w:rPr>
                <w:rFonts w:ascii="Arial" w:cs="Arial" w:eastAsia="Arial" w:hAnsi="Arial"/>
                <w:sz w:val="18"/>
                <w:szCs w:val="18"/>
                <w:color w:val="auto"/>
                <w:w w:val="97"/>
              </w:rPr>
              <w:t>(a) Exhibits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240" w:type="dxa"/>
            <w:vAlign w:val="bottom"/>
            <w:gridSpan w:val="3"/>
          </w:tcPr>
          <w:p>
            <w:pPr>
              <w:ind w:left="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660" w:type="dxa"/>
            <w:vAlign w:val="bottom"/>
            <w:tcBorders>
              <w:top w:val="single" w:sz="8" w:color="auto"/>
            </w:tcBorders>
            <w:shd w:val="clear" w:color="auto" w:fill="C0C0C0"/>
          </w:tcPr>
          <w:p>
            <w:pPr>
              <w:spacing w:after="0" w:line="202" w:lineRule="exact"/>
              <w:rPr>
                <w:sz w:val="20"/>
                <w:szCs w:val="20"/>
                <w:color w:val="auto"/>
              </w:rPr>
            </w:pPr>
            <w:r>
              <w:rPr>
                <w:rFonts w:ascii="Arial" w:cs="Arial" w:eastAsia="Arial" w:hAnsi="Arial"/>
                <w:sz w:val="18"/>
                <w:szCs w:val="18"/>
                <w:color w:val="auto"/>
              </w:rPr>
              <w:t>10.1*</w:t>
            </w:r>
          </w:p>
        </w:tc>
        <w:tc>
          <w:tcPr>
            <w:tcW w:w="180" w:type="dxa"/>
            <w:vAlign w:val="bottom"/>
            <w:tcBorders>
              <w:top w:val="single" w:sz="8" w:color="C0C0C0"/>
            </w:tcBorders>
            <w:shd w:val="clear" w:color="auto" w:fill="C0C0C0"/>
          </w:tcPr>
          <w:p>
            <w:pPr>
              <w:spacing w:after="0"/>
              <w:rPr>
                <w:sz w:val="17"/>
                <w:szCs w:val="17"/>
                <w:color w:val="auto"/>
              </w:rPr>
            </w:pPr>
          </w:p>
        </w:tc>
        <w:tc>
          <w:tcPr>
            <w:tcW w:w="80" w:type="dxa"/>
            <w:vAlign w:val="bottom"/>
            <w:tcBorders>
              <w:top w:val="single" w:sz="8" w:color="C0C0C0"/>
            </w:tcBorders>
            <w:shd w:val="clear" w:color="auto" w:fill="C0C0C0"/>
          </w:tcPr>
          <w:p>
            <w:pPr>
              <w:spacing w:after="0"/>
              <w:rPr>
                <w:sz w:val="17"/>
                <w:szCs w:val="17"/>
                <w:color w:val="auto"/>
              </w:rPr>
            </w:pPr>
          </w:p>
        </w:tc>
        <w:tc>
          <w:tcPr>
            <w:tcW w:w="340" w:type="dxa"/>
            <w:vAlign w:val="bottom"/>
            <w:tcBorders>
              <w:top w:val="single" w:sz="8" w:color="auto"/>
            </w:tcBorders>
            <w:shd w:val="clear" w:color="auto" w:fill="C0C0C0"/>
          </w:tcPr>
          <w:p>
            <w:pPr>
              <w:ind w:left="220"/>
              <w:spacing w:after="0" w:line="202" w:lineRule="exact"/>
              <w:rPr>
                <w:sz w:val="20"/>
                <w:szCs w:val="20"/>
                <w:color w:val="auto"/>
              </w:rPr>
            </w:pPr>
            <w:r>
              <w:rPr>
                <w:rFonts w:ascii="Arial" w:cs="Arial" w:eastAsia="Arial" w:hAnsi="Arial"/>
                <w:sz w:val="18"/>
                <w:szCs w:val="18"/>
                <w:color w:val="auto"/>
              </w:rPr>
              <w:t>-</w:t>
            </w:r>
          </w:p>
        </w:tc>
        <w:tc>
          <w:tcPr>
            <w:tcW w:w="9820" w:type="dxa"/>
            <w:vAlign w:val="bottom"/>
            <w:tcBorders>
              <w:top w:val="single" w:sz="8" w:color="auto"/>
            </w:tcBorders>
            <w:shd w:val="clear" w:color="auto" w:fill="C0C0C0"/>
          </w:tcPr>
          <w:p>
            <w:pPr>
              <w:ind w:left="40"/>
              <w:spacing w:after="0" w:line="202" w:lineRule="exact"/>
              <w:rPr>
                <w:sz w:val="20"/>
                <w:szCs w:val="20"/>
                <w:color w:val="auto"/>
              </w:rPr>
            </w:pPr>
            <w:r>
              <w:rPr>
                <w:rFonts w:ascii="Arial" w:cs="Arial" w:eastAsia="Arial" w:hAnsi="Arial"/>
                <w:sz w:val="18"/>
                <w:szCs w:val="18"/>
                <w:color w:val="auto"/>
                <w:w w:val="88"/>
              </w:rPr>
              <w:t>Amendment to the Non Exclusive License and Material Transfer Agreement, dated as of March 30, 2007 by and between Astellas Pharma</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9820" w:type="dxa"/>
            <w:vAlign w:val="bottom"/>
            <w:shd w:val="clear" w:color="auto" w:fill="C0C0C0"/>
          </w:tcPr>
          <w:p>
            <w:pPr>
              <w:ind w:left="40"/>
              <w:spacing w:after="0"/>
              <w:rPr>
                <w:sz w:val="20"/>
                <w:szCs w:val="20"/>
                <w:color w:val="auto"/>
              </w:rPr>
            </w:pPr>
            <w:r>
              <w:rPr>
                <w:rFonts w:ascii="Arial" w:cs="Arial" w:eastAsia="Arial" w:hAnsi="Arial"/>
                <w:sz w:val="18"/>
                <w:szCs w:val="18"/>
                <w:color w:val="auto"/>
              </w:rPr>
              <w:t>Inc. and the Registrant, dated as of July 28, 2010.</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20" w:type="dxa"/>
            <w:vAlign w:val="bottom"/>
          </w:tcPr>
          <w:p>
            <w:pPr>
              <w:ind w:left="40"/>
              <w:spacing w:after="0"/>
              <w:rPr>
                <w:sz w:val="20"/>
                <w:szCs w:val="20"/>
                <w:color w:val="auto"/>
              </w:rPr>
            </w:pPr>
            <w:r>
              <w:rPr>
                <w:rFonts w:ascii="Arial" w:cs="Arial" w:eastAsia="Arial" w:hAnsi="Arial"/>
                <w:sz w:val="18"/>
                <w:szCs w:val="18"/>
                <w:color w:val="auto"/>
              </w:rPr>
              <w:t>Certification of CEO pursuant to Rule 13a-14(a) under the Securities Exchange Act of 1934.</w:t>
            </w:r>
          </w:p>
        </w:tc>
        <w:tc>
          <w:tcPr>
            <w:tcW w:w="0" w:type="dxa"/>
            <w:vAlign w:val="bottom"/>
          </w:tcPr>
          <w:p>
            <w:pPr>
              <w:spacing w:after="0"/>
              <w:rPr>
                <w:sz w:val="1"/>
                <w:szCs w:val="1"/>
                <w:color w:val="auto"/>
              </w:rPr>
            </w:pPr>
          </w:p>
        </w:tc>
      </w:tr>
      <w:tr>
        <w:trPr>
          <w:trHeight w:val="21"/>
        </w:trPr>
        <w:tc>
          <w:tcPr>
            <w:tcW w:w="6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vMerge w:val="continue"/>
          </w:tcPr>
          <w:p>
            <w:pPr>
              <w:spacing w:after="0"/>
              <w:rPr>
                <w:sz w:val="19"/>
                <w:szCs w:val="19"/>
                <w:color w:val="auto"/>
              </w:rPr>
            </w:pPr>
          </w:p>
        </w:tc>
        <w:tc>
          <w:tcPr>
            <w:tcW w:w="6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31.2</w:t>
            </w:r>
          </w:p>
        </w:tc>
        <w:tc>
          <w:tcPr>
            <w:tcW w:w="18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gridSpan w:val="2"/>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9820" w:type="dxa"/>
            <w:vAlign w:val="bottom"/>
            <w:tcBorders>
              <w:bottom w:val="single" w:sz="8" w:color="C0C0C0"/>
            </w:tcBorders>
            <w:shd w:val="clear" w:color="auto" w:fill="C0C0C0"/>
          </w:tcPr>
          <w:p>
            <w:pPr>
              <w:ind w:left="40"/>
              <w:spacing w:after="0"/>
              <w:rPr>
                <w:sz w:val="20"/>
                <w:szCs w:val="20"/>
                <w:color w:val="auto"/>
              </w:rPr>
            </w:pPr>
            <w:r>
              <w:rPr>
                <w:rFonts w:ascii="Arial" w:cs="Arial" w:eastAsia="Arial" w:hAnsi="Arial"/>
                <w:sz w:val="18"/>
                <w:szCs w:val="18"/>
                <w:color w:val="auto"/>
              </w:rPr>
              <w:t>Certification of CFO pursuant to Rule 13a-14(a) under the Securities Exchange Act of 1934.</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20" w:type="dxa"/>
            <w:vAlign w:val="bottom"/>
          </w:tcPr>
          <w:p>
            <w:pPr>
              <w:ind w:left="40"/>
              <w:spacing w:after="0"/>
              <w:rPr>
                <w:sz w:val="20"/>
                <w:szCs w:val="20"/>
                <w:color w:val="auto"/>
              </w:rPr>
            </w:pPr>
            <w:r>
              <w:rPr>
                <w:rFonts w:ascii="Arial" w:cs="Arial" w:eastAsia="Arial" w:hAnsi="Arial"/>
                <w:sz w:val="18"/>
                <w:szCs w:val="18"/>
                <w:color w:val="auto"/>
              </w:rPr>
              <w:t>Certification of CEO and CFO pursuant to 18 U.S.C. Section 1350.</w:t>
            </w:r>
          </w:p>
        </w:tc>
        <w:tc>
          <w:tcPr>
            <w:tcW w:w="0" w:type="dxa"/>
            <w:vAlign w:val="bottom"/>
          </w:tcPr>
          <w:p>
            <w:pPr>
              <w:spacing w:after="0"/>
              <w:rPr>
                <w:sz w:val="1"/>
                <w:szCs w:val="1"/>
                <w:color w:val="auto"/>
              </w:rPr>
            </w:pPr>
          </w:p>
        </w:tc>
      </w:tr>
      <w:tr>
        <w:trPr>
          <w:trHeight w:val="21"/>
        </w:trPr>
        <w:tc>
          <w:tcPr>
            <w:tcW w:w="6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vMerge w:val="continue"/>
          </w:tcPr>
          <w:p>
            <w:pPr>
              <w:spacing w:after="0"/>
              <w:rPr>
                <w:sz w:val="19"/>
                <w:szCs w:val="19"/>
                <w:color w:val="auto"/>
              </w:rPr>
            </w:pPr>
          </w:p>
        </w:tc>
        <w:tc>
          <w:tcPr>
            <w:tcW w:w="6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101</w:t>
            </w:r>
          </w:p>
        </w:tc>
        <w:tc>
          <w:tcPr>
            <w:tcW w:w="18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gridSpan w:val="2"/>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9820" w:type="dxa"/>
            <w:vAlign w:val="bottom"/>
            <w:tcBorders>
              <w:bottom w:val="single" w:sz="8" w:color="C0C0C0"/>
            </w:tcBorders>
            <w:shd w:val="clear" w:color="auto" w:fill="C0C0C0"/>
          </w:tcPr>
          <w:p>
            <w:pPr>
              <w:ind w:left="40"/>
              <w:spacing w:after="0"/>
              <w:rPr>
                <w:sz w:val="20"/>
                <w:szCs w:val="20"/>
                <w:color w:val="auto"/>
              </w:rPr>
            </w:pPr>
            <w:r>
              <w:rPr>
                <w:rFonts w:ascii="Arial" w:cs="Arial" w:eastAsia="Arial" w:hAnsi="Arial"/>
                <w:sz w:val="18"/>
                <w:szCs w:val="18"/>
                <w:color w:val="auto"/>
              </w:rPr>
              <w:t>Interactive Data File</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19"/>
                <w:szCs w:val="19"/>
                <w:color w:val="auto"/>
              </w:rPr>
            </w:pPr>
          </w:p>
        </w:tc>
        <w:tc>
          <w:tcPr>
            <w:tcW w:w="10160" w:type="dxa"/>
            <w:vAlign w:val="bottom"/>
            <w:gridSpan w:val="2"/>
          </w:tcPr>
          <w:p>
            <w:pPr>
              <w:ind w:left="220"/>
              <w:spacing w:after="0"/>
              <w:rPr>
                <w:sz w:val="20"/>
                <w:szCs w:val="20"/>
                <w:color w:val="auto"/>
              </w:rPr>
            </w:pPr>
            <w:r>
              <w:rPr>
                <w:rFonts w:ascii="Arial" w:cs="Arial" w:eastAsia="Arial" w:hAnsi="Arial"/>
                <w:sz w:val="18"/>
                <w:szCs w:val="18"/>
                <w:color w:val="auto"/>
              </w:rPr>
              <w:t>- XBRL Instance Document</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84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101.SCH</w:t>
            </w:r>
          </w:p>
        </w:tc>
        <w:tc>
          <w:tcPr>
            <w:tcW w:w="80" w:type="dxa"/>
            <w:vAlign w:val="bottom"/>
            <w:tcBorders>
              <w:bottom w:val="single" w:sz="8" w:color="C0C0C0"/>
            </w:tcBorders>
            <w:shd w:val="clear" w:color="auto" w:fill="C0C0C0"/>
          </w:tcPr>
          <w:p>
            <w:pPr>
              <w:spacing w:after="0"/>
              <w:rPr>
                <w:sz w:val="19"/>
                <w:szCs w:val="19"/>
                <w:color w:val="auto"/>
              </w:rPr>
            </w:pPr>
          </w:p>
        </w:tc>
        <w:tc>
          <w:tcPr>
            <w:tcW w:w="10160" w:type="dxa"/>
            <w:vAlign w:val="bottom"/>
            <w:tcBorders>
              <w:bottom w:val="single" w:sz="8" w:color="C0C0C0"/>
            </w:tcBorders>
            <w:gridSpan w:val="2"/>
            <w:shd w:val="clear" w:color="auto" w:fill="C0C0C0"/>
          </w:tcPr>
          <w:p>
            <w:pPr>
              <w:ind w:left="220"/>
              <w:spacing w:after="0"/>
              <w:rPr>
                <w:sz w:val="20"/>
                <w:szCs w:val="20"/>
                <w:color w:val="auto"/>
              </w:rPr>
            </w:pPr>
            <w:r>
              <w:rPr>
                <w:rFonts w:ascii="Arial" w:cs="Arial" w:eastAsia="Arial" w:hAnsi="Arial"/>
                <w:sz w:val="18"/>
                <w:szCs w:val="18"/>
                <w:color w:val="auto"/>
              </w:rPr>
              <w:t>- XBRL Taxonomy Extension Schema</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2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84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101.LAB</w:t>
            </w:r>
          </w:p>
        </w:tc>
        <w:tc>
          <w:tcPr>
            <w:tcW w:w="80" w:type="dxa"/>
            <w:vAlign w:val="bottom"/>
            <w:tcBorders>
              <w:bottom w:val="single" w:sz="8" w:color="C0C0C0"/>
            </w:tcBorders>
            <w:shd w:val="clear" w:color="auto" w:fill="C0C0C0"/>
          </w:tcPr>
          <w:p>
            <w:pPr>
              <w:spacing w:after="0"/>
              <w:rPr>
                <w:sz w:val="19"/>
                <w:szCs w:val="19"/>
                <w:color w:val="auto"/>
              </w:rPr>
            </w:pPr>
          </w:p>
        </w:tc>
        <w:tc>
          <w:tcPr>
            <w:tcW w:w="10160" w:type="dxa"/>
            <w:vAlign w:val="bottom"/>
            <w:tcBorders>
              <w:bottom w:val="single" w:sz="8" w:color="C0C0C0"/>
            </w:tcBorders>
            <w:gridSpan w:val="2"/>
            <w:shd w:val="clear" w:color="auto" w:fill="C0C0C0"/>
          </w:tcPr>
          <w:p>
            <w:pPr>
              <w:ind w:left="220"/>
              <w:spacing w:after="0"/>
              <w:rPr>
                <w:sz w:val="20"/>
                <w:szCs w:val="20"/>
                <w:color w:val="auto"/>
              </w:rPr>
            </w:pPr>
            <w:r>
              <w:rPr>
                <w:rFonts w:ascii="Arial" w:cs="Arial" w:eastAsia="Arial" w:hAnsi="Arial"/>
                <w:sz w:val="18"/>
                <w:szCs w:val="18"/>
                <w:color w:val="auto"/>
              </w:rPr>
              <w:t>- XBRL Taxonomy Extension Label Linkbase</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2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20"/>
                <w:szCs w:val="20"/>
                <w:color w:val="auto"/>
              </w:rPr>
            </w:pPr>
          </w:p>
        </w:tc>
        <w:tc>
          <w:tcPr>
            <w:tcW w:w="10160" w:type="dxa"/>
            <w:vAlign w:val="bottom"/>
            <w:gridSpan w:val="2"/>
          </w:tcPr>
          <w:p>
            <w:pPr>
              <w:ind w:left="220"/>
              <w:spacing w:after="0"/>
              <w:rPr>
                <w:sz w:val="20"/>
                <w:szCs w:val="20"/>
                <w:color w:val="auto"/>
              </w:rPr>
            </w:pPr>
            <w:r>
              <w:rPr>
                <w:rFonts w:ascii="Arial" w:cs="Arial" w:eastAsia="Arial" w:hAnsi="Arial"/>
                <w:sz w:val="18"/>
                <w:szCs w:val="18"/>
                <w:color w:val="auto"/>
              </w:rPr>
              <w:t>- XBRL Taxonomy Extension Definition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-135255</wp:posOffset>
            </wp:positionV>
            <wp:extent cx="704088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40880" cy="1543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22"/>
          <w:szCs w:val="22"/>
          <w:color w:val="auto"/>
        </w:rPr>
        <w:t>____________________</w:t>
      </w:r>
    </w:p>
    <w:p>
      <w:pPr>
        <w:spacing w:after="0" w:line="17" w:lineRule="exact"/>
        <w:rPr>
          <w:sz w:val="20"/>
          <w:szCs w:val="20"/>
          <w:color w:val="auto"/>
        </w:rPr>
      </w:pPr>
    </w:p>
    <w:p>
      <w:pPr>
        <w:ind w:left="460" w:right="300" w:hanging="128"/>
        <w:spacing w:after="0" w:line="252" w:lineRule="auto"/>
        <w:tabs>
          <w:tab w:leader="none" w:pos="466" w:val="left"/>
        </w:tabs>
        <w:numPr>
          <w:ilvl w:val="0"/>
          <w:numId w:val="5"/>
        </w:numPr>
        <w:rPr>
          <w:rFonts w:ascii="Arial" w:cs="Arial" w:eastAsia="Arial" w:hAnsi="Arial"/>
          <w:sz w:val="18"/>
          <w:szCs w:val="18"/>
          <w:color w:val="auto"/>
        </w:rPr>
      </w:pPr>
      <w:r>
        <w:rPr>
          <w:rFonts w:ascii="Arial" w:cs="Arial" w:eastAsia="Arial" w:hAnsi="Arial"/>
          <w:sz w:val="18"/>
          <w:szCs w:val="18"/>
          <w:color w:val="auto"/>
        </w:rPr>
        <w:t>Portions of this document have been omitted and filed separately with the Commission pursuant to a request for confidential treatment pursuant to Rule 24b-2.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Regeneron Pharmaceuticals, Inc.</w:t>
      </w:r>
    </w:p>
    <w:p>
      <w:pPr>
        <w:spacing w:after="0" w:line="279"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 October 28, 2010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M</w:t>
      </w:r>
      <w:r>
        <w:rPr>
          <w:rFonts w:ascii="Arial" w:cs="Arial" w:eastAsia="Arial" w:hAnsi="Arial"/>
          <w:sz w:val="11"/>
          <w:szCs w:val="11"/>
          <w:u w:val="single" w:color="auto"/>
          <w:color w:val="auto"/>
        </w:rPr>
        <w:t>URRAY</w:t>
      </w:r>
      <w:r>
        <w:rPr>
          <w:rFonts w:ascii="Arial" w:cs="Arial" w:eastAsia="Arial" w:hAnsi="Arial"/>
          <w:sz w:val="16"/>
          <w:szCs w:val="16"/>
          <w:color w:val="auto"/>
        </w:rPr>
        <w:t xml:space="preserve"> </w:t>
      </w:r>
      <w:r>
        <w:rPr>
          <w:rFonts w:ascii="Arial" w:cs="Arial" w:eastAsia="Arial" w:hAnsi="Arial"/>
          <w:sz w:val="16"/>
          <w:szCs w:val="16"/>
          <w:u w:val="single" w:color="auto"/>
          <w:color w:val="auto"/>
        </w:rPr>
        <w:t>A. G</w:t>
      </w:r>
      <w:r>
        <w:rPr>
          <w:rFonts w:ascii="Arial" w:cs="Arial" w:eastAsia="Arial" w:hAnsi="Arial"/>
          <w:sz w:val="11"/>
          <w:szCs w:val="11"/>
          <w:u w:val="single" w:color="auto"/>
          <w:color w:val="auto"/>
        </w:rPr>
        <w:t>OLDBERG</w:t>
      </w:r>
    </w:p>
    <w:p>
      <w:pPr>
        <w:spacing w:after="0" w:line="27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Murray A. Goldberg</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Senior Vice President, Finance &amp; Administration,</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Financial Officer, Treasurer, and</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Assistant Secretary</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Financial Officer and</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Duly Authorized Officer)</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10.1</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Portions of this Exhibit Have Been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Omitted and Separately Filed with the Securities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And Exchange Commission with a Request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Confidential Treatment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 Non-Exclusive License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Material Transfer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March 30, 2007</w:t>
      </w:r>
    </w:p>
    <w:p>
      <w:pPr>
        <w:spacing w:after="0" w:line="219" w:lineRule="exact"/>
        <w:rPr>
          <w:sz w:val="20"/>
          <w:szCs w:val="20"/>
          <w:color w:val="auto"/>
        </w:rPr>
      </w:pPr>
    </w:p>
    <w:p>
      <w:pPr>
        <w:ind w:right="200" w:firstLine="220"/>
        <w:spacing w:after="0" w:line="306" w:lineRule="auto"/>
        <w:rPr>
          <w:sz w:val="20"/>
          <w:szCs w:val="20"/>
          <w:color w:val="auto"/>
        </w:rPr>
      </w:pPr>
      <w:r>
        <w:rPr>
          <w:rFonts w:ascii="Arial" w:cs="Arial" w:eastAsia="Arial" w:hAnsi="Arial"/>
          <w:sz w:val="16"/>
          <w:szCs w:val="16"/>
          <w:color w:val="auto"/>
        </w:rPr>
        <w:t>This Amendment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July 28, 2010 (the “</w:t>
      </w:r>
      <w:r>
        <w:rPr>
          <w:rFonts w:ascii="Arial" w:cs="Arial" w:eastAsia="Arial" w:hAnsi="Arial"/>
          <w:sz w:val="16"/>
          <w:szCs w:val="16"/>
          <w:u w:val="single" w:color="auto"/>
          <w:color w:val="auto"/>
        </w:rPr>
        <w:t>Amendment Effective Date</w:t>
      </w:r>
      <w:r>
        <w:rPr>
          <w:rFonts w:ascii="Arial" w:cs="Arial" w:eastAsia="Arial" w:hAnsi="Arial"/>
          <w:sz w:val="16"/>
          <w:szCs w:val="16"/>
          <w:color w:val="auto"/>
        </w:rPr>
        <w:t>”), is by and between Astellas Pharma Inc. (“</w:t>
      </w:r>
      <w:r>
        <w:rPr>
          <w:rFonts w:ascii="Arial" w:cs="Arial" w:eastAsia="Arial" w:hAnsi="Arial"/>
          <w:sz w:val="16"/>
          <w:szCs w:val="16"/>
          <w:u w:val="single" w:color="auto"/>
          <w:color w:val="auto"/>
        </w:rPr>
        <w:t>Company</w:t>
      </w:r>
      <w:r>
        <w:rPr>
          <w:rFonts w:ascii="Arial" w:cs="Arial" w:eastAsia="Arial" w:hAnsi="Arial"/>
          <w:sz w:val="16"/>
          <w:szCs w:val="16"/>
          <w:color w:val="auto"/>
        </w:rPr>
        <w:t>”), a Japanese company with a principal place of business located at 2-3-11 Nihonbashi-Honcho, Chuo-ku, Tokyo 103-8411, Japan and Regeneron Pharma ceuticals, Inc. (“</w:t>
      </w:r>
      <w:r>
        <w:rPr>
          <w:rFonts w:ascii="Arial" w:cs="Arial" w:eastAsia="Arial" w:hAnsi="Arial"/>
          <w:sz w:val="16"/>
          <w:szCs w:val="16"/>
          <w:u w:val="single" w:color="auto"/>
          <w:color w:val="auto"/>
        </w:rPr>
        <w:t>Regeneron</w:t>
      </w:r>
      <w:r>
        <w:rPr>
          <w:rFonts w:ascii="Arial" w:cs="Arial" w:eastAsia="Arial" w:hAnsi="Arial"/>
          <w:sz w:val="16"/>
          <w:szCs w:val="16"/>
          <w:color w:val="auto"/>
        </w:rPr>
        <w:t>”), a New York corporation with its principal place of business at 777 Old Saw Mill River Road, Tarrytown, New York 10591.</w:t>
      </w:r>
    </w:p>
    <w:p>
      <w:pPr>
        <w:spacing w:after="0" w:line="188" w:lineRule="exact"/>
        <w:rPr>
          <w:sz w:val="20"/>
          <w:szCs w:val="20"/>
          <w:color w:val="auto"/>
        </w:rPr>
      </w:pPr>
    </w:p>
    <w:p>
      <w:pPr>
        <w:ind w:right="40" w:firstLine="270"/>
        <w:spacing w:after="0" w:line="268" w:lineRule="auto"/>
        <w:rPr>
          <w:sz w:val="20"/>
          <w:szCs w:val="20"/>
          <w:color w:val="auto"/>
        </w:rPr>
      </w:pPr>
      <w:r>
        <w:rPr>
          <w:rFonts w:ascii="Arial" w:cs="Arial" w:eastAsia="Arial" w:hAnsi="Arial"/>
          <w:sz w:val="18"/>
          <w:szCs w:val="18"/>
          <w:color w:val="auto"/>
        </w:rPr>
        <w:t>WHEREAS, Company and Regeneron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 entered into a Non-Exclusive License and Material Transfer Agreement, dated as of March 30, 2007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and</w:t>
      </w:r>
    </w:p>
    <w:p>
      <w:pPr>
        <w:spacing w:after="0" w:line="213" w:lineRule="exact"/>
        <w:rPr>
          <w:sz w:val="20"/>
          <w:szCs w:val="20"/>
          <w:color w:val="auto"/>
        </w:rPr>
      </w:pPr>
    </w:p>
    <w:p>
      <w:pPr>
        <w:ind w:right="180" w:firstLine="270"/>
        <w:spacing w:after="0" w:line="268" w:lineRule="auto"/>
        <w:rPr>
          <w:sz w:val="20"/>
          <w:szCs w:val="20"/>
          <w:color w:val="auto"/>
        </w:rPr>
      </w:pPr>
      <w:r>
        <w:rPr>
          <w:rFonts w:ascii="Arial" w:cs="Arial" w:eastAsia="Arial" w:hAnsi="Arial"/>
          <w:sz w:val="18"/>
          <w:szCs w:val="18"/>
          <w:color w:val="auto"/>
        </w:rPr>
        <w:t>WHEREAS, the Parties now desire to amend the Original Agreement to extend the term of the Original Agreement and make such other amendments to the terms of the Original Agreement as set forth in this Amendment.</w:t>
      </w:r>
    </w:p>
    <w:p>
      <w:pPr>
        <w:spacing w:after="0" w:line="213" w:lineRule="exact"/>
        <w:rPr>
          <w:sz w:val="20"/>
          <w:szCs w:val="20"/>
          <w:color w:val="auto"/>
        </w:rPr>
      </w:pPr>
    </w:p>
    <w:p>
      <w:pPr>
        <w:ind w:right="20" w:firstLine="270"/>
        <w:spacing w:after="0" w:line="268" w:lineRule="auto"/>
        <w:rPr>
          <w:sz w:val="20"/>
          <w:szCs w:val="20"/>
          <w:color w:val="auto"/>
        </w:rPr>
      </w:pPr>
      <w:r>
        <w:rPr>
          <w:rFonts w:ascii="Arial" w:cs="Arial" w:eastAsia="Arial" w:hAnsi="Arial"/>
          <w:sz w:val="18"/>
          <w:szCs w:val="18"/>
          <w:color w:val="auto"/>
        </w:rPr>
        <w:t>NOW, THEREFORE, in consideration of the premises and mutual agreements set forth in the Original Agreement and this Amendment and for other valuable consideration, the receipt and sufficiency of which are hereby acknowledged, the Parties agree as follows:</w:t>
      </w:r>
    </w:p>
    <w:p>
      <w:pPr>
        <w:spacing w:after="0" w:line="186" w:lineRule="exact"/>
        <w:rPr>
          <w:sz w:val="20"/>
          <w:szCs w:val="20"/>
          <w:color w:val="auto"/>
        </w:rPr>
      </w:pPr>
    </w:p>
    <w:p>
      <w:pPr>
        <w:ind w:left="420" w:right="800" w:hanging="409"/>
        <w:spacing w:after="0" w:line="268"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and not otherwise defined in this Amendment shall have the meanings ascribed to them in the Original Agreement.</w:t>
      </w:r>
    </w:p>
    <w:p>
      <w:pPr>
        <w:spacing w:after="0" w:line="212"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Section 1.25 of the Original Agreement is hereby deleted in its entirety and replaced with the following:</w:t>
      </w:r>
    </w:p>
    <w:p>
      <w:pPr>
        <w:spacing w:after="0" w:line="279" w:lineRule="exact"/>
        <w:rPr>
          <w:rFonts w:ascii="Arial" w:cs="Arial" w:eastAsia="Arial" w:hAnsi="Arial"/>
          <w:sz w:val="18"/>
          <w:szCs w:val="18"/>
          <w:color w:val="auto"/>
        </w:rPr>
      </w:pPr>
    </w:p>
    <w:p>
      <w:pPr>
        <w:ind w:left="420" w:right="640"/>
        <w:spacing w:after="0" w:line="268" w:lineRule="auto"/>
        <w:rPr>
          <w:rFonts w:ascii="Arial" w:cs="Arial" w:eastAsia="Arial" w:hAnsi="Arial"/>
          <w:sz w:val="18"/>
          <w:szCs w:val="18"/>
          <w:color w:val="auto"/>
        </w:rPr>
      </w:pPr>
      <w:r>
        <w:rPr>
          <w:rFonts w:ascii="Arial" w:cs="Arial" w:eastAsia="Arial" w:hAnsi="Arial"/>
          <w:sz w:val="18"/>
          <w:szCs w:val="18"/>
          <w:color w:val="auto"/>
        </w:rPr>
        <w:t>“1.25 “Progeny” shall mean any mice that are produced or developed by or on behalf of Astellas in accordance with the terms of this Agreement by breeding or otherwise reproducing Mice delivered to it pursuant to Article III.”</w:t>
      </w:r>
    </w:p>
    <w:p>
      <w:pPr>
        <w:spacing w:after="0" w:line="212"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Section 1.27 of the Original Agreement is hereby deleted in its entirety and replaced with the following:</w:t>
      </w:r>
    </w:p>
    <w:p>
      <w:pPr>
        <w:spacing w:after="0" w:line="279" w:lineRule="exact"/>
        <w:rPr>
          <w:rFonts w:ascii="Arial" w:cs="Arial" w:eastAsia="Arial" w:hAnsi="Arial"/>
          <w:sz w:val="18"/>
          <w:szCs w:val="18"/>
          <w:color w:val="auto"/>
        </w:rPr>
      </w:pPr>
    </w:p>
    <w:p>
      <w:pPr>
        <w:ind w:left="420" w:right="40"/>
        <w:spacing w:after="0" w:line="290" w:lineRule="auto"/>
        <w:rPr>
          <w:rFonts w:ascii="Arial" w:cs="Arial" w:eastAsia="Arial" w:hAnsi="Arial"/>
          <w:sz w:val="18"/>
          <w:szCs w:val="18"/>
          <w:color w:val="auto"/>
        </w:rPr>
      </w:pPr>
      <w:r>
        <w:rPr>
          <w:rFonts w:ascii="Arial" w:cs="Arial" w:eastAsia="Arial" w:hAnsi="Arial"/>
          <w:sz w:val="16"/>
          <w:szCs w:val="16"/>
          <w:color w:val="auto"/>
        </w:rPr>
        <w:t>“1.27 “Regeneron Patent Rights” shall mean all Patent Rights owned or Controlled by Regeneron and/or its Affiliates during the term of this Agreement, which claim the Mice, Mice Materials or Mice Inventions or the use of the Mice, Mice Materials or Mice Inventions to make Antibodies in general, including, without limitation, the Patent Rights that are listed in Exhibit B. For the avoidance of doubt, Regeneron Patent Rights shall not include (i) any Patent Rights claiming methods relating to Antibody or Antibody Material generation that are not directly related to the Mice or Mice Materials and (ii) any Patent Rights claiming the use of Mice or Mice Materials to make Antibodies against any specific target. For the avoidance of doubt, Regeneron Patent Rights shall include any Patent Rights which Regeneron acquired from a Third Party to the extent included in this Agreement pursuant to Sec tion 2.5, during the term of the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ind w:left="412" w:right="220" w:hanging="412"/>
        <w:spacing w:after="0" w:line="563" w:lineRule="auto"/>
        <w:tabs>
          <w:tab w:leader="none" w:pos="41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Amendment to Section 3.4</w:t>
      </w:r>
      <w:r>
        <w:rPr>
          <w:rFonts w:ascii="Arial" w:cs="Arial" w:eastAsia="Arial" w:hAnsi="Arial"/>
          <w:sz w:val="18"/>
          <w:szCs w:val="18"/>
          <w:color w:val="auto"/>
        </w:rPr>
        <w:t>. The fifth sentence of Section 3.4 of the Original Agreement is hereby deleted in its entirety and replaced with the following: “**********************************************************.”</w:t>
      </w:r>
    </w:p>
    <w:p>
      <w:pPr>
        <w:spacing w:after="0" w:line="1" w:lineRule="exact"/>
        <w:rPr>
          <w:rFonts w:ascii="Arial" w:cs="Arial" w:eastAsia="Arial" w:hAnsi="Arial"/>
          <w:sz w:val="18"/>
          <w:szCs w:val="18"/>
          <w:color w:val="auto"/>
        </w:rPr>
      </w:pPr>
    </w:p>
    <w:p>
      <w:pPr>
        <w:ind w:left="412" w:hanging="412"/>
        <w:spacing w:after="0"/>
        <w:tabs>
          <w:tab w:leader="none" w:pos="412"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Amendment to Section 4.1.</w:t>
      </w:r>
      <w:r>
        <w:rPr>
          <w:rFonts w:ascii="Arial" w:cs="Arial" w:eastAsia="Arial" w:hAnsi="Arial"/>
          <w:sz w:val="16"/>
          <w:szCs w:val="16"/>
          <w:color w:val="auto"/>
        </w:rPr>
        <w:t xml:space="preserve"> Section 4.1 of the Original Agreement is hereby deleted and void in its entirety and replaced with the following:</w:t>
      </w:r>
    </w:p>
    <w:p>
      <w:pPr>
        <w:spacing w:after="0" w:line="302" w:lineRule="exact"/>
        <w:rPr>
          <w:rFonts w:ascii="Arial" w:cs="Arial" w:eastAsia="Arial" w:hAnsi="Arial"/>
          <w:sz w:val="16"/>
          <w:szCs w:val="16"/>
          <w:color w:val="auto"/>
        </w:rPr>
      </w:pPr>
    </w:p>
    <w:p>
      <w:pPr>
        <w:ind w:left="412" w:right="160"/>
        <w:spacing w:after="0" w:line="255" w:lineRule="auto"/>
        <w:rPr>
          <w:rFonts w:ascii="Arial" w:cs="Arial" w:eastAsia="Arial" w:hAnsi="Arial"/>
          <w:sz w:val="16"/>
          <w:szCs w:val="16"/>
          <w:color w:val="auto"/>
        </w:rPr>
      </w:pPr>
      <w:r>
        <w:rPr>
          <w:rFonts w:ascii="Arial" w:cs="Arial" w:eastAsia="Arial" w:hAnsi="Arial"/>
          <w:sz w:val="18"/>
          <w:szCs w:val="18"/>
          <w:color w:val="auto"/>
        </w:rPr>
        <w:t>“’Company shall pay Regeneron one hundred sixty-five million United States dollars (US$165,000,000) on or before August 31, 2010 (“</w:t>
      </w:r>
      <w:r>
        <w:rPr>
          <w:rFonts w:ascii="Arial" w:cs="Arial" w:eastAsia="Arial" w:hAnsi="Arial"/>
          <w:sz w:val="18"/>
          <w:szCs w:val="18"/>
          <w:u w:val="single" w:color="auto"/>
          <w:color w:val="auto"/>
        </w:rPr>
        <w:t>Up-Front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w:t>
      </w:r>
      <w:r>
        <w:rPr>
          <w:rFonts w:ascii="Arial" w:cs="Arial" w:eastAsia="Arial" w:hAnsi="Arial"/>
          <w:sz w:val="18"/>
          <w:szCs w:val="18"/>
          <w:color w:val="auto"/>
        </w:rPr>
        <w:t>”). In addition, Company shall pay Regeneron one hundred thirty million United States dollars (US$130,000,000) on or before June 7, 2018, the eleventh anniversary of the Transfer Date (the “</w:t>
      </w:r>
      <w:r>
        <w:rPr>
          <w:rFonts w:ascii="Arial" w:cs="Arial" w:eastAsia="Arial" w:hAnsi="Arial"/>
          <w:sz w:val="18"/>
          <w:szCs w:val="18"/>
          <w:u w:val="single" w:color="auto"/>
          <w:color w:val="auto"/>
        </w:rPr>
        <w:t>Second Payment</w:t>
      </w:r>
      <w:r>
        <w:rPr>
          <w:rFonts w:ascii="Arial" w:cs="Arial" w:eastAsia="Arial" w:hAnsi="Arial"/>
          <w:sz w:val="18"/>
          <w:szCs w:val="18"/>
          <w:color w:val="auto"/>
        </w:rPr>
        <w:t>”), unless this Agreement shall have been terminated prior to June 7, 2018 in accordance with Section 9.2. All payments to be made pursuant to this Section 4.1 shall be made by bank wire transfer i n immediately available funds to an account designated by Regeneron.”</w:t>
      </w:r>
    </w:p>
    <w:p>
      <w:pPr>
        <w:spacing w:after="0" w:line="223" w:lineRule="exact"/>
        <w:rPr>
          <w:rFonts w:ascii="Arial" w:cs="Arial" w:eastAsia="Arial" w:hAnsi="Arial"/>
          <w:sz w:val="16"/>
          <w:szCs w:val="16"/>
          <w:color w:val="auto"/>
        </w:rPr>
      </w:pPr>
    </w:p>
    <w:p>
      <w:pPr>
        <w:ind w:left="412" w:right="320"/>
        <w:spacing w:after="0" w:line="268" w:lineRule="auto"/>
        <w:rPr>
          <w:rFonts w:ascii="Arial" w:cs="Arial" w:eastAsia="Arial" w:hAnsi="Arial"/>
          <w:sz w:val="16"/>
          <w:szCs w:val="16"/>
          <w:color w:val="auto"/>
        </w:rPr>
      </w:pPr>
      <w:r>
        <w:rPr>
          <w:rFonts w:ascii="Arial" w:cs="Arial" w:eastAsia="Arial" w:hAnsi="Arial"/>
          <w:sz w:val="18"/>
          <w:szCs w:val="18"/>
          <w:color w:val="auto"/>
        </w:rPr>
        <w:t>For the avoidance of doubt, Company shall no longer be liable for the Adjusted Annual Fee which Company should pay on each of the fourth and fifth anniversaries of the Transfer Date under the Original Agreement.</w:t>
      </w:r>
    </w:p>
    <w:p>
      <w:pPr>
        <w:spacing w:after="0" w:line="212" w:lineRule="exact"/>
        <w:rPr>
          <w:rFonts w:ascii="Arial" w:cs="Arial" w:eastAsia="Arial" w:hAnsi="Arial"/>
          <w:sz w:val="16"/>
          <w:szCs w:val="16"/>
          <w:color w:val="auto"/>
        </w:rPr>
      </w:pPr>
    </w:p>
    <w:p>
      <w:pPr>
        <w:ind w:left="412" w:hanging="412"/>
        <w:spacing w:after="0"/>
        <w:tabs>
          <w:tab w:leader="none" w:pos="412"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Amendment to EXHIBIT B</w:t>
      </w:r>
      <w:r>
        <w:rPr>
          <w:rFonts w:ascii="Arial" w:cs="Arial" w:eastAsia="Arial" w:hAnsi="Arial"/>
          <w:sz w:val="16"/>
          <w:szCs w:val="16"/>
          <w:color w:val="auto"/>
        </w:rPr>
        <w:t>: Exhibit B of the Original Agreement is hereby deleted in its entirety and replaced with Exhibit B annexed to this Amendment.</w:t>
      </w:r>
    </w:p>
    <w:p>
      <w:pPr>
        <w:spacing w:after="0" w:line="302" w:lineRule="exact"/>
        <w:rPr>
          <w:rFonts w:ascii="Arial" w:cs="Arial" w:eastAsia="Arial" w:hAnsi="Arial"/>
          <w:sz w:val="16"/>
          <w:szCs w:val="16"/>
          <w:color w:val="auto"/>
        </w:rPr>
      </w:pPr>
    </w:p>
    <w:p>
      <w:pPr>
        <w:ind w:left="412" w:right="20" w:hanging="412"/>
        <w:spacing w:after="0" w:line="256" w:lineRule="auto"/>
        <w:tabs>
          <w:tab w:leader="none" w:pos="41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Amendments to Section 5.2:</w:t>
      </w:r>
      <w:r>
        <w:rPr>
          <w:rFonts w:ascii="Arial" w:cs="Arial" w:eastAsia="Arial" w:hAnsi="Arial"/>
          <w:sz w:val="18"/>
          <w:szCs w:val="18"/>
          <w:color w:val="auto"/>
        </w:rPr>
        <w:t xml:space="preserve"> The phrase of “as of the Effective Date” used in Section 5.2(g) and (k) in Section 5.2 of the Original Agreement is hereby deleted in its entirety and replaced with the phrase of “as of the Amendment Effective Date”. The last sentence of Section 5.2 is hereby deleted in its entirety and replaced with the sentence “For purposes hereof, ‘to its knowledge’ shall mean actual knowledge as of the Amendment Effective Date with no duty of inquiry or investigation.”</w:t>
      </w:r>
    </w:p>
    <w:p>
      <w:pPr>
        <w:spacing w:after="0" w:line="197"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206375</wp:posOffset>
            </wp:positionV>
            <wp:extent cx="7267575"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12"/>
          </w:cols>
          <w:pgMar w:left="248" w:top="563" w:right="339" w:bottom="1440" w:gutter="0" w:footer="0" w:header="0"/>
        </w:sectPr>
      </w:pPr>
    </w:p>
    <w:bookmarkStart w:id="58" w:name="page59"/>
    <w:bookmarkEnd w:id="58"/>
    <w:p>
      <w:pPr>
        <w:ind w:left="352" w:hanging="352"/>
        <w:spacing w:after="0"/>
        <w:tabs>
          <w:tab w:leader="none" w:pos="35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Amendment to Section 9.1.</w:t>
      </w:r>
      <w:r>
        <w:rPr>
          <w:rFonts w:ascii="Arial" w:cs="Arial" w:eastAsia="Arial" w:hAnsi="Arial"/>
          <w:sz w:val="18"/>
          <w:szCs w:val="18"/>
          <w:color w:val="auto"/>
        </w:rPr>
        <w:t xml:space="preserve"> Section 9.1 of the Original Agreement is hereby deleted in its entirety and replaced with the following:</w:t>
      </w:r>
    </w:p>
    <w:p>
      <w:pPr>
        <w:spacing w:after="0" w:line="225" w:lineRule="exact"/>
        <w:rPr>
          <w:rFonts w:ascii="Arial" w:cs="Arial" w:eastAsia="Arial" w:hAnsi="Arial"/>
          <w:sz w:val="18"/>
          <w:szCs w:val="18"/>
          <w:color w:val="auto"/>
        </w:rPr>
      </w:pPr>
    </w:p>
    <w:p>
      <w:pPr>
        <w:ind w:left="352" w:right="160"/>
        <w:spacing w:after="0" w:line="323" w:lineRule="auto"/>
        <w:rPr>
          <w:rFonts w:ascii="Arial" w:cs="Arial" w:eastAsia="Arial" w:hAnsi="Arial"/>
          <w:sz w:val="18"/>
          <w:szCs w:val="18"/>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w:t>
      </w:r>
      <w:r>
        <w:rPr>
          <w:rFonts w:ascii="Arial" w:cs="Arial" w:eastAsia="Arial" w:hAnsi="Arial"/>
          <w:sz w:val="15"/>
          <w:szCs w:val="15"/>
          <w:color w:val="auto"/>
        </w:rPr>
        <w:t>. The term of this Agreement shall commence on the Effective Date and shall expire on June 7, 2023, the sixteenth anniversary of the Transfer Date, unless earlier terminated under the terms of this Agreement. For the avoidance of doubt, Company shall have the right to terminate this Agreement without cause upon written notice to Regeneron in accordance with Section 9.2(a). For the further avoidance of doubt, Company’s obligation to pay royalties to Regeneron under Section 4.2 survives the expiration or termination of this Agreement in accordance with the terms of Article IV and Section 9.5.”</w:t>
      </w:r>
    </w:p>
    <w:p>
      <w:pPr>
        <w:spacing w:after="0" w:line="178" w:lineRule="exact"/>
        <w:rPr>
          <w:rFonts w:ascii="Arial" w:cs="Arial" w:eastAsia="Arial" w:hAnsi="Arial"/>
          <w:sz w:val="18"/>
          <w:szCs w:val="18"/>
          <w:color w:val="auto"/>
        </w:rPr>
      </w:pPr>
    </w:p>
    <w:p>
      <w:pPr>
        <w:ind w:left="352" w:hanging="352"/>
        <w:spacing w:after="0"/>
        <w:tabs>
          <w:tab w:leader="none" w:pos="35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Amendment to Section 9.2(a)</w:t>
      </w:r>
      <w:r>
        <w:rPr>
          <w:rFonts w:ascii="Arial" w:cs="Arial" w:eastAsia="Arial" w:hAnsi="Arial"/>
          <w:sz w:val="18"/>
          <w:szCs w:val="18"/>
          <w:color w:val="auto"/>
        </w:rPr>
        <w:t>: Section 9.2(a) of the Original Agreement is hereby deleted in its entirety and replaced with the following:</w:t>
      </w:r>
    </w:p>
    <w:p>
      <w:pPr>
        <w:spacing w:after="0" w:line="252" w:lineRule="exact"/>
        <w:rPr>
          <w:rFonts w:ascii="Arial" w:cs="Arial" w:eastAsia="Arial" w:hAnsi="Arial"/>
          <w:sz w:val="18"/>
          <w:szCs w:val="18"/>
          <w:color w:val="auto"/>
        </w:rPr>
      </w:pPr>
    </w:p>
    <w:p>
      <w:pPr>
        <w:ind w:left="352" w:right="120"/>
        <w:spacing w:after="0" w:line="332"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Convenience</w:t>
      </w:r>
      <w:r>
        <w:rPr>
          <w:rFonts w:ascii="Arial" w:cs="Arial" w:eastAsia="Arial" w:hAnsi="Arial"/>
          <w:sz w:val="16"/>
          <w:szCs w:val="16"/>
          <w:color w:val="auto"/>
        </w:rPr>
        <w:t>. Company may elect to terminate this Agreement at any time by providing ninety (90) days’ prior written notice to Regeneron. If such notice is sent with an effective date of termination prior to June 7, 2018, then Company shall not be required to make the Second Payment to Regeneron.”</w:t>
      </w:r>
    </w:p>
    <w:p>
      <w:pPr>
        <w:spacing w:after="0" w:line="166" w:lineRule="exact"/>
        <w:rPr>
          <w:rFonts w:ascii="Arial" w:cs="Arial" w:eastAsia="Arial" w:hAnsi="Arial"/>
          <w:sz w:val="18"/>
          <w:szCs w:val="18"/>
          <w:color w:val="auto"/>
        </w:rPr>
      </w:pPr>
    </w:p>
    <w:p>
      <w:pPr>
        <w:ind w:left="352" w:hanging="352"/>
        <w:spacing w:after="0"/>
        <w:tabs>
          <w:tab w:leader="none" w:pos="35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Amendment to Section 9.4</w:t>
      </w:r>
      <w:r>
        <w:rPr>
          <w:rFonts w:ascii="Arial" w:cs="Arial" w:eastAsia="Arial" w:hAnsi="Arial"/>
          <w:sz w:val="18"/>
          <w:szCs w:val="18"/>
          <w:color w:val="auto"/>
        </w:rPr>
        <w:t>: Section 9.4 of the Original Agreement is hereby amended as follows:</w:t>
      </w:r>
    </w:p>
    <w:p>
      <w:pPr>
        <w:spacing w:after="0" w:line="279" w:lineRule="exact"/>
        <w:rPr>
          <w:rFonts w:ascii="Arial" w:cs="Arial" w:eastAsia="Arial" w:hAnsi="Arial"/>
          <w:sz w:val="18"/>
          <w:szCs w:val="18"/>
          <w:color w:val="auto"/>
        </w:rPr>
      </w:pPr>
    </w:p>
    <w:p>
      <w:pPr>
        <w:ind w:left="792" w:hanging="441"/>
        <w:spacing w:after="0"/>
        <w:tabs>
          <w:tab w:leader="none" w:pos="792"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third sentence of Section 9.4(a) is hereby deleted and void in its entirety.</w:t>
      </w:r>
    </w:p>
    <w:p>
      <w:pPr>
        <w:spacing w:after="0" w:line="279" w:lineRule="exact"/>
        <w:rPr>
          <w:rFonts w:ascii="Arial" w:cs="Arial" w:eastAsia="Arial" w:hAnsi="Arial"/>
          <w:sz w:val="18"/>
          <w:szCs w:val="18"/>
          <w:color w:val="auto"/>
        </w:rPr>
      </w:pPr>
    </w:p>
    <w:p>
      <w:pPr>
        <w:ind w:left="792" w:hanging="441"/>
        <w:spacing w:after="0"/>
        <w:tabs>
          <w:tab w:leader="none" w:pos="792"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following shall be added to the end of Section 9.4 as a new Section 9.4(e):</w:t>
      </w:r>
    </w:p>
    <w:p>
      <w:pPr>
        <w:spacing w:after="0" w:line="279" w:lineRule="exact"/>
        <w:rPr>
          <w:sz w:val="20"/>
          <w:szCs w:val="20"/>
          <w:color w:val="auto"/>
        </w:rPr>
      </w:pPr>
    </w:p>
    <w:p>
      <w:pPr>
        <w:ind w:left="352"/>
        <w:spacing w:after="0" w:line="218" w:lineRule="exact"/>
        <w:rPr>
          <w:sz w:val="20"/>
          <w:szCs w:val="20"/>
          <w:color w:val="auto"/>
        </w:rPr>
      </w:pPr>
      <w:r>
        <w:rPr>
          <w:rFonts w:ascii="Arial" w:cs="Arial" w:eastAsia="Arial" w:hAnsi="Arial"/>
          <w:sz w:val="15"/>
          <w:szCs w:val="15"/>
          <w:color w:val="auto"/>
        </w:rPr>
        <w:t>“(e) Upon termination of this Agreement by Company in accordance with Section 9.2(b) or 9.2(d), (i) Company shall not be required to make any further payments to Regeneron under Section 4.1, except that neither Party shall be relieved of any obligations arising prior to such termination, including any payment obligations which arose and are due with respect to any period prior to such termination and (ii) Regeneron shall return to Astellas part of the Up-Front Payment or Second Payment paid to Regeneron under Section 4.1 based on a pro-rata basis as calculated using the formula set forth below</w:t>
      </w:r>
      <w:r>
        <w:rPr>
          <w:rFonts w:ascii="MS PGothic" w:cs="MS PGothic" w:eastAsia="MS PGothic" w:hAnsi="MS PGothic"/>
          <w:sz w:val="15"/>
          <w:szCs w:val="15"/>
          <w:color w:val="auto"/>
        </w:rPr>
        <w:t>※</w:t>
      </w:r>
      <w:r>
        <w:rPr>
          <w:rFonts w:ascii="Arial" w:cs="Arial" w:eastAsia="Arial" w:hAnsi="Arial"/>
          <w:sz w:val="15"/>
          <w:szCs w:val="15"/>
          <w:color w:val="auto"/>
        </w:rPr>
        <w:t>. All payments to be made pursuant to this Section 9.4(e) shall be made by bank wire transfer in immediately available funds to an account designated by Astellas.</w:t>
      </w:r>
    </w:p>
    <w:p>
      <w:pPr>
        <w:spacing w:after="0" w:line="206" w:lineRule="exact"/>
        <w:rPr>
          <w:sz w:val="20"/>
          <w:szCs w:val="20"/>
          <w:color w:val="auto"/>
        </w:rPr>
      </w:pPr>
    </w:p>
    <w:p>
      <w:pPr>
        <w:ind w:left="352" w:right="40"/>
        <w:spacing w:after="0" w:line="251"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In the event such termination occurs before the 11th anniversary of the Transfer Date: =Up-Front Payment (US$165M) x (the number of years from the next anniversary of the Transfer Date following such termination until the 11th anniversary of the Transfer Date/7)</w:t>
      </w:r>
    </w:p>
    <w:p>
      <w:pPr>
        <w:spacing w:after="0" w:line="3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206375</wp:posOffset>
            </wp:positionV>
            <wp:extent cx="7267575"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12"/>
          </w:cols>
          <w:pgMar w:left="248" w:top="563" w:right="239" w:bottom="1440" w:gutter="0" w:footer="0" w:header="0"/>
        </w:sectPr>
      </w:pPr>
    </w:p>
    <w:bookmarkStart w:id="59" w:name="page60"/>
    <w:bookmarkEnd w:id="59"/>
    <w:p>
      <w:pPr>
        <w:ind w:left="452"/>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In the event such termination occurs on and after the 11th anniversary date of the Transfer Date:</w:t>
      </w:r>
    </w:p>
    <w:p>
      <w:pPr>
        <w:spacing w:after="0" w:line="56" w:lineRule="exact"/>
        <w:rPr>
          <w:sz w:val="20"/>
          <w:szCs w:val="20"/>
          <w:color w:val="auto"/>
        </w:rPr>
      </w:pPr>
    </w:p>
    <w:p>
      <w:pPr>
        <w:ind w:left="452" w:right="40"/>
        <w:spacing w:after="0" w:line="252" w:lineRule="auto"/>
        <w:rPr>
          <w:sz w:val="20"/>
          <w:szCs w:val="20"/>
          <w:color w:val="auto"/>
        </w:rPr>
      </w:pPr>
      <w:r>
        <w:rPr>
          <w:rFonts w:ascii="Arial" w:cs="Arial" w:eastAsia="Arial" w:hAnsi="Arial"/>
          <w:sz w:val="18"/>
          <w:szCs w:val="18"/>
          <w:color w:val="auto"/>
        </w:rPr>
        <w:t>=Second Payment (US$130M) x (the number of years from the next anniversary of the Transfer Date following such termination until the 16th anniversary of the Transfer Date/5)”</w:t>
      </w:r>
    </w:p>
    <w:p>
      <w:pPr>
        <w:spacing w:after="0" w:line="227" w:lineRule="exact"/>
        <w:rPr>
          <w:sz w:val="20"/>
          <w:szCs w:val="20"/>
          <w:color w:val="auto"/>
        </w:rPr>
      </w:pPr>
    </w:p>
    <w:p>
      <w:pPr>
        <w:ind w:left="452" w:right="180" w:hanging="452"/>
        <w:spacing w:after="0" w:line="268"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Press Release</w:t>
      </w:r>
      <w:r>
        <w:rPr>
          <w:rFonts w:ascii="Arial" w:cs="Arial" w:eastAsia="Arial" w:hAnsi="Arial"/>
          <w:sz w:val="18"/>
          <w:szCs w:val="18"/>
          <w:color w:val="auto"/>
        </w:rPr>
        <w:t>. The Parties shall both issue a press release on the Amendment Effective Date with respect to the execution of this Amendment in the form annexed hereto as Exhibit A.</w:t>
      </w:r>
    </w:p>
    <w:p>
      <w:pPr>
        <w:spacing w:after="0" w:line="212" w:lineRule="exact"/>
        <w:rPr>
          <w:rFonts w:ascii="Arial" w:cs="Arial" w:eastAsia="Arial" w:hAnsi="Arial"/>
          <w:sz w:val="18"/>
          <w:szCs w:val="18"/>
          <w:color w:val="auto"/>
        </w:rPr>
      </w:pPr>
    </w:p>
    <w:p>
      <w:pPr>
        <w:ind w:left="452" w:right="620" w:hanging="452"/>
        <w:spacing w:after="0" w:line="268"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This Amendment shall become effective on the Amendment Effective Date and be in force until the later to occur of the expiration or earlier termination of the Original Agreement.</w:t>
      </w:r>
    </w:p>
    <w:p>
      <w:pPr>
        <w:spacing w:after="0" w:line="212"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Continuing Effect</w:t>
      </w:r>
      <w:r>
        <w:rPr>
          <w:rFonts w:ascii="Arial" w:cs="Arial" w:eastAsia="Arial" w:hAnsi="Arial"/>
          <w:sz w:val="16"/>
          <w:szCs w:val="16"/>
          <w:color w:val="auto"/>
        </w:rPr>
        <w:t>. Except as specifically modified in this Amendment, all of the terms of the Original Agreement shall remain in full force and effect.</w:t>
      </w:r>
    </w:p>
    <w:p>
      <w:pPr>
        <w:spacing w:after="0" w:line="302" w:lineRule="exact"/>
        <w:rPr>
          <w:rFonts w:ascii="Arial" w:cs="Arial" w:eastAsia="Arial" w:hAnsi="Arial"/>
          <w:sz w:val="16"/>
          <w:szCs w:val="16"/>
          <w:color w:val="auto"/>
        </w:rPr>
      </w:pPr>
    </w:p>
    <w:p>
      <w:pPr>
        <w:ind w:left="452" w:right="20" w:hanging="452"/>
        <w:spacing w:after="0" w:line="259"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Original Agreement, as modified by, and together with, this Amendment, is the entire agreement between the Parties with respect to the subject matter of the Original Agreement, provided that, in the event of a conflict between the terms of the Original Agreement and the terms of this Amendment, the terms of this Amendment control.</w:t>
      </w:r>
    </w:p>
    <w:p>
      <w:pPr>
        <w:spacing w:after="0" w:line="221" w:lineRule="exact"/>
        <w:rPr>
          <w:rFonts w:ascii="Arial" w:cs="Arial" w:eastAsia="Arial" w:hAnsi="Arial"/>
          <w:sz w:val="18"/>
          <w:szCs w:val="18"/>
          <w:color w:val="auto"/>
        </w:rPr>
      </w:pPr>
    </w:p>
    <w:p>
      <w:pPr>
        <w:ind w:left="452" w:right="60" w:hanging="452"/>
        <w:spacing w:after="0" w:line="332"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Counterparts; Facsimile Signatures</w:t>
      </w:r>
      <w:r>
        <w:rPr>
          <w:rFonts w:ascii="Arial" w:cs="Arial" w:eastAsia="Arial" w:hAnsi="Arial"/>
          <w:sz w:val="16"/>
          <w:szCs w:val="16"/>
          <w:color w:val="auto"/>
        </w:rPr>
        <w:t>. This Amendment may be executed in counterparts, each of which shall be deemed an original but which together shall constitute one and the same instrument. Signatures provided by facsimile or other electronic transmission shall be deemed to be original signatures.</w:t>
      </w:r>
    </w:p>
    <w:p>
      <w:pPr>
        <w:spacing w:after="0" w:line="166" w:lineRule="exact"/>
        <w:rPr>
          <w:rFonts w:ascii="Arial" w:cs="Arial" w:eastAsia="Arial" w:hAnsi="Arial"/>
          <w:sz w:val="16"/>
          <w:szCs w:val="16"/>
          <w:color w:val="auto"/>
        </w:rPr>
      </w:pPr>
    </w:p>
    <w:p>
      <w:pPr>
        <w:ind w:left="452" w:hanging="452"/>
        <w:spacing w:after="0" w:line="256"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Governing Law; Submission to Jurisdiction</w:t>
      </w:r>
      <w:r>
        <w:rPr>
          <w:rFonts w:ascii="Arial" w:cs="Arial" w:eastAsia="Arial" w:hAnsi="Arial"/>
          <w:sz w:val="18"/>
          <w:szCs w:val="18"/>
          <w:color w:val="auto"/>
        </w:rPr>
        <w:t>. This Amendment shall be construed and the respective rights of the Parties determined according to the substantive laws of the State of New York notwithstanding any provisions governing conflict of laws under such New York law to the contrary and without giving effect to the United States Convention on Contracts for the International Sale of Goods. Section 10.4 of the Original Agreement shall be deemed incorporated into and made a part of this Amendment.</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206375</wp:posOffset>
            </wp:positionV>
            <wp:extent cx="7267575"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92"/>
          </w:cols>
          <w:pgMar w:left="248" w:top="531" w:right="259" w:bottom="1440" w:gutter="0" w:footer="0" w:header="0"/>
        </w:sectPr>
      </w:pPr>
    </w:p>
    <w:bookmarkStart w:id="60" w:name="page61"/>
    <w:bookmarkEnd w:id="60"/>
    <w:p>
      <w:pPr>
        <w:ind w:firstLine="270"/>
        <w:spacing w:after="0" w:line="268" w:lineRule="auto"/>
        <w:rPr>
          <w:sz w:val="20"/>
          <w:szCs w:val="20"/>
          <w:color w:val="auto"/>
        </w:rPr>
      </w:pPr>
      <w:r>
        <w:rPr>
          <w:rFonts w:ascii="Arial" w:cs="Arial" w:eastAsia="Arial" w:hAnsi="Arial"/>
          <w:sz w:val="18"/>
          <w:szCs w:val="18"/>
          <w:color w:val="auto"/>
        </w:rPr>
        <w:t>IN WITNESS WHEREOF, the Parties have executed and delivered this Amendment in accordance with Section 10.8 of the Original Agreement as of the Amendment Effective Date.</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ASTELLAS PHARMA INC.</w:t>
      </w:r>
    </w:p>
    <w:p>
      <w:pPr>
        <w:spacing w:after="0" w:line="28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Shinichi Tsukamoto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19685</wp:posOffset>
            </wp:positionV>
            <wp:extent cx="26416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Shinichi Tsukamoto</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Senior Corporate Executive,</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Drug Discovery Research</w:t>
      </w:r>
    </w:p>
    <w:p>
      <w:pPr>
        <w:spacing w:after="0" w:line="27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8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Murray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19685</wp:posOffset>
            </wp:positionV>
            <wp:extent cx="26416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Murray A. Goldberg</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Senior Vice President, Finance &amp;</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Administration and Chief Financial Officer</w:t>
      </w:r>
    </w:p>
    <w:p>
      <w:pPr>
        <w:spacing w:after="0" w:line="23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040"/>
          </w:cols>
          <w:pgMar w:left="240" w:top="590" w:right="61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[LOGOS]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Astellas to Pay $295 Million to Extend License of Regeneron’s </w:t>
      </w:r>
      <w:r>
        <w:rPr>
          <w:rFonts w:ascii="Arial" w:cs="Arial" w:eastAsia="Arial" w:hAnsi="Arial"/>
          <w:sz w:val="21"/>
          <w:szCs w:val="21"/>
          <w:b w:val="1"/>
          <w:bCs w:val="1"/>
          <w:i w:val="1"/>
          <w:iCs w:val="1"/>
          <w:color w:val="auto"/>
        </w:rPr>
        <w:t>VelocImmune</w:t>
      </w:r>
      <w:r>
        <w:rPr>
          <w:rFonts w:ascii="Arial" w:cs="Arial" w:eastAsia="Arial" w:hAnsi="Arial"/>
          <w:sz w:val="29"/>
          <w:szCs w:val="29"/>
          <w:b w:val="1"/>
          <w:bCs w:val="1"/>
          <w:i w:val="1"/>
          <w:iCs w:val="1"/>
          <w:color w:val="auto"/>
          <w:vertAlign w:val="superscript"/>
        </w:rPr>
        <w:t>®</w:t>
      </w:r>
      <w:r>
        <w:rPr>
          <w:rFonts w:ascii="Arial" w:cs="Arial" w:eastAsia="Arial" w:hAnsi="Arial"/>
          <w:sz w:val="21"/>
          <w:szCs w:val="21"/>
          <w:b w:val="1"/>
          <w:bCs w:val="1"/>
          <w:color w:val="auto"/>
        </w:rPr>
        <w:t xml:space="preserve"> Antibody Technology through 2023</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Tarrytown, NY and Tokyo, Japan </w:t>
      </w:r>
      <w:r>
        <w:rPr>
          <w:rFonts w:ascii="Arial" w:cs="Arial" w:eastAsia="Arial" w:hAnsi="Arial"/>
          <w:sz w:val="16"/>
          <w:szCs w:val="16"/>
          <w:color w:val="auto"/>
        </w:rPr>
        <w:t>–</w:t>
      </w:r>
      <w:r>
        <w:rPr>
          <w:rFonts w:ascii="Arial" w:cs="Arial" w:eastAsia="Arial" w:hAnsi="Arial"/>
          <w:sz w:val="16"/>
          <w:szCs w:val="16"/>
          <w:b w:val="1"/>
          <w:bCs w:val="1"/>
          <w:color w:val="auto"/>
        </w:rPr>
        <w:t xml:space="preserve"> (July XX, 2010) </w:t>
      </w:r>
      <w:r>
        <w:rPr>
          <w:rFonts w:ascii="Arial" w:cs="Arial" w:eastAsia="Arial" w:hAnsi="Arial"/>
          <w:sz w:val="16"/>
          <w:szCs w:val="16"/>
          <w:color w:val="auto"/>
        </w:rPr>
        <w:t>–Regeneron Pharmaceuticals, Inc. (“Regeneron”; Nasdaq:</w:t>
      </w:r>
      <w:r>
        <w:rPr>
          <w:rFonts w:ascii="Arial" w:cs="Arial" w:eastAsia="Arial" w:hAnsi="Arial"/>
          <w:sz w:val="16"/>
          <w:szCs w:val="16"/>
          <w:b w:val="1"/>
          <w:bCs w:val="1"/>
          <w:color w:val="auto"/>
        </w:rPr>
        <w:t xml:space="preserve"> REGN) </w:t>
      </w:r>
      <w:r>
        <w:rPr>
          <w:rFonts w:ascii="Arial" w:cs="Arial" w:eastAsia="Arial" w:hAnsi="Arial"/>
          <w:sz w:val="16"/>
          <w:szCs w:val="16"/>
          <w:color w:val="auto"/>
        </w:rPr>
        <w:t>and Astellas Pharma Inc. (“Astellas”;</w:t>
      </w:r>
    </w:p>
    <w:p>
      <w:pPr>
        <w:spacing w:after="0" w:line="44"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 xml:space="preserve">Headquarters: Tokyo, Japan; President &amp; CEO: Masafumi Nogimori) annou nced today that Astellas has extended through 2023 the non-exclusive license agreement that allows Astellas to utilize Regeneron’s </w:t>
      </w:r>
      <w:r>
        <w:rPr>
          <w:rFonts w:ascii="Arial" w:cs="Arial" w:eastAsia="Arial" w:hAnsi="Arial"/>
          <w:sz w:val="18"/>
          <w:szCs w:val="18"/>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technology in its internal research programs to discover fully human monoclonal antibody product candidates.</w:t>
      </w:r>
    </w:p>
    <w:p>
      <w:pPr>
        <w:spacing w:after="0" w:line="21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Astellas will pay $165 million upfront and another $130 million in June 2018 unless it terminates the agreement prior to that date. Upon commercialization of any antibody products discovered utilizing </w:t>
      </w:r>
      <w:r>
        <w:rPr>
          <w:rFonts w:ascii="Arial" w:cs="Arial" w:eastAsia="Arial" w:hAnsi="Arial"/>
          <w:sz w:val="18"/>
          <w:szCs w:val="18"/>
          <w:i w:val="1"/>
          <w:iCs w:val="1"/>
          <w:color w:val="auto"/>
        </w:rPr>
        <w:t>VelocImmune</w:t>
      </w:r>
      <w:r>
        <w:rPr>
          <w:rFonts w:ascii="Arial" w:cs="Arial" w:eastAsia="Arial" w:hAnsi="Arial"/>
          <w:sz w:val="18"/>
          <w:szCs w:val="18"/>
          <w:color w:val="auto"/>
        </w:rPr>
        <w:t>, Astellas will pay a mid-single-digit royalty on product sales.</w:t>
      </w:r>
    </w:p>
    <w:p>
      <w:pPr>
        <w:spacing w:after="0" w:line="18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 xml:space="preserve">In March 2007, Astellas and Regeneron entered into a six-year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license agreement pursuant to which Astellas made license payments of $20 million per year in 2007 through 2010. This amendment supersedes the original agreement and as such, Astellas will no longer make annual license payments in 2011 and 2012. Approximately 20 monoclonal antibody projects using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technology are ongoing at Astellas and Agensys, Inc., a U.S. affiliate of Astellas.</w:t>
      </w:r>
    </w:p>
    <w:p>
      <w:pPr>
        <w:spacing w:after="0" w:line="14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is the centerpiece of Regeneron’s suite of technologies for the discovery and development of fully human monoclonal antibodies,” said George D. Yancopoulos, M.D., Ph.D., President of Regeneron Research Laboratories and Regeneron's Chief Scientific Officer. “We are pleased that Astellas, a company with a clear strategic commitment to developing therapeutic antibodies, has elected to continue to utilize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platform for its internal development programs.”</w:t>
      </w:r>
    </w:p>
    <w:p>
      <w:pPr>
        <w:spacing w:after="0" w:line="19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 xml:space="preserve">“We are excited about this extension of the license agreement with Regeneron,” said Shinichi Tsukamoto, Ph.D., Astellas’ Senior Vice President, Drug Discovery Research. “As described in our recently announced mid-term management plan toward FY2014, Astellas is putting the highest strategic priority on the development of antibody drugs, and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will continue to be the indispensable technology for our antibody drug development program.”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u w:val="single" w:color="auto"/>
          <w:color w:val="auto"/>
        </w:rPr>
        <w:t>VelocImmune</w:t>
      </w:r>
    </w:p>
    <w:p>
      <w:pPr>
        <w:spacing w:after="0" w:line="1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 xml:space="preserve">Regeneron’s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offers the potential to increase dramatically the speed and efficiency of discovering fully-human, therapeutic monoclonal antibodies. The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platform generates fully human monoclonal antibodies (hMAbs) to address clinically relevant targets of therapeutic interest. The </w:t>
      </w:r>
      <w:r>
        <w:rPr>
          <w:rFonts w:ascii="Arial" w:cs="Arial" w:eastAsia="Arial" w:hAnsi="Arial"/>
          <w:sz w:val="16"/>
          <w:szCs w:val="16"/>
          <w:i w:val="1"/>
          <w:iCs w:val="1"/>
          <w:color w:val="auto"/>
        </w:rPr>
        <w:t xml:space="preserve">VelocImmune </w:t>
      </w:r>
      <w:r>
        <w:rPr>
          <w:rFonts w:ascii="Arial" w:cs="Arial" w:eastAsia="Arial" w:hAnsi="Arial"/>
          <w:sz w:val="16"/>
          <w:szCs w:val="16"/>
          <w:color w:val="auto"/>
        </w:rPr>
        <w:t>mouse, unlike other hMAb mice, mounts a robust immune response that is virtually indistinguishable from that of a wild type mouse, resulting in a</w:t>
      </w:r>
      <w:r>
        <w:rPr>
          <w:rFonts w:ascii="Arial" w:cs="Arial" w:eastAsia="Arial" w:hAnsi="Arial"/>
          <w:sz w:val="16"/>
          <w:szCs w:val="16"/>
          <w:i w:val="1"/>
          <w:iCs w:val="1"/>
          <w:color w:val="auto"/>
        </w:rPr>
        <w:t xml:space="preserve"> </w:t>
      </w:r>
      <w:r>
        <w:rPr>
          <w:rFonts w:ascii="Arial" w:cs="Arial" w:eastAsia="Arial" w:hAnsi="Arial"/>
          <w:sz w:val="16"/>
          <w:szCs w:val="16"/>
          <w:color w:val="auto"/>
        </w:rPr>
        <w:t>reliable and efficient platform for discovering fully human monoclonal antibodies.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Astellas</w:t>
      </w:r>
    </w:p>
    <w:p>
      <w:pPr>
        <w:spacing w:after="0" w:line="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Astellas Pharma Inc., located in Tokyo, Japan, is a pharmaceutical company dedicated to improving the health of people around the world through the provision of innovative and reliable pharmaceutical products. Astellas has approximately 15,000 employees worldwide. The organization is committed to becoming a global category leader by rapidly establishing a business model in urology, immunology &amp; infectious diseases, neuroscience, DM complications &amp; metabolic diseases and oncology. Astellas has discovered a treatment for over-active bladder (OAB), Vesicare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(solifenacin succinate) and an immunosuppressant, Prograf</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(tacrolimus), which have enabled Astellas to become an established leader in both Urology and Transplant. For more information on Astellas Pharma Inc., please visit Astellas’ websit e at http://www.astellas.com/en.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Injection for Subcutaneous Use, its first commercialized product, Regeneron has therapeutic candidates in Phase 3 clinical trials for the potential treatment of gout, diseases of the eye (wet age-related macular degeneration and central retinal vein occlusion), and certain cancers.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 ecent news releases are available on Regeneron's web site at www.regeneron.com.</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63" w:name="page64"/>
    <w:bookmarkEnd w:id="63"/>
    <w:p>
      <w:pPr>
        <w:ind w:right="60"/>
        <w:spacing w:after="0" w:line="287" w:lineRule="auto"/>
        <w:rPr>
          <w:sz w:val="20"/>
          <w:szCs w:val="20"/>
          <w:color w:val="auto"/>
        </w:rPr>
      </w:pPr>
      <w:r>
        <w:rPr>
          <w:rFonts w:ascii="Arial" w:cs="Arial" w:eastAsia="Arial" w:hAnsi="Arial"/>
          <w:sz w:val="16"/>
          <w:szCs w:val="16"/>
          <w:color w:val="auto"/>
        </w:rPr>
        <w:t>This news release includes forward-looking statements about Regeneron and its products, development programs, finances, and business, all of which involve a number of risks and uncertainties. These include, among others, risks and timing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capital, the costs of developing, producing, and selling products, the potential for any license or collaboration agreement, including Regeneron's agreements with Astell as, the sanofi-aventis Group and Bayer HealthCare, to be canceled or terminated without any product success, and risks associated with third party intellectual property. A more complete description of these and other material risks can be found in Regeneron's filings with the United States Securities and Exchange Commission (SEC), including its Form 10-K for the year ended December 31, 2009 and Form 10-Q for the quarter ended March 31, 2010. Regeneron does not undertake any obligation to update publicly any forward-looking statement, whether as a result of new information, future events, or otherwise, unless required by law.</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0" w:type="dxa"/>
            <w:vAlign w:val="bottom"/>
          </w:tcPr>
          <w:p>
            <w:pPr>
              <w:spacing w:after="0"/>
              <w:rPr>
                <w:sz w:val="19"/>
                <w:szCs w:val="19"/>
                <w:color w:val="auto"/>
              </w:rPr>
            </w:pPr>
          </w:p>
        </w:tc>
        <w:tc>
          <w:tcPr>
            <w:tcW w:w="7040" w:type="dxa"/>
            <w:vAlign w:val="bottom"/>
          </w:tcPr>
          <w:p>
            <w:pPr>
              <w:jc w:val="right"/>
              <w:ind w:right="5512"/>
              <w:spacing w:after="0"/>
              <w:rPr>
                <w:sz w:val="20"/>
                <w:szCs w:val="20"/>
                <w:color w:val="auto"/>
              </w:rPr>
            </w:pPr>
            <w:r>
              <w:rPr>
                <w:rFonts w:ascii="Arial" w:cs="Arial" w:eastAsia="Arial" w:hAnsi="Arial"/>
                <w:sz w:val="18"/>
                <w:szCs w:val="18"/>
                <w:color w:val="auto"/>
              </w:rPr>
              <w:t>###</w:t>
            </w:r>
          </w:p>
        </w:tc>
      </w:tr>
      <w:tr>
        <w:trPr>
          <w:trHeight w:val="420"/>
        </w:trPr>
        <w:tc>
          <w:tcPr>
            <w:tcW w:w="4400" w:type="dxa"/>
            <w:vAlign w:val="bottom"/>
          </w:tcPr>
          <w:p>
            <w:pPr>
              <w:spacing w:after="0"/>
              <w:rPr>
                <w:sz w:val="20"/>
                <w:szCs w:val="20"/>
                <w:color w:val="auto"/>
              </w:rPr>
            </w:pPr>
            <w:r>
              <w:rPr>
                <w:rFonts w:ascii="Arial" w:cs="Arial" w:eastAsia="Arial" w:hAnsi="Arial"/>
                <w:sz w:val="18"/>
                <w:szCs w:val="18"/>
                <w:b w:val="1"/>
                <w:bCs w:val="1"/>
                <w:color w:val="auto"/>
              </w:rPr>
              <w:t>Contact Information:</w:t>
            </w:r>
          </w:p>
        </w:tc>
        <w:tc>
          <w:tcPr>
            <w:tcW w:w="7040" w:type="dxa"/>
            <w:vAlign w:val="bottom"/>
          </w:tcPr>
          <w:p>
            <w:pPr>
              <w:spacing w:after="0"/>
              <w:rPr>
                <w:sz w:val="24"/>
                <w:szCs w:val="24"/>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8"/>
                <w:szCs w:val="18"/>
                <w:b w:val="1"/>
                <w:bCs w:val="1"/>
                <w:color w:val="auto"/>
              </w:rPr>
              <w:t>Astellas</w:t>
            </w:r>
          </w:p>
        </w:tc>
        <w:tc>
          <w:tcPr>
            <w:tcW w:w="7040" w:type="dxa"/>
            <w:vAlign w:val="bottom"/>
          </w:tcPr>
          <w:p>
            <w:pPr>
              <w:spacing w:after="0"/>
              <w:rPr>
                <w:sz w:val="19"/>
                <w:szCs w:val="19"/>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Corporate Communications</w:t>
            </w:r>
          </w:p>
        </w:tc>
        <w:tc>
          <w:tcPr>
            <w:tcW w:w="704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Tel: +81-3-3244-3201 Fax: +81-3-5201-7473</w:t>
            </w:r>
          </w:p>
        </w:tc>
        <w:tc>
          <w:tcPr>
            <w:tcW w:w="7040" w:type="dxa"/>
            <w:vAlign w:val="bottom"/>
          </w:tcPr>
          <w:p>
            <w:pPr>
              <w:spacing w:after="0"/>
              <w:rPr>
                <w:sz w:val="18"/>
                <w:szCs w:val="18"/>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http://www.astellas.com/en</w:t>
            </w:r>
          </w:p>
        </w:tc>
        <w:tc>
          <w:tcPr>
            <w:tcW w:w="7040" w:type="dxa"/>
            <w:vAlign w:val="bottom"/>
          </w:tcPr>
          <w:p>
            <w:pPr>
              <w:spacing w:after="0"/>
              <w:rPr>
                <w:sz w:val="19"/>
                <w:szCs w:val="19"/>
                <w:color w:val="auto"/>
              </w:rPr>
            </w:pPr>
          </w:p>
        </w:tc>
      </w:tr>
      <w:tr>
        <w:trPr>
          <w:trHeight w:val="446"/>
        </w:trPr>
        <w:tc>
          <w:tcPr>
            <w:tcW w:w="4400" w:type="dxa"/>
            <w:vAlign w:val="bottom"/>
          </w:tcPr>
          <w:p>
            <w:pPr>
              <w:spacing w:after="0"/>
              <w:rPr>
                <w:sz w:val="20"/>
                <w:szCs w:val="20"/>
                <w:color w:val="auto"/>
              </w:rPr>
            </w:pPr>
            <w:r>
              <w:rPr>
                <w:rFonts w:ascii="Arial" w:cs="Arial" w:eastAsia="Arial" w:hAnsi="Arial"/>
                <w:sz w:val="18"/>
                <w:szCs w:val="18"/>
                <w:b w:val="1"/>
                <w:bCs w:val="1"/>
                <w:color w:val="auto"/>
              </w:rPr>
              <w:t>Regeneron</w:t>
            </w:r>
          </w:p>
        </w:tc>
        <w:tc>
          <w:tcPr>
            <w:tcW w:w="7040" w:type="dxa"/>
            <w:vAlign w:val="bottom"/>
          </w:tcPr>
          <w:p>
            <w:pPr>
              <w:spacing w:after="0"/>
              <w:rPr>
                <w:sz w:val="24"/>
                <w:szCs w:val="24"/>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Michael Aberman, M.D.</w:t>
            </w:r>
          </w:p>
        </w:tc>
        <w:tc>
          <w:tcPr>
            <w:tcW w:w="7040" w:type="dxa"/>
            <w:vAlign w:val="bottom"/>
          </w:tcPr>
          <w:p>
            <w:pPr>
              <w:ind w:left="1260"/>
              <w:spacing w:after="0"/>
              <w:rPr>
                <w:sz w:val="20"/>
                <w:szCs w:val="20"/>
                <w:color w:val="auto"/>
              </w:rPr>
            </w:pPr>
            <w:r>
              <w:rPr>
                <w:rFonts w:ascii="Arial" w:cs="Arial" w:eastAsia="Arial" w:hAnsi="Arial"/>
                <w:sz w:val="18"/>
                <w:szCs w:val="18"/>
                <w:color w:val="auto"/>
              </w:rPr>
              <w:t>Peter Dworkin</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Investor Relations</w:t>
            </w:r>
          </w:p>
        </w:tc>
        <w:tc>
          <w:tcPr>
            <w:tcW w:w="7040" w:type="dxa"/>
            <w:vAlign w:val="bottom"/>
          </w:tcPr>
          <w:p>
            <w:pPr>
              <w:ind w:left="1260"/>
              <w:spacing w:after="0"/>
              <w:rPr>
                <w:sz w:val="20"/>
                <w:szCs w:val="20"/>
                <w:color w:val="auto"/>
              </w:rPr>
            </w:pPr>
            <w:r>
              <w:rPr>
                <w:rFonts w:ascii="Arial" w:cs="Arial" w:eastAsia="Arial" w:hAnsi="Arial"/>
                <w:sz w:val="18"/>
                <w:szCs w:val="18"/>
                <w:color w:val="auto"/>
              </w:rPr>
              <w:t>Corporate Communications</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914.345.7799</w:t>
            </w:r>
          </w:p>
        </w:tc>
        <w:tc>
          <w:tcPr>
            <w:tcW w:w="7040" w:type="dxa"/>
            <w:vAlign w:val="bottom"/>
          </w:tcPr>
          <w:p>
            <w:pPr>
              <w:ind w:left="1260"/>
              <w:spacing w:after="0"/>
              <w:rPr>
                <w:sz w:val="20"/>
                <w:szCs w:val="20"/>
                <w:color w:val="auto"/>
              </w:rPr>
            </w:pPr>
            <w:r>
              <w:rPr>
                <w:rFonts w:ascii="Arial" w:cs="Arial" w:eastAsia="Arial" w:hAnsi="Arial"/>
                <w:sz w:val="18"/>
                <w:szCs w:val="18"/>
                <w:color w:val="auto"/>
              </w:rPr>
              <w:t>914.345.7640</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michael.aberman@regeneron.com</w:t>
            </w:r>
          </w:p>
        </w:tc>
        <w:tc>
          <w:tcPr>
            <w:tcW w:w="7040" w:type="dxa"/>
            <w:vAlign w:val="bottom"/>
          </w:tcPr>
          <w:p>
            <w:pPr>
              <w:ind w:left="1260"/>
              <w:spacing w:after="0"/>
              <w:rPr>
                <w:sz w:val="20"/>
                <w:szCs w:val="20"/>
                <w:color w:val="auto"/>
              </w:rPr>
            </w:pPr>
            <w:r>
              <w:rPr>
                <w:rFonts w:ascii="Arial" w:cs="Arial" w:eastAsia="Arial" w:hAnsi="Arial"/>
                <w:sz w:val="18"/>
                <w:szCs w:val="18"/>
                <w:color w:val="auto"/>
              </w:rPr>
              <w:t>peter.dworkin@regeneron.com</w:t>
            </w:r>
          </w:p>
        </w:tc>
      </w:tr>
      <w:tr>
        <w:trPr>
          <w:trHeight w:val="446"/>
        </w:trPr>
        <w:tc>
          <w:tcPr>
            <w:tcW w:w="4400" w:type="dxa"/>
            <w:vAlign w:val="bottom"/>
          </w:tcPr>
          <w:p>
            <w:pPr>
              <w:spacing w:after="0"/>
              <w:rPr>
                <w:sz w:val="24"/>
                <w:szCs w:val="24"/>
                <w:color w:val="auto"/>
              </w:rPr>
            </w:pPr>
          </w:p>
        </w:tc>
        <w:tc>
          <w:tcPr>
            <w:tcW w:w="7040" w:type="dxa"/>
            <w:vAlign w:val="bottom"/>
          </w:tcPr>
          <w:p>
            <w:pPr>
              <w:jc w:val="right"/>
              <w:ind w:right="5592"/>
              <w:spacing w:after="0"/>
              <w:rPr>
                <w:sz w:val="20"/>
                <w:szCs w:val="20"/>
                <w:color w:val="auto"/>
              </w:rPr>
            </w:pPr>
            <w:r>
              <w:rPr>
                <w:rFonts w:ascii="Arial" w:cs="Arial" w:eastAsia="Arial" w:hAnsi="Arial"/>
                <w:sz w:val="18"/>
                <w:szCs w:val="18"/>
                <w:color w:val="auto"/>
              </w:rPr>
              <w:t>8</w:t>
            </w:r>
          </w:p>
        </w:tc>
      </w:tr>
      <w:tr>
        <w:trPr>
          <w:trHeight w:val="323"/>
        </w:trPr>
        <w:tc>
          <w:tcPr>
            <w:tcW w:w="4400" w:type="dxa"/>
            <w:vAlign w:val="bottom"/>
            <w:tcBorders>
              <w:bottom w:val="single" w:sz="8" w:color="808080"/>
            </w:tcBorders>
          </w:tcPr>
          <w:p>
            <w:pPr>
              <w:spacing w:after="0"/>
              <w:rPr>
                <w:sz w:val="24"/>
                <w:szCs w:val="24"/>
                <w:color w:val="auto"/>
              </w:rPr>
            </w:pPr>
          </w:p>
        </w:tc>
        <w:tc>
          <w:tcPr>
            <w:tcW w:w="7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63" w:right="2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640" w:type="dxa"/>
            <w:vAlign w:val="bottom"/>
            <w:gridSpan w:val="2"/>
          </w:tcPr>
          <w:p>
            <w:pPr>
              <w:jc w:val="center"/>
              <w:ind w:right="780"/>
              <w:spacing w:after="0"/>
              <w:rPr>
                <w:sz w:val="20"/>
                <w:szCs w:val="20"/>
                <w:color w:val="auto"/>
              </w:rPr>
            </w:pPr>
            <w:r>
              <w:rPr>
                <w:rFonts w:ascii="Arial" w:cs="Arial" w:eastAsia="Arial" w:hAnsi="Arial"/>
                <w:sz w:val="18"/>
                <w:szCs w:val="18"/>
                <w:color w:val="auto"/>
                <w:w w:val="98"/>
              </w:rPr>
              <w:t>EXHIBIT B</w:t>
            </w:r>
          </w:p>
        </w:tc>
      </w:tr>
      <w:tr>
        <w:trPr>
          <w:trHeight w:val="20"/>
        </w:trPr>
        <w:tc>
          <w:tcPr>
            <w:tcW w:w="10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51"/>
        </w:trPr>
        <w:tc>
          <w:tcPr>
            <w:tcW w:w="1000" w:type="dxa"/>
            <w:vAlign w:val="bottom"/>
          </w:tcPr>
          <w:p>
            <w:pPr>
              <w:spacing w:after="0"/>
              <w:rPr>
                <w:sz w:val="24"/>
                <w:szCs w:val="24"/>
                <w:color w:val="auto"/>
              </w:rPr>
            </w:pPr>
          </w:p>
        </w:tc>
        <w:tc>
          <w:tcPr>
            <w:tcW w:w="5920" w:type="dxa"/>
            <w:vAlign w:val="bottom"/>
            <w:gridSpan w:val="3"/>
          </w:tcPr>
          <w:p>
            <w:pPr>
              <w:jc w:val="center"/>
              <w:ind w:left="3412"/>
              <w:spacing w:after="0"/>
              <w:rPr>
                <w:sz w:val="20"/>
                <w:szCs w:val="20"/>
                <w:color w:val="auto"/>
              </w:rPr>
            </w:pPr>
            <w:r>
              <w:rPr>
                <w:rFonts w:ascii="Arial" w:cs="Arial" w:eastAsia="Arial" w:hAnsi="Arial"/>
                <w:sz w:val="18"/>
                <w:szCs w:val="18"/>
                <w:color w:val="auto"/>
                <w:w w:val="91"/>
              </w:rPr>
              <w:t>REGENERON PATENT RIGHTS</w:t>
            </w:r>
          </w:p>
        </w:tc>
      </w:tr>
      <w:tr>
        <w:trPr>
          <w:trHeight w:val="446"/>
        </w:trPr>
        <w:tc>
          <w:tcPr>
            <w:tcW w:w="1000" w:type="dxa"/>
            <w:vAlign w:val="bottom"/>
          </w:tcPr>
          <w:p>
            <w:pPr>
              <w:spacing w:after="0"/>
              <w:rPr>
                <w:sz w:val="20"/>
                <w:szCs w:val="20"/>
                <w:color w:val="auto"/>
              </w:rPr>
            </w:pPr>
            <w:r>
              <w:rPr>
                <w:rFonts w:ascii="Arial" w:cs="Arial" w:eastAsia="Arial" w:hAnsi="Arial"/>
                <w:sz w:val="18"/>
                <w:szCs w:val="18"/>
                <w:color w:val="auto"/>
              </w:rPr>
              <w:t>Patent No.:</w:t>
            </w:r>
          </w:p>
        </w:tc>
        <w:tc>
          <w:tcPr>
            <w:tcW w:w="4280" w:type="dxa"/>
            <w:vAlign w:val="bottom"/>
          </w:tcPr>
          <w:p>
            <w:pPr>
              <w:ind w:left="120"/>
              <w:spacing w:after="0"/>
              <w:rPr>
                <w:sz w:val="20"/>
                <w:szCs w:val="20"/>
                <w:color w:val="auto"/>
              </w:rPr>
            </w:pPr>
            <w:r>
              <w:rPr>
                <w:rFonts w:ascii="Arial" w:cs="Arial" w:eastAsia="Arial" w:hAnsi="Arial"/>
                <w:sz w:val="18"/>
                <w:szCs w:val="18"/>
                <w:color w:val="auto"/>
              </w:rPr>
              <w:t>6,586,251</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USSN:</w:t>
            </w:r>
          </w:p>
        </w:tc>
        <w:tc>
          <w:tcPr>
            <w:tcW w:w="4280" w:type="dxa"/>
            <w:vAlign w:val="bottom"/>
          </w:tcPr>
          <w:p>
            <w:pPr>
              <w:ind w:left="120"/>
              <w:spacing w:after="0"/>
              <w:rPr>
                <w:sz w:val="20"/>
                <w:szCs w:val="20"/>
                <w:color w:val="auto"/>
              </w:rPr>
            </w:pPr>
            <w:r>
              <w:rPr>
                <w:rFonts w:ascii="Arial" w:cs="Arial" w:eastAsia="Arial" w:hAnsi="Arial"/>
                <w:sz w:val="18"/>
                <w:szCs w:val="18"/>
                <w:color w:val="auto"/>
              </w:rPr>
              <w:t>09/732,234</w:t>
            </w: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Inventors:</w:t>
            </w: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Economides, Murphy, Valenzuela, Yancopoulos</w:t>
            </w: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Methods of Modifying Eukaryotic Cells</w:t>
            </w: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Filing Date:</w:t>
            </w: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7 December 2000</w:t>
            </w: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Patent No.:</w:t>
            </w:r>
          </w:p>
        </w:tc>
        <w:tc>
          <w:tcPr>
            <w:tcW w:w="4280" w:type="dxa"/>
            <w:vAlign w:val="bottom"/>
          </w:tcPr>
          <w:p>
            <w:pPr>
              <w:ind w:left="120"/>
              <w:spacing w:after="0"/>
              <w:rPr>
                <w:sz w:val="20"/>
                <w:szCs w:val="20"/>
                <w:color w:val="auto"/>
              </w:rPr>
            </w:pPr>
            <w:r>
              <w:rPr>
                <w:rFonts w:ascii="Arial" w:cs="Arial" w:eastAsia="Arial" w:hAnsi="Arial"/>
                <w:sz w:val="18"/>
                <w:szCs w:val="18"/>
                <w:color w:val="auto"/>
              </w:rPr>
              <w:t>6,596,541</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USSN:</w:t>
            </w:r>
          </w:p>
        </w:tc>
        <w:tc>
          <w:tcPr>
            <w:tcW w:w="4280" w:type="dxa"/>
            <w:vAlign w:val="bottom"/>
          </w:tcPr>
          <w:p>
            <w:pPr>
              <w:ind w:left="120"/>
              <w:spacing w:after="0"/>
              <w:rPr>
                <w:sz w:val="20"/>
                <w:szCs w:val="20"/>
                <w:color w:val="auto"/>
              </w:rPr>
            </w:pPr>
            <w:r>
              <w:rPr>
                <w:rFonts w:ascii="Arial" w:cs="Arial" w:eastAsia="Arial" w:hAnsi="Arial"/>
                <w:sz w:val="18"/>
                <w:szCs w:val="18"/>
                <w:color w:val="auto"/>
              </w:rPr>
              <w:t>09/784,859</w:t>
            </w: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PCT:</w:t>
            </w:r>
          </w:p>
        </w:tc>
        <w:tc>
          <w:tcPr>
            <w:tcW w:w="4280" w:type="dxa"/>
            <w:vAlign w:val="bottom"/>
          </w:tcPr>
          <w:p>
            <w:pPr>
              <w:ind w:left="120"/>
              <w:spacing w:after="0"/>
              <w:rPr>
                <w:sz w:val="20"/>
                <w:szCs w:val="20"/>
                <w:color w:val="auto"/>
              </w:rPr>
            </w:pPr>
            <w:r>
              <w:rPr>
                <w:rFonts w:ascii="Arial" w:cs="Arial" w:eastAsia="Arial" w:hAnsi="Arial"/>
                <w:sz w:val="18"/>
                <w:szCs w:val="18"/>
                <w:color w:val="auto"/>
              </w:rPr>
              <w:t>2003/6275</w:t>
            </w: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Inventors:</w:t>
            </w: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Murphy, Yancopoulos</w:t>
            </w: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Methods of Modifying Eukaryotic Cells</w:t>
            </w: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Filing Date:</w:t>
            </w: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16 February 2001 (continuation-in-part of 09/732,234)</w:t>
            </w: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Patent No.:</w:t>
            </w:r>
          </w:p>
        </w:tc>
        <w:tc>
          <w:tcPr>
            <w:tcW w:w="4280" w:type="dxa"/>
            <w:vAlign w:val="bottom"/>
          </w:tcPr>
          <w:p>
            <w:pPr>
              <w:ind w:left="120"/>
              <w:spacing w:after="0"/>
              <w:rPr>
                <w:sz w:val="20"/>
                <w:szCs w:val="20"/>
                <w:color w:val="auto"/>
              </w:rPr>
            </w:pPr>
            <w:r>
              <w:rPr>
                <w:rFonts w:ascii="Arial" w:cs="Arial" w:eastAsia="Arial" w:hAnsi="Arial"/>
                <w:sz w:val="18"/>
                <w:szCs w:val="18"/>
                <w:color w:val="auto"/>
              </w:rPr>
              <w:t>7,105,348</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USSN:</w:t>
            </w:r>
          </w:p>
        </w:tc>
        <w:tc>
          <w:tcPr>
            <w:tcW w:w="4280" w:type="dxa"/>
            <w:vAlign w:val="bottom"/>
          </w:tcPr>
          <w:p>
            <w:pPr>
              <w:ind w:left="120"/>
              <w:spacing w:after="0"/>
              <w:rPr>
                <w:sz w:val="20"/>
                <w:szCs w:val="20"/>
                <w:color w:val="auto"/>
              </w:rPr>
            </w:pPr>
            <w:r>
              <w:rPr>
                <w:rFonts w:ascii="Arial" w:cs="Arial" w:eastAsia="Arial" w:hAnsi="Arial"/>
                <w:sz w:val="18"/>
                <w:szCs w:val="18"/>
                <w:color w:val="auto"/>
              </w:rPr>
              <w:t>10/076,840</w:t>
            </w: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Inventors:</w:t>
            </w: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Murphy, Yancopoulos</w:t>
            </w: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Methods of Modifying Eukaryotic Cells</w:t>
            </w: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Filing Date:</w:t>
            </w: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15 February 2002</w:t>
            </w: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780D AU</w:t>
            </w: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Patent No. 2002244023</w:t>
            </w:r>
          </w:p>
        </w:tc>
      </w:tr>
      <w:tr>
        <w:trPr>
          <w:trHeight w:val="243"/>
        </w:trPr>
        <w:tc>
          <w:tcPr>
            <w:tcW w:w="1000" w:type="dxa"/>
            <w:vAlign w:val="bottom"/>
          </w:tcPr>
          <w:p>
            <w:pPr>
              <w:spacing w:after="0"/>
              <w:rPr>
                <w:sz w:val="21"/>
                <w:szCs w:val="21"/>
                <w:color w:val="auto"/>
              </w:rPr>
            </w:pP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Granted 23 August 2007</w:t>
            </w: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780D IN</w:t>
            </w: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Patent No. 234335</w:t>
            </w:r>
          </w:p>
        </w:tc>
      </w:tr>
      <w:tr>
        <w:trPr>
          <w:trHeight w:val="243"/>
        </w:trPr>
        <w:tc>
          <w:tcPr>
            <w:tcW w:w="1000" w:type="dxa"/>
            <w:vAlign w:val="bottom"/>
          </w:tcPr>
          <w:p>
            <w:pPr>
              <w:spacing w:after="0"/>
              <w:rPr>
                <w:sz w:val="21"/>
                <w:szCs w:val="21"/>
                <w:color w:val="auto"/>
              </w:rPr>
            </w:pP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Granted 25 May 2009</w:t>
            </w: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780D JP</w:t>
            </w: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Patent No. 4412900</w:t>
            </w:r>
          </w:p>
        </w:tc>
      </w:tr>
      <w:tr>
        <w:trPr>
          <w:trHeight w:val="243"/>
        </w:trPr>
        <w:tc>
          <w:tcPr>
            <w:tcW w:w="1000" w:type="dxa"/>
            <w:vAlign w:val="bottom"/>
          </w:tcPr>
          <w:p>
            <w:pPr>
              <w:spacing w:after="0"/>
              <w:rPr>
                <w:sz w:val="21"/>
                <w:szCs w:val="21"/>
                <w:color w:val="auto"/>
              </w:rPr>
            </w:pP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Granted 27 November 2009</w:t>
            </w: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780D NZ</w:t>
            </w: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Patent No. 527629</w:t>
            </w:r>
          </w:p>
        </w:tc>
      </w:tr>
      <w:tr>
        <w:trPr>
          <w:trHeight w:val="243"/>
        </w:trPr>
        <w:tc>
          <w:tcPr>
            <w:tcW w:w="1000" w:type="dxa"/>
            <w:vAlign w:val="bottom"/>
          </w:tcPr>
          <w:p>
            <w:pPr>
              <w:spacing w:after="0"/>
              <w:rPr>
                <w:sz w:val="21"/>
                <w:szCs w:val="21"/>
                <w:color w:val="auto"/>
              </w:rPr>
            </w:pP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Granted 7 July 2005</w:t>
            </w: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780D SG</w:t>
            </w: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Patent No. 100103</w:t>
            </w:r>
          </w:p>
        </w:tc>
      </w:tr>
      <w:tr>
        <w:trPr>
          <w:trHeight w:val="243"/>
        </w:trPr>
        <w:tc>
          <w:tcPr>
            <w:tcW w:w="1000" w:type="dxa"/>
            <w:vAlign w:val="bottom"/>
          </w:tcPr>
          <w:p>
            <w:pPr>
              <w:spacing w:after="0"/>
              <w:rPr>
                <w:sz w:val="21"/>
                <w:szCs w:val="21"/>
                <w:color w:val="auto"/>
              </w:rPr>
            </w:pP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Granted 30 November 2005</w:t>
            </w: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780D ZA</w:t>
            </w: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Patent No. 2003/6275</w:t>
            </w:r>
          </w:p>
        </w:tc>
      </w:tr>
      <w:tr>
        <w:trPr>
          <w:trHeight w:val="243"/>
        </w:trPr>
        <w:tc>
          <w:tcPr>
            <w:tcW w:w="1000" w:type="dxa"/>
            <w:vAlign w:val="bottom"/>
          </w:tcPr>
          <w:p>
            <w:pPr>
              <w:spacing w:after="0"/>
              <w:rPr>
                <w:sz w:val="21"/>
                <w:szCs w:val="21"/>
                <w:color w:val="auto"/>
              </w:rPr>
            </w:pP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Granted 27 October 2004</w:t>
            </w: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40" w:right="1440"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25"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79" w:lineRule="exact"/>
        <w:rPr>
          <w:rFonts w:ascii="Arial" w:cs="Arial" w:eastAsia="Arial" w:hAnsi="Arial"/>
          <w:sz w:val="18"/>
          <w:szCs w:val="18"/>
          <w:color w:val="auto"/>
        </w:rPr>
      </w:pPr>
    </w:p>
    <w:p>
      <w:pPr>
        <w:ind w:left="360" w:right="60" w:hanging="352"/>
        <w:spacing w:after="0" w:line="332" w:lineRule="auto"/>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360" w:right="160" w:hanging="352"/>
        <w:spacing w:after="0" w:line="268"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left="360" w:hanging="352"/>
        <w:spacing w:after="0" w:line="259"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940" w:right="20" w:hanging="365"/>
        <w:spacing w:after="0" w:line="259" w:lineRule="auto"/>
        <w:tabs>
          <w:tab w:leader="none" w:pos="9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940" w:hanging="365"/>
        <w:spacing w:after="0" w:line="259" w:lineRule="auto"/>
        <w:tabs>
          <w:tab w:leader="none" w:pos="9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940" w:right="60" w:hanging="365"/>
        <w:spacing w:after="0" w:line="332" w:lineRule="auto"/>
        <w:tabs>
          <w:tab w:leader="none" w:pos="9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940" w:right="100" w:hanging="365"/>
        <w:spacing w:after="0" w:line="259" w:lineRule="auto"/>
        <w:tabs>
          <w:tab w:leader="none" w:pos="9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360" w:right="740" w:hanging="352"/>
        <w:spacing w:after="0" w:line="332" w:lineRule="auto"/>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940" w:right="420" w:hanging="365"/>
        <w:spacing w:after="0" w:line="332" w:lineRule="auto"/>
        <w:tabs>
          <w:tab w:leader="none" w:pos="9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940" w:right="20" w:hanging="365"/>
        <w:spacing w:after="0" w:line="268" w:lineRule="auto"/>
        <w:tabs>
          <w:tab w:leader="none" w:pos="9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Date: October 28, 2010</w:t>
      </w:r>
      <w:r>
        <w:rPr>
          <w:sz w:val="20"/>
          <w:szCs w:val="20"/>
          <w:color w:val="auto"/>
        </w:rPr>
        <w:tab/>
      </w:r>
      <w:r>
        <w:rPr>
          <w:rFonts w:ascii="Arial" w:cs="Arial" w:eastAsia="Arial" w:hAnsi="Arial"/>
          <w:sz w:val="16"/>
          <w:szCs w:val="16"/>
          <w:color w:val="auto"/>
        </w:rPr>
        <w:t>/s/ L</w:t>
      </w:r>
      <w:r>
        <w:rPr>
          <w:rFonts w:ascii="Arial" w:cs="Arial" w:eastAsia="Arial" w:hAnsi="Arial"/>
          <w:sz w:val="12"/>
          <w:szCs w:val="12"/>
          <w:color w:val="auto"/>
        </w:rPr>
        <w:t>EONARD</w:t>
      </w:r>
      <w:r>
        <w:rPr>
          <w:rFonts w:ascii="Arial" w:cs="Arial" w:eastAsia="Arial" w:hAnsi="Arial"/>
          <w:sz w:val="16"/>
          <w:szCs w:val="16"/>
          <w:color w:val="auto"/>
        </w:rPr>
        <w:t xml:space="preserve"> S. S</w:t>
      </w:r>
      <w:r>
        <w:rPr>
          <w:rFonts w:ascii="Arial" w:cs="Arial" w:eastAsia="Arial" w:hAnsi="Arial"/>
          <w:sz w:val="12"/>
          <w:szCs w:val="12"/>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27940</wp:posOffset>
            </wp:positionV>
            <wp:extent cx="39020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4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225"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79" w:lineRule="exact"/>
        <w:rPr>
          <w:rFonts w:ascii="Arial" w:cs="Arial" w:eastAsia="Arial" w:hAnsi="Arial"/>
          <w:sz w:val="18"/>
          <w:szCs w:val="18"/>
          <w:color w:val="auto"/>
        </w:rPr>
      </w:pPr>
    </w:p>
    <w:p>
      <w:pPr>
        <w:ind w:left="360" w:right="60" w:hanging="352"/>
        <w:spacing w:after="0" w:line="332" w:lineRule="auto"/>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360" w:right="160" w:hanging="352"/>
        <w:spacing w:after="0" w:line="268"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left="360" w:hanging="352"/>
        <w:spacing w:after="0" w:line="259"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940" w:right="20" w:hanging="365"/>
        <w:spacing w:after="0" w:line="259" w:lineRule="auto"/>
        <w:tabs>
          <w:tab w:leader="none" w:pos="9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940" w:hanging="365"/>
        <w:spacing w:after="0" w:line="259" w:lineRule="auto"/>
        <w:tabs>
          <w:tab w:leader="none" w:pos="9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940" w:right="60" w:hanging="365"/>
        <w:spacing w:after="0" w:line="332" w:lineRule="auto"/>
        <w:tabs>
          <w:tab w:leader="none" w:pos="9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940" w:right="100" w:hanging="365"/>
        <w:spacing w:after="0" w:line="259" w:lineRule="auto"/>
        <w:tabs>
          <w:tab w:leader="none" w:pos="9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360" w:right="740" w:hanging="352"/>
        <w:spacing w:after="0" w:line="332" w:lineRule="auto"/>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940" w:right="420" w:hanging="365"/>
        <w:spacing w:after="0" w:line="332" w:lineRule="auto"/>
        <w:tabs>
          <w:tab w:leader="none" w:pos="9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940" w:right="20" w:hanging="365"/>
        <w:spacing w:after="0" w:line="268" w:lineRule="auto"/>
        <w:tabs>
          <w:tab w:leader="none" w:pos="9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Date: October 28, 2010</w:t>
      </w:r>
      <w:r>
        <w:rPr>
          <w:sz w:val="20"/>
          <w:szCs w:val="20"/>
          <w:color w:val="auto"/>
        </w:rPr>
        <w:tab/>
      </w:r>
      <w:r>
        <w:rPr>
          <w:rFonts w:ascii="Arial" w:cs="Arial" w:eastAsia="Arial" w:hAnsi="Arial"/>
          <w:sz w:val="16"/>
          <w:szCs w:val="16"/>
          <w:color w:val="auto"/>
        </w:rPr>
        <w:t>/s/ M</w:t>
      </w:r>
      <w:r>
        <w:rPr>
          <w:rFonts w:ascii="Arial" w:cs="Arial" w:eastAsia="Arial" w:hAnsi="Arial"/>
          <w:sz w:val="12"/>
          <w:szCs w:val="12"/>
          <w:color w:val="auto"/>
        </w:rPr>
        <w:t>URRAY</w:t>
      </w:r>
      <w:r>
        <w:rPr>
          <w:rFonts w:ascii="Arial" w:cs="Arial" w:eastAsia="Arial" w:hAnsi="Arial"/>
          <w:sz w:val="16"/>
          <w:szCs w:val="16"/>
          <w:color w:val="auto"/>
        </w:rPr>
        <w:t xml:space="preserve"> A. G</w:t>
      </w:r>
      <w:r>
        <w:rPr>
          <w:rFonts w:ascii="Arial" w:cs="Arial" w:eastAsia="Arial" w:hAnsi="Arial"/>
          <w:sz w:val="12"/>
          <w:szCs w:val="12"/>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27940</wp:posOffset>
            </wp:positionV>
            <wp:extent cx="38849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84930" cy="8890"/>
                    </a:xfrm>
                    <a:prstGeom prst="rect">
                      <a:avLst/>
                    </a:prstGeom>
                    <a:noFill/>
                  </pic:spPr>
                </pic:pic>
              </a:graphicData>
            </a:graphic>
          </wp:anchor>
        </w:drawing>
      </w:r>
    </w:p>
    <w:p>
      <w:pPr>
        <w:spacing w:after="0" w:line="4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Murray A. Goldberg</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Finance &amp; Administration,</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Chief Financial Officer, Treasurer, and</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ended September 30, 2010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197" w:lineRule="exact"/>
        <w:rPr>
          <w:sz w:val="20"/>
          <w:szCs w:val="20"/>
          <w:color w:val="auto"/>
        </w:rPr>
      </w:pPr>
    </w:p>
    <w:p>
      <w:pPr>
        <w:ind w:left="480" w:hanging="252"/>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520" w:hanging="242"/>
        <w:spacing w:after="0"/>
        <w:tabs>
          <w:tab w:leader="none" w:pos="5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3"/>
          <w:szCs w:val="13"/>
          <w:color w:val="auto"/>
        </w:rPr>
        <w:t>EONARD</w:t>
      </w:r>
      <w:r>
        <w:rPr>
          <w:rFonts w:ascii="Arial" w:cs="Arial" w:eastAsia="Arial" w:hAnsi="Arial"/>
          <w:sz w:val="18"/>
          <w:szCs w:val="18"/>
          <w:color w:val="auto"/>
        </w:rPr>
        <w:t xml:space="preserve"> S. S</w:t>
      </w:r>
      <w:r>
        <w:rPr>
          <w:rFonts w:ascii="Arial" w:cs="Arial" w:eastAsia="Arial" w:hAnsi="Arial"/>
          <w:sz w:val="13"/>
          <w:szCs w:val="13"/>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6188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October 28, 2010</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M</w:t>
      </w:r>
      <w:r>
        <w:rPr>
          <w:rFonts w:ascii="Arial" w:cs="Arial" w:eastAsia="Arial" w:hAnsi="Arial"/>
          <w:sz w:val="13"/>
          <w:szCs w:val="13"/>
          <w:color w:val="auto"/>
        </w:rPr>
        <w:t>URRAY</w:t>
      </w:r>
      <w:r>
        <w:rPr>
          <w:rFonts w:ascii="Arial" w:cs="Arial" w:eastAsia="Arial" w:hAnsi="Arial"/>
          <w:sz w:val="18"/>
          <w:szCs w:val="18"/>
          <w:color w:val="auto"/>
        </w:rPr>
        <w:t xml:space="preserve"> A. G</w:t>
      </w:r>
      <w:r>
        <w:rPr>
          <w:rFonts w:ascii="Arial" w:cs="Arial" w:eastAsia="Arial" w:hAnsi="Arial"/>
          <w:sz w:val="13"/>
          <w:szCs w:val="13"/>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6188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October 28,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68" w:name="page69"/>
    <w:bookmarkEnd w:id="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2"/>
    </w:lvl>
  </w:abstractNum>
  <w:abstractNum w:abstractNumId="7">
    <w:nsid w:val="4DB127F8"/>
    <w:multiLevelType w:val="hybridMultilevel"/>
    <w:lvl w:ilvl="0">
      <w:lvlJc w:val="left"/>
      <w:lvlText w:val="%1."/>
      <w:numFmt w:val="decimal"/>
      <w:start w:val="6"/>
    </w:lvl>
    <w:lvl w:ilvl="1">
      <w:lvlJc w:val="left"/>
      <w:lvlText w:val="(%2)"/>
      <w:numFmt w:val="lowerRoman"/>
      <w:start w:val="1"/>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2019-12-10T09:31:27Z</dcterms:created>
  <dcterms:modified xsi:type="dcterms:W3CDTF">2019-12-10T09:31:27Z</dcterms:modified>
</cp:coreProperties>
</file>