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13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13308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Terifay Robert J</w:t>
              </w:r>
            </w:hyperlink>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4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40" w:type="dxa"/>
            <w:vAlign w:val="bottom"/>
            <w:tcBorders>
              <w:top w:val="single" w:sz="8" w:color="EEEEEE"/>
            </w:tcBorders>
          </w:tcPr>
          <w:p>
            <w:pPr>
              <w:spacing w:after="0"/>
              <w:rPr>
                <w:sz w:val="8"/>
                <w:szCs w:val="8"/>
                <w:color w:val="auto"/>
              </w:rPr>
            </w:pPr>
          </w:p>
        </w:tc>
        <w:tc>
          <w:tcPr>
            <w:tcW w:w="110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gridSpan w:val="3"/>
            <w:vMerge w:val="restart"/>
          </w:tcPr>
          <w:p>
            <w:pPr>
              <w:spacing w:after="0"/>
              <w:rPr>
                <w:sz w:val="20"/>
                <w:szCs w:val="20"/>
                <w:color w:val="auto"/>
              </w:rPr>
            </w:pPr>
            <w:r>
              <w:rPr>
                <w:rFonts w:ascii="Arial" w:cs="Arial" w:eastAsia="Arial" w:hAnsi="Arial"/>
                <w:sz w:val="17"/>
                <w:szCs w:val="17"/>
                <w:color w:val="0000FF"/>
              </w:rPr>
              <w:t>SVP Commercial</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80" w:type="dxa"/>
            <w:vAlign w:val="bottom"/>
            <w:gridSpan w:val="7"/>
            <w:vMerge w:val="restart"/>
          </w:tcPr>
          <w:p>
            <w:pPr>
              <w:ind w:left="280"/>
              <w:spacing w:after="0"/>
              <w:rPr>
                <w:sz w:val="20"/>
                <w:szCs w:val="20"/>
                <w:color w:val="auto"/>
              </w:rPr>
            </w:pPr>
            <w:r>
              <w:rPr>
                <w:rFonts w:ascii="Arial" w:cs="Arial" w:eastAsia="Arial" w:hAnsi="Arial"/>
                <w:sz w:val="17"/>
                <w:szCs w:val="17"/>
                <w:color w:val="0000FF"/>
              </w:rPr>
              <w:t>11/17/2014</w:t>
            </w: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8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080" w:type="dxa"/>
            <w:vAlign w:val="bottom"/>
            <w:tcBorders>
              <w:bottom w:val="single" w:sz="8" w:color="2C2C2C"/>
            </w:tcBorders>
            <w:gridSpan w:val="5"/>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jc w:val="center"/>
              <w:ind w:left="71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40" w:type="dxa"/>
            <w:vAlign w:val="bottom"/>
            <w:gridSpan w:val="5"/>
          </w:tcPr>
          <w:p>
            <w:pPr>
              <w:jc w:val="center"/>
              <w:ind w:left="543"/>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11/17/2014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2"/>
              </w:rPr>
              <w:t>48,750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center"/>
              <w:ind w:left="8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21.25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68,779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11/17/2014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2,578</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401.75</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66,201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11/17/2014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2"/>
              </w:rPr>
              <w:t>23,810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401.75</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42,391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11/18/2014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84"/>
              </w:rPr>
              <w:t>62</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400.45</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42,329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11/18/2014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8"/>
              </w:rPr>
              <w:t>400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401.42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41,929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11/18/2014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1,500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402.71</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40,429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11/18/2014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2,150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403.86</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38,279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11/18/2014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3,252</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404.75</w:t>
            </w:r>
            <w:r>
              <w:rPr>
                <w:rFonts w:ascii="Arial" w:cs="Arial" w:eastAsia="Arial" w:hAnsi="Arial"/>
                <w:sz w:val="22"/>
                <w:szCs w:val="22"/>
                <w:color w:val="008000"/>
                <w:w w:val="88"/>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35,027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11/18/2014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7,278</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405.85</w:t>
            </w:r>
            <w:r>
              <w:rPr>
                <w:rFonts w:ascii="Arial" w:cs="Arial" w:eastAsia="Arial" w:hAnsi="Arial"/>
                <w:sz w:val="22"/>
                <w:szCs w:val="22"/>
                <w:color w:val="008000"/>
                <w:w w:val="88"/>
                <w:vertAlign w:val="superscript"/>
              </w:rPr>
              <w:t>(6)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27,749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11/18/2014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3,720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406.89</w:t>
            </w:r>
            <w:r>
              <w:rPr>
                <w:rFonts w:ascii="Arial" w:cs="Arial" w:eastAsia="Arial" w:hAnsi="Arial"/>
                <w:sz w:val="22"/>
                <w:szCs w:val="22"/>
                <w:color w:val="008000"/>
                <w:w w:val="88"/>
                <w:vertAlign w:val="superscript"/>
              </w:rPr>
              <w:t>(7)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24,029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11/18/2014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2,200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407.85</w:t>
            </w:r>
            <w:r>
              <w:rPr>
                <w:rFonts w:ascii="Arial" w:cs="Arial" w:eastAsia="Arial" w:hAnsi="Arial"/>
                <w:sz w:val="22"/>
                <w:szCs w:val="22"/>
                <w:color w:val="008000"/>
                <w:w w:val="88"/>
                <w:vertAlign w:val="superscript"/>
              </w:rPr>
              <w:t>(8)</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21,829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3"/>
              <w:spacing w:after="0"/>
              <w:rPr>
                <w:sz w:val="20"/>
                <w:szCs w:val="20"/>
                <w:color w:val="auto"/>
              </w:rPr>
            </w:pPr>
            <w:r>
              <w:rPr>
                <w:rFonts w:ascii="Arial" w:cs="Arial" w:eastAsia="Arial" w:hAnsi="Arial"/>
                <w:sz w:val="17"/>
                <w:szCs w:val="17"/>
                <w:color w:val="0000FF"/>
                <w:w w:val="91"/>
              </w:rPr>
              <w:t>11/18/2014</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1,800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408.62</w:t>
            </w:r>
            <w:r>
              <w:rPr>
                <w:rFonts w:ascii="Arial" w:cs="Arial" w:eastAsia="Arial" w:hAnsi="Arial"/>
                <w:sz w:val="22"/>
                <w:szCs w:val="22"/>
                <w:color w:val="008000"/>
                <w:w w:val="88"/>
                <w:vertAlign w:val="superscript"/>
              </w:rPr>
              <w:t>(9)</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20,029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1,620</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8"/>
          </w:tcPr>
          <w:p>
            <w:pPr>
              <w:ind w:left="10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21.25</w:t>
            </w:r>
          </w:p>
        </w:tc>
        <w:tc>
          <w:tcPr>
            <w:tcW w:w="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11/17/2014</w:t>
            </w:r>
          </w:p>
        </w:tc>
        <w:tc>
          <w:tcPr>
            <w:tcW w:w="1140" w:type="dxa"/>
            <w:vAlign w:val="bottom"/>
          </w:tcPr>
          <w:p>
            <w:pPr>
              <w:spacing w:after="0"/>
              <w:rPr>
                <w:sz w:val="18"/>
                <w:szCs w:val="18"/>
                <w:color w:val="auto"/>
              </w:rPr>
            </w:pPr>
          </w:p>
        </w:tc>
        <w:tc>
          <w:tcPr>
            <w:tcW w:w="500" w:type="dxa"/>
            <w:vAlign w:val="bottom"/>
            <w:gridSpan w:val="4"/>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48,750</w:t>
            </w:r>
          </w:p>
        </w:tc>
        <w:tc>
          <w:tcPr>
            <w:tcW w:w="800" w:type="dxa"/>
            <w:vAlign w:val="bottom"/>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ind w:left="80"/>
              <w:spacing w:after="0"/>
              <w:rPr>
                <w:sz w:val="20"/>
                <w:szCs w:val="20"/>
                <w:color w:val="auto"/>
              </w:rPr>
            </w:pPr>
            <w:r>
              <w:rPr>
                <w:rFonts w:ascii="Arial" w:cs="Arial" w:eastAsia="Arial" w:hAnsi="Arial"/>
                <w:sz w:val="13"/>
                <w:szCs w:val="13"/>
                <w:color w:val="0000FF"/>
              </w:rPr>
              <w:t>12/18/2019</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48,750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5" w:lineRule="exact"/>
              <w:rPr>
                <w:sz w:val="20"/>
                <w:szCs w:val="20"/>
                <w:color w:val="auto"/>
              </w:rPr>
            </w:pPr>
            <w:r>
              <w:rPr>
                <w:rFonts w:ascii="Arial" w:cs="Arial" w:eastAsia="Arial" w:hAnsi="Arial"/>
                <w:sz w:val="11"/>
                <w:szCs w:val="11"/>
                <w:color w:val="0000FF"/>
              </w:rPr>
              <w:t>Stock</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51" w:lineRule="exact"/>
        <w:rPr>
          <w:rFonts w:ascii="Arial" w:cs="Arial" w:eastAsia="Arial" w:hAnsi="Arial"/>
          <w:sz w:val="13"/>
          <w:szCs w:val="13"/>
          <w:color w:val="008000"/>
        </w:rPr>
      </w:pPr>
    </w:p>
    <w:p>
      <w:pPr>
        <w:ind w:left="40" w:right="16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400 shares of Company stock on November 18, 2014 at prices ranging from $401.11 to $401.84. Upon request by the Commission staff, the Company, or a security holder of the Company, the reporting person will provide full information regarding the number of shares sold by the reporting person on November 18, 2014 at each separate price.</w:t>
      </w:r>
    </w:p>
    <w:p>
      <w:pPr>
        <w:ind w:left="40" w:right="20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1,500 shares of Company stock on November 18, 2014 at prices ranging from $402.29 to $403.27. Upon request by the Commission staff, the Company, or a security holder of the Company, the reporting person will provide full information regarding the number of shares sold by the reporting person on November 18, 2014 at each separate price.</w:t>
      </w:r>
    </w:p>
    <w:p>
      <w:pPr>
        <w:ind w:left="40" w:right="20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2,150 shares of Company stock on November 18, 2014 at prices ranging from $403.32 to $404.30. Upon request by the Commission staff, the Company, or a security holder of the Company, the reporting person will provide full information regarding the number of shares sold by the reporting person on November 18, 2014 at each separate price.</w:t>
      </w:r>
    </w:p>
    <w:p>
      <w:pPr>
        <w:ind w:left="40" w:right="200" w:firstLine="8"/>
        <w:spacing w:after="0" w:line="314"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3,252 shares of Company stock on November 18, 2014 at prices ranging from $404.35 to $405.32. Upon request by the Commission staff, the Company, or a security holder of the Company, the reporting person will provide full information regarding the number of shares sold by the reporting person on November 18, 2014 at each separate price.</w:t>
      </w:r>
    </w:p>
    <w:p>
      <w:pPr>
        <w:sectPr>
          <w:pgSz w:w="11900" w:h="16838" w:orient="portrait"/>
          <w:cols w:equalWidth="0" w:num="1">
            <w:col w:w="11520"/>
          </w:cols>
          <w:pgMar w:left="240" w:top="225" w:right="139" w:bottom="0" w:gutter="0" w:footer="0" w:header="0"/>
          <w:type w:val="continuous"/>
        </w:sectPr>
      </w:pPr>
    </w:p>
    <w:bookmarkStart w:id="1" w:name="page2"/>
    <w:bookmarkEnd w:id="1"/>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7,278 shares of Company stock on November 18, 2014 at prices ranging from $405.35 to $406.34. Upon request by the Commission staff, the Company, or a security holder of the Company, the reporting person will provide full information regarding the number of shares sold by the reporting person on November 18, 2014 at each separate price.</w:t>
      </w:r>
    </w:p>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3,720 shares of Company stock on November 18, 2014 at prices ranging from $406.38 to $407.37. Upon request by the Commission staff, the Company, or a security holder of the Company, the reporting person will provide full information regarding the number of shares sold by the reporting person on November 18, 2014 at each separate price.</w:t>
      </w:r>
    </w:p>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2,200 shares of Company stock on November 18, 2014 at prices ranging from $407.38 to $408.36. Upon request by the Commission staff, the Company, or a security holder of the Company, the reporting person will provide full information regarding the number of shares sold by the reporting person on November 18, 2014 at each separate price.</w:t>
      </w:r>
    </w:p>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1,800 shares of Company stock on November 18, 2014 at prices ranging from $408.47 to $408.78. Upon request by the Commission staff, the Company, or a security holder of the Company, the reporting person will provide full information regarding the number of shares sold by the reporting person on November 18, 2014 at each separate price.</w:t>
      </w:r>
    </w:p>
    <w:p>
      <w:pPr>
        <w:ind w:right="220" w:firstLine="8"/>
        <w:spacing w:after="0" w:line="272" w:lineRule="auto"/>
        <w:tabs>
          <w:tab w:leader="none" w:pos="20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2012, based upon the satisfaction by the company of certain performance criteria during the period ended December 31, 2012.</w:t>
      </w:r>
    </w:p>
    <w:p>
      <w:pPr>
        <w:spacing w:after="0" w:line="2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/s/**Robert J. Terifay</w:t>
            </w:r>
          </w:p>
        </w:tc>
        <w:tc>
          <w:tcPr>
            <w:tcW w:w="7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11/19/2014</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4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1382"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2019-12-18T10:20:18Z</dcterms:created>
  <dcterms:modified xsi:type="dcterms:W3CDTF">2019-12-18T10:20:18Z</dcterms:modified>
</cp:coreProperties>
</file>