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Regeneron Pharmaceuticals</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75886F107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June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9,414,879</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9,414,879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9,414,879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75886F107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Regeneron Pharmaceuticals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777 Old Saw Mill River Road</w:t>
      </w:r>
    </w:p>
    <w:p>
      <w:pPr>
        <w:ind w:left="740"/>
        <w:spacing w:after="0"/>
        <w:rPr>
          <w:sz w:val="20"/>
          <w:szCs w:val="20"/>
          <w:color w:val="auto"/>
        </w:rPr>
      </w:pPr>
      <w:r>
        <w:rPr>
          <w:rFonts w:ascii="Courier New" w:cs="Courier New" w:eastAsia="Courier New" w:hAnsi="Courier New"/>
          <w:sz w:val="18"/>
          <w:szCs w:val="18"/>
          <w:color w:val="auto"/>
        </w:rPr>
        <w:t>Tarrytown NY 10591-6707</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75886F107</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9,414,879 shares or 10.6% of the 88,739,294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July 8,</w:t>
            </w:r>
          </w:p>
        </w:tc>
        <w:tc>
          <w:tcPr>
            <w:tcW w:w="2580" w:type="dxa"/>
            <w:vAlign w:val="bottom"/>
          </w:tcPr>
          <w:p>
            <w:pPr>
              <w:ind w:left="60"/>
              <w:spacing w:after="0"/>
              <w:rPr>
                <w:sz w:val="20"/>
                <w:szCs w:val="20"/>
                <w:color w:val="auto"/>
              </w:rPr>
            </w:pPr>
            <w:r>
              <w:rPr>
                <w:rFonts w:ascii="Courier New" w:cs="Courier New" w:eastAsia="Courier New" w:hAnsi="Courier New"/>
                <w:sz w:val="18"/>
                <w:szCs w:val="18"/>
                <w:color w:val="auto"/>
              </w:rPr>
              <w:t>2011</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Robert W. Lovelace***</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3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Robert W. Lovelace - Senior Vice</w:t>
            </w:r>
          </w:p>
        </w:tc>
      </w:tr>
      <w:tr>
        <w:trPr>
          <w:trHeight w:val="203"/>
        </w:trPr>
        <w:tc>
          <w:tcPr>
            <w:tcW w:w="1360" w:type="dxa"/>
            <w:vAlign w:val="bottom"/>
          </w:tcPr>
          <w:p>
            <w:pPr>
              <w:spacing w:after="0"/>
              <w:rPr>
                <w:sz w:val="17"/>
                <w:szCs w:val="17"/>
                <w:color w:val="auto"/>
              </w:rPr>
            </w:pPr>
          </w:p>
        </w:tc>
        <w:tc>
          <w:tcPr>
            <w:tcW w:w="35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2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Walter R. Burkley</w:t>
      </w:r>
    </w:p>
    <w:p>
      <w:pPr>
        <w:ind w:left="1580"/>
        <w:spacing w:after="0" w:line="238" w:lineRule="auto"/>
        <w:rPr>
          <w:sz w:val="20"/>
          <w:szCs w:val="20"/>
          <w:color w:val="auto"/>
        </w:rPr>
      </w:pPr>
      <w:r>
        <w:rPr>
          <w:rFonts w:ascii="Courier New" w:cs="Courier New" w:eastAsia="Courier New" w:hAnsi="Courier New"/>
          <w:sz w:val="18"/>
          <w:szCs w:val="18"/>
          <w:color w:val="auto"/>
        </w:rPr>
        <w:t>Walter R. Burkley</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20, 2010 included as an Exhibit to Schedule 13G filed with the Securities and Exchange Commission by Capital World Investors on January 10, 2011 with respect to Georgia Gulf Corporation.</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75886F107</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2019-12-10T09:27:16Z</dcterms:created>
  <dcterms:modified xsi:type="dcterms:W3CDTF">2019-12-10T09:27:16Z</dcterms:modified>
</cp:coreProperties>
</file>