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spacing w:after="0" w:line="20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CURRENT REPORT</w:t>
      </w: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Pursuant to Section 13 or 15(d) of the Securities and Exchange Act of 1934</w:t>
      </w:r>
    </w:p>
    <w:p>
      <w:pPr>
        <w:spacing w:after="0" w:line="200" w:lineRule="exact"/>
        <w:rPr>
          <w:sz w:val="24"/>
          <w:szCs w:val="24"/>
          <w:color w:val="auto"/>
        </w:rPr>
      </w:pPr>
    </w:p>
    <w:p>
      <w:pPr>
        <w:spacing w:after="0" w:line="201" w:lineRule="exact"/>
        <w:rPr>
          <w:sz w:val="24"/>
          <w:szCs w:val="24"/>
          <w:color w:val="auto"/>
        </w:rPr>
      </w:pPr>
    </w:p>
    <w:p>
      <w:pPr>
        <w:spacing w:after="0"/>
        <w:tabs>
          <w:tab w:leader="none" w:pos="5640" w:val="left"/>
        </w:tabs>
        <w:rPr>
          <w:sz w:val="20"/>
          <w:szCs w:val="20"/>
          <w:color w:val="auto"/>
        </w:rPr>
      </w:pPr>
      <w:r>
        <w:rPr>
          <w:rFonts w:ascii="Courier New" w:cs="Courier New" w:eastAsia="Courier New" w:hAnsi="Courier New"/>
          <w:sz w:val="17"/>
          <w:szCs w:val="17"/>
          <w:color w:val="auto"/>
        </w:rPr>
        <w:t>Date of Report (Date of earliest event reported):</w:t>
      </w:r>
      <w:r>
        <w:rPr>
          <w:sz w:val="20"/>
          <w:szCs w:val="20"/>
          <w:color w:val="auto"/>
        </w:rPr>
        <w:tab/>
      </w:r>
      <w:r>
        <w:rPr>
          <w:rFonts w:ascii="Courier New" w:cs="Courier New" w:eastAsia="Courier New" w:hAnsi="Courier New"/>
          <w:sz w:val="17"/>
          <w:szCs w:val="17"/>
          <w:color w:val="auto"/>
        </w:rPr>
        <w:t>April 28, 2005</w:t>
      </w:r>
    </w:p>
    <w:p>
      <w:pPr>
        <w:spacing w:after="0" w:line="200" w:lineRule="exact"/>
        <w:rPr>
          <w:sz w:val="24"/>
          <w:szCs w:val="24"/>
          <w:color w:val="auto"/>
        </w:rPr>
      </w:pPr>
    </w:p>
    <w:p>
      <w:pPr>
        <w:spacing w:after="0" w:line="20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48" w:orient="portrait"/>
          <w:cols w:equalWidth="0" w:num="1">
            <w:col w:w="10219"/>
          </w:cols>
          <w:pgMar w:left="240" w:top="841" w:right="1440" w:bottom="0" w:gutter="0" w:footer="0" w:header="0"/>
        </w:sectPr>
      </w:pPr>
    </w:p>
    <w:p>
      <w:pPr>
        <w:spacing w:after="0" w:line="200" w:lineRule="exact"/>
        <w:rPr>
          <w:sz w:val="24"/>
          <w:szCs w:val="24"/>
          <w:color w:val="auto"/>
        </w:rPr>
      </w:pPr>
    </w:p>
    <w:p>
      <w:pPr>
        <w:spacing w:after="0" w:line="201"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New York</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000-19034</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133444607</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48" w:orient="portrait"/>
          <w:cols w:equalWidth="0" w:num="3">
            <w:col w:w="2880" w:space="420"/>
            <w:col w:w="2480" w:space="200"/>
            <w:col w:w="4239"/>
          </w:cols>
          <w:pgMar w:left="240" w:top="841" w:right="1440" w:bottom="0" w:gutter="0" w:footer="0" w:header="0"/>
          <w:type w:val="continuous"/>
        </w:sectPr>
      </w:pPr>
    </w:p>
    <w:p>
      <w:pPr>
        <w:spacing w:after="0" w:line="201" w:lineRule="exact"/>
        <w:rPr>
          <w:sz w:val="24"/>
          <w:szCs w:val="24"/>
          <w:color w:val="auto"/>
        </w:rPr>
      </w:pPr>
    </w:p>
    <w:p>
      <w:pPr>
        <w:jc w:val="right"/>
        <w:ind w:left="1040" w:right="2799"/>
        <w:spacing w:after="0" w:line="246" w:lineRule="auto"/>
        <w:rPr>
          <w:sz w:val="20"/>
          <w:szCs w:val="20"/>
          <w:color w:val="auto"/>
        </w:rPr>
      </w:pPr>
      <w:r>
        <w:rPr>
          <w:rFonts w:ascii="Courier New" w:cs="Courier New" w:eastAsia="Courier New" w:hAnsi="Courier New"/>
          <w:sz w:val="17"/>
          <w:szCs w:val="17"/>
          <w:color w:val="auto"/>
        </w:rPr>
        <w:t>777 Old Saw Mill River Road, Tarrytown, New York    10591-6707 -------------------------------------------------------------- (Address of principal executive offices)        (Zip Code)</w:t>
      </w:r>
    </w:p>
    <w:p>
      <w:pPr>
        <w:sectPr>
          <w:pgSz w:w="11900" w:h="16848" w:orient="portrait"/>
          <w:cols w:equalWidth="0" w:num="1">
            <w:col w:w="10219"/>
          </w:cols>
          <w:pgMar w:left="240" w:top="841" w:right="1440" w:bottom="0" w:gutter="0" w:footer="0" w:header="0"/>
          <w:type w:val="continuous"/>
        </w:sectPr>
      </w:pPr>
    </w:p>
    <w:p>
      <w:pPr>
        <w:spacing w:after="0" w:line="398"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(914) 347-7000</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01" w:lineRule="exact"/>
        <w:rPr>
          <w:sz w:val="24"/>
          <w:szCs w:val="24"/>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Check the appropriate box below if the Form 8-K filing is intended to simultaneously satisfy the filing obligation of registrant under any of the following provisions:</w:t>
      </w:r>
    </w:p>
    <w:p>
      <w:pPr>
        <w:spacing w:after="0" w:line="200" w:lineRule="exact"/>
        <w:rPr>
          <w:sz w:val="24"/>
          <w:szCs w:val="24"/>
          <w:color w:val="auto"/>
        </w:rPr>
      </w:pPr>
    </w:p>
    <w:p>
      <w:pPr>
        <w:ind w:left="820" w:right="2399" w:hanging="814"/>
        <w:spacing w:after="0" w:line="247" w:lineRule="auto"/>
        <w:tabs>
          <w:tab w:leader="none" w:pos="20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]Written communications pursuant to Rule 425 under the Securities Act (17 CFR 230.425)</w:t>
      </w:r>
    </w:p>
    <w:p>
      <w:pPr>
        <w:spacing w:after="0" w:line="198" w:lineRule="exact"/>
        <w:rPr>
          <w:sz w:val="24"/>
          <w:szCs w:val="24"/>
          <w:color w:val="auto"/>
        </w:rPr>
      </w:pPr>
    </w:p>
    <w:p>
      <w:pPr>
        <w:ind w:left="820" w:right="2599" w:hanging="814"/>
        <w:spacing w:after="0" w:line="247" w:lineRule="auto"/>
        <w:tabs>
          <w:tab w:leader="none" w:pos="2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Rule 14a-12 under the Exchange Act (17 CFR 240.14a-12)</w:t>
      </w:r>
    </w:p>
    <w:p>
      <w:pPr>
        <w:spacing w:after="0" w:line="198" w:lineRule="exact"/>
        <w:rPr>
          <w:sz w:val="24"/>
          <w:szCs w:val="24"/>
          <w:color w:val="auto"/>
        </w:rPr>
      </w:pPr>
    </w:p>
    <w:p>
      <w:pPr>
        <w:ind w:left="820" w:right="2499" w:hanging="814"/>
        <w:spacing w:after="0" w:line="247" w:lineRule="auto"/>
        <w:tabs>
          <w:tab w:leader="none" w:pos="2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]Pre-commencement communications pursuant to Rule 14d-2(b) under the Exchange Act (17 CFR 240.14d-2(b))</w:t>
      </w:r>
    </w:p>
    <w:p>
      <w:pPr>
        <w:spacing w:after="0" w:line="198" w:lineRule="exact"/>
        <w:rPr>
          <w:sz w:val="24"/>
          <w:szCs w:val="24"/>
          <w:color w:val="auto"/>
        </w:rPr>
      </w:pPr>
    </w:p>
    <w:p>
      <w:pPr>
        <w:ind w:left="820" w:right="2499" w:hanging="814"/>
        <w:spacing w:after="0" w:line="247" w:lineRule="auto"/>
        <w:tabs>
          <w:tab w:leader="none" w:pos="2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Item 2.02</w:t>
      </w:r>
      <w:r>
        <w:rPr>
          <w:sz w:val="20"/>
          <w:szCs w:val="20"/>
          <w:color w:val="auto"/>
        </w:rPr>
        <w:tab/>
      </w:r>
      <w:r>
        <w:rPr>
          <w:rFonts w:ascii="Courier New" w:cs="Courier New" w:eastAsia="Courier New" w:hAnsi="Courier New"/>
          <w:sz w:val="17"/>
          <w:szCs w:val="17"/>
          <w:color w:val="auto"/>
        </w:rPr>
        <w:t>Results of Operations and Financial Condition</w:t>
      </w:r>
    </w:p>
    <w:p>
      <w:pPr>
        <w:spacing w:after="0" w:line="203" w:lineRule="exact"/>
        <w:rPr>
          <w:sz w:val="24"/>
          <w:szCs w:val="24"/>
          <w:color w:val="auto"/>
        </w:rPr>
      </w:pPr>
    </w:p>
    <w:p>
      <w:pPr>
        <w:ind w:left="1340" w:right="2279"/>
        <w:spacing w:after="0" w:line="246" w:lineRule="auto"/>
        <w:rPr>
          <w:sz w:val="20"/>
          <w:szCs w:val="20"/>
          <w:color w:val="auto"/>
        </w:rPr>
      </w:pPr>
      <w:r>
        <w:rPr>
          <w:rFonts w:ascii="Courier New" w:cs="Courier New" w:eastAsia="Courier New" w:hAnsi="Courier New"/>
          <w:sz w:val="17"/>
          <w:szCs w:val="17"/>
          <w:color w:val="auto"/>
        </w:rPr>
        <w:t>On April 28, 2005, Regeneron Pharmaceuticals, Inc. announced its financial and operating results for the quarter ended March 31, 2005. A copy of the news release is attached hereto as Exhibit 99(a) and is incorporated herein by reference.</w:t>
      </w:r>
    </w:p>
    <w:p>
      <w:pPr>
        <w:spacing w:after="0" w:line="200" w:lineRule="exact"/>
        <w:rPr>
          <w:sz w:val="24"/>
          <w:szCs w:val="24"/>
          <w:color w:val="auto"/>
        </w:rPr>
      </w:pPr>
    </w:p>
    <w:p>
      <w:pPr>
        <w:ind w:left="1340" w:right="2179"/>
        <w:spacing w:after="0" w:line="246" w:lineRule="auto"/>
        <w:rPr>
          <w:sz w:val="20"/>
          <w:szCs w:val="20"/>
          <w:color w:val="auto"/>
        </w:rPr>
      </w:pPr>
      <w:r>
        <w:rPr>
          <w:rFonts w:ascii="Courier New" w:cs="Courier New" w:eastAsia="Courier New" w:hAnsi="Courier New"/>
          <w:sz w:val="17"/>
          <w:szCs w:val="17"/>
          <w:color w:val="auto"/>
        </w:rPr>
        <w:t>Effective January 1, 2005, Regeneron began recognizing non-cash compensation expense related to employee stock option awards (Stock Option Expense) in operating expenses in accordance with Statement of Financial Accounting Standards No. 123 (SFAS No. 123). Prior to the adoption of SFAS No. 123, compensation expense related to employee stock options was not reflected in operating expenses and prior period operating results have not been restated.</w:t>
      </w:r>
    </w:p>
    <w:p>
      <w:pPr>
        <w:spacing w:after="0" w:line="203" w:lineRule="exact"/>
        <w:rPr>
          <w:sz w:val="24"/>
          <w:szCs w:val="24"/>
          <w:color w:val="auto"/>
        </w:rPr>
      </w:pPr>
    </w:p>
    <w:p>
      <w:pPr>
        <w:ind w:left="1340" w:right="2179"/>
        <w:spacing w:after="0" w:line="246" w:lineRule="auto"/>
        <w:rPr>
          <w:sz w:val="20"/>
          <w:szCs w:val="20"/>
          <w:color w:val="auto"/>
        </w:rPr>
      </w:pPr>
      <w:r>
        <w:rPr>
          <w:rFonts w:ascii="Courier New" w:cs="Courier New" w:eastAsia="Courier New" w:hAnsi="Courier New"/>
          <w:sz w:val="17"/>
          <w:szCs w:val="17"/>
          <w:color w:val="auto"/>
        </w:rPr>
        <w:t>The news release includes certain financial measures that are calculated in a manner different from generally accepted accounting principles (GAAP) and are considered non-GAAP financial measures under United States Securities and Exchange Commission rules. Non-GAAP financial measures for the three months ended March 31, 2005 included in the news release are: (1) pro forma net income and pro forma net income per share (basic and diluted), exclusive of Stock Option Expense and (2) research and development expenses, general and administrative expenses,</w:t>
      </w:r>
    </w:p>
    <w:p>
      <w:pPr>
        <w:sectPr>
          <w:pgSz w:w="11900" w:h="16848" w:orient="portrait"/>
          <w:cols w:equalWidth="0" w:num="1">
            <w:col w:w="10219"/>
          </w:cols>
          <w:pgMar w:left="240" w:top="841" w:right="1440" w:bottom="0" w:gutter="0" w:footer="0" w:header="0"/>
          <w:type w:val="continuous"/>
        </w:sectPr>
      </w:pPr>
    </w:p>
    <w:bookmarkStart w:id="1" w:name="page2"/>
    <w:bookmarkEnd w:id="1"/>
    <w:p>
      <w:pPr>
        <w:ind w:left="140" w:right="2399"/>
        <w:spacing w:after="0" w:line="246" w:lineRule="auto"/>
        <w:rPr>
          <w:sz w:val="20"/>
          <w:szCs w:val="20"/>
          <w:color w:val="auto"/>
        </w:rPr>
      </w:pPr>
      <w:r>
        <w:rPr>
          <w:rFonts w:ascii="Courier New" w:cs="Courier New" w:eastAsia="Courier New" w:hAnsi="Courier New"/>
          <w:sz w:val="17"/>
          <w:szCs w:val="17"/>
          <w:color w:val="auto"/>
        </w:rPr>
        <w:t>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201" w:lineRule="exact"/>
        <w:rPr>
          <w:sz w:val="20"/>
          <w:szCs w:val="20"/>
          <w:color w:val="auto"/>
        </w:rPr>
      </w:pPr>
    </w:p>
    <w:p>
      <w:pPr>
        <w:ind w:left="140" w:right="2179"/>
        <w:spacing w:after="0" w:line="246" w:lineRule="auto"/>
        <w:rPr>
          <w:sz w:val="20"/>
          <w:szCs w:val="20"/>
          <w:color w:val="auto"/>
        </w:rPr>
      </w:pPr>
      <w:r>
        <w:rPr>
          <w:rFonts w:ascii="Courier New" w:cs="Courier New" w:eastAsia="Courier New" w:hAnsi="Courier New"/>
          <w:sz w:val="17"/>
          <w:szCs w:val="17"/>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and a more useful basis for comparing our operating results in the first quarters of 2005 and 2004. In addition, Regeneron's management uses non-GAAP financial measures which exclude Stock Option Expense internally for operating, budgeting, and financial planning purposes. The news release includes tables which provide a reconciliation of the differences between these non-GAAP financial measures and the most directly comparable financial measures calculated and presented in accordance with GAAP in the news release.</w:t>
      </w:r>
    </w:p>
    <w:p>
      <w:pPr>
        <w:sectPr>
          <w:pgSz w:w="11900" w:h="16838" w:orient="portrait"/>
          <w:cols w:equalWidth="0" w:num="1">
            <w:col w:w="9019"/>
          </w:cols>
          <w:pgMar w:left="1440" w:top="142" w:right="1440" w:bottom="1440" w:gutter="0" w:footer="0" w:header="0"/>
        </w:sectPr>
      </w:pPr>
    </w:p>
    <w:bookmarkStart w:id="2" w:name="page3"/>
    <w:bookmarkEnd w:id="2"/>
    <w:p>
      <w:pPr>
        <w:spacing w:after="0"/>
        <w:tabs>
          <w:tab w:leader="none" w:pos="132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7"/>
          <w:szCs w:val="17"/>
          <w:color w:val="auto"/>
        </w:rPr>
        <w:t>Financial Statements and Exhibits</w:t>
      </w:r>
    </w:p>
    <w:p>
      <w:pPr>
        <w:spacing w:after="0" w:line="203" w:lineRule="exact"/>
        <w:rPr>
          <w:sz w:val="20"/>
          <w:szCs w:val="20"/>
          <w:color w:val="auto"/>
        </w:rPr>
      </w:pPr>
    </w:p>
    <w:p>
      <w:pPr>
        <w:ind w:left="1760" w:hanging="416"/>
        <w:spacing w:after="0"/>
        <w:tabs>
          <w:tab w:leader="none" w:pos="17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rFonts w:ascii="Courier New" w:cs="Courier New" w:eastAsia="Courier New" w:hAnsi="Courier New"/>
          <w:sz w:val="17"/>
          <w:szCs w:val="17"/>
          <w:color w:val="auto"/>
        </w:rPr>
      </w:pPr>
    </w:p>
    <w:p>
      <w:pPr>
        <w:ind w:left="2480" w:right="3319" w:hanging="721"/>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99(a) Press Release of Regeneron Pharmaceuticals, Inc. dated April 28, 2005.</w:t>
      </w:r>
    </w:p>
    <w:p>
      <w:pPr>
        <w:spacing w:after="0" w:line="396"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registrant has duly caused this report to be signed on its behalf by the undersigned hereunto duly authorized.</w:t>
      </w:r>
    </w:p>
    <w:p>
      <w:pPr>
        <w:spacing w:after="0" w:line="398"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REGENERON PHARMACEUTICALS, INC.</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April 28, 2005</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Stuart Kolinski</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Stuart Kolinski</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Vice President and General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Counsel</w:t>
      </w:r>
    </w:p>
    <w:p>
      <w:pPr>
        <w:sectPr>
          <w:pgSz w:w="11900" w:h="16838" w:orient="portrait"/>
          <w:cols w:equalWidth="0" w:num="2">
            <w:col w:w="4020" w:space="720"/>
            <w:col w:w="5479"/>
          </w:cols>
          <w:pgMar w:left="240" w:top="709" w:right="1440" w:bottom="1440" w:gutter="0" w:footer="0" w:header="0"/>
          <w:type w:val="continuous"/>
        </w:sectPr>
      </w:pPr>
    </w:p>
    <w:bookmarkStart w:id="3" w:name="page4"/>
    <w:bookmarkEnd w:id="3"/>
    <w:p>
      <w:pPr>
        <w:ind w:left="340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90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2">
            <w:col w:w="820" w:space="620"/>
            <w:col w:w="877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99(a)</w:t>
      </w:r>
    </w:p>
    <w:p>
      <w:pPr>
        <w:spacing w:after="0" w:line="20" w:lineRule="exact"/>
        <w:rPr>
          <w:sz w:val="20"/>
          <w:szCs w:val="20"/>
          <w:color w:val="auto"/>
        </w:rPr>
      </w:pPr>
      <w:r>
        <w:rPr>
          <w:sz w:val="20"/>
          <w:szCs w:val="20"/>
          <w:color w:val="auto"/>
        </w:rPr>
        <w:br w:type="column"/>
      </w:r>
    </w:p>
    <w:p>
      <w:pPr>
        <w:ind w:right="3219"/>
        <w:spacing w:after="0" w:line="247" w:lineRule="auto"/>
        <w:rPr>
          <w:sz w:val="20"/>
          <w:szCs w:val="20"/>
          <w:color w:val="auto"/>
        </w:rPr>
      </w:pPr>
      <w:r>
        <w:rPr>
          <w:rFonts w:ascii="Courier New" w:cs="Courier New" w:eastAsia="Courier New" w:hAnsi="Courier New"/>
          <w:sz w:val="17"/>
          <w:szCs w:val="17"/>
          <w:color w:val="auto"/>
        </w:rPr>
        <w:t>Press Release of Regeneron Pharmaceuticals, Inc. dated April 28, 2005.</w:t>
      </w:r>
    </w:p>
    <w:p>
      <w:pPr>
        <w:sectPr>
          <w:pgSz w:w="11900" w:h="16838" w:orient="portrait"/>
          <w:cols w:equalWidth="0" w:num="2">
            <w:col w:w="720" w:space="720"/>
            <w:col w:w="8779"/>
          </w:cols>
          <w:pgMar w:left="240" w:top="907" w:right="1440" w:bottom="1440" w:gutter="0" w:footer="0" w:header="0"/>
          <w:type w:val="continuous"/>
        </w:sectPr>
      </w:pPr>
    </w:p>
    <w:bookmarkStart w:id="4" w:name="page5"/>
    <w:bookmarkEnd w:id="4"/>
    <w:p>
      <w:pPr>
        <w:ind w:left="6700"/>
        <w:spacing w:after="0"/>
        <w:rPr>
          <w:sz w:val="20"/>
          <w:szCs w:val="20"/>
          <w:color w:val="auto"/>
        </w:rPr>
      </w:pPr>
      <w:r>
        <w:rPr>
          <w:rFonts w:ascii="Courier New" w:cs="Courier New" w:eastAsia="Courier New" w:hAnsi="Courier New"/>
          <w:sz w:val="17"/>
          <w:szCs w:val="17"/>
          <w:color w:val="auto"/>
        </w:rPr>
        <w:t>Exhibit 99(a)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777 OLD SAW MILL RIVER ROAD</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TARRYTOWN, NY 10591</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TELEPHONE: 914-345-7400</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FAX: 914-345-7797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IMMEDIATE RELEASE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REGENERON REPORTS FIRST QUARTER FINANCIAL AND OPERATING RESULTS</w:t>
      </w:r>
    </w:p>
    <w:p>
      <w:pPr>
        <w:spacing w:after="0" w:line="203" w:lineRule="exact"/>
        <w:rPr>
          <w:sz w:val="20"/>
          <w:szCs w:val="20"/>
          <w:color w:val="auto"/>
        </w:rPr>
      </w:pPr>
    </w:p>
    <w:p>
      <w:pPr>
        <w:ind w:right="2480"/>
        <w:spacing w:after="0" w:line="246" w:lineRule="auto"/>
        <w:rPr>
          <w:sz w:val="20"/>
          <w:szCs w:val="20"/>
          <w:color w:val="auto"/>
        </w:rPr>
      </w:pPr>
      <w:r>
        <w:rPr>
          <w:rFonts w:ascii="Courier New" w:cs="Courier New" w:eastAsia="Courier New" w:hAnsi="Courier New"/>
          <w:sz w:val="17"/>
          <w:szCs w:val="17"/>
          <w:color w:val="auto"/>
        </w:rPr>
        <w:t>Tarrytown, New York (April 28, 2005) -- Regeneron Pharmaceuticals, Inc. (Nasdaq: REGN) today announced financial and operating results for the first quarter of 2005.</w:t>
      </w:r>
    </w:p>
    <w:p>
      <w:pPr>
        <w:spacing w:after="0" w:line="200" w:lineRule="exact"/>
        <w:rPr>
          <w:sz w:val="20"/>
          <w:szCs w:val="20"/>
          <w:color w:val="auto"/>
        </w:rPr>
      </w:pPr>
    </w:p>
    <w:p>
      <w:pPr>
        <w:ind w:right="2260"/>
        <w:spacing w:after="0" w:line="246" w:lineRule="auto"/>
        <w:rPr>
          <w:sz w:val="20"/>
          <w:szCs w:val="20"/>
          <w:color w:val="auto"/>
        </w:rPr>
      </w:pPr>
      <w:r>
        <w:rPr>
          <w:rFonts w:ascii="Courier New" w:cs="Courier New" w:eastAsia="Courier New" w:hAnsi="Courier New"/>
          <w:sz w:val="17"/>
          <w:szCs w:val="17"/>
          <w:color w:val="auto"/>
        </w:rPr>
        <w:t>Regeneron reported a net loss of $4.1 million, or $0.07 per share (basic and diluted) for the first quarter of 2005 compared with net income of $64.5 million, or $1.17 per basic share and $1.06 per diluted share, for the first quarter of 2004. Effective January 1, 2005, the Company began recognizing non-cash compensation expense related to employee stock option awards (Stock Option Expense) in accordance with Statement of Financial Accounting Standards (SFAS) No. 123. Excluding Stock Option Expense, the Company had net income of $1.3 million, or $0.02 per share (basic and diluted), in the first quarter of 2005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three months ended March 31, 2005</w:t>
      </w:r>
    </w:p>
    <w:p>
      <w:pPr>
        <w:spacing w:after="0" w:line="5"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millions, except per share data)</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right="420" w:firstLine="2162"/>
        <w:spacing w:after="0" w:line="246" w:lineRule="auto"/>
        <w:rPr>
          <w:sz w:val="20"/>
          <w:szCs w:val="20"/>
          <w:color w:val="auto"/>
        </w:rPr>
      </w:pPr>
      <w:r>
        <w:rPr>
          <w:rFonts w:ascii="Courier New" w:cs="Courier New" w:eastAsia="Courier New" w:hAnsi="Courier New"/>
          <w:sz w:val="17"/>
          <w:szCs w:val="17"/>
          <w:color w:val="auto"/>
        </w:rPr>
        <w:t>Net Income (Loss) per Share - Net Income (Loss) Basic and Diluted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loss, as reported</w:t>
            </w:r>
          </w:p>
        </w:tc>
        <w:tc>
          <w:tcPr>
            <w:tcW w:w="308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($4.1)</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($0.07)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right"/>
        <w:ind w:right="1960"/>
        <w:spacing w:after="0" w:line="246" w:lineRule="auto"/>
        <w:rPr>
          <w:sz w:val="20"/>
          <w:szCs w:val="20"/>
          <w:color w:val="auto"/>
        </w:rPr>
      </w:pPr>
      <w:r>
        <w:rPr>
          <w:rFonts w:ascii="Courier New" w:cs="Courier New" w:eastAsia="Courier New" w:hAnsi="Courier New"/>
          <w:sz w:val="17"/>
          <w:szCs w:val="17"/>
          <w:color w:val="auto"/>
        </w:rPr>
        <w:t>Add: Stock Option Expense                            5.4                     0.09 ---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Pro forma net income, exclusive</w:t>
      </w:r>
    </w:p>
    <w:p>
      <w:pPr>
        <w:spacing w:after="0" w:line="5" w:lineRule="exact"/>
        <w:rPr>
          <w:sz w:val="20"/>
          <w:szCs w:val="20"/>
          <w:color w:val="auto"/>
        </w:rPr>
      </w:pPr>
    </w:p>
    <w:p>
      <w:pPr>
        <w:ind w:left="520"/>
        <w:spacing w:after="0"/>
        <w:tabs>
          <w:tab w:leader="none" w:pos="5340" w:val="left"/>
          <w:tab w:leader="none" w:pos="7800" w:val="left"/>
        </w:tabs>
        <w:rPr>
          <w:sz w:val="20"/>
          <w:szCs w:val="20"/>
          <w:color w:val="auto"/>
        </w:rPr>
      </w:pPr>
      <w:r>
        <w:rPr>
          <w:rFonts w:ascii="Courier New" w:cs="Courier New" w:eastAsia="Courier New" w:hAnsi="Courier New"/>
          <w:sz w:val="17"/>
          <w:szCs w:val="17"/>
          <w:color w:val="auto"/>
        </w:rPr>
        <w:t>of Stock Option Expense</w:t>
      </w:r>
      <w:r>
        <w:rPr>
          <w:sz w:val="20"/>
          <w:szCs w:val="20"/>
          <w:color w:val="auto"/>
        </w:rPr>
        <w:tab/>
      </w: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$0.02</w:t>
      </w:r>
    </w:p>
    <w:p>
      <w:pPr>
        <w:spacing w:after="0" w:line="5" w:lineRule="exact"/>
        <w:rPr>
          <w:sz w:val="20"/>
          <w:szCs w:val="20"/>
          <w:color w:val="auto"/>
        </w:rPr>
      </w:pPr>
    </w:p>
    <w:p>
      <w:pPr>
        <w:ind w:left="5360"/>
        <w:spacing w:after="0"/>
        <w:tabs>
          <w:tab w:leader="none" w:pos="7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399" w:lineRule="exact"/>
        <w:rPr>
          <w:sz w:val="20"/>
          <w:szCs w:val="20"/>
          <w:color w:val="auto"/>
        </w:rPr>
      </w:pPr>
    </w:p>
    <w:p>
      <w:pPr>
        <w:ind w:right="2260"/>
        <w:spacing w:after="0" w:line="246" w:lineRule="auto"/>
        <w:rPr>
          <w:sz w:val="20"/>
          <w:szCs w:val="20"/>
          <w:color w:val="auto"/>
        </w:rPr>
      </w:pPr>
      <w:r>
        <w:rPr>
          <w:rFonts w:ascii="Courier New" w:cs="Courier New" w:eastAsia="Courier New" w:hAnsi="Courier New"/>
          <w:sz w:val="17"/>
          <w:szCs w:val="17"/>
          <w:color w:val="auto"/>
        </w:rPr>
        <w:t>Net loss in the first quarter of 2005 included a $25.0 million non-recurring payment from the sanofi-aventis Group in connection with an amendment to the Company's collaboration agreement with sanofi-aventis. Net income in the first quarter of 2004 included $82.6 million of income related to the Company's collaboration with Novartis Pharma AG, consisting of a $17.8 million research progress payment and $64.8 million of non-recurring income following Novartis' decision to forego certain development rights.</w:t>
      </w:r>
    </w:p>
    <w:p>
      <w:pPr>
        <w:spacing w:after="0" w:line="202" w:lineRule="exact"/>
        <w:rPr>
          <w:sz w:val="20"/>
          <w:szCs w:val="20"/>
          <w:color w:val="auto"/>
        </w:rPr>
      </w:pPr>
    </w:p>
    <w:p>
      <w:pPr>
        <w:ind w:right="2260"/>
        <w:spacing w:after="0" w:line="246" w:lineRule="auto"/>
        <w:rPr>
          <w:sz w:val="20"/>
          <w:szCs w:val="20"/>
          <w:color w:val="auto"/>
        </w:rPr>
      </w:pPr>
      <w:r>
        <w:rPr>
          <w:rFonts w:ascii="Courier New" w:cs="Courier New" w:eastAsia="Courier New" w:hAnsi="Courier New"/>
          <w:sz w:val="17"/>
          <w:szCs w:val="17"/>
          <w:color w:val="auto"/>
        </w:rPr>
        <w:t>At March 31, 2005, cash and marketable securities totaled $380.5 million compared with $348.9 million at December 31, 2004. The Company's $200.0 million of convertible notes, which bear interest at 5.5% per annum, mature in 2008.</w:t>
      </w:r>
    </w:p>
    <w:p>
      <w:pPr>
        <w:spacing w:after="0" w:line="200" w:lineRule="exact"/>
        <w:rPr>
          <w:sz w:val="20"/>
          <w:szCs w:val="20"/>
          <w:color w:val="auto"/>
        </w:rPr>
      </w:pPr>
    </w:p>
    <w:p>
      <w:pPr>
        <w:ind w:right="2480"/>
        <w:spacing w:after="0" w:line="246" w:lineRule="auto"/>
        <w:rPr>
          <w:sz w:val="20"/>
          <w:szCs w:val="20"/>
          <w:color w:val="auto"/>
        </w:rPr>
      </w:pPr>
      <w:r>
        <w:rPr>
          <w:rFonts w:ascii="Courier New" w:cs="Courier New" w:eastAsia="Courier New" w:hAnsi="Courier New"/>
          <w:sz w:val="17"/>
          <w:szCs w:val="17"/>
          <w:color w:val="auto"/>
        </w:rPr>
        <w:t>Regeneron's total revenue decreased to $16.2 million in the first quarter of 2005 from $62.0 million in the same period of 2004 due principally to a decline in contract research and development revenue to $13.5 million in the first quarter of 2005 from $41.6 million in the same period of 2004.</w:t>
      </w:r>
    </w:p>
    <w:p>
      <w:pPr>
        <w:spacing w:after="0" w:line="200" w:lineRule="exact"/>
        <w:rPr>
          <w:sz w:val="20"/>
          <w:szCs w:val="20"/>
          <w:color w:val="auto"/>
        </w:rPr>
      </w:pPr>
    </w:p>
    <w:p>
      <w:pPr>
        <w:ind w:right="2260"/>
        <w:spacing w:after="0" w:line="246" w:lineRule="auto"/>
        <w:rPr>
          <w:sz w:val="20"/>
          <w:szCs w:val="20"/>
          <w:color w:val="auto"/>
        </w:rPr>
      </w:pPr>
      <w:r>
        <w:rPr>
          <w:rFonts w:ascii="Courier New" w:cs="Courier New" w:eastAsia="Courier New" w:hAnsi="Courier New"/>
          <w:sz w:val="17"/>
          <w:szCs w:val="17"/>
          <w:color w:val="auto"/>
        </w:rPr>
        <w:t>Regeneron recognized contract research and development revenue of $9.8 million in the first quarter of 2005 related to the Company's collaboration with sanofi-aventis, compared with $16.4 million in the same period of 2004. Contract research and development revenue from the sanofi-aventis collaboration consists of reimbursement of VEGF Trap development expenses plus recognition of amounts related to an $80.0 million up-front, non-refundable payment received from sanofi-aventis in September 2003. Reimbursement of expenses decreased to $7.4 million in the first quarter of 2005 from $13.7 million in the same period of 2004, primarily due to lower costs in 2005 related to the Company's manufacture of VEGF Trap clinical supplies. Recognition of amounts related to the up-front payment was $2.4 million in the first quarter of 2005 and $2.7 million in the same period of 2004. The Company recognizes revenue in connection with collaborations in accordance with Staff</w:t>
      </w:r>
    </w:p>
    <w:p>
      <w:pPr>
        <w:sectPr>
          <w:pgSz w:w="11900" w:h="16838" w:orient="portrait"/>
          <w:cols w:equalWidth="0" w:num="1">
            <w:col w:w="10300"/>
          </w:cols>
          <w:pgMar w:left="240" w:top="142" w:right="1359" w:bottom="0" w:gutter="0" w:footer="0" w:header="0"/>
        </w:sectPr>
      </w:pPr>
    </w:p>
    <w:bookmarkStart w:id="5" w:name="page6"/>
    <w:bookmarkEnd w:id="5"/>
    <w:p>
      <w:pPr>
        <w:jc w:val="both"/>
        <w:ind w:right="3700"/>
        <w:spacing w:after="0" w:line="246" w:lineRule="auto"/>
        <w:rPr>
          <w:sz w:val="20"/>
          <w:szCs w:val="20"/>
          <w:color w:val="auto"/>
        </w:rPr>
      </w:pPr>
      <w:r>
        <w:rPr>
          <w:rFonts w:ascii="Courier New" w:cs="Courier New" w:eastAsia="Courier New" w:hAnsi="Courier New"/>
          <w:sz w:val="17"/>
          <w:szCs w:val="17"/>
          <w:color w:val="auto"/>
        </w:rPr>
        <w:t>Accounting Bulletin No. 104, Revenue Recognition. As a result, $63.5 million of the original $80.0 million up-front payment has been deferred as of March 31, 2005 and will be recognized as revenue in future periods.</w:t>
      </w:r>
    </w:p>
    <w:p>
      <w:pPr>
        <w:spacing w:after="0" w:line="200"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7"/>
          <w:szCs w:val="17"/>
          <w:color w:val="auto"/>
        </w:rPr>
        <w:t>Contract research and development revenue related to the Novartis collaboration was $22.1 million in the first quarter of 2004 which represented the remaining amount of a $27.0 million March 2003 up-front payment that had previously been deferred. Regeneron does not expect future contract research and development revenue from Novartis. In the first quarter of 2004, Novartis also forgave all of its outstanding loans to Regeneron, totaling $17.8 million, based on Regeneron's achieving a pre-defined development milestone, which was recognized as a research progress payment.</w:t>
      </w:r>
    </w:p>
    <w:p>
      <w:pPr>
        <w:spacing w:after="0" w:line="203" w:lineRule="exact"/>
        <w:rPr>
          <w:sz w:val="20"/>
          <w:szCs w:val="20"/>
          <w:color w:val="auto"/>
        </w:rPr>
      </w:pPr>
    </w:p>
    <w:p>
      <w:pPr>
        <w:ind w:right="3580"/>
        <w:spacing w:after="0" w:line="246" w:lineRule="auto"/>
        <w:rPr>
          <w:sz w:val="20"/>
          <w:szCs w:val="20"/>
          <w:color w:val="auto"/>
        </w:rPr>
      </w:pPr>
      <w:r>
        <w:rPr>
          <w:rFonts w:ascii="Courier New" w:cs="Courier New" w:eastAsia="Courier New" w:hAnsi="Courier New"/>
          <w:sz w:val="17"/>
          <w:szCs w:val="17"/>
          <w:color w:val="auto"/>
        </w:rPr>
        <w:t>Contract manufacturing revenue relates to Regeneron's long-term manufacturing agreement with Merck &amp; Co., Inc. Contract manufacturing revenue was $2.7 million in the first quarter of 2005 and $2.6 million in the same period of 2004 as the Company shipped similar quantities of product to Merck each quarter. The Company recognizes revenue and the related manufacturing expense as product is shipped to Merck.</w:t>
      </w:r>
    </w:p>
    <w:p>
      <w:pPr>
        <w:spacing w:after="0" w:line="202" w:lineRule="exact"/>
        <w:rPr>
          <w:sz w:val="20"/>
          <w:szCs w:val="20"/>
          <w:color w:val="auto"/>
        </w:rPr>
      </w:pPr>
    </w:p>
    <w:p>
      <w:pPr>
        <w:ind w:right="3580"/>
        <w:spacing w:after="0" w:line="246" w:lineRule="auto"/>
        <w:rPr>
          <w:sz w:val="20"/>
          <w:szCs w:val="20"/>
          <w:color w:val="auto"/>
        </w:rPr>
      </w:pPr>
      <w:r>
        <w:rPr>
          <w:rFonts w:ascii="Courier New" w:cs="Courier New" w:eastAsia="Courier New" w:hAnsi="Courier New"/>
          <w:sz w:val="17"/>
          <w:szCs w:val="17"/>
          <w:color w:val="auto"/>
        </w:rPr>
        <w:t>Total operating expenses for the first quarter of 2005 were $44.5 million, 17 percent higher than the same period in 2004. Operating expenses in the first quarter of 2005 include a total of $5.4 million of Stock Option Expense, as follows: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three months ended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5860" w:val="left"/>
          <w:tab w:leader="none" w:pos="9860" w:val="left"/>
        </w:tabs>
        <w:rPr>
          <w:sz w:val="20"/>
          <w:szCs w:val="20"/>
          <w:color w:val="auto"/>
        </w:rPr>
      </w:pPr>
      <w:r>
        <w:rPr>
          <w:rFonts w:ascii="Courier New" w:cs="Courier New" w:eastAsia="Courier New" w:hAnsi="Courier New"/>
          <w:sz w:val="17"/>
          <w:szCs w:val="17"/>
          <w:color w:val="auto"/>
        </w:rPr>
        <w:t>(in millions)</w:t>
      </w:r>
      <w:r>
        <w:rPr>
          <w:sz w:val="20"/>
          <w:szCs w:val="20"/>
          <w:color w:val="auto"/>
        </w:rPr>
        <w:tab/>
      </w:r>
      <w:r>
        <w:rPr>
          <w:rFonts w:ascii="Courier New" w:cs="Courier New" w:eastAsia="Courier New" w:hAnsi="Courier New"/>
          <w:sz w:val="17"/>
          <w:szCs w:val="17"/>
          <w:color w:val="auto"/>
        </w:rPr>
        <w:t>2005</w:t>
      </w:r>
      <w:r>
        <w:rPr>
          <w:sz w:val="20"/>
          <w:szCs w:val="20"/>
          <w:color w:val="auto"/>
        </w:rPr>
        <w:tab/>
      </w:r>
      <w:r>
        <w:rPr>
          <w:rFonts w:ascii="Courier New" w:cs="Courier New" w:eastAsia="Courier New" w:hAnsi="Courier New"/>
          <w:sz w:val="17"/>
          <w:szCs w:val="17"/>
          <w:color w:val="auto"/>
        </w:rPr>
        <w:t>2004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300"/>
        <w:spacing w:after="0"/>
        <w:tabs>
          <w:tab w:leader="none" w:pos="4820" w:val="left"/>
          <w:tab w:leader="none" w:pos="6480" w:val="left"/>
          <w:tab w:leader="none" w:pos="9260" w:val="left"/>
        </w:tabs>
        <w:rPr>
          <w:sz w:val="20"/>
          <w:szCs w:val="20"/>
          <w:color w:val="auto"/>
        </w:rPr>
      </w:pPr>
      <w:r>
        <w:rPr>
          <w:rFonts w:ascii="Courier New" w:cs="Courier New" w:eastAsia="Courier New" w:hAnsi="Courier New"/>
          <w:sz w:val="17"/>
          <w:szCs w:val="17"/>
          <w:color w:val="auto"/>
        </w:rPr>
        <w:t>Expenses as</w:t>
      </w:r>
      <w:r>
        <w:rPr>
          <w:sz w:val="20"/>
          <w:szCs w:val="20"/>
          <w:color w:val="auto"/>
        </w:rPr>
        <w:tab/>
      </w:r>
      <w:r>
        <w:rPr>
          <w:rFonts w:ascii="Courier New" w:cs="Courier New" w:eastAsia="Courier New" w:hAnsi="Courier New"/>
          <w:sz w:val="17"/>
          <w:szCs w:val="17"/>
          <w:color w:val="auto"/>
        </w:rPr>
        <w:t>Stock Option</w:t>
      </w:r>
      <w:r>
        <w:rPr>
          <w:sz w:val="20"/>
          <w:szCs w:val="20"/>
          <w:color w:val="auto"/>
        </w:rPr>
        <w:tab/>
      </w:r>
      <w:r>
        <w:rPr>
          <w:rFonts w:ascii="Courier New" w:cs="Courier New" w:eastAsia="Courier New" w:hAnsi="Courier New"/>
          <w:sz w:val="17"/>
          <w:szCs w:val="17"/>
          <w:color w:val="auto"/>
        </w:rPr>
        <w:t>Expenses exclusive of</w:t>
      </w:r>
      <w:r>
        <w:rPr>
          <w:sz w:val="20"/>
          <w:szCs w:val="20"/>
          <w:color w:val="auto"/>
        </w:rPr>
        <w:tab/>
      </w:r>
      <w:r>
        <w:rPr>
          <w:rFonts w:ascii="Courier New" w:cs="Courier New" w:eastAsia="Courier New" w:hAnsi="Courier New"/>
          <w:sz w:val="16"/>
          <w:szCs w:val="16"/>
          <w:color w:val="auto"/>
        </w:rPr>
        <w:t>Expenses as</w:t>
      </w:r>
    </w:p>
    <w:p>
      <w:pPr>
        <w:spacing w:after="0" w:line="5" w:lineRule="exact"/>
        <w:rPr>
          <w:sz w:val="20"/>
          <w:szCs w:val="20"/>
          <w:color w:val="auto"/>
        </w:rPr>
      </w:pPr>
    </w:p>
    <w:p>
      <w:pPr>
        <w:spacing w:after="0"/>
        <w:tabs>
          <w:tab w:leader="none" w:pos="3380" w:val="left"/>
          <w:tab w:leader="none" w:pos="5140" w:val="left"/>
          <w:tab w:leader="none" w:pos="6480" w:val="left"/>
          <w:tab w:leader="none" w:pos="9260" w:val="left"/>
        </w:tabs>
        <w:rPr>
          <w:sz w:val="20"/>
          <w:szCs w:val="20"/>
          <w:color w:val="auto"/>
        </w:rPr>
      </w:pP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7"/>
          <w:szCs w:val="17"/>
          <w:color w:val="auto"/>
        </w:rPr>
        <w:t>Reported</w:t>
      </w:r>
      <w:r>
        <w:rPr>
          <w:sz w:val="20"/>
          <w:szCs w:val="20"/>
          <w:color w:val="auto"/>
        </w:rPr>
        <w:tab/>
      </w:r>
      <w:r>
        <w:rPr>
          <w:rFonts w:ascii="Courier New" w:cs="Courier New" w:eastAsia="Courier New" w:hAnsi="Courier New"/>
          <w:sz w:val="17"/>
          <w:szCs w:val="17"/>
          <w:color w:val="auto"/>
        </w:rPr>
        <w:t>Expense</w:t>
      </w:r>
      <w:r>
        <w:rPr>
          <w:sz w:val="20"/>
          <w:szCs w:val="20"/>
          <w:color w:val="auto"/>
        </w:rPr>
        <w:tab/>
      </w:r>
      <w:r>
        <w:rPr>
          <w:rFonts w:ascii="Courier New" w:cs="Courier New" w:eastAsia="Courier New" w:hAnsi="Courier New"/>
          <w:sz w:val="17"/>
          <w:szCs w:val="17"/>
          <w:color w:val="auto"/>
        </w:rPr>
        <w:t>Stock Option Expense</w:t>
      </w:r>
      <w:r>
        <w:rPr>
          <w:sz w:val="20"/>
          <w:szCs w:val="20"/>
          <w:color w:val="auto"/>
        </w:rPr>
        <w:tab/>
      </w:r>
      <w:r>
        <w:rPr>
          <w:rFonts w:ascii="Courier New" w:cs="Courier New" w:eastAsia="Courier New" w:hAnsi="Courier New"/>
          <w:sz w:val="16"/>
          <w:szCs w:val="16"/>
          <w:color w:val="auto"/>
        </w:rPr>
        <w:t>Reported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15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$35.9</w:t>
            </w:r>
          </w:p>
        </w:tc>
        <w:tc>
          <w:tcPr>
            <w:tcW w:w="17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$3.4</w:t>
            </w:r>
          </w:p>
        </w:tc>
        <w:tc>
          <w:tcPr>
            <w:tcW w:w="218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$32.5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3900" w:val="left"/>
          <w:tab w:leader="none" w:pos="5340" w:val="left"/>
          <w:tab w:leader="none" w:pos="7400" w:val="left"/>
          <w:tab w:leader="none" w:pos="9560" w:val="left"/>
        </w:tabs>
        <w:rPr>
          <w:sz w:val="20"/>
          <w:szCs w:val="20"/>
          <w:color w:val="auto"/>
        </w:rPr>
      </w:pPr>
      <w:r>
        <w:rPr>
          <w:rFonts w:ascii="Courier New" w:cs="Courier New" w:eastAsia="Courier New" w:hAnsi="Courier New"/>
          <w:sz w:val="17"/>
          <w:szCs w:val="17"/>
          <w:color w:val="auto"/>
        </w:rPr>
        <w:t>Contract manufacturing</w:t>
      </w:r>
      <w:r>
        <w:rPr>
          <w:sz w:val="20"/>
          <w:szCs w:val="20"/>
          <w:color w:val="auto"/>
        </w:rPr>
        <w:tab/>
      </w: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6"/>
          <w:szCs w:val="16"/>
          <w:color w:val="auto"/>
        </w:rPr>
        <w:t>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right="1640"/>
        <w:spacing w:after="0" w:line="246" w:lineRule="auto"/>
        <w:rPr>
          <w:sz w:val="20"/>
          <w:szCs w:val="20"/>
          <w:color w:val="auto"/>
        </w:rPr>
      </w:pPr>
      <w:r>
        <w:rPr>
          <w:rFonts w:ascii="Courier New" w:cs="Courier New" w:eastAsia="Courier New" w:hAnsi="Courier New"/>
          <w:sz w:val="17"/>
          <w:szCs w:val="17"/>
          <w:color w:val="auto"/>
        </w:rPr>
        <w:t>General and administrative            6.1          2.0                  4.1                  3.8 ---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320" w:right="1640"/>
        <w:spacing w:after="0" w:line="246" w:lineRule="auto"/>
        <w:rPr>
          <w:sz w:val="20"/>
          <w:szCs w:val="20"/>
          <w:color w:val="auto"/>
        </w:rPr>
      </w:pPr>
      <w:r>
        <w:rPr>
          <w:rFonts w:ascii="Courier New" w:cs="Courier New" w:eastAsia="Courier New" w:hAnsi="Courier New"/>
          <w:sz w:val="17"/>
          <w:szCs w:val="17"/>
          <w:color w:val="auto"/>
        </w:rPr>
        <w:t>Total operating expenses         $44.5         $5.4                $39.1                $38.2 =====         ====                =====                =====</w:t>
      </w:r>
    </w:p>
    <w:p>
      <w:pPr>
        <w:spacing w:after="0" w:line="1"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 In 2004, expenses as reported in the Company's Statement of Operations did not include Stock Option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7"/>
          <w:szCs w:val="17"/>
          <w:color w:val="auto"/>
        </w:rPr>
        <w:t>Effective January 1, 2005, the Company adopted the fair value based method of accounting for stock-based employee compensation under the provisions of SFAS No. 123, Accounting for Stock-Based Compensation, using the modified prospective method described in SFAS No. 148, Accounting for Stock-Based Compensation- Transition and Disclosure. As a result, the Company has begun recognizing compensation expense in an amount equal to the fair market value of share-based payments (including stock option awards) on their date of grant over the vesting period of the awards. Under the modified prospective method, compensation expense for the Company is recognized for (a) all share based payments granted on or after January 1, 2005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Accounting for Stock Issued to Employees (APB 25), and related interpretations. Therefore, compensation expense related to employee stock options was not reflected in operating expenses in any period prior to the first quarter of 2005 and prior period operating results have not been restated.</w:t>
      </w:r>
    </w:p>
    <w:p>
      <w:pPr>
        <w:spacing w:after="0" w:line="209" w:lineRule="exact"/>
        <w:rPr>
          <w:sz w:val="20"/>
          <w:szCs w:val="20"/>
          <w:color w:val="auto"/>
        </w:rPr>
      </w:pPr>
    </w:p>
    <w:p>
      <w:pPr>
        <w:ind w:right="3700"/>
        <w:spacing w:after="0" w:line="246" w:lineRule="auto"/>
        <w:rPr>
          <w:sz w:val="20"/>
          <w:szCs w:val="20"/>
          <w:color w:val="auto"/>
        </w:rPr>
      </w:pPr>
      <w:r>
        <w:rPr>
          <w:rFonts w:ascii="Courier New" w:cs="Courier New" w:eastAsia="Courier New" w:hAnsi="Courier New"/>
          <w:sz w:val="17"/>
          <w:szCs w:val="17"/>
          <w:color w:val="auto"/>
        </w:rPr>
        <w:t>Research and development (R&amp;D) expenses, exclusive of Stock Option Expense, increased slightly to $32.5 million in the first quarter of 2005 from $32.2 million in the comparable quarter of 2004. In the first quarter of 2005, the Company incurred higher development expenses for the IL-1 Trap, which were offset by lower expenses for other clinical development programs, compared with the same period in 2004.</w:t>
      </w:r>
    </w:p>
    <w:p>
      <w:pPr>
        <w:spacing w:after="0" w:line="202"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7"/>
          <w:szCs w:val="17"/>
          <w:color w:val="auto"/>
        </w:rPr>
        <w:t>Contract manufacturing expense, which relates to the Merck agreement, was $2.5 million in the first quarter of 2005 and $2.2 million in the comparable quarter of 2004. The Company shipped similar quantities of product to Merck each quarter. General and administrative expenses, exclusive of Stock Option Expense, increased 8 percent to $4.1 million in the first quarter of 2005 from</w:t>
      </w:r>
    </w:p>
    <w:p>
      <w:pPr>
        <w:sectPr>
          <w:pgSz w:w="11900" w:h="16838" w:orient="portrait"/>
          <w:cols w:equalWidth="0" w:num="1">
            <w:col w:w="11520"/>
          </w:cols>
          <w:pgMar w:left="240" w:top="142" w:right="139" w:bottom="0" w:gutter="0" w:footer="0" w:header="0"/>
        </w:sectPr>
      </w:pPr>
    </w:p>
    <w:bookmarkStart w:id="6" w:name="page7"/>
    <w:bookmarkEnd w:id="6"/>
    <w:p>
      <w:pPr>
        <w:jc w:val="both"/>
        <w:ind w:right="2279"/>
        <w:spacing w:after="0" w:line="246" w:lineRule="auto"/>
        <w:rPr>
          <w:sz w:val="20"/>
          <w:szCs w:val="20"/>
          <w:color w:val="auto"/>
        </w:rPr>
      </w:pPr>
      <w:r>
        <w:rPr>
          <w:rFonts w:ascii="Courier New" w:cs="Courier New" w:eastAsia="Courier New" w:hAnsi="Courier New"/>
          <w:sz w:val="17"/>
          <w:szCs w:val="17"/>
          <w:color w:val="auto"/>
        </w:rPr>
        <w:t>$3.8 million in the comparable quarter of 2004. In 2005, the Company incurred higher administrative personnel and facility costs, and higher accounting and other professional fees, primarily related to its efforts to comply with the requirements of Section 404 of the Sarbanes-Oxley Act of 2002.</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January 2005, the Company and sanofi-aventis amended their collaboration agreement to exclude from the scope of the collaboration the development of the VEGF Trap for eye diseases through local delivery systems. In connection with this amendment, sanofi-aventis made a one-time $25.0 million payment to the Company, which was recognized as other contract income. In the first quarter of 2004, in connection with its decision to forego its rights to jointly develop the IL-1 Trap, Novartis agreed to pay Regeneron $42.75 million to satisfy certain funding obligations under their collaboration agreement, which was recognized as other contract income. Investment income increased in the first quarter of 2005 compared with the same period of 2004 due primarily to higher effective interest rates on investment securities. Interest expense decreased slightly in the first quarter of 2005 compared with the same period in 2004. Interest expense is attributable primarily to the Company's convertible notes.</w:t>
      </w:r>
    </w:p>
    <w:p>
      <w:pPr>
        <w:spacing w:after="0" w:line="206"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Per share amounts are based on the weighted average number of shares of the Company's Common Stock and Class A Stock outstanding. The weighted average number of shares outstanding was 55.8 million shares (basic and diluted) in the first quarter of 2005 and 55.3 million shares (basic) and 63.6 million shares (diluted) in the first quarter of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Business Highlights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Regeneron has built a broad-based clinical development program that is evaluating several product candidates in different stages of clinical development and in multiple therapeutic areas. The two lead candidates in the development pipeline are the VEGF Trap and the IL-1 Trap.</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the VEGF Trap oncology program, sanofi-aventis reaffirmed its commitment to develop the VEGF Trap in collaboration with Regeneron. The companies are completing a phase 1 study that is evaluating the safety and tolerability of the VEGF Trap delivered through intravenous administration. The companies will present the preliminary results of this study at the annual meeting of the American Society of Clinical Oncology (ASCO) in May 2005.</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Regeneron and sanofi-aventis plan to initiate multiple clinical studies in oncology in 2005 to evaluate the VEGF Trap as a single-agent and in combination with other therapies in various cancer indications. One of these studies will evaluate the VEGF Trap for a specific niche cancer indication that has been granted Fast Track designation by the US Food and Drug Administration (FDA).</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 the clinical program for the treatment of eye diseases, Regeneron has completed two phase 1 trials of the VEGF Trap delivered systemically in patients with the neovascular form of age-related macular degeneration (wet AMD) and diabetic macular edema (DME). The results of the AMD trial will be reviewed at the annual meeting of the Association for Research in Vision and Ophthalmology (ARVO) in May 2005. Also in the second quarter, Regeneron plans to initiate a phase 1 trial of the VEGF Trap in wet AMD utilizing local delivery to the eye.</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Regeneron is nearing completion of safety and tolerability studies of IL-1 Trap formulations designed to permit administration of higher doses of the IL-1 Trap in rheumatoid arthritis patients. Later this year, the Company plans to initiate a new trial of the IL-1 Trap in rheumatoid arthritis. The trial will be conducted in a larger patient population, testing higher doses of the IL-1 Trap over a longer period of time, than the phase 2 study completed in 2003. Regeneron expects to evaluate doses of 160 milligrams and 320 milligrams of IL-1 Trap delivered subcutaneously once a week.</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Regeneron is conducting an exploratory trial of the IL-1 Trap in patients with CIAS1-Associated Periodic Syndrome (CAPS), a spectrum of rare diseases associated with mutations in the CIAS-1 gene. Interleukin-1 (IL-1) appears to play a significant role in these diseases. In December 2004, the Company received Orphan Drug designation for the IL-1 Trap in these diseases. The preliminary results from the CAPS study will be presented at the Annual European Congress of Rheumatology in June 2005, sponsored by the European League Against Rheumatism (EULAR).</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Regeneron has completed small pilot studies in healthy volunteers examining the effects of the IL-1 Trap on a systemic marker of inflammation. The Company plans to submit the results of these studies for presentation in an abstract at a cardiovascular conference later this year and for publication in a peer-reviewed medical journal.</w:t>
      </w:r>
    </w:p>
    <w:p>
      <w:pPr>
        <w:spacing w:after="0" w:line="201"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The Company also expects to expand the IL-1 Trap development program in 2005 with the initiation of exploratory proof-of-concept studies in various other diseases, including other rheumatological disorders and diseases associated</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with inflammation in blood vessels.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Regeneron Pharmaceuticals</w:t>
      </w:r>
    </w:p>
    <w:p>
      <w:pPr>
        <w:spacing w:after="0" w:line="203" w:lineRule="exact"/>
        <w:rPr>
          <w:sz w:val="20"/>
          <w:szCs w:val="20"/>
          <w:color w:val="auto"/>
        </w:rPr>
      </w:pPr>
    </w:p>
    <w:p>
      <w:pPr>
        <w:ind w:right="2780"/>
        <w:spacing w:after="0" w:line="246" w:lineRule="auto"/>
        <w:rPr>
          <w:sz w:val="20"/>
          <w:szCs w:val="20"/>
          <w:color w:val="auto"/>
        </w:rPr>
      </w:pPr>
      <w:r>
        <w:rPr>
          <w:rFonts w:ascii="Courier New" w:cs="Courier New" w:eastAsia="Courier New" w:hAnsi="Courier New"/>
          <w:sz w:val="17"/>
          <w:szCs w:val="17"/>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inflammatory diseases, and asthma, and has preclinical programs in other diseases and disorders.</w:t>
      </w:r>
    </w:p>
    <w:p>
      <w:pPr>
        <w:spacing w:after="0" w:line="201" w:lineRule="exact"/>
        <w:rPr>
          <w:sz w:val="20"/>
          <w:szCs w:val="20"/>
          <w:color w:val="auto"/>
        </w:rPr>
      </w:pPr>
    </w:p>
    <w:p>
      <w:pPr>
        <w:ind w:right="2780"/>
        <w:spacing w:after="0" w:line="246" w:lineRule="auto"/>
        <w:rPr>
          <w:sz w:val="20"/>
          <w:szCs w:val="20"/>
          <w:color w:val="auto"/>
        </w:rPr>
      </w:pPr>
      <w:r>
        <w:rPr>
          <w:rFonts w:ascii="Courier New" w:cs="Courier New" w:eastAsia="Courier New" w:hAnsi="Courier New"/>
          <w:sz w:val="17"/>
          <w:szCs w:val="17"/>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(SEC), including its Form 10-K for the year ended December 31, 2004. Regeneron does not undertake any obligation to update publicly any forward-looking statement, whether as a result of new information, future events, or otherwise unless required by law.</w:t>
      </w:r>
    </w:p>
    <w:p>
      <w:pPr>
        <w:spacing w:after="0" w:line="200" w:lineRule="exact"/>
        <w:rPr>
          <w:sz w:val="20"/>
          <w:szCs w:val="20"/>
          <w:color w:val="auto"/>
        </w:rPr>
      </w:pPr>
    </w:p>
    <w:p>
      <w:pPr>
        <w:spacing w:after="0" w:line="204" w:lineRule="exact"/>
        <w:rPr>
          <w:sz w:val="20"/>
          <w:szCs w:val="20"/>
          <w:color w:val="auto"/>
        </w:rPr>
      </w:pPr>
    </w:p>
    <w:p>
      <w:pPr>
        <w:ind w:right="2780"/>
        <w:spacing w:after="0" w:line="246" w:lineRule="auto"/>
        <w:rPr>
          <w:sz w:val="20"/>
          <w:szCs w:val="20"/>
          <w:color w:val="auto"/>
        </w:rPr>
      </w:pPr>
      <w:r>
        <w:rPr>
          <w:rFonts w:ascii="Courier New" w:cs="Courier New" w:eastAsia="Courier New" w:hAnsi="Courier New"/>
          <w:sz w:val="17"/>
          <w:szCs w:val="17"/>
          <w:color w:val="auto"/>
        </w:rPr>
        <w:t>This news release includes certain financial measures that are calculated in a manner different from generally accepted accounting principles (GAAP) and are considered non-GAAP financial measures under SEC rules. Non-GAAP financial measures for the three months ended March 31, 2005 included in this news release are: (1) pro forma net income and pro forma net income per share (basic and diluted), exclusive of Stock Option Expense and (2) research and development expenses, general and administrative expenses, and contract manufacturing expenses, all exclusive of Stock Option Expense. As required, we have provided reconciliations of non-GAAP amounts to GAAP amounts in tables shown above. Additional required information is located in the Form 8-K filed with the SEC in connection with this news release.</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820"/>
          </w:cols>
          <w:pgMar w:left="240" w:top="142" w:right="839"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Poole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VP, Investor Relations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914.345.7641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charles.poole@regeneron.com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Lauren Tortorete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Biosector2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212.845.5609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ltortorete@biosector2.com</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640" w:space="720"/>
            <w:col w:w="5460"/>
          </w:cols>
          <w:pgMar w:left="240" w:top="142" w:right="8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7"/>
          <w:szCs w:val="17"/>
          <w:color w:val="auto"/>
        </w:rPr>
        <w:t>CONDENSED BALANCE SHEETS (Unaudited)</w:t>
      </w:r>
    </w:p>
    <w:p>
      <w:pPr>
        <w:spacing w:after="0" w:line="5"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3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March 31,</w:t>
            </w:r>
          </w:p>
        </w:tc>
        <w:tc>
          <w:tcPr>
            <w:tcW w:w="19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5420" w:type="dxa"/>
            <w:vAlign w:val="bottom"/>
          </w:tcPr>
          <w:p>
            <w:pPr>
              <w:spacing w:after="0"/>
              <w:rPr>
                <w:sz w:val="17"/>
                <w:szCs w:val="17"/>
                <w:color w:val="auto"/>
              </w:rPr>
            </w:pPr>
          </w:p>
        </w:tc>
        <w:tc>
          <w:tcPr>
            <w:tcW w:w="34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2005</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2004</w:t>
            </w:r>
          </w:p>
        </w:tc>
      </w:tr>
      <w:tr>
        <w:trPr>
          <w:trHeight w:val="198"/>
        </w:trPr>
        <w:tc>
          <w:tcPr>
            <w:tcW w:w="5420" w:type="dxa"/>
            <w:vAlign w:val="bottom"/>
          </w:tcPr>
          <w:p>
            <w:pPr>
              <w:spacing w:after="0"/>
              <w:rPr>
                <w:sz w:val="17"/>
                <w:szCs w:val="17"/>
                <w:color w:val="auto"/>
              </w:rPr>
            </w:pP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92"/>
        </w:trPr>
        <w:tc>
          <w:tcPr>
            <w:tcW w:w="54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Cash and marketable securities</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$380,528</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$348,912</w:t>
            </w: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Receivables</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10,371</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43,102</w:t>
            </w: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3,087</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3,229</w:t>
            </w: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69,055</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71,239</w:t>
            </w: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7,251</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6,626</w:t>
            </w:r>
          </w:p>
        </w:tc>
      </w:tr>
      <w:tr>
        <w:trPr>
          <w:trHeight w:val="198"/>
        </w:trPr>
        <w:tc>
          <w:tcPr>
            <w:tcW w:w="5420" w:type="dxa"/>
            <w:vAlign w:val="bottom"/>
          </w:tcPr>
          <w:p>
            <w:pPr>
              <w:spacing w:after="0"/>
              <w:rPr>
                <w:sz w:val="17"/>
                <w:szCs w:val="17"/>
                <w:color w:val="auto"/>
              </w:rPr>
            </w:pPr>
          </w:p>
        </w:tc>
        <w:tc>
          <w:tcPr>
            <w:tcW w:w="3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5420" w:type="dxa"/>
            <w:vAlign w:val="bottom"/>
          </w:tcPr>
          <w:p>
            <w:pPr>
              <w:ind w:left="1860"/>
              <w:spacing w:after="0"/>
              <w:rPr>
                <w:sz w:val="20"/>
                <w:szCs w:val="20"/>
                <w:color w:val="auto"/>
              </w:rPr>
            </w:pPr>
            <w:r>
              <w:rPr>
                <w:rFonts w:ascii="Courier New" w:cs="Courier New" w:eastAsia="Courier New" w:hAnsi="Courier New"/>
                <w:sz w:val="17"/>
                <w:szCs w:val="17"/>
                <w:color w:val="auto"/>
              </w:rPr>
              <w:t>Total assets</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$470,292</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$473,108</w:t>
            </w:r>
          </w:p>
        </w:tc>
      </w:tr>
      <w:tr>
        <w:trPr>
          <w:trHeight w:val="198"/>
        </w:trPr>
        <w:tc>
          <w:tcPr>
            <w:tcW w:w="5420" w:type="dxa"/>
            <w:vAlign w:val="bottom"/>
          </w:tcPr>
          <w:p>
            <w:pPr>
              <w:spacing w:after="0"/>
              <w:rPr>
                <w:sz w:val="17"/>
                <w:szCs w:val="17"/>
                <w:color w:val="auto"/>
              </w:rPr>
            </w:pPr>
          </w:p>
        </w:tc>
        <w:tc>
          <w:tcPr>
            <w:tcW w:w="3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594"/>
        </w:trPr>
        <w:tc>
          <w:tcPr>
            <w:tcW w:w="54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expenses</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$17,468</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$18,872</w:t>
            </w:r>
          </w:p>
        </w:tc>
      </w:tr>
      <w:tr>
        <w:trPr>
          <w:trHeight w:val="198"/>
        </w:trPr>
        <w:tc>
          <w:tcPr>
            <w:tcW w:w="542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3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67,040</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71,693</w:t>
            </w:r>
          </w:p>
        </w:tc>
      </w:tr>
    </w:tbl>
    <w:p>
      <w:pPr>
        <w:sectPr>
          <w:pgSz w:w="11900" w:h="16838" w:orient="portrait"/>
          <w:cols w:equalWidth="0" w:num="1">
            <w:col w:w="10820"/>
          </w:cols>
          <w:pgMar w:left="240" w:top="142" w:right="8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20"/>
                <w:szCs w:val="20"/>
                <w:color w:val="auto"/>
              </w:rPr>
            </w:pPr>
            <w:r>
              <w:rPr>
                <w:rFonts w:ascii="Courier New" w:cs="Courier New" w:eastAsia="Courier New" w:hAnsi="Courier New"/>
                <w:sz w:val="17"/>
                <w:szCs w:val="17"/>
                <w:color w:val="auto"/>
              </w:rPr>
              <w:t>Notes payable</w:t>
            </w:r>
          </w:p>
        </w:tc>
        <w:tc>
          <w:tcPr>
            <w:tcW w:w="23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200,000</w:t>
            </w:r>
          </w:p>
        </w:tc>
        <w:tc>
          <w:tcPr>
            <w:tcW w:w="1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200,000</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3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185,784</w:t>
            </w:r>
          </w:p>
        </w:tc>
        <w:tc>
          <w:tcPr>
            <w:tcW w:w="1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182,543</w:t>
            </w:r>
          </w:p>
        </w:tc>
      </w:tr>
      <w:tr>
        <w:trPr>
          <w:trHeight w:val="198"/>
        </w:trPr>
        <w:tc>
          <w:tcPr>
            <w:tcW w:w="6600" w:type="dxa"/>
            <w:vAlign w:val="bottom"/>
          </w:tcPr>
          <w:p>
            <w:pPr>
              <w:spacing w:after="0"/>
              <w:rPr>
                <w:sz w:val="17"/>
                <w:szCs w:val="17"/>
                <w:color w:val="auto"/>
              </w:rPr>
            </w:pPr>
          </w:p>
        </w:tc>
        <w:tc>
          <w:tcPr>
            <w:tcW w:w="23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tcPr>
          <w:p>
            <w:pPr>
              <w:ind w:left="186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3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$470,292</w:t>
            </w:r>
          </w:p>
        </w:tc>
        <w:tc>
          <w:tcPr>
            <w:tcW w:w="1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$473,108</w:t>
            </w:r>
          </w:p>
        </w:tc>
      </w:tr>
      <w:tr>
        <w:trPr>
          <w:trHeight w:val="198"/>
        </w:trPr>
        <w:tc>
          <w:tcPr>
            <w:tcW w:w="6600" w:type="dxa"/>
            <w:vAlign w:val="bottom"/>
          </w:tcPr>
          <w:p>
            <w:pPr>
              <w:spacing w:after="0"/>
              <w:rPr>
                <w:sz w:val="17"/>
                <w:szCs w:val="17"/>
                <w:color w:val="auto"/>
              </w:rPr>
            </w:pPr>
          </w:p>
        </w:tc>
        <w:tc>
          <w:tcPr>
            <w:tcW w:w="23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600"/>
          </w:cols>
          <w:pgMar w:left="240" w:top="142" w:right="1059" w:bottom="1440"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7"/>
          <w:szCs w:val="17"/>
          <w:color w:val="auto"/>
        </w:rPr>
        <w:t>REGENERON PHARMACEUTICALS, INC.</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CONDENSED STATEMENTS OF OPERATIONS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gridSpan w:val="2"/>
          </w:tcPr>
          <w:p>
            <w:pPr>
              <w:jc w:val="right"/>
              <w:ind w:right="1514"/>
              <w:spacing w:after="0"/>
              <w:rPr>
                <w:sz w:val="20"/>
                <w:szCs w:val="20"/>
                <w:color w:val="auto"/>
              </w:rPr>
            </w:pPr>
            <w:r>
              <w:rPr>
                <w:rFonts w:ascii="Courier New" w:cs="Courier New" w:eastAsia="Courier New" w:hAnsi="Courier New"/>
                <w:sz w:val="17"/>
                <w:szCs w:val="17"/>
                <w:color w:val="auto"/>
              </w:rPr>
              <w:t>(In thousands, except per share data)</w:t>
            </w:r>
          </w:p>
        </w:tc>
        <w:tc>
          <w:tcPr>
            <w:tcW w:w="1900" w:type="dxa"/>
            <w:vAlign w:val="bottom"/>
          </w:tcPr>
          <w:p>
            <w:pPr>
              <w:spacing w:after="0"/>
              <w:rPr>
                <w:sz w:val="16"/>
                <w:szCs w:val="16"/>
                <w:color w:val="auto"/>
              </w:rPr>
            </w:pPr>
          </w:p>
        </w:tc>
      </w:tr>
      <w:tr>
        <w:trPr>
          <w:trHeight w:val="594"/>
        </w:trPr>
        <w:tc>
          <w:tcPr>
            <w:tcW w:w="5160" w:type="dxa"/>
            <w:vAlign w:val="bottom"/>
          </w:tcPr>
          <w:p>
            <w:pPr>
              <w:spacing w:after="0"/>
              <w:rPr>
                <w:sz w:val="24"/>
                <w:szCs w:val="24"/>
                <w:color w:val="auto"/>
              </w:rPr>
            </w:pPr>
          </w:p>
        </w:tc>
        <w:tc>
          <w:tcPr>
            <w:tcW w:w="4940" w:type="dxa"/>
            <w:vAlign w:val="bottom"/>
            <w:gridSpan w:val="2"/>
          </w:tcPr>
          <w:p>
            <w:pPr>
              <w:jc w:val="right"/>
              <w:ind w:right="854"/>
              <w:spacing w:after="0"/>
              <w:rPr>
                <w:sz w:val="20"/>
                <w:szCs w:val="20"/>
                <w:color w:val="auto"/>
              </w:rPr>
            </w:pPr>
            <w:r>
              <w:rPr>
                <w:rFonts w:ascii="Courier New" w:cs="Courier New" w:eastAsia="Courier New" w:hAnsi="Courier New"/>
                <w:sz w:val="17"/>
                <w:szCs w:val="17"/>
                <w:color w:val="auto"/>
              </w:rPr>
              <w:t>For the three months</w:t>
            </w:r>
          </w:p>
        </w:tc>
      </w:tr>
      <w:tr>
        <w:trPr>
          <w:trHeight w:val="198"/>
        </w:trPr>
        <w:tc>
          <w:tcPr>
            <w:tcW w:w="5160" w:type="dxa"/>
            <w:vAlign w:val="bottom"/>
          </w:tcPr>
          <w:p>
            <w:pPr>
              <w:spacing w:after="0"/>
              <w:rPr>
                <w:sz w:val="17"/>
                <w:szCs w:val="17"/>
                <w:color w:val="auto"/>
              </w:rPr>
            </w:pPr>
          </w:p>
        </w:tc>
        <w:tc>
          <w:tcPr>
            <w:tcW w:w="4940" w:type="dxa"/>
            <w:vAlign w:val="bottom"/>
            <w:gridSpan w:val="2"/>
          </w:tcPr>
          <w:p>
            <w:pPr>
              <w:jc w:val="right"/>
              <w:ind w:right="1054"/>
              <w:spacing w:after="0"/>
              <w:rPr>
                <w:sz w:val="20"/>
                <w:szCs w:val="20"/>
                <w:color w:val="auto"/>
              </w:rPr>
            </w:pPr>
            <w:r>
              <w:rPr>
                <w:rFonts w:ascii="Courier New" w:cs="Courier New" w:eastAsia="Courier New" w:hAnsi="Courier New"/>
                <w:sz w:val="17"/>
                <w:szCs w:val="17"/>
                <w:color w:val="auto"/>
              </w:rPr>
              <w:t>ended March 31,</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2005</w:t>
            </w:r>
          </w:p>
        </w:tc>
        <w:tc>
          <w:tcPr>
            <w:tcW w:w="19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2004</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96"/>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Contract research and development</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$13,502</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$41,610</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Research progress payment</w:t>
            </w:r>
          </w:p>
        </w:tc>
        <w:tc>
          <w:tcPr>
            <w:tcW w:w="3040" w:type="dxa"/>
            <w:vAlign w:val="bottom"/>
          </w:tcPr>
          <w:p>
            <w:pPr>
              <w:spacing w:after="0"/>
              <w:rPr>
                <w:sz w:val="17"/>
                <w:szCs w:val="17"/>
                <w:color w:val="auto"/>
              </w:rPr>
            </w:pP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17,770</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Contract manufacturing</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2,707</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2,610</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16,209</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61,990</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Research and development</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35,912</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32,181</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Contract manufacturing</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2,491</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2,225</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General and administrative</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6,146</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3,790</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44,549</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38,196</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(28,340)</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23,794</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Other contract income</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25,000</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42,750</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Investment income</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2,230</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1,124</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Interest expense</w:t>
            </w: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(3,013)</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(3,136)</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24,217</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40,738</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($4,123)</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$64,532</w:t>
            </w:r>
          </w:p>
        </w:tc>
      </w:tr>
      <w:tr>
        <w:trPr>
          <w:trHeight w:val="198"/>
        </w:trPr>
        <w:tc>
          <w:tcPr>
            <w:tcW w:w="5160" w:type="dxa"/>
            <w:vAlign w:val="bottom"/>
          </w:tcPr>
          <w:p>
            <w:pPr>
              <w:spacing w:after="0"/>
              <w:rPr>
                <w:sz w:val="17"/>
                <w:szCs w:val="17"/>
                <w:color w:val="auto"/>
              </w:rPr>
            </w:pP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Net income (loss) per share:</w:t>
            </w: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Basic</w:t>
            </w: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($0.07)</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Diluted</w:t>
            </w:r>
          </w:p>
        </w:tc>
        <w:tc>
          <w:tcPr>
            <w:tcW w:w="3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($0.07)</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$1.06</w:t>
            </w:r>
          </w:p>
        </w:tc>
      </w:tr>
      <w:tr>
        <w:trPr>
          <w:trHeight w:val="396"/>
        </w:trPr>
        <w:tc>
          <w:tcPr>
            <w:tcW w:w="516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Basic</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55,815</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55,283</w:t>
            </w:r>
          </w:p>
        </w:tc>
      </w:tr>
      <w:tr>
        <w:trPr>
          <w:trHeight w:val="198"/>
        </w:trPr>
        <w:tc>
          <w:tcPr>
            <w:tcW w:w="5160" w:type="dxa"/>
            <w:vAlign w:val="bottom"/>
          </w:tcPr>
          <w:p>
            <w:pPr>
              <w:ind w:left="720"/>
              <w:spacing w:after="0"/>
              <w:rPr>
                <w:sz w:val="20"/>
                <w:szCs w:val="20"/>
                <w:color w:val="auto"/>
              </w:rPr>
            </w:pPr>
            <w:r>
              <w:rPr>
                <w:rFonts w:ascii="Courier New" w:cs="Courier New" w:eastAsia="Courier New" w:hAnsi="Courier New"/>
                <w:sz w:val="17"/>
                <w:szCs w:val="17"/>
                <w:color w:val="auto"/>
              </w:rPr>
              <w:t>Diluted</w:t>
            </w:r>
          </w:p>
        </w:tc>
        <w:tc>
          <w:tcPr>
            <w:tcW w:w="304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55,815</w:t>
            </w:r>
          </w:p>
        </w:tc>
        <w:tc>
          <w:tcPr>
            <w:tcW w:w="19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63,625</w:t>
            </w:r>
          </w:p>
        </w:tc>
      </w:tr>
    </w:tbl>
    <w:p>
      <w:pPr>
        <w:spacing w:after="0" w:line="1" w:lineRule="exact"/>
        <w:rPr>
          <w:sz w:val="20"/>
          <w:szCs w:val="20"/>
          <w:color w:val="auto"/>
        </w:rPr>
      </w:pPr>
    </w:p>
    <w:sectPr>
      <w:pgSz w:w="11900" w:h="16838" w:orient="portrait"/>
      <w:cols w:equalWidth="0" w:num="1">
        <w:col w:w="10219"/>
      </w:cols>
      <w:pgMar w:left="240" w:top="1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2019-12-20T06:45:40Z</dcterms:created>
  <dcterms:modified xsi:type="dcterms:W3CDTF">2019-12-20T06:45:40Z</dcterms:modified>
</cp:coreProperties>
</file>