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10-K/A</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w:t>
      </w:r>
    </w:p>
    <w:p>
      <w:pPr>
        <w:ind w:left="740"/>
        <w:spacing w:after="0"/>
        <w:rPr>
          <w:sz w:val="20"/>
          <w:szCs w:val="20"/>
          <w:color w:val="auto"/>
        </w:rPr>
      </w:pPr>
      <w:r>
        <w:rPr>
          <w:rFonts w:ascii="Courier New" w:cs="Courier New" w:eastAsia="Courier New" w:hAnsi="Courier New"/>
          <w:sz w:val="18"/>
          <w:szCs w:val="18"/>
          <w:color w:val="auto"/>
        </w:rPr>
        <w:t>(Mark One)</w:t>
      </w:r>
    </w:p>
    <w:p>
      <w:pPr>
        <w:spacing w:after="0" w:line="3" w:lineRule="exact"/>
        <w:rPr>
          <w:sz w:val="24"/>
          <w:szCs w:val="24"/>
          <w:color w:val="auto"/>
        </w:rPr>
      </w:pPr>
    </w:p>
    <w:p>
      <w:pPr>
        <w:ind w:left="420" w:right="219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For the fiscal year ended December 31, 1996</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420" w:right="177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0-19034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25" w:right="1440" w:bottom="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New York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13-3444607</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 )</w:t>
      </w:r>
    </w:p>
    <w:p>
      <w:pPr>
        <w:spacing w:after="0" w:line="402" w:lineRule="exact"/>
        <w:rPr>
          <w:sz w:val="24"/>
          <w:szCs w:val="24"/>
          <w:color w:val="auto"/>
        </w:rPr>
      </w:pPr>
    </w:p>
    <w:p>
      <w:pPr>
        <w:sectPr>
          <w:pgSz w:w="11900" w:h="16838" w:orient="portrait"/>
          <w:cols w:equalWidth="0" w:num="2">
            <w:col w:w="3920" w:space="720"/>
            <w:col w:w="5579"/>
          </w:cols>
          <w:pgMar w:left="240" w:top="825"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 Tarrytown, 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10591-6707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280" w:space="620"/>
            <w:col w:w="4319"/>
          </w:cols>
          <w:pgMar w:left="240" w:top="825" w:right="1440" w:bottom="0" w:gutter="0" w:footer="0" w:header="0"/>
          <w:type w:val="continuous"/>
        </w:sectPr>
      </w:pP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(914) 347-7000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825" w:right="1440" w:bottom="0" w:gutter="0" w:footer="0" w:header="0"/>
          <w:type w:val="continuous"/>
        </w:sectPr>
      </w:pPr>
    </w:p>
    <w:p>
      <w:pPr>
        <w:spacing w:after="0" w:line="2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None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 - par value $.001 per share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Preferred Share Purchase Rights expiring October 18, 2006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w:t>
      </w:r>
    </w:p>
    <w:p>
      <w:pPr>
        <w:spacing w:after="0" w:line="17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1934 during the preceding 12 months (or for such shorter period that the registrant was required to file such reports), and (2) has been subject to such filing requirements for the past 90 days. Yes_x_ No___</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(ss.229.405 of this chapter) is not contained herein, and will not be contained, to the best of registrant's knowledge, in definitive proxy or information statements incorporated by reference in Part III of this Form 10-K or any amendment to this Form 10-K. ___</w:t>
      </w: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At March 11, 1997, the aggregate market value of voting stock held by non-affiliates of the Registrant totaled approximately $194,810,771, based on the last sale price as reported by The Nasdaq Stock Market.</w:t>
      </w: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Registrant's classes of common stock as of March 11, 1997:</w:t>
      </w:r>
    </w:p>
    <w:p>
      <w:pPr>
        <w:sectPr>
          <w:pgSz w:w="11900" w:h="16838" w:orient="portrait"/>
          <w:cols w:equalWidth="0" w:num="1">
            <w:col w:w="10219"/>
          </w:cols>
          <w:pgMar w:left="240" w:top="825" w:right="1440" w:bottom="0" w:gutter="0" w:footer="0" w:header="0"/>
          <w:type w:val="continuous"/>
        </w:sect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Class of Common Stock</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Class A Stock, $.001 par value</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Common Stock, $.001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4,355,994</w:t>
      </w:r>
    </w:p>
    <w:p>
      <w:pPr>
        <w:ind w:left="420"/>
        <w:spacing w:after="0" w:line="238" w:lineRule="auto"/>
        <w:rPr>
          <w:sz w:val="20"/>
          <w:szCs w:val="20"/>
          <w:color w:val="auto"/>
        </w:rPr>
      </w:pPr>
      <w:r>
        <w:rPr>
          <w:rFonts w:ascii="Courier New" w:cs="Courier New" w:eastAsia="Courier New" w:hAnsi="Courier New"/>
          <w:sz w:val="18"/>
          <w:szCs w:val="18"/>
          <w:color w:val="auto"/>
        </w:rPr>
        <w:t>21,342,449</w:t>
      </w:r>
    </w:p>
    <w:p>
      <w:pPr>
        <w:spacing w:after="0" w:line="200" w:lineRule="exact"/>
        <w:rPr>
          <w:sz w:val="24"/>
          <w:szCs w:val="24"/>
          <w:color w:val="auto"/>
        </w:rPr>
      </w:pPr>
    </w:p>
    <w:p>
      <w:pPr>
        <w:sectPr>
          <w:pgSz w:w="11900" w:h="16838" w:orient="portrait"/>
          <w:cols w:equalWidth="0" w:num="2">
            <w:col w:w="5600" w:space="720"/>
            <w:col w:w="3899"/>
          </w:cols>
          <w:pgMar w:left="240" w:top="825" w:right="1440" w:bottom="0" w:gutter="0" w:footer="0" w:header="0"/>
          <w:type w:val="continuous"/>
        </w:sectPr>
      </w:pPr>
    </w:p>
    <w:p>
      <w:pPr>
        <w:spacing w:after="0" w:line="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The Registrant's definitive proxy statement to be filed in connection with</w:t>
      </w:r>
    </w:p>
    <w:p>
      <w:pPr>
        <w:sectPr>
          <w:pgSz w:w="11900" w:h="16838" w:orient="portrait"/>
          <w:cols w:equalWidth="0" w:num="1">
            <w:col w:w="10219"/>
          </w:cols>
          <w:pgMar w:left="240" w:top="825" w:right="1440" w:bottom="0" w:gutter="0" w:footer="0" w:header="0"/>
          <w:type w:val="continuous"/>
        </w:sectPr>
      </w:pPr>
    </w:p>
    <w:bookmarkStart w:id="1" w:name="page2"/>
    <w:bookmarkEnd w:id="1"/>
    <w:p>
      <w:pPr>
        <w:jc w:val="both"/>
        <w:ind w:right="2199"/>
        <w:spacing w:after="0" w:line="236" w:lineRule="auto"/>
        <w:rPr>
          <w:sz w:val="20"/>
          <w:szCs w:val="20"/>
          <w:color w:val="auto"/>
        </w:rPr>
      </w:pPr>
      <w:r>
        <w:rPr>
          <w:rFonts w:ascii="Courier New" w:cs="Courier New" w:eastAsia="Courier New" w:hAnsi="Courier New"/>
          <w:sz w:val="18"/>
          <w:szCs w:val="18"/>
          <w:color w:val="auto"/>
        </w:rPr>
        <w:t>solicitation of proxies for its Annual Meeting of Shareholders to be held on June 27, 1997, is incorporated by reference into Part III of this Form 10-K. Exhibit index is located on pages 32 to 34 of this filing.</w:t>
      </w:r>
    </w:p>
    <w:p>
      <w:pPr>
        <w:sectPr>
          <w:pgSz w:w="11900" w:h="16838" w:orient="portrait"/>
          <w:cols w:equalWidth="0" w:num="1">
            <w:col w:w="10219"/>
          </w:cols>
          <w:pgMar w:left="240" w:top="142" w:right="1440" w:bottom="1440" w:gutter="0" w:footer="0" w:header="0"/>
        </w:sectPr>
      </w:pPr>
    </w:p>
    <w:bookmarkStart w:id="2" w:name="page3"/>
    <w:bookmarkEnd w:id="2"/>
    <w:p>
      <w:pPr>
        <w:ind w:right="1999"/>
        <w:spacing w:after="0" w:line="236" w:lineRule="auto"/>
        <w:rPr>
          <w:sz w:val="20"/>
          <w:szCs w:val="20"/>
          <w:color w:val="auto"/>
        </w:rPr>
      </w:pPr>
      <w:r>
        <w:rPr>
          <w:rFonts w:ascii="Courier New" w:cs="Courier New" w:eastAsia="Courier New" w:hAnsi="Courier New"/>
          <w:sz w:val="18"/>
          <w:szCs w:val="18"/>
          <w:color w:val="auto"/>
        </w:rPr>
        <w:t>The Registrant, Regeneron Pharmaceuticals, Inc. ("Regeneron" or the "Company") hereby amends the following items of its Annual Report on Form 10-K for the year ended December 31, 1996 as set forth below.</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spacing w:after="0"/>
        <w:tabs>
          <w:tab w:leader="none" w:pos="940" w:val="left"/>
          <w:tab w:leader="none" w:pos="18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The financials statements filed as part of this report are listed on the Index to Financial Statements on page F-1 of the Company's Annual Report filed on March 26, 1997.</w:t>
      </w:r>
    </w:p>
    <w:p>
      <w:pPr>
        <w:spacing w:after="0" w:line="203"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02" w:lineRule="exact"/>
        <w:rPr>
          <w:sz w:val="20"/>
          <w:szCs w:val="20"/>
          <w:color w:val="auto"/>
        </w:rPr>
      </w:pPr>
    </w:p>
    <w:p>
      <w:pPr>
        <w:ind w:left="1900" w:hanging="944"/>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Description</w:t>
            </w:r>
          </w:p>
        </w:tc>
        <w:tc>
          <w:tcPr>
            <w:tcW w:w="522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tcPr>
          <w:p>
            <w:pPr>
              <w:spacing w:after="0"/>
              <w:rPr>
                <w:sz w:val="17"/>
                <w:szCs w:val="17"/>
                <w:color w:val="auto"/>
              </w:rPr>
            </w:pP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3.1</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w:t>
            </w: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Restated Certificate of Incorporation of</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Regeneron Pharmaceuticals, Inc. as at June 21,</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3.2</w:t>
            </w:r>
          </w:p>
        </w:tc>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By-Laws of the Company, currently in effect</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(amended as of January 22, 1995).</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 *   - Technology Development Agreement, dated as of</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March 20, 1989, between the Company and Sumitomo</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Chemical Company, Limited.</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10.2</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 *   - Neurotrophic Factor Agreement (License</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Agreement), dated as of May 10, 1988, between the</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Company and Max Planck Institute fur Psychiatrie.</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10.3</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 *   - Sponsored Research and License Agreement, dated</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June 17, 1988, between the Company and</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Erziehungsdirektion of the Canton Zurich.</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10.4</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(b) *   - Collaboration Agreement, dated August 31, 1990,</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the Company and Amgen Inc.</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10.5</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1990 Amended and Restated Long-Term Incentive</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10.6</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 *   - Neurotrophic Factor Agreement, dated as of May</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21, 1991, between the Company and Finn Hallbook,</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Carlos Fernando Ibanez Molinar, and Hakan</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Persson.</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10.7</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(c) *   - License Agreement dated as of November 19, 1991,</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the Company and the University of Iowa</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Research Foundation.</w:t>
            </w:r>
          </w:p>
        </w:tc>
      </w:tr>
      <w:tr>
        <w:trPr>
          <w:trHeight w:val="405"/>
        </w:trPr>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10.8</w:t>
            </w:r>
          </w:p>
        </w:tc>
        <w:tc>
          <w:tcPr>
            <w:tcW w:w="65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(c) *   - License Agreement dated as of January 15, 1992,</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the Company and Hakan Persson.</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10.9</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 *   - License Agreement dated as of January 24, 1992,</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between the Company and Rorer Biotechnology, Inc.</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10.10</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 *   - Collaborative Development Agreement dated as of</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September 23, 1992, between the Company and</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American Cyanamid Company.</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10.11</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 *   - License Agreement dated as of October 7, 1992,</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the Company and The Regents of the</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University of California.</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10.12</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(e) *   - Collaboration Agreement dated as of July 22, 1993</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the Company and Glaxo Group Limited.</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10.13</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w:t>
            </w: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Stock Purchase Agreement dated as of July 22,</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1993 between the Company and Glaxo Group Limited.</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10.14</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w:t>
            </w: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 Contract to Sell Real Estate dated as of July 21,</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1993 between the Company and National Council for</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Community Development Inc.</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10.15</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w:t>
            </w: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 Renovation License Agreement dated as of July 22,</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between the Company, National Council for</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Community Development and Sterling Winthrop, Inc.</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10.16</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w:t>
            </w: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Employment Agreement, dated as of September 14,</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between the Company and Dr. Leonard S.</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Schleifer.</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10.17</w:t>
            </w: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(g) *   - Research and Development Agreement dated as of</w:t>
            </w:r>
          </w:p>
        </w:tc>
      </w:tr>
      <w:tr>
        <w:trPr>
          <w:trHeight w:val="203"/>
        </w:trPr>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 2, 1994 between the Company and Sumitomo</w:t>
            </w:r>
          </w:p>
        </w:tc>
      </w:tr>
    </w:tbl>
    <w:p>
      <w:pPr>
        <w:sectPr>
          <w:pgSz w:w="11900" w:h="16838" w:orient="portrait"/>
          <w:cols w:equalWidth="0" w:num="1">
            <w:col w:w="10219"/>
          </w:cols>
          <w:pgMar w:left="240" w:top="925" w:right="1440" w:bottom="0" w:gutter="0" w:footer="0" w:header="0"/>
        </w:sectPr>
      </w:pPr>
    </w:p>
    <w:bookmarkStart w:id="3" w:name="page4"/>
    <w:bookmarkEnd w:id="3"/>
    <w:p>
      <w:pPr>
        <w:ind w:left="1960"/>
        <w:spacing w:after="0"/>
        <w:rPr>
          <w:sz w:val="20"/>
          <w:szCs w:val="20"/>
          <w:color w:val="auto"/>
        </w:rPr>
      </w:pPr>
      <w:r>
        <w:rPr>
          <w:rFonts w:ascii="Courier New" w:cs="Courier New" w:eastAsia="Courier New" w:hAnsi="Courier New"/>
          <w:sz w:val="16"/>
          <w:szCs w:val="16"/>
          <w:color w:val="auto"/>
        </w:rPr>
        <w:t>Pharmaceuticals Company, Ltd.</w:t>
      </w:r>
    </w:p>
    <w:p>
      <w:pPr>
        <w:sectPr>
          <w:pgSz w:w="11900" w:h="16838" w:orient="portrait"/>
          <w:cols w:equalWidth="0" w:num="1">
            <w:col w:w="9019"/>
          </w:cols>
          <w:pgMar w:left="1440" w:top="142" w:right="1440" w:bottom="1440" w:gutter="0" w:footer="0" w:header="0"/>
        </w:sectPr>
      </w:pP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019"/>
          </w:cols>
          <w:pgMar w:left="1440" w:top="142" w:right="1440" w:bottom="1440" w:gutter="0" w:footer="0" w:header="0"/>
          <w:type w:val="continuous"/>
        </w:sectPr>
      </w:pPr>
    </w:p>
    <w:bookmarkStart w:id="4" w:name="page5"/>
    <w:bookmarkEnd w:id="4"/>
    <w:tbl>
      <w:tblPr>
        <w:tblLayout w:type="fixed"/>
        <w:tblInd w:w="1152"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65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(h) *   - Manufacturing Agreement dated as of September 18,</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1995 between the Company and Merck &amp; Co.,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10.19</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Stock and Warrant Purchase Agreement dated as of</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April 15, 1996, between the Company and Amgen</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10.20</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Warrant Agreement dated as of April 15, 1996,</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between the Company and Amgen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10.21</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Registration Rights Agreement dated as of April</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15, 1996, between the Company and Amgen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10.22</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Stock and Warrant Purchase Agreement dated as of</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9"/>
              </w:rPr>
              <w:t>June 27, 1996, between the Company and Medtronic,</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10.23</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Warrant Agreement dated as of June 27, 1996,</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between the Company and Medtronic,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10.24</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Registration Rights Agreement dated as of June</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9"/>
              </w:rPr>
              <w:t>27, 1996, between the Company and Medtronic,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10.25</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Assignment and Assumption Agreement dated as of</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9"/>
              </w:rPr>
              <w:t>June 27, 1996, between the Company and Medtronic,</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10.26</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Certificate of Amendment of the Restated</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Certificate of Incorporation of Regeneron</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Pharmaceuticals, Inc., as at October 18, 1996.</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10.27</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 Rights Agreement, dated as of September 20, 1996,</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between Regeneron Pharmaceuticals, Inc. and</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ChaseMellon Shareholder Services L.L.C., as</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Rights Agent, including the form of Rights</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Certificate as Exhibit B thereto.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10.28</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Letter of Resignation of James W. Fordyce,</w:t>
            </w:r>
          </w:p>
        </w:tc>
      </w:tr>
      <w:tr>
        <w:trPr>
          <w:trHeight w:val="405"/>
        </w:trPr>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40" w:type="dxa"/>
            <w:vAlign w:val="bottom"/>
          </w:tcPr>
          <w:p>
            <w:pPr>
              <w:ind w:left="460"/>
              <w:spacing w:after="0"/>
              <w:rPr>
                <w:sz w:val="20"/>
                <w:szCs w:val="20"/>
                <w:color w:val="auto"/>
              </w:rPr>
            </w:pPr>
            <w:r>
              <w:rPr>
                <w:rFonts w:ascii="Courier New" w:cs="Courier New" w:eastAsia="Courier New" w:hAnsi="Courier New"/>
                <w:sz w:val="18"/>
                <w:szCs w:val="18"/>
                <w:color w:val="auto"/>
              </w:rPr>
              <w:t>Director, dated October 1, 1996.</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10.29</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 Stock Purchase Agreement dated as of December 11,</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1996, between the Company and Procter &amp; Gamble</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10.30</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Registration Rights Agreement dated as of</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December 11, 1996, between the Company and</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Procter &amp; Gamble Pharmaceuticals,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10.31</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Collaboration Agreement dated as of December 11,</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1996, between the Company and Procter &amp; Gamble</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Statement of Computation of Loss per Share.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Consent of Coopers &amp; Lybrand L.L.P.</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23.2</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 Consent of Ernst &amp; Young LLP, Independent Auditors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Power of Attorney</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27</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Financial Statement Data</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99.1</w:t>
            </w:r>
          </w:p>
        </w:tc>
        <w:tc>
          <w:tcPr>
            <w:tcW w:w="80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Withdrawal of Application for Order Granting</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Confidential Treatment Pursuant to Rule 24b-2</w:t>
            </w:r>
          </w:p>
        </w:tc>
      </w:tr>
      <w:tr>
        <w:trPr>
          <w:trHeight w:val="203"/>
        </w:trPr>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filed with the SEC on May 28, 1997.</w:t>
            </w:r>
          </w:p>
        </w:tc>
      </w:tr>
    </w:tbl>
    <w:p>
      <w:pPr>
        <w:spacing w:after="0" w:line="200" w:lineRule="exact"/>
        <w:rPr>
          <w:sz w:val="20"/>
          <w:szCs w:val="20"/>
          <w:color w:val="auto"/>
        </w:rPr>
      </w:pPr>
    </w:p>
    <w:p>
      <w:pPr>
        <w:spacing w:after="0" w:line="209"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jc w:val="both"/>
        <w:ind w:left="1892" w:right="2319" w:hanging="944"/>
        <w:spacing w:after="0" w:line="236" w:lineRule="auto"/>
        <w:tabs>
          <w:tab w:leader="none" w:pos="189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of Regeneron Pharmaceuticals, Inc. for the quarter ended June 30,1991, filed August 13, 1991.</w:t>
      </w:r>
    </w:p>
    <w:p>
      <w:pPr>
        <w:spacing w:after="0" w:line="208" w:lineRule="exact"/>
        <w:rPr>
          <w:rFonts w:ascii="Courier New" w:cs="Courier New" w:eastAsia="Courier New" w:hAnsi="Courier New"/>
          <w:sz w:val="18"/>
          <w:szCs w:val="18"/>
          <w:color w:val="auto"/>
        </w:rPr>
      </w:pPr>
    </w:p>
    <w:p>
      <w:pPr>
        <w:ind w:left="1892" w:right="2319" w:hanging="944"/>
        <w:spacing w:after="0" w:line="290" w:lineRule="auto"/>
        <w:tabs>
          <w:tab w:leader="none" w:pos="189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the Company's registration statement on Form S-1 (file number 33-39043).</w:t>
      </w:r>
    </w:p>
    <w:p>
      <w:pPr>
        <w:spacing w:after="0" w:line="169" w:lineRule="exact"/>
        <w:rPr>
          <w:rFonts w:ascii="Courier New" w:cs="Courier New" w:eastAsia="Courier New" w:hAnsi="Courier New"/>
          <w:sz w:val="16"/>
          <w:szCs w:val="16"/>
          <w:color w:val="auto"/>
        </w:rPr>
      </w:pPr>
    </w:p>
    <w:p>
      <w:pPr>
        <w:ind w:left="1892" w:right="1999" w:hanging="944"/>
        <w:spacing w:after="0" w:line="236" w:lineRule="auto"/>
        <w:tabs>
          <w:tab w:leader="none" w:pos="189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10-K for Regeneron Pharmaceuticals, Inc. for the fiscal year ended December 31, 1991, filed March 30, 1992.</w:t>
      </w:r>
    </w:p>
    <w:p>
      <w:pPr>
        <w:spacing w:after="0" w:line="208" w:lineRule="exact"/>
        <w:rPr>
          <w:rFonts w:ascii="Courier New" w:cs="Courier New" w:eastAsia="Courier New" w:hAnsi="Courier New"/>
          <w:sz w:val="18"/>
          <w:szCs w:val="18"/>
          <w:color w:val="auto"/>
        </w:rPr>
      </w:pPr>
    </w:p>
    <w:p>
      <w:pPr>
        <w:ind w:left="1892" w:right="1999" w:hanging="944"/>
        <w:spacing w:after="0" w:line="236" w:lineRule="auto"/>
        <w:tabs>
          <w:tab w:leader="none" w:pos="189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10-K for Regeneron Pharmaceuticals, Inc. for the fiscal year ended December 31, 1992, filed March 30, 1993.</w:t>
      </w:r>
    </w:p>
    <w:p>
      <w:pPr>
        <w:spacing w:after="0" w:line="208" w:lineRule="exact"/>
        <w:rPr>
          <w:rFonts w:ascii="Courier New" w:cs="Courier New" w:eastAsia="Courier New" w:hAnsi="Courier New"/>
          <w:sz w:val="18"/>
          <w:szCs w:val="18"/>
          <w:color w:val="auto"/>
        </w:rPr>
      </w:pPr>
    </w:p>
    <w:p>
      <w:pPr>
        <w:jc w:val="both"/>
        <w:ind w:left="1892" w:right="2319" w:hanging="944"/>
        <w:spacing w:after="0" w:line="236" w:lineRule="auto"/>
        <w:tabs>
          <w:tab w:leader="none" w:pos="189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of Regeneron Pharmaceuticals, Inc. for the quarter ended June 30,1993, filed July 22, 1993.</w:t>
      </w:r>
    </w:p>
    <w:p>
      <w:pPr>
        <w:spacing w:after="0" w:line="208" w:lineRule="exact"/>
        <w:rPr>
          <w:rFonts w:ascii="Courier New" w:cs="Courier New" w:eastAsia="Courier New" w:hAnsi="Courier New"/>
          <w:sz w:val="18"/>
          <w:szCs w:val="18"/>
          <w:color w:val="auto"/>
        </w:rPr>
      </w:pPr>
    </w:p>
    <w:p>
      <w:pPr>
        <w:ind w:left="1892" w:right="2319" w:hanging="944"/>
        <w:spacing w:after="0" w:line="236" w:lineRule="auto"/>
        <w:tabs>
          <w:tab w:leader="none" w:pos="189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of Regeneron Pharmaceuticals, Inc. for the quarter ended September 30,1993, filed November 12, 1993.</w:t>
      </w:r>
    </w:p>
    <w:p>
      <w:pPr>
        <w:spacing w:after="0" w:line="208" w:lineRule="exact"/>
        <w:rPr>
          <w:rFonts w:ascii="Courier New" w:cs="Courier New" w:eastAsia="Courier New" w:hAnsi="Courier New"/>
          <w:sz w:val="18"/>
          <w:szCs w:val="18"/>
          <w:color w:val="auto"/>
        </w:rPr>
      </w:pPr>
    </w:p>
    <w:p>
      <w:pPr>
        <w:ind w:left="1892" w:right="2199" w:hanging="944"/>
        <w:spacing w:after="0" w:line="236" w:lineRule="auto"/>
        <w:tabs>
          <w:tab w:leader="none" w:pos="189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for Regeneron Pharmaceuticals, Inc. for the quarter ended September 30, 1994, filed November 14, 1994.</w:t>
      </w:r>
    </w:p>
    <w:p>
      <w:pPr>
        <w:sectPr>
          <w:pgSz w:w="11900" w:h="16838" w:orient="portrait"/>
          <w:cols w:equalWidth="0" w:num="1">
            <w:col w:w="10211"/>
          </w:cols>
          <w:pgMar w:left="248" w:top="717" w:right="1440" w:bottom="0" w:gutter="0" w:footer="0" w:header="0"/>
        </w:sectPr>
      </w:pPr>
    </w:p>
    <w:bookmarkStart w:id="5" w:name="page6"/>
    <w:bookmarkEnd w:id="5"/>
    <w:p>
      <w:pPr>
        <w:ind w:left="238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019"/>
          </w:cols>
          <w:pgMar w:left="1440" w:top="339" w:right="1440" w:bottom="1440" w:gutter="0" w:footer="0" w:header="0"/>
        </w:sectPr>
      </w:pPr>
    </w:p>
    <w:bookmarkStart w:id="6" w:name="page7"/>
    <w:bookmarkEnd w:id="6"/>
    <w:p>
      <w:pPr>
        <w:ind w:left="1892" w:right="2199" w:hanging="944"/>
        <w:spacing w:after="0" w:line="236" w:lineRule="auto"/>
        <w:tabs>
          <w:tab w:leader="none" w:pos="18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for Regeneron Pharmaceuticals, Inc. for the quarter ended September 30, 1995, filed November 14, 1995.</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both"/>
        <w:ind w:left="1892" w:right="2199" w:hanging="944"/>
        <w:spacing w:after="0" w:line="236" w:lineRule="auto"/>
        <w:tabs>
          <w:tab w:leader="none" w:pos="18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for Regeneron Pharmaceuticals, Inc. for the quarter ended June 30, 1996, filed August 14, 1996.</w:t>
      </w:r>
    </w:p>
    <w:p>
      <w:pPr>
        <w:spacing w:after="0" w:line="208" w:lineRule="exact"/>
        <w:rPr>
          <w:rFonts w:ascii="Courier New" w:cs="Courier New" w:eastAsia="Courier New" w:hAnsi="Courier New"/>
          <w:sz w:val="18"/>
          <w:szCs w:val="18"/>
          <w:color w:val="auto"/>
        </w:rPr>
      </w:pPr>
    </w:p>
    <w:p>
      <w:pPr>
        <w:ind w:left="1892" w:right="2199" w:hanging="944"/>
        <w:spacing w:after="0" w:line="236" w:lineRule="auto"/>
        <w:tabs>
          <w:tab w:leader="none" w:pos="18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10-Q for Regeneron Pharmaceuticals, Inc. for the quarter ended September 30, 1996, filed November 5, 1996.</w:t>
      </w:r>
    </w:p>
    <w:p>
      <w:pPr>
        <w:spacing w:after="0" w:line="208" w:lineRule="exact"/>
        <w:rPr>
          <w:rFonts w:ascii="Courier New" w:cs="Courier New" w:eastAsia="Courier New" w:hAnsi="Courier New"/>
          <w:sz w:val="18"/>
          <w:szCs w:val="18"/>
          <w:color w:val="auto"/>
        </w:rPr>
      </w:pPr>
    </w:p>
    <w:p>
      <w:pPr>
        <w:ind w:left="1892" w:right="2319" w:hanging="944"/>
        <w:spacing w:after="0" w:line="235" w:lineRule="auto"/>
        <w:tabs>
          <w:tab w:leader="none" w:pos="18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Form 8-A for Regeneron Pharmaceuticals, Inc. filed October 15, 1996.</w:t>
      </w:r>
    </w:p>
    <w:p>
      <w:pPr>
        <w:spacing w:after="0" w:line="202" w:lineRule="exact"/>
        <w:rPr>
          <w:rFonts w:ascii="Courier New" w:cs="Courier New" w:eastAsia="Courier New" w:hAnsi="Courier New"/>
          <w:sz w:val="18"/>
          <w:szCs w:val="18"/>
          <w:color w:val="auto"/>
        </w:rPr>
      </w:pPr>
    </w:p>
    <w:p>
      <w:pPr>
        <w:ind w:left="1892" w:hanging="944"/>
        <w:spacing w:after="0"/>
        <w:tabs>
          <w:tab w:leader="none" w:pos="18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6" w:lineRule="exact"/>
        <w:rPr>
          <w:rFonts w:ascii="Courier New" w:cs="Courier New" w:eastAsia="Courier New" w:hAnsi="Courier New"/>
          <w:sz w:val="18"/>
          <w:szCs w:val="18"/>
          <w:color w:val="auto"/>
        </w:rPr>
      </w:pPr>
    </w:p>
    <w:p>
      <w:pPr>
        <w:ind w:left="1892" w:right="2099" w:hanging="944"/>
        <w:spacing w:after="0" w:line="235" w:lineRule="auto"/>
        <w:tabs>
          <w:tab w:leader="none" w:pos="189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Withdrawn subject to withdrawal request dated May 28, 1997. See Exhibit 99.1.</w:t>
      </w:r>
    </w:p>
    <w:p>
      <w:pPr>
        <w:spacing w:after="0" w:line="200" w:lineRule="exact"/>
        <w:rPr>
          <w:sz w:val="20"/>
          <w:szCs w:val="20"/>
          <w:color w:val="auto"/>
        </w:rPr>
      </w:pPr>
    </w:p>
    <w:p>
      <w:pPr>
        <w:spacing w:after="0" w:line="211" w:lineRule="exact"/>
        <w:rPr>
          <w:sz w:val="20"/>
          <w:szCs w:val="20"/>
          <w:color w:val="auto"/>
        </w:rPr>
      </w:pPr>
    </w:p>
    <w:p>
      <w:pPr>
        <w:ind w:left="1892" w:right="2519" w:hanging="944"/>
        <w:spacing w:after="0" w:line="236" w:lineRule="auto"/>
        <w:tabs>
          <w:tab w:leader="none" w:pos="189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this document have been omitted and filed separately with the Commission pursuant to requests for confidential treatment pursuant to Rule 24b-2.</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952"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 on Form 8-K was filed by the Registrant during the year ended December 31, 1996.</w:t>
      </w:r>
    </w:p>
    <w:p>
      <w:pPr>
        <w:spacing w:after="0" w:line="203"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1"/>
          </w:cols>
          <w:pgMar w:left="248" w:top="520"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New York, New York</w:t>
      </w:r>
    </w:p>
    <w:p>
      <w:pPr>
        <w:ind w:left="960"/>
        <w:spacing w:after="0" w:line="238" w:lineRule="auto"/>
        <w:rPr>
          <w:sz w:val="20"/>
          <w:szCs w:val="20"/>
          <w:color w:val="auto"/>
        </w:rPr>
      </w:pPr>
      <w:r>
        <w:rPr>
          <w:rFonts w:ascii="Courier New" w:cs="Courier New" w:eastAsia="Courier New" w:hAnsi="Courier New"/>
          <w:sz w:val="18"/>
          <w:szCs w:val="18"/>
          <w:color w:val="auto"/>
        </w:rPr>
        <w:t>May 28,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LEONARD S. SCHLEIFER</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Leonard S. Schleifer, M.D., Ph.D.</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24"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 on behalf of the registrant in the capacities indicated on May 28, 1997.</w:t>
      </w:r>
    </w:p>
    <w:p>
      <w:pPr>
        <w:sectPr>
          <w:pgSz w:w="11900" w:h="16838" w:orient="portrait"/>
          <w:cols w:equalWidth="0" w:num="1">
            <w:col w:w="10219"/>
          </w:cols>
          <w:pgMar w:left="240" w:top="717" w:right="1440" w:bottom="0" w:gutter="0" w:footer="0" w:header="0"/>
        </w:sectPr>
      </w:pPr>
    </w:p>
    <w:p>
      <w:pPr>
        <w:spacing w:after="0" w:line="20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717"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LEONARD S. SCHLEIFER,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w:t>
      </w:r>
    </w:p>
    <w:p>
      <w:pPr>
        <w:spacing w:after="0" w:line="16" w:lineRule="exact"/>
        <w:rPr>
          <w:sz w:val="20"/>
          <w:szCs w:val="20"/>
          <w:color w:val="auto"/>
        </w:rPr>
      </w:pPr>
    </w:p>
    <w:p>
      <w:pPr>
        <w:sectPr>
          <w:pgSz w:w="11900" w:h="16838" w:orient="portrait"/>
          <w:cols w:equalWidth="0" w:num="2">
            <w:col w:w="3400" w:space="720"/>
            <w:col w:w="6099"/>
          </w:cols>
          <w:pgMar w:left="240" w:top="717" w:right="1440" w:bottom="0" w:gutter="0" w:footer="0" w:header="0"/>
          <w:type w:val="continuous"/>
        </w:sect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Leonard S. Schleifer, M.D., Ph.D.  Director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MURRAY</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A. GOLDBERG</w:t>
            </w:r>
          </w:p>
        </w:tc>
        <w:tc>
          <w:tcPr>
            <w:tcW w:w="4320" w:type="dxa"/>
            <w:vAlign w:val="bottom"/>
          </w:tcPr>
          <w:p>
            <w:pPr>
              <w:spacing w:after="0"/>
              <w:rPr>
                <w:sz w:val="20"/>
                <w:szCs w:val="20"/>
                <w:color w:val="auto"/>
              </w:rPr>
            </w:pPr>
            <w:r>
              <w:rPr>
                <w:rFonts w:ascii="Courier New" w:cs="Courier New" w:eastAsia="Courier New" w:hAnsi="Courier New"/>
                <w:sz w:val="18"/>
                <w:szCs w:val="18"/>
                <w:color w:val="auto"/>
                <w:w w:val="97"/>
              </w:rPr>
              <w:t>Vice President, Finance &amp; Administration,</w:t>
            </w: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Financial Officer, and</w:t>
            </w:r>
          </w:p>
        </w:tc>
      </w:tr>
      <w:tr>
        <w:trPr>
          <w:trHeight w:val="203"/>
        </w:trPr>
        <w:tc>
          <w:tcPr>
            <w:tcW w:w="38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Murray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Goldberg</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(Principal Financial Officer)</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BEVERLY C. DUBS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Controller and Assistant Treasurer</w:t>
            </w:r>
          </w:p>
        </w:tc>
      </w:tr>
    </w:tbl>
    <w:p>
      <w:pPr>
        <w:spacing w:after="0" w:line="4" w:lineRule="exact"/>
        <w:rPr>
          <w:sz w:val="20"/>
          <w:szCs w:val="20"/>
          <w:color w:val="auto"/>
        </w:rPr>
      </w:pPr>
    </w:p>
    <w:p>
      <w:pPr>
        <w:ind w:left="420" w:right="3159" w:hanging="412"/>
        <w:spacing w:after="0" w:line="235" w:lineRule="auto"/>
        <w:tabs>
          <w:tab w:leader="none" w:pos="20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(Chief Accounting Officer) Beverly C. Dubs</w:t>
      </w:r>
    </w:p>
    <w:p>
      <w:pPr>
        <w:spacing w:after="0" w:line="200" w:lineRule="exact"/>
        <w:rPr>
          <w:sz w:val="20"/>
          <w:szCs w:val="20"/>
          <w:color w:val="auto"/>
        </w:rPr>
      </w:pPr>
    </w:p>
    <w:p>
      <w:pPr>
        <w:spacing w:after="0" w:line="205"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Chairman of the Board</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 Roy Vagelos, M.D.</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A. Baker</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S. Brown, M.D.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Alfred G. Gilman, M.D., Ph.D.</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Goldstein, M.D.</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Fred A. Middleton</w:t>
      </w:r>
    </w:p>
    <w:p>
      <w:pPr>
        <w:spacing w:after="0" w:line="202"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Eric M. Shooter, Ph.D.</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L. Sing</w:t>
      </w:r>
    </w:p>
    <w:p>
      <w:pPr>
        <w:sectPr>
          <w:pgSz w:w="11900" w:h="16838" w:orient="portrait"/>
          <w:cols w:equalWidth="0" w:num="1">
            <w:col w:w="10219"/>
          </w:cols>
          <w:pgMar w:left="240" w:top="717" w:right="1440" w:bottom="0" w:gutter="0" w:footer="0" w:header="0"/>
          <w:type w:val="continuous"/>
        </w:sectPr>
      </w:pPr>
    </w:p>
    <w:bookmarkStart w:id="8" w:name="page9"/>
    <w:bookmarkEnd w:id="8"/>
    <w:p>
      <w:pPr>
        <w:spacing w:after="0"/>
        <w:tabs>
          <w:tab w:leader="none" w:pos="520" w:val="left"/>
        </w:tabs>
        <w:rPr>
          <w:sz w:val="20"/>
          <w:szCs w:val="20"/>
          <w:color w:val="auto"/>
        </w:rPr>
      </w:pPr>
      <w:r>
        <w:rPr>
          <w:rFonts w:ascii="Courier New" w:cs="Courier New" w:eastAsia="Courier New" w:hAnsi="Courier New"/>
          <w:sz w:val="18"/>
          <w:szCs w:val="18"/>
          <w:color w:val="auto"/>
        </w:rPr>
        <w:t>*By</w:t>
        <w:tab/>
        <w:t>/s/ PAUL LUBETKIN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Paul Lubetkin</w:t>
      </w:r>
    </w:p>
    <w:p>
      <w:pPr>
        <w:ind w:left="9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35</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
      <w:numFmt w:val="bullet"/>
      <w:start w:val="1"/>
    </w:lvl>
    <w:lvl w:ilvl="1">
      <w:lvlJc w:val="left"/>
      <w:lvlText w:val="(%2)"/>
      <w:numFmt w:val="lowerLetter"/>
      <w:start w:val="1"/>
    </w:lvl>
  </w:abstractNum>
  <w:abstractNum w:abstractNumId="5">
    <w:nsid w:val="1190CDE7"/>
    <w:multiLevelType w:val="hybridMultilevel"/>
    <w:lvl w:ilvl="0">
      <w:lvlJc w:val="left"/>
      <w:lvlText w:val="(%1)"/>
      <w:numFmt w:val="lowerLetter"/>
      <w:start w:val="8"/>
    </w:lvl>
  </w:abstractNum>
  <w:abstractNum w:abstractNumId="6">
    <w:nsid w:val="66EF438D"/>
    <w:multiLevelType w:val="hybridMultilevel"/>
    <w:lvl w:ilvl="0">
      <w:lvlJc w:val="left"/>
      <w:lvlText w:val="(%1)"/>
      <w:numFmt w:val="upperLetter"/>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2"/>
      <w:numFmt w:val="upp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2019-12-19T22:58:41Z</dcterms:created>
  <dcterms:modified xsi:type="dcterms:W3CDTF">2019-12-19T22:58:41Z</dcterms:modified>
</cp:coreProperties>
</file>