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right="320" w:hanging="97"/>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 1745</w:t>
      </w:r>
      <w:r>
        <w:rPr>
          <w:sz w:val="20"/>
          <w:szCs w:val="20"/>
          <w:color w:val="auto"/>
        </w:rPr>
        <w:t xml:space="preserve"> </w:t>
      </w:r>
      <w:r>
        <w:rPr>
          <w:rFonts w:ascii="Arial" w:cs="Arial" w:eastAsia="Arial" w:hAnsi="Arial"/>
          <w:sz w:val="18"/>
          <w:szCs w:val="18"/>
          <w:b w:val="1"/>
          <w:bCs w:val="1"/>
          <w:color w:val="auto"/>
        </w:rPr>
        <w:t xml:space="preserve">Potential persons who are to respond to the collection of information contained in this form are not required to respond unless the </w:t>
      </w:r>
      <w:r>
        <w:rPr>
          <w:rFonts w:ascii="Arial" w:cs="Arial" w:eastAsia="Arial" w:hAnsi="Arial"/>
          <w:sz w:val="18"/>
          <w:szCs w:val="18"/>
          <w:color w:val="auto"/>
        </w:rPr>
        <w:t xml:space="preserve">(02-02) </w:t>
      </w:r>
      <w:r>
        <w:rPr>
          <w:rFonts w:ascii="Arial" w:cs="Arial" w:eastAsia="Arial" w:hAnsi="Arial"/>
          <w:sz w:val="18"/>
          <w:szCs w:val="18"/>
          <w:b w:val="1"/>
          <w:bCs w:val="1"/>
          <w:color w:val="auto"/>
        </w:rPr>
        <w:t>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0" w:gutter="0" w:footer="0" w:header="0"/>
        </w:sectPr>
      </w:pPr>
    </w:p>
    <w:p>
      <w:pPr>
        <w:spacing w:after="0" w:line="382" w:lineRule="exact"/>
        <w:rPr>
          <w:sz w:val="24"/>
          <w:szCs w:val="24"/>
          <w:color w:val="auto"/>
        </w:rPr>
      </w:pPr>
    </w:p>
    <w:p>
      <w:pPr>
        <w:jc w:val="center"/>
        <w:ind w:left="246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left="2460"/>
        <w:spacing w:after="0"/>
        <w:rPr>
          <w:sz w:val="20"/>
          <w:szCs w:val="20"/>
          <w:color w:val="auto"/>
        </w:rPr>
      </w:pPr>
      <w:r>
        <w:rPr>
          <w:rFonts w:ascii="Arial" w:cs="Arial" w:eastAsia="Arial" w:hAnsi="Arial"/>
          <w:sz w:val="32"/>
          <w:szCs w:val="32"/>
          <w:b w:val="1"/>
          <w:bCs w:val="1"/>
          <w:color w:val="auto"/>
        </w:rPr>
        <w:t>SECURITIES AND EXCHANGE COMMISSION</w:t>
      </w:r>
    </w:p>
    <w:p>
      <w:pPr>
        <w:spacing w:after="0" w:line="69" w:lineRule="exact"/>
        <w:rPr>
          <w:sz w:val="24"/>
          <w:szCs w:val="24"/>
          <w:color w:val="auto"/>
        </w:rPr>
      </w:pPr>
    </w:p>
    <w:p>
      <w:pPr>
        <w:jc w:val="center"/>
        <w:ind w:left="2460"/>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346" w:lineRule="exact"/>
        <w:rPr>
          <w:sz w:val="24"/>
          <w:szCs w:val="24"/>
          <w:color w:val="auto"/>
        </w:rPr>
      </w:pPr>
    </w:p>
    <w:p>
      <w:pPr>
        <w:jc w:val="center"/>
        <w:ind w:left="1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1980"/>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7" w:lineRule="exact"/>
        <w:rPr>
          <w:sz w:val="24"/>
          <w:szCs w:val="24"/>
          <w:color w:val="auto"/>
        </w:rPr>
      </w:pPr>
    </w:p>
    <w:p>
      <w:pPr>
        <w:ind w:right="380"/>
        <w:spacing w:after="0" w:line="282" w:lineRule="auto"/>
        <w:rPr>
          <w:sz w:val="20"/>
          <w:szCs w:val="20"/>
          <w:color w:val="auto"/>
        </w:rPr>
      </w:pPr>
      <w:r>
        <w:rPr>
          <w:rFonts w:ascii="Arial" w:cs="Arial" w:eastAsia="Arial" w:hAnsi="Arial"/>
          <w:sz w:val="17"/>
          <w:szCs w:val="17"/>
          <w:color w:val="auto"/>
        </w:rPr>
        <w:t>OMB APPROVAL OMB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-376555</wp:posOffset>
            </wp:positionV>
            <wp:extent cx="1140460" cy="1226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0460" cy="12261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3235-0145</w:t>
      </w:r>
    </w:p>
    <w:p>
      <w:pPr>
        <w:spacing w:after="0" w:line="9" w:lineRule="exact"/>
        <w:rPr>
          <w:sz w:val="24"/>
          <w:szCs w:val="24"/>
          <w:color w:val="auto"/>
        </w:rPr>
      </w:pPr>
    </w:p>
    <w:p>
      <w:pPr>
        <w:ind w:right="120"/>
        <w:spacing w:after="0" w:line="258" w:lineRule="auto"/>
        <w:rPr>
          <w:sz w:val="20"/>
          <w:szCs w:val="20"/>
          <w:color w:val="auto"/>
        </w:rPr>
      </w:pPr>
      <w:r>
        <w:rPr>
          <w:rFonts w:ascii="Arial" w:cs="Arial" w:eastAsia="Arial" w:hAnsi="Arial"/>
          <w:sz w:val="18"/>
          <w:szCs w:val="18"/>
          <w:color w:val="auto"/>
        </w:rPr>
        <w:t>Expires: December 31, 2005</w:t>
      </w:r>
    </w:p>
    <w:p>
      <w:pPr>
        <w:spacing w:after="0" w:line="1" w:lineRule="exact"/>
        <w:rPr>
          <w:sz w:val="24"/>
          <w:szCs w:val="24"/>
          <w:color w:val="auto"/>
        </w:rPr>
      </w:pPr>
    </w:p>
    <w:p>
      <w:pPr>
        <w:ind w:right="440"/>
        <w:spacing w:after="0" w:line="311" w:lineRule="auto"/>
        <w:rPr>
          <w:sz w:val="20"/>
          <w:szCs w:val="20"/>
          <w:color w:val="auto"/>
        </w:rPr>
      </w:pPr>
      <w:r>
        <w:rPr>
          <w:rFonts w:ascii="Arial" w:cs="Arial" w:eastAsia="Arial" w:hAnsi="Arial"/>
          <w:sz w:val="16"/>
          <w:szCs w:val="16"/>
          <w:color w:val="auto"/>
        </w:rPr>
        <w:t>Estimated average burden hours per response. . 11</w:t>
      </w:r>
    </w:p>
    <w:p>
      <w:pPr>
        <w:spacing w:after="0" w:line="783" w:lineRule="exact"/>
        <w:rPr>
          <w:sz w:val="24"/>
          <w:szCs w:val="24"/>
          <w:color w:val="auto"/>
        </w:rPr>
      </w:pPr>
    </w:p>
    <w:p>
      <w:pPr>
        <w:sectPr>
          <w:pgSz w:w="11900" w:h="16838" w:orient="portrait"/>
          <w:cols w:equalWidth="0" w:num="2">
            <w:col w:w="9440" w:space="200"/>
            <w:col w:w="1780"/>
          </w:cols>
          <w:pgMar w:left="240" w:top="472" w:right="239" w:bottom="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75886F107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5, 2003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660" w:hanging="28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117" w:lineRule="exact"/>
        <w:rPr>
          <w:rFonts w:ascii="Arial" w:cs="Arial" w:eastAsia="Arial" w:hAnsi="Arial"/>
          <w:sz w:val="18"/>
          <w:szCs w:val="18"/>
          <w:color w:val="auto"/>
        </w:rPr>
      </w:pPr>
    </w:p>
    <w:p>
      <w:pPr>
        <w:ind w:left="480" w:hanging="10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w:t>
      </w:r>
      <w:r>
        <w:rPr>
          <w:rFonts w:ascii="Arial" w:cs="Arial" w:eastAsia="Arial" w:hAnsi="Arial"/>
          <w:sz w:val="16"/>
          <w:szCs w:val="16"/>
          <w:color w:val="auto"/>
        </w:rPr>
        <w:t>Rule 13d-1(c)</w:t>
      </w:r>
    </w:p>
    <w:p>
      <w:pPr>
        <w:spacing w:after="0" w:line="117" w:lineRule="exact"/>
        <w:rPr>
          <w:sz w:val="24"/>
          <w:szCs w:val="24"/>
          <w:color w:val="auto"/>
        </w:rPr>
      </w:pPr>
    </w:p>
    <w:p>
      <w:pPr>
        <w:ind w:left="660" w:hanging="28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79" w:lineRule="exact"/>
        <w:rPr>
          <w:rFonts w:ascii="Arial" w:cs="Arial" w:eastAsia="Arial" w:hAnsi="Arial"/>
          <w:sz w:val="18"/>
          <w:szCs w:val="18"/>
          <w:color w:val="auto"/>
        </w:rPr>
      </w:pPr>
    </w:p>
    <w:p>
      <w:pPr>
        <w:ind w:left="660" w:right="160"/>
        <w:spacing w:after="0" w:line="308" w:lineRule="auto"/>
        <w:rPr>
          <w:rFonts w:ascii="Arial" w:cs="Arial" w:eastAsia="Arial" w:hAnsi="Arial"/>
          <w:sz w:val="18"/>
          <w:szCs w:val="18"/>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Arial" w:cs="Arial" w:eastAsia="Arial" w:hAnsi="Arial"/>
          <w:sz w:val="18"/>
          <w:szCs w:val="18"/>
          <w:color w:val="auto"/>
        </w:rPr>
      </w:pPr>
    </w:p>
    <w:p>
      <w:pPr>
        <w:ind w:left="660" w:right="260"/>
        <w:spacing w:after="0" w:line="264" w:lineRule="auto"/>
        <w:rPr>
          <w:rFonts w:ascii="Arial" w:cs="Arial" w:eastAsia="Arial" w:hAnsi="Arial"/>
          <w:sz w:val="18"/>
          <w:szCs w:val="18"/>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CUSIP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3760" w:hanging="620"/>
        <w:spacing w:after="0" w:line="282"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Aventis Pharmaceuticals Inc. 13-2563649</w:t>
      </w:r>
    </w:p>
    <w:p>
      <w:pPr>
        <w:spacing w:after="0" w:line="391" w:lineRule="exact"/>
        <w:rPr>
          <w:rFonts w:ascii="Arial" w:cs="Arial" w:eastAsia="Arial" w:hAnsi="Arial"/>
          <w:sz w:val="18"/>
          <w:szCs w:val="18"/>
          <w:b w:val="1"/>
          <w:bCs w:val="1"/>
          <w:color w:val="auto"/>
        </w:rPr>
      </w:pPr>
    </w:p>
    <w:p>
      <w:pPr>
        <w:ind w:left="1060" w:hanging="620"/>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20" w:hanging="1059"/>
        <w:spacing w:after="0"/>
        <w:tabs>
          <w:tab w:leader="none" w:pos="2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130" w:lineRule="exact"/>
        <w:rPr>
          <w:rFonts w:ascii="Arial" w:cs="Arial" w:eastAsia="Arial" w:hAnsi="Arial"/>
          <w:sz w:val="18"/>
          <w:szCs w:val="18"/>
          <w:b w:val="1"/>
          <w:bCs w:val="1"/>
          <w:color w:val="auto"/>
        </w:rPr>
      </w:pPr>
    </w:p>
    <w:p>
      <w:pPr>
        <w:ind w:left="2120" w:hanging="1059"/>
        <w:spacing w:after="0"/>
        <w:tabs>
          <w:tab w:leader="none" w:pos="2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1060" w:hanging="620"/>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60" w:right="7560" w:hanging="620"/>
        <w:spacing w:after="0" w:line="282"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-1805940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-1179830</wp:posOffset>
            </wp:positionV>
            <wp:extent cx="59347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-965200</wp:posOffset>
            </wp:positionV>
            <wp:extent cx="5934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-545465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spacing w:after="0"/>
              <w:rPr>
                <w:sz w:val="18"/>
                <w:szCs w:val="18"/>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2,799,552 (1)</w:t>
            </w:r>
          </w:p>
        </w:tc>
        <w:tc>
          <w:tcPr>
            <w:tcW w:w="0" w:type="dxa"/>
            <w:vAlign w:val="bottom"/>
          </w:tcPr>
          <w:p>
            <w:pPr>
              <w:spacing w:after="0"/>
              <w:rPr>
                <w:sz w:val="1"/>
                <w:szCs w:val="1"/>
                <w:color w:val="auto"/>
              </w:rPr>
            </w:pPr>
          </w:p>
        </w:tc>
      </w:tr>
      <w:tr>
        <w:trPr>
          <w:trHeight w:val="72"/>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Pr>
          <w:p>
            <w:pPr>
              <w:spacing w:after="0"/>
              <w:rPr>
                <w:sz w:val="6"/>
                <w:szCs w:val="6"/>
                <w:color w:val="auto"/>
              </w:rPr>
            </w:pPr>
          </w:p>
        </w:tc>
        <w:tc>
          <w:tcPr>
            <w:tcW w:w="8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26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20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6.</w:t>
            </w:r>
          </w:p>
        </w:tc>
        <w:tc>
          <w:tcPr>
            <w:tcW w:w="89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472" w:right="239" w:bottom="0" w:gutter="0" w:footer="0" w:header="0"/>
          <w:type w:val="continuous"/>
        </w:sectPr>
      </w:pPr>
    </w:p>
    <w:p>
      <w:pPr>
        <w:ind w:left="2580"/>
        <w:spacing w:after="0"/>
        <w:rPr>
          <w:sz w:val="20"/>
          <w:szCs w:val="20"/>
          <w:color w:val="auto"/>
        </w:rPr>
      </w:pPr>
      <w:r>
        <w:rPr>
          <w:rFonts w:ascii="Arial" w:cs="Arial" w:eastAsia="Arial" w:hAnsi="Arial"/>
          <w:sz w:val="14"/>
          <w:szCs w:val="14"/>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1600200</wp:posOffset>
            </wp:positionH>
            <wp:positionV relativeFrom="paragraph">
              <wp:posOffset>69215</wp:posOffset>
            </wp:positionV>
            <wp:extent cx="5651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ectPr>
          <w:pgSz w:w="11900" w:h="16838" w:orient="portrait"/>
          <w:cols w:equalWidth="0" w:num="1">
            <w:col w:w="11420"/>
          </w:cols>
          <w:pgMar w:left="240" w:top="472"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18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2,799,552 (1)</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520" w:right="6880" w:hanging="911"/>
        <w:spacing w:after="0" w:line="282" w:lineRule="auto"/>
        <w:tabs>
          <w:tab w:leader="none" w:pos="25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391"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2,799,552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1562100</wp:posOffset>
            </wp:positionH>
            <wp:positionV relativeFrom="paragraph">
              <wp:posOffset>-545465</wp:posOffset>
            </wp:positionV>
            <wp:extent cx="5651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p>
      <w:pPr>
        <w:ind w:left="380"/>
        <w:spacing w:after="0"/>
        <w:tabs>
          <w:tab w:leader="none" w:pos="980" w:val="left"/>
          <w:tab w:leader="none" w:pos="79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 xml:space="preserve">Check if the Aggregate Amount in Row (9) Excludes Certain Shares (See Instructions)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189230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 w:right="6360" w:hanging="620"/>
        <w:spacing w:after="0" w:line="282" w:lineRule="auto"/>
        <w:tabs>
          <w:tab w:leader="none" w:pos="10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5.3% (3)</w:t>
      </w:r>
    </w:p>
    <w:p>
      <w:pPr>
        <w:spacing w:after="0" w:line="391" w:lineRule="exact"/>
        <w:rPr>
          <w:rFonts w:ascii="Arial" w:cs="Arial" w:eastAsia="Arial" w:hAnsi="Arial"/>
          <w:sz w:val="18"/>
          <w:szCs w:val="18"/>
          <w:b w:val="1"/>
          <w:bCs w:val="1"/>
          <w:color w:val="auto"/>
        </w:rPr>
      </w:pPr>
    </w:p>
    <w:p>
      <w:pPr>
        <w:ind w:left="1000" w:hanging="620"/>
        <w:spacing w:after="0"/>
        <w:tabs>
          <w:tab w:leader="none" w:pos="10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-516890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 w:right="3760" w:hanging="620"/>
        <w:spacing w:after="0" w:line="282" w:lineRule="auto"/>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Aventis Holdings Inc. 51-0414396</w:t>
      </w:r>
    </w:p>
    <w:p>
      <w:pPr>
        <w:spacing w:after="0" w:line="391" w:lineRule="exact"/>
        <w:rPr>
          <w:rFonts w:ascii="Arial" w:cs="Arial" w:eastAsia="Arial" w:hAnsi="Arial"/>
          <w:sz w:val="18"/>
          <w:szCs w:val="18"/>
          <w:b w:val="1"/>
          <w:bCs w:val="1"/>
          <w:color w:val="auto"/>
        </w:rPr>
      </w:pPr>
    </w:p>
    <w:p>
      <w:pPr>
        <w:ind w:left="1000" w:hanging="620"/>
        <w:spacing w:after="0"/>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060" w:hanging="1059"/>
        <w:spacing w:after="0"/>
        <w:tabs>
          <w:tab w:leader="none" w:pos="206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130" w:lineRule="exact"/>
        <w:rPr>
          <w:rFonts w:ascii="Arial" w:cs="Arial" w:eastAsia="Arial" w:hAnsi="Arial"/>
          <w:sz w:val="18"/>
          <w:szCs w:val="18"/>
          <w:b w:val="1"/>
          <w:bCs w:val="1"/>
          <w:color w:val="auto"/>
        </w:rPr>
      </w:pPr>
    </w:p>
    <w:p>
      <w:pPr>
        <w:ind w:left="2060" w:hanging="1059"/>
        <w:spacing w:after="0"/>
        <w:tabs>
          <w:tab w:leader="none" w:pos="206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1000" w:hanging="620"/>
        <w:spacing w:after="0"/>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00" w:right="7560" w:hanging="620"/>
        <w:spacing w:after="0" w:line="282" w:lineRule="auto"/>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-1805940</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-1179830</wp:posOffset>
            </wp:positionV>
            <wp:extent cx="59347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-965200</wp:posOffset>
            </wp:positionV>
            <wp:extent cx="5934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-545465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2,799,552 (2)</w:t>
            </w:r>
          </w:p>
        </w:tc>
        <w:tc>
          <w:tcPr>
            <w:tcW w:w="0" w:type="dxa"/>
            <w:vAlign w:val="bottom"/>
          </w:tcPr>
          <w:p>
            <w:pPr>
              <w:spacing w:after="0"/>
              <w:rPr>
                <w:sz w:val="1"/>
                <w:szCs w:val="1"/>
                <w:color w:val="auto"/>
              </w:rPr>
            </w:pPr>
          </w:p>
        </w:tc>
      </w:tr>
      <w:tr>
        <w:trPr>
          <w:trHeight w:val="54"/>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1280" w:type="dxa"/>
            <w:vAlign w:val="bottom"/>
            <w:vMerge w:val="continue"/>
          </w:tcPr>
          <w:p>
            <w:pPr>
              <w:spacing w:after="0"/>
              <w:rPr>
                <w:sz w:val="24"/>
                <w:szCs w:val="24"/>
                <w:color w:val="auto"/>
              </w:rPr>
            </w:pP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1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280" w:type="dxa"/>
            <w:vAlign w:val="bottom"/>
            <w:vMerge w:val="restart"/>
          </w:tcPr>
          <w:p>
            <w:pPr>
              <w:spacing w:after="0" w:line="160" w:lineRule="exact"/>
              <w:rPr>
                <w:sz w:val="20"/>
                <w:szCs w:val="20"/>
                <w:color w:val="auto"/>
              </w:rPr>
            </w:pPr>
            <w:r>
              <w:rPr>
                <w:rFonts w:ascii="Arial" w:cs="Arial" w:eastAsia="Arial" w:hAnsi="Arial"/>
                <w:sz w:val="18"/>
                <w:szCs w:val="18"/>
                <w:b w:val="1"/>
                <w:bCs w:val="1"/>
                <w:color w:val="auto"/>
              </w:rPr>
              <w:t>Beneficially</w:t>
            </w:r>
          </w:p>
        </w:tc>
        <w:tc>
          <w:tcPr>
            <w:tcW w:w="1180" w:type="dxa"/>
            <w:vAlign w:val="bottom"/>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18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2"/>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Reporting</w:t>
            </w:r>
          </w:p>
        </w:tc>
        <w:tc>
          <w:tcPr>
            <w:tcW w:w="118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2,799,552 (2)</w:t>
            </w:r>
          </w:p>
        </w:tc>
        <w:tc>
          <w:tcPr>
            <w:tcW w:w="0" w:type="dxa"/>
            <w:vAlign w:val="bottom"/>
          </w:tcPr>
          <w:p>
            <w:pPr>
              <w:spacing w:after="0"/>
              <w:rPr>
                <w:sz w:val="1"/>
                <w:szCs w:val="1"/>
                <w:color w:val="auto"/>
              </w:rPr>
            </w:pPr>
          </w:p>
        </w:tc>
      </w:tr>
      <w:tr>
        <w:trPr>
          <w:trHeight w:val="126"/>
        </w:trPr>
        <w:tc>
          <w:tcPr>
            <w:tcW w:w="1280" w:type="dxa"/>
            <w:vAlign w:val="bottom"/>
            <w:vMerge w:val="restart"/>
          </w:tcPr>
          <w:p>
            <w:pPr>
              <w:spacing w:after="0" w:line="160" w:lineRule="exact"/>
              <w:rPr>
                <w:sz w:val="20"/>
                <w:szCs w:val="20"/>
                <w:color w:val="auto"/>
              </w:rPr>
            </w:pPr>
            <w:r>
              <w:rPr>
                <w:rFonts w:ascii="Arial" w:cs="Arial" w:eastAsia="Arial" w:hAnsi="Arial"/>
                <w:sz w:val="18"/>
                <w:szCs w:val="18"/>
                <w:b w:val="1"/>
                <w:bCs w:val="1"/>
                <w:color w:val="auto"/>
              </w:rPr>
              <w:t>Person With</w:t>
            </w:r>
          </w:p>
        </w:tc>
        <w:tc>
          <w:tcPr>
            <w:tcW w:w="118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520" w:right="6880" w:hanging="911"/>
        <w:spacing w:after="0" w:line="282" w:lineRule="auto"/>
        <w:tabs>
          <w:tab w:leader="none" w:pos="25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391"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2,799,552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1562100</wp:posOffset>
            </wp:positionH>
            <wp:positionV relativeFrom="paragraph">
              <wp:posOffset>-545465</wp:posOffset>
            </wp:positionV>
            <wp:extent cx="5651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p>
      <w:pPr>
        <w:ind w:left="380"/>
        <w:spacing w:after="0"/>
        <w:tabs>
          <w:tab w:leader="none" w:pos="980" w:val="left"/>
          <w:tab w:leader="none" w:pos="79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 xml:space="preserve">Check if the Aggregate Amount in Row (9) Excludes Certain Shares (See Instructions)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189230</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 w:right="6360" w:hanging="620"/>
        <w:spacing w:after="0" w:line="282" w:lineRule="auto"/>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5.3%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121" w:right="239" w:bottom="0" w:gutter="0" w:footer="0" w:header="0"/>
        </w:sectPr>
      </w:pPr>
    </w:p>
    <w:p>
      <w:pPr>
        <w:spacing w:after="0" w:line="391" w:lineRule="exact"/>
        <w:rPr>
          <w:sz w:val="20"/>
          <w:szCs w:val="20"/>
          <w:color w:val="auto"/>
        </w:rPr>
      </w:pPr>
    </w:p>
    <w:p>
      <w:pPr>
        <w:ind w:left="1000" w:hanging="620"/>
        <w:spacing w:after="0"/>
        <w:tabs>
          <w:tab w:leader="none" w:pos="10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w:t>
      </w:r>
    </w:p>
    <w:p>
      <w:pPr>
        <w:sectPr>
          <w:pgSz w:w="11900" w:h="16838" w:orient="portrait"/>
          <w:cols w:equalWidth="0" w:num="1">
            <w:col w:w="11360"/>
          </w:cols>
          <w:pgMar w:left="300" w:top="121" w:right="239" w:bottom="0" w:gutter="0" w:footer="0" w:header="0"/>
          <w:type w:val="continuous"/>
        </w:sectPr>
      </w:pPr>
    </w:p>
    <w:bookmarkStart w:id="2" w:name="page3"/>
    <w:bookmarkEnd w:id="2"/>
    <w:p>
      <w:pPr>
        <w:ind w:left="106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60" w:right="3760" w:hanging="620"/>
        <w:spacing w:after="0" w:line="282" w:lineRule="auto"/>
        <w:tabs>
          <w:tab w:leader="none" w:pos="10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Aventis Inc. 23-1699163</w:t>
      </w:r>
    </w:p>
    <w:p>
      <w:pPr>
        <w:spacing w:after="0" w:line="391" w:lineRule="exact"/>
        <w:rPr>
          <w:rFonts w:ascii="Arial" w:cs="Arial" w:eastAsia="Arial" w:hAnsi="Arial"/>
          <w:sz w:val="18"/>
          <w:szCs w:val="18"/>
          <w:b w:val="1"/>
          <w:bCs w:val="1"/>
          <w:color w:val="auto"/>
        </w:rPr>
      </w:pPr>
    </w:p>
    <w:p>
      <w:pPr>
        <w:ind w:left="1060" w:hanging="620"/>
        <w:spacing w:after="0"/>
        <w:tabs>
          <w:tab w:leader="none" w:pos="10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20" w:hanging="1059"/>
        <w:spacing w:after="0"/>
        <w:tabs>
          <w:tab w:leader="none" w:pos="212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130" w:lineRule="exact"/>
        <w:rPr>
          <w:rFonts w:ascii="Arial" w:cs="Arial" w:eastAsia="Arial" w:hAnsi="Arial"/>
          <w:sz w:val="18"/>
          <w:szCs w:val="18"/>
          <w:b w:val="1"/>
          <w:bCs w:val="1"/>
          <w:color w:val="auto"/>
        </w:rPr>
      </w:pPr>
    </w:p>
    <w:p>
      <w:pPr>
        <w:ind w:left="2120" w:hanging="1059"/>
        <w:spacing w:after="0"/>
        <w:tabs>
          <w:tab w:leader="none" w:pos="212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1060" w:hanging="620"/>
        <w:spacing w:after="0"/>
        <w:tabs>
          <w:tab w:leader="none" w:pos="10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60" w:right="7560" w:hanging="620"/>
        <w:spacing w:after="0" w:line="282" w:lineRule="auto"/>
        <w:tabs>
          <w:tab w:leader="none" w:pos="10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-1805940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-1179830</wp:posOffset>
            </wp:positionV>
            <wp:extent cx="5934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-965200</wp:posOffset>
            </wp:positionV>
            <wp:extent cx="5934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-545465</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2,799,552 (2)</w:t>
            </w:r>
          </w:p>
        </w:tc>
        <w:tc>
          <w:tcPr>
            <w:tcW w:w="0" w:type="dxa"/>
            <w:vAlign w:val="bottom"/>
          </w:tcPr>
          <w:p>
            <w:pPr>
              <w:spacing w:after="0"/>
              <w:rPr>
                <w:sz w:val="1"/>
                <w:szCs w:val="1"/>
                <w:color w:val="auto"/>
              </w:rPr>
            </w:pPr>
          </w:p>
        </w:tc>
      </w:tr>
      <w:tr>
        <w:trPr>
          <w:trHeight w:val="54"/>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1280" w:type="dxa"/>
            <w:vAlign w:val="bottom"/>
            <w:vMerge w:val="continue"/>
          </w:tcPr>
          <w:p>
            <w:pPr>
              <w:spacing w:after="0"/>
              <w:rPr>
                <w:sz w:val="24"/>
                <w:szCs w:val="24"/>
                <w:color w:val="auto"/>
              </w:rPr>
            </w:pP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1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280" w:type="dxa"/>
            <w:vAlign w:val="bottom"/>
            <w:vMerge w:val="restart"/>
          </w:tcPr>
          <w:p>
            <w:pPr>
              <w:spacing w:after="0" w:line="160" w:lineRule="exact"/>
              <w:rPr>
                <w:sz w:val="20"/>
                <w:szCs w:val="20"/>
                <w:color w:val="auto"/>
              </w:rPr>
            </w:pPr>
            <w:r>
              <w:rPr>
                <w:rFonts w:ascii="Arial" w:cs="Arial" w:eastAsia="Arial" w:hAnsi="Arial"/>
                <w:sz w:val="18"/>
                <w:szCs w:val="18"/>
                <w:b w:val="1"/>
                <w:bCs w:val="1"/>
                <w:color w:val="auto"/>
              </w:rPr>
              <w:t>Beneficially</w:t>
            </w:r>
          </w:p>
        </w:tc>
        <w:tc>
          <w:tcPr>
            <w:tcW w:w="1180" w:type="dxa"/>
            <w:vAlign w:val="bottom"/>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18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2"/>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Reporting</w:t>
            </w:r>
          </w:p>
        </w:tc>
        <w:tc>
          <w:tcPr>
            <w:tcW w:w="118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2,799,552 (2)</w:t>
            </w:r>
          </w:p>
        </w:tc>
        <w:tc>
          <w:tcPr>
            <w:tcW w:w="0" w:type="dxa"/>
            <w:vAlign w:val="bottom"/>
          </w:tcPr>
          <w:p>
            <w:pPr>
              <w:spacing w:after="0"/>
              <w:rPr>
                <w:sz w:val="1"/>
                <w:szCs w:val="1"/>
                <w:color w:val="auto"/>
              </w:rPr>
            </w:pPr>
          </w:p>
        </w:tc>
      </w:tr>
      <w:tr>
        <w:trPr>
          <w:trHeight w:val="126"/>
        </w:trPr>
        <w:tc>
          <w:tcPr>
            <w:tcW w:w="1280" w:type="dxa"/>
            <w:vAlign w:val="bottom"/>
            <w:vMerge w:val="restart"/>
          </w:tcPr>
          <w:p>
            <w:pPr>
              <w:spacing w:after="0" w:line="160" w:lineRule="exact"/>
              <w:rPr>
                <w:sz w:val="20"/>
                <w:szCs w:val="20"/>
                <w:color w:val="auto"/>
              </w:rPr>
            </w:pPr>
            <w:r>
              <w:rPr>
                <w:rFonts w:ascii="Arial" w:cs="Arial" w:eastAsia="Arial" w:hAnsi="Arial"/>
                <w:sz w:val="18"/>
                <w:szCs w:val="18"/>
                <w:b w:val="1"/>
                <w:bCs w:val="1"/>
                <w:color w:val="auto"/>
              </w:rPr>
              <w:t>Person With</w:t>
            </w:r>
          </w:p>
        </w:tc>
        <w:tc>
          <w:tcPr>
            <w:tcW w:w="118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580" w:right="6880" w:hanging="911"/>
        <w:spacing w:after="0" w:line="282" w:lineRule="auto"/>
        <w:tabs>
          <w:tab w:leader="none" w:pos="258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391" w:lineRule="exact"/>
        <w:rPr>
          <w:rFonts w:ascii="Arial" w:cs="Arial" w:eastAsia="Arial" w:hAnsi="Arial"/>
          <w:sz w:val="18"/>
          <w:szCs w:val="18"/>
          <w:b w:val="1"/>
          <w:bCs w:val="1"/>
          <w:color w:val="auto"/>
        </w:rPr>
      </w:pPr>
    </w:p>
    <w:p>
      <w:pPr>
        <w:ind w:left="1060" w:right="5280" w:hanging="620"/>
        <w:spacing w:after="0" w:line="282" w:lineRule="auto"/>
        <w:tabs>
          <w:tab w:leader="none" w:pos="10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2,799,552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-545465</wp:posOffset>
            </wp:positionV>
            <wp:extent cx="5651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p>
      <w:pPr>
        <w:ind w:left="440"/>
        <w:spacing w:after="0"/>
        <w:tabs>
          <w:tab w:leader="none" w:pos="1040" w:val="left"/>
          <w:tab w:leader="none" w:pos="802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 xml:space="preserve">Check if the Aggregate Amount in Row (9) Excludes Certain Shares (See Instructions)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189230</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60" w:right="6360" w:hanging="620"/>
        <w:spacing w:after="0" w:line="282" w:lineRule="auto"/>
        <w:tabs>
          <w:tab w:leader="none" w:pos="10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5.3% (3)</w:t>
      </w:r>
    </w:p>
    <w:p>
      <w:pPr>
        <w:spacing w:after="0" w:line="391" w:lineRule="exact"/>
        <w:rPr>
          <w:rFonts w:ascii="Arial" w:cs="Arial" w:eastAsia="Arial" w:hAnsi="Arial"/>
          <w:sz w:val="18"/>
          <w:szCs w:val="18"/>
          <w:b w:val="1"/>
          <w:bCs w:val="1"/>
          <w:color w:val="auto"/>
        </w:rPr>
      </w:pPr>
    </w:p>
    <w:p>
      <w:pPr>
        <w:ind w:left="1060" w:hanging="620"/>
        <w:spacing w:after="0"/>
        <w:tabs>
          <w:tab w:leader="none" w:pos="10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6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-516890</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direct ownership of shares of Common Stock.</w:t>
      </w:r>
    </w:p>
    <w:p>
      <w:pPr>
        <w:spacing w:after="0" w:line="225" w:lineRule="exact"/>
        <w:rPr>
          <w:rFonts w:ascii="Arial" w:cs="Arial" w:eastAsia="Arial" w:hAnsi="Arial"/>
          <w:sz w:val="18"/>
          <w:szCs w:val="18"/>
          <w:color w:val="auto"/>
        </w:rPr>
      </w:pPr>
    </w:p>
    <w:p>
      <w:pPr>
        <w:ind w:left="660" w:right="280" w:hanging="652"/>
        <w:spacing w:after="0" w:line="277" w:lineRule="auto"/>
        <w:tabs>
          <w:tab w:leader="none" w:pos="6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indirect ownership of shares of Common Stock held by Aventis Pharmaceuticals Inc., a wholly owned subsidiary of Aventis Holdings Inc., which is a wholly owned subsidiary of Aventis Inc.</w:t>
      </w:r>
    </w:p>
    <w:p>
      <w:pPr>
        <w:spacing w:after="0" w:line="170" w:lineRule="exact"/>
        <w:rPr>
          <w:rFonts w:ascii="Arial" w:cs="Arial" w:eastAsia="Arial" w:hAnsi="Arial"/>
          <w:sz w:val="18"/>
          <w:szCs w:val="18"/>
          <w:color w:val="auto"/>
        </w:rPr>
      </w:pPr>
    </w:p>
    <w:p>
      <w:pPr>
        <w:ind w:left="660" w:right="460" w:hanging="652"/>
        <w:spacing w:after="0" w:line="277" w:lineRule="auto"/>
        <w:tabs>
          <w:tab w:leader="none" w:pos="6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Beneficial ownership percentages set forth herein assume that as of the date of this report there were 52,510,572 shares of Common Stock (not including the Class A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17" w:lineRule="exact"/>
        <w:rPr>
          <w:sz w:val="20"/>
          <w:szCs w:val="20"/>
          <w:color w:val="auto"/>
        </w:rPr>
      </w:pPr>
    </w:p>
    <w:p>
      <w:pPr>
        <w:ind w:left="1500" w:hanging="506"/>
        <w:spacing w:after="0"/>
        <w:tabs>
          <w:tab w:leader="none" w:pos="1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7"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Regeneron Pharmaceuticals Inc.</w:t>
      </w:r>
    </w:p>
    <w:p>
      <w:pPr>
        <w:sectPr>
          <w:pgSz w:w="11900" w:h="16838" w:orient="portrait"/>
          <w:cols w:equalWidth="0" w:num="1">
            <w:col w:w="11420"/>
          </w:cols>
          <w:pgMar w:left="240" w:top="125" w:right="239" w:bottom="0" w:gutter="0" w:footer="0" w:header="0"/>
        </w:sectPr>
      </w:pPr>
    </w:p>
    <w:bookmarkStart w:id="3" w:name="page4"/>
    <w:bookmarkEnd w:id="3"/>
    <w:p>
      <w:pPr>
        <w:ind w:left="1440" w:right="6220" w:hanging="506"/>
        <w:spacing w:after="0" w:line="261" w:lineRule="auto"/>
        <w:tabs>
          <w:tab w:leader="none" w:pos="1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777 Old Saw Mill River Road</w:t>
      </w: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Tarrytown, NY 10591-6707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333"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333"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337" w:lineRule="exact"/>
        <w:rPr>
          <w:rFonts w:ascii="Arial" w:cs="Arial" w:eastAsia="Arial" w:hAnsi="Arial"/>
          <w:sz w:val="18"/>
          <w:szCs w:val="18"/>
          <w:b w:val="1"/>
          <w:bCs w:val="1"/>
          <w:color w:val="auto"/>
        </w:rPr>
      </w:pPr>
    </w:p>
    <w:p>
      <w:pPr>
        <w:jc w:val="both"/>
        <w:ind w:left="1440" w:right="180" w:firstLine="318"/>
        <w:spacing w:after="0" w:line="264" w:lineRule="auto"/>
        <w:tabs>
          <w:tab w:leader="none" w:pos="2009" w:val="left"/>
        </w:tabs>
        <w:numPr>
          <w:ilvl w:val="1"/>
          <w:numId w:val="19"/>
        </w:numPr>
        <w:rPr>
          <w:rFonts w:ascii="Arial" w:cs="Arial" w:eastAsia="Arial" w:hAnsi="Arial"/>
          <w:sz w:val="18"/>
          <w:szCs w:val="18"/>
          <w:color w:val="auto"/>
        </w:rPr>
      </w:pPr>
      <w:r>
        <w:rPr>
          <w:rFonts w:ascii="Arial" w:cs="Arial" w:eastAsia="Arial" w:hAnsi="Arial"/>
          <w:sz w:val="18"/>
          <w:szCs w:val="18"/>
          <w:color w:val="auto"/>
        </w:rPr>
        <w:t>- (c) This Schedule is filed on behalf of Aventis Pharmaceuticals Inc. (“API”) with a principal place of business and principal office located at 300 Somerset Corporate Boulevard, Bridgewater, New Jersey 08807. API is an indirect subsidiary of Aventis S.A., a French corporation (“Aventis”) headquartered in Strasbourg, France.</w:t>
      </w:r>
    </w:p>
    <w:p>
      <w:pPr>
        <w:spacing w:after="0" w:line="73" w:lineRule="exact"/>
        <w:rPr>
          <w:sz w:val="20"/>
          <w:szCs w:val="20"/>
          <w:color w:val="auto"/>
        </w:rPr>
      </w:pPr>
    </w:p>
    <w:p>
      <w:pPr>
        <w:ind w:left="1440" w:right="300" w:firstLine="648"/>
        <w:spacing w:after="0" w:line="259" w:lineRule="auto"/>
        <w:rPr>
          <w:sz w:val="20"/>
          <w:szCs w:val="20"/>
          <w:color w:val="auto"/>
        </w:rPr>
      </w:pPr>
      <w:r>
        <w:rPr>
          <w:rFonts w:ascii="Arial" w:cs="Arial" w:eastAsia="Arial" w:hAnsi="Arial"/>
          <w:sz w:val="18"/>
          <w:szCs w:val="18"/>
          <w:color w:val="auto"/>
        </w:rPr>
        <w:t>This Schedule also is filed on behalf of Aventis Holdings Inc., a Delaware corporation (“AHI”), which owns a 100% of the equity of API. AHI also is an indirect subsidiary of Aventis. The principal place of business and principal office of AHI is 3711 Kenneth Pike, Suite 200 Greenville, Delaware 19801. AHI is filing this Schedule solely with respect to its potential deemed indirect ownership of the Issuer’s stock owned by API.</w:t>
      </w:r>
    </w:p>
    <w:p>
      <w:pPr>
        <w:spacing w:after="0" w:line="79" w:lineRule="exact"/>
        <w:rPr>
          <w:sz w:val="20"/>
          <w:szCs w:val="20"/>
          <w:color w:val="auto"/>
        </w:rPr>
      </w:pPr>
    </w:p>
    <w:p>
      <w:pPr>
        <w:ind w:left="1440" w:firstLine="648"/>
        <w:spacing w:after="0" w:line="279" w:lineRule="auto"/>
        <w:rPr>
          <w:sz w:val="20"/>
          <w:szCs w:val="20"/>
          <w:color w:val="auto"/>
        </w:rPr>
      </w:pPr>
      <w:r>
        <w:rPr>
          <w:rFonts w:ascii="Arial" w:cs="Arial" w:eastAsia="Arial" w:hAnsi="Arial"/>
          <w:sz w:val="17"/>
          <w:szCs w:val="17"/>
          <w:color w:val="auto"/>
        </w:rPr>
        <w:t>This Schedule also is filed on behalf of Aventis Inc., a Pennsylvania corporation (“AI”), which owns 100% of the equity of AHI. 100% of the equity of AI is held by Aventis, a portion of which is held directly and a portion of which is held indirectly. The principal place of business and principal office of AI is 300 Somerset Corporate Boulevard, Bridgewater, New Jersey 08807. AI is filing this Schedule solely with respect to its potential deemed indirect ownership of the Issuer’s stock owned by API.</w:t>
      </w:r>
    </w:p>
    <w:p>
      <w:pPr>
        <w:spacing w:after="0" w:line="59" w:lineRule="exact"/>
        <w:rPr>
          <w:sz w:val="20"/>
          <w:szCs w:val="20"/>
          <w:color w:val="auto"/>
        </w:rPr>
      </w:pPr>
    </w:p>
    <w:p>
      <w:pPr>
        <w:ind w:left="1440" w:right="7820" w:hanging="506"/>
        <w:spacing w:after="0" w:line="375" w:lineRule="auto"/>
        <w:tabs>
          <w:tab w:leader="none" w:pos="1440"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Title of Class of Securities </w:t>
      </w:r>
      <w:r>
        <w:rPr>
          <w:rFonts w:ascii="Arial" w:cs="Arial" w:eastAsia="Arial" w:hAnsi="Arial"/>
          <w:sz w:val="15"/>
          <w:szCs w:val="15"/>
          <w:color w:val="auto"/>
        </w:rPr>
        <w:t>Common Stock, $.001</w:t>
      </w:r>
    </w:p>
    <w:p>
      <w:pPr>
        <w:spacing w:after="0" w:line="1" w:lineRule="exact"/>
        <w:rPr>
          <w:rFonts w:ascii="Arial" w:cs="Arial" w:eastAsia="Arial" w:hAnsi="Arial"/>
          <w:sz w:val="15"/>
          <w:szCs w:val="15"/>
          <w:b w:val="1"/>
          <w:bCs w:val="1"/>
          <w:color w:val="auto"/>
        </w:rPr>
      </w:pPr>
    </w:p>
    <w:p>
      <w:pPr>
        <w:ind w:left="1440" w:right="8600" w:hanging="506"/>
        <w:spacing w:after="0" w:line="313" w:lineRule="auto"/>
        <w:tabs>
          <w:tab w:leader="none" w:pos="144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75886F107</w:t>
      </w:r>
    </w:p>
    <w:p>
      <w:pPr>
        <w:spacing w:after="0" w:line="35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440" w:hanging="506"/>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Broker or dealer registered under section 15 of the Act (15 U.S.C. 78o).</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Bank as defined in section 3(a)(6) of the Act (15 U.S.C. 78c).</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Insurance company as defined in section 3(a)(19) of the Act (15 U.S.C. 78c).</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Investment company registered under section 8 of the Investment Company Act of 1940 (15 U.S.C 80a-8).</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An investment adviser in accordance with §240.13d-1(b)(1)(ii)(E);</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An employee benefit plan or endowment fund in accordance with §240.13d-1(b)(1)(ii)(F);</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A parent holding company or control person in accordance with § 240.13d-1(b)(1)(ii)(G);</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A savings associations as defined in Section 3(b) of the Federal Deposit Insurance Act (12 U.S.C. 1813);</w:t>
      </w:r>
    </w:p>
    <w:p>
      <w:pPr>
        <w:spacing w:after="0" w:line="117" w:lineRule="exact"/>
        <w:rPr>
          <w:rFonts w:ascii="Arial" w:cs="Arial" w:eastAsia="Arial" w:hAnsi="Arial"/>
          <w:sz w:val="18"/>
          <w:szCs w:val="18"/>
          <w:b w:val="1"/>
          <w:bCs w:val="1"/>
          <w:color w:val="auto"/>
        </w:rPr>
      </w:pPr>
    </w:p>
    <w:p>
      <w:pPr>
        <w:ind w:left="2060" w:right="220" w:hanging="1126"/>
        <w:spacing w:after="0" w:line="282" w:lineRule="auto"/>
        <w:tabs>
          <w:tab w:leader="none" w:pos="1439"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]A church plan that is excluded from the definition of an investment company under section 3(c)(14) of the Investment Company Act of 1940 (15 U.S.C. 80a-3);</w:t>
      </w:r>
    </w:p>
    <w:p>
      <w:pPr>
        <w:spacing w:after="0" w:line="53" w:lineRule="exact"/>
        <w:rPr>
          <w:rFonts w:ascii="Arial" w:cs="Arial" w:eastAsia="Arial" w:hAnsi="Arial"/>
          <w:sz w:val="18"/>
          <w:szCs w:val="18"/>
          <w:b w:val="1"/>
          <w:bCs w:val="1"/>
          <w:color w:val="auto"/>
        </w:rPr>
      </w:pPr>
    </w:p>
    <w:p>
      <w:pPr>
        <w:ind w:left="1440" w:hanging="506"/>
        <w:spacing w:after="0"/>
        <w:tabs>
          <w:tab w:leader="none" w:pos="1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Group, in accordance with §240.13d-1(b)(1)(ii)(J).</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Provide the following information regarding the aggregate number and percentage of the class of securities of the issuer identified in Item 1.</w:t>
      </w:r>
    </w:p>
    <w:p>
      <w:pPr>
        <w:spacing w:after="0" w:line="140" w:lineRule="exact"/>
        <w:rPr>
          <w:sz w:val="20"/>
          <w:szCs w:val="20"/>
          <w:color w:val="auto"/>
        </w:rPr>
      </w:pPr>
    </w:p>
    <w:p>
      <w:pPr>
        <w:ind w:left="1600" w:hanging="477"/>
        <w:spacing w:after="0"/>
        <w:tabs>
          <w:tab w:leader="none" w:pos="1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2,799,552 Shares Of Common Stock.</w:t>
      </w:r>
    </w:p>
    <w:p>
      <w:pPr>
        <w:spacing w:after="0" w:line="117" w:lineRule="exact"/>
        <w:rPr>
          <w:rFonts w:ascii="Arial" w:cs="Arial" w:eastAsia="Arial" w:hAnsi="Arial"/>
          <w:sz w:val="18"/>
          <w:szCs w:val="18"/>
          <w:b w:val="1"/>
          <w:bCs w:val="1"/>
          <w:color w:val="auto"/>
        </w:rPr>
      </w:pPr>
    </w:p>
    <w:p>
      <w:pPr>
        <w:ind w:left="1600" w:hanging="477"/>
        <w:spacing w:after="0"/>
        <w:tabs>
          <w:tab w:leader="none" w:pos="1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5.3%</w:t>
      </w:r>
    </w:p>
    <w:p>
      <w:pPr>
        <w:spacing w:after="0" w:line="117" w:lineRule="exact"/>
        <w:rPr>
          <w:rFonts w:ascii="Arial" w:cs="Arial" w:eastAsia="Arial" w:hAnsi="Arial"/>
          <w:sz w:val="18"/>
          <w:szCs w:val="18"/>
          <w:b w:val="1"/>
          <w:bCs w:val="1"/>
          <w:color w:val="auto"/>
        </w:rPr>
      </w:pPr>
    </w:p>
    <w:p>
      <w:pPr>
        <w:ind w:left="1600" w:hanging="477"/>
        <w:spacing w:after="0"/>
        <w:tabs>
          <w:tab w:leader="none" w:pos="1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17" w:lineRule="exact"/>
        <w:rPr>
          <w:sz w:val="20"/>
          <w:szCs w:val="20"/>
          <w:color w:val="auto"/>
        </w:rPr>
      </w:pPr>
    </w:p>
    <w:p>
      <w:pPr>
        <w:ind w:left="1600"/>
        <w:spacing w:after="0"/>
        <w:tabs>
          <w:tab w:leader="none" w:pos="2200" w:val="left"/>
          <w:tab w:leader="none" w:pos="534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8"/>
          <w:szCs w:val="18"/>
          <w:b w:val="1"/>
          <w:bCs w:val="1"/>
          <w:color w:val="auto"/>
        </w:rPr>
        <w:t>Sole power to vote or to direct the vote</w:t>
      </w:r>
      <w:r>
        <w:rPr>
          <w:sz w:val="20"/>
          <w:szCs w:val="20"/>
          <w:color w:val="auto"/>
        </w:rPr>
        <w:tab/>
      </w:r>
      <w:r>
        <w:rPr>
          <w:rFonts w:ascii="Arial" w:cs="Arial" w:eastAsia="Arial" w:hAnsi="Arial"/>
          <w:sz w:val="16"/>
          <w:szCs w:val="16"/>
          <w:color w:val="auto"/>
        </w:rPr>
        <w:t>2,799,552</w:t>
      </w:r>
    </w:p>
    <w:p>
      <w:pPr>
        <w:spacing w:after="0" w:line="117" w:lineRule="exact"/>
        <w:rPr>
          <w:sz w:val="20"/>
          <w:szCs w:val="20"/>
          <w:color w:val="auto"/>
        </w:rPr>
      </w:pPr>
    </w:p>
    <w:p>
      <w:pPr>
        <w:ind w:left="1600"/>
        <w:spacing w:after="0"/>
        <w:tabs>
          <w:tab w:leader="none" w:pos="2200" w:val="left"/>
          <w:tab w:leader="none" w:pos="5560" w:val="left"/>
        </w:tabs>
        <w:rPr>
          <w:sz w:val="20"/>
          <w:szCs w:val="20"/>
          <w:color w:val="auto"/>
        </w:rPr>
      </w:pPr>
      <w:r>
        <w:rPr>
          <w:rFonts w:ascii="Arial" w:cs="Arial" w:eastAsia="Arial" w:hAnsi="Arial"/>
          <w:sz w:val="17"/>
          <w:szCs w:val="17"/>
          <w:b w:val="1"/>
          <w:bCs w:val="1"/>
          <w:color w:val="auto"/>
        </w:rPr>
        <w:t>(ii)</w:t>
      </w:r>
      <w:r>
        <w:rPr>
          <w:sz w:val="20"/>
          <w:szCs w:val="20"/>
          <w:color w:val="auto"/>
        </w:rPr>
        <w:tab/>
      </w:r>
      <w:r>
        <w:rPr>
          <w:rFonts w:ascii="Arial" w:cs="Arial" w:eastAsia="Arial" w:hAnsi="Arial"/>
          <w:sz w:val="17"/>
          <w:szCs w:val="17"/>
          <w:b w:val="1"/>
          <w:bCs w:val="1"/>
          <w:color w:val="auto"/>
        </w:rPr>
        <w:t>Shared power to vote or to direct the vote</w:t>
      </w:r>
      <w:r>
        <w:rPr>
          <w:sz w:val="20"/>
          <w:szCs w:val="20"/>
          <w:color w:val="auto"/>
        </w:rPr>
        <w:tab/>
      </w:r>
      <w:r>
        <w:rPr>
          <w:rFonts w:ascii="Arial" w:cs="Arial" w:eastAsia="Arial" w:hAnsi="Arial"/>
          <w:sz w:val="14"/>
          <w:szCs w:val="14"/>
          <w:color w:val="auto"/>
        </w:rPr>
        <w:t>0</w:t>
      </w:r>
    </w:p>
    <w:p>
      <w:pPr>
        <w:spacing w:after="0" w:line="129" w:lineRule="exact"/>
        <w:rPr>
          <w:sz w:val="20"/>
          <w:szCs w:val="20"/>
          <w:color w:val="auto"/>
        </w:rPr>
      </w:pPr>
    </w:p>
    <w:p>
      <w:pPr>
        <w:ind w:left="1600"/>
        <w:spacing w:after="0"/>
        <w:tabs>
          <w:tab w:leader="none" w:pos="2200" w:val="left"/>
          <w:tab w:leader="none" w:pos="62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8"/>
          <w:szCs w:val="18"/>
          <w:b w:val="1"/>
          <w:bCs w:val="1"/>
          <w:color w:val="auto"/>
        </w:rPr>
        <w:t>Sole power to dispose or to direct the disposition of</w:t>
      </w:r>
      <w:r>
        <w:rPr>
          <w:sz w:val="20"/>
          <w:szCs w:val="20"/>
          <w:color w:val="auto"/>
        </w:rPr>
        <w:tab/>
      </w:r>
      <w:r>
        <w:rPr>
          <w:rFonts w:ascii="Arial" w:cs="Arial" w:eastAsia="Arial" w:hAnsi="Arial"/>
          <w:sz w:val="16"/>
          <w:szCs w:val="16"/>
          <w:color w:val="auto"/>
        </w:rPr>
        <w:t>2,799,552</w:t>
      </w:r>
    </w:p>
    <w:p>
      <w:pPr>
        <w:spacing w:after="0" w:line="117" w:lineRule="exact"/>
        <w:rPr>
          <w:sz w:val="20"/>
          <w:szCs w:val="20"/>
          <w:color w:val="auto"/>
        </w:rPr>
      </w:pPr>
    </w:p>
    <w:p>
      <w:pPr>
        <w:ind w:left="1600"/>
        <w:spacing w:after="0"/>
        <w:tabs>
          <w:tab w:leader="none" w:pos="2200" w:val="left"/>
          <w:tab w:leader="none" w:pos="6500" w:val="left"/>
        </w:tabs>
        <w:rPr>
          <w:sz w:val="20"/>
          <w:szCs w:val="20"/>
          <w:color w:val="auto"/>
        </w:rPr>
      </w:pPr>
      <w:r>
        <w:rPr>
          <w:rFonts w:ascii="Arial" w:cs="Arial" w:eastAsia="Arial" w:hAnsi="Arial"/>
          <w:sz w:val="16"/>
          <w:szCs w:val="16"/>
          <w:b w:val="1"/>
          <w:bCs w:val="1"/>
          <w:color w:val="auto"/>
        </w:rPr>
        <w:t>(iv)</w:t>
      </w:r>
      <w:r>
        <w:rPr>
          <w:sz w:val="20"/>
          <w:szCs w:val="20"/>
          <w:color w:val="auto"/>
        </w:rPr>
        <w:tab/>
      </w:r>
      <w:r>
        <w:rPr>
          <w:rFonts w:ascii="Arial" w:cs="Arial" w:eastAsia="Arial" w:hAnsi="Arial"/>
          <w:sz w:val="16"/>
          <w:szCs w:val="16"/>
          <w:b w:val="1"/>
          <w:bCs w:val="1"/>
          <w:color w:val="auto"/>
        </w:rPr>
        <w:t>Shared power to dispose or to direct the disposition of</w:t>
      </w:r>
      <w:r>
        <w:rPr>
          <w:sz w:val="20"/>
          <w:szCs w:val="20"/>
          <w:color w:val="auto"/>
        </w:rPr>
        <w:tab/>
      </w:r>
      <w:r>
        <w:rPr>
          <w:rFonts w:ascii="Arial" w:cs="Arial" w:eastAsia="Arial" w:hAnsi="Arial"/>
          <w:sz w:val="17"/>
          <w:szCs w:val="17"/>
          <w:color w:val="auto"/>
        </w:rPr>
        <w:t>0</w:t>
      </w:r>
    </w:p>
    <w:p>
      <w:pPr>
        <w:spacing w:after="0" w:line="200" w:lineRule="exact"/>
        <w:rPr>
          <w:sz w:val="20"/>
          <w:szCs w:val="20"/>
          <w:color w:val="auto"/>
        </w:rPr>
      </w:pPr>
    </w:p>
    <w:p>
      <w:pPr>
        <w:spacing w:after="0" w:line="25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60"/>
          </w:cols>
          <w:pgMar w:left="300" w:top="121" w:right="339" w:bottom="73" w:gutter="0" w:footer="0" w:header="0"/>
        </w:sectPr>
      </w:pPr>
    </w:p>
    <w:bookmarkStart w:id="4" w:name="page5"/>
    <w:bookmarkEnd w:id="4"/>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right="8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60" w:right="20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480" w:type="dxa"/>
            <w:vAlign w:val="bottom"/>
            <w:gridSpan w:val="2"/>
          </w:tcPr>
          <w:p>
            <w:pPr>
              <w:ind w:left="1740"/>
              <w:spacing w:after="0"/>
              <w:rPr>
                <w:sz w:val="20"/>
                <w:szCs w:val="20"/>
                <w:color w:val="auto"/>
              </w:rPr>
            </w:pPr>
            <w:r>
              <w:rPr>
                <w:rFonts w:ascii="Arial" w:cs="Arial" w:eastAsia="Arial" w:hAnsi="Arial"/>
                <w:sz w:val="18"/>
                <w:szCs w:val="18"/>
                <w:color w:val="auto"/>
              </w:rPr>
              <w:t>AVENTIS PHARMACEUTICALS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80"/>
              <w:spacing w:after="0"/>
              <w:rPr>
                <w:sz w:val="20"/>
                <w:szCs w:val="20"/>
                <w:color w:val="auto"/>
              </w:rPr>
            </w:pPr>
            <w:r>
              <w:rPr>
                <w:rFonts w:ascii="Arial" w:cs="Arial" w:eastAsia="Arial" w:hAnsi="Arial"/>
                <w:sz w:val="18"/>
                <w:szCs w:val="18"/>
                <w:color w:val="auto"/>
              </w:rPr>
              <w:t>September 12, 2003</w:t>
            </w:r>
          </w:p>
        </w:tc>
        <w:tc>
          <w:tcPr>
            <w:tcW w:w="2520" w:type="dxa"/>
            <w:vAlign w:val="bottom"/>
          </w:tcPr>
          <w:p>
            <w:pPr>
              <w:ind w:left="17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Pascal Soriot</w:t>
            </w:r>
          </w:p>
        </w:tc>
      </w:tr>
      <w:tr>
        <w:trPr>
          <w:trHeight w:val="195"/>
        </w:trPr>
        <w:tc>
          <w:tcPr>
            <w:tcW w:w="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Pascal Soriot</w:t>
            </w:r>
          </w:p>
        </w:tc>
      </w:t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color w:val="auto"/>
              </w:rPr>
              <w:t>AVENTIS HOLDINGS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80"/>
              <w:spacing w:after="0"/>
              <w:rPr>
                <w:sz w:val="20"/>
                <w:szCs w:val="20"/>
                <w:color w:val="auto"/>
              </w:rPr>
            </w:pPr>
            <w:r>
              <w:rPr>
                <w:rFonts w:ascii="Arial" w:cs="Arial" w:eastAsia="Arial" w:hAnsi="Arial"/>
                <w:sz w:val="18"/>
                <w:szCs w:val="18"/>
                <w:color w:val="auto"/>
              </w:rPr>
              <w:t>September 12, 2003</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M. Palladino</w:t>
            </w:r>
          </w:p>
        </w:tc>
      </w:tr>
      <w:tr>
        <w:trPr>
          <w:trHeight w:val="195"/>
        </w:trPr>
        <w:tc>
          <w:tcPr>
            <w:tcW w:w="5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Joseph M. Palladino</w:t>
            </w:r>
          </w:p>
        </w:tc>
      </w:tr>
      <w:tr>
        <w:trPr>
          <w:trHeight w:val="230"/>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480" w:type="dxa"/>
            <w:vAlign w:val="bottom"/>
            <w:gridSpan w:val="2"/>
          </w:tcPr>
          <w:p>
            <w:pPr>
              <w:ind w:left="1740"/>
              <w:spacing w:after="0"/>
              <w:rPr>
                <w:sz w:val="20"/>
                <w:szCs w:val="20"/>
                <w:color w:val="auto"/>
              </w:rPr>
            </w:pPr>
            <w:r>
              <w:rPr>
                <w:rFonts w:ascii="Arial" w:cs="Arial" w:eastAsia="Arial" w:hAnsi="Arial"/>
                <w:sz w:val="18"/>
                <w:szCs w:val="18"/>
                <w:color w:val="auto"/>
              </w:rPr>
              <w:t>AVENTIS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80"/>
              <w:spacing w:after="0"/>
              <w:rPr>
                <w:sz w:val="20"/>
                <w:szCs w:val="20"/>
                <w:color w:val="auto"/>
              </w:rPr>
            </w:pPr>
            <w:r>
              <w:rPr>
                <w:rFonts w:ascii="Arial" w:cs="Arial" w:eastAsia="Arial" w:hAnsi="Arial"/>
                <w:sz w:val="18"/>
                <w:szCs w:val="18"/>
                <w:color w:val="auto"/>
              </w:rPr>
              <w:t>September 12, 2003</w:t>
            </w:r>
          </w:p>
        </w:tc>
        <w:tc>
          <w:tcPr>
            <w:tcW w:w="2500" w:type="dxa"/>
            <w:vAlign w:val="bottom"/>
          </w:tcPr>
          <w:p>
            <w:pPr>
              <w:ind w:left="174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P. Belle</w:t>
            </w:r>
          </w:p>
        </w:tc>
      </w:tr>
      <w:tr>
        <w:trPr>
          <w:trHeight w:val="195"/>
        </w:trPr>
        <w:tc>
          <w:tcPr>
            <w:tcW w:w="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Gerald P. Belle</w:t>
            </w:r>
          </w:p>
        </w:tc>
      </w:t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title of each person who signs the statement shall be typed or printed beneath his signature.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ectPr>
          <w:pgSz w:w="11900" w:h="16838" w:orient="portrait"/>
          <w:cols w:equalWidth="0" w:num="1">
            <w:col w:w="11420"/>
          </w:cols>
          <w:pgMar w:left="240" w:top="121" w:right="239" w:bottom="105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0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lvl w:ilvl="1">
      <w:lvlJc w:val="left"/>
      <w:lvlText w:val="(%2)"/>
      <w:numFmt w:val="lowerLetter"/>
      <w:start w:val="1"/>
    </w:lvl>
  </w:abstractNum>
  <w:abstractNum w:abstractNumId="3">
    <w:nsid w:val="3352255A"/>
    <w:multiLevelType w:val="hybridMultilevel"/>
    <w:lvl w:ilvl="0">
      <w:lvlJc w:val="left"/>
      <w:lvlText w:val="%1"/>
      <w:numFmt w:val="decimal"/>
      <w:start w:val="1"/>
    </w:lvl>
    <w:lvl w:ilvl="1">
      <w:lvlJc w:val="left"/>
      <w:lvlText w:val="%2."/>
      <w:numFmt w:val="decimal"/>
      <w:start w:val="8"/>
    </w:lvl>
  </w:abstractNum>
  <w:abstractNum w:abstractNumId="4">
    <w:nsid w:val="109CF92E"/>
    <w:multiLevelType w:val="hybridMultilevel"/>
    <w:lvl w:ilvl="0">
      <w:lvlJc w:val="left"/>
      <w:lvlText w:val="%1."/>
      <w:numFmt w:val="decimal"/>
      <w:start w:val="9"/>
    </w:lvl>
    <w:lvl w:ilvl="1">
      <w:lvlJc w:val="left"/>
      <w:lvlText w:val="%2"/>
      <w:numFmt w:val="decimal"/>
      <w:start w:val="1"/>
    </w:lvl>
  </w:abstractNum>
  <w:abstractNum w:abstractNumId="5">
    <w:nsid w:val="DED7263"/>
    <w:multiLevelType w:val="hybridMultilevel"/>
    <w:lvl w:ilvl="0">
      <w:lvlJc w:val="left"/>
      <w:lvlText w:val="%1."/>
      <w:numFmt w:val="decimal"/>
      <w:start w:val="11"/>
    </w:lvl>
  </w:abstractNum>
  <w:abstractNum w:abstractNumId="6">
    <w:nsid w:val="7FDCC233"/>
    <w:multiLevelType w:val="hybridMultilevel"/>
    <w:lvl w:ilvl="0">
      <w:lvlJc w:val="left"/>
      <w:lvlText w:val="%1."/>
      <w:numFmt w:val="decimal"/>
      <w:start w:val="1"/>
    </w:lvl>
    <w:lvl w:ilvl="1">
      <w:lvlJc w:val="left"/>
      <w:lvlText w:val="(%2)"/>
      <w:numFmt w:val="lowerLetter"/>
      <w:start w:val="1"/>
    </w:lvl>
  </w:abstractNum>
  <w:abstractNum w:abstractNumId="7">
    <w:nsid w:val="1BEFD79F"/>
    <w:multiLevelType w:val="hybridMultilevel"/>
    <w:lvl w:ilvl="0">
      <w:lvlJc w:val="left"/>
      <w:lvlText w:val="%1"/>
      <w:numFmt w:val="decimal"/>
      <w:start w:val="1"/>
    </w:lvl>
    <w:lvl w:ilvl="1">
      <w:lvlJc w:val="left"/>
      <w:lvlText w:val="%2."/>
      <w:numFmt w:val="decimal"/>
      <w:start w:val="8"/>
    </w:lvl>
  </w:abstractNum>
  <w:abstractNum w:abstractNumId="8">
    <w:nsid w:val="41A7C4C9"/>
    <w:multiLevelType w:val="hybridMultilevel"/>
    <w:lvl w:ilvl="0">
      <w:lvlJc w:val="left"/>
      <w:lvlText w:val="%1."/>
      <w:numFmt w:val="decimal"/>
      <w:start w:val="9"/>
    </w:lvl>
    <w:lvl w:ilvl="1">
      <w:lvlJc w:val="left"/>
      <w:lvlText w:val="%2"/>
      <w:numFmt w:val="decimal"/>
      <w:start w:val="1"/>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1"/>
    </w:lvl>
    <w:lvl w:ilvl="1">
      <w:lvlJc w:val="left"/>
      <w:lvlText w:val="(%2)"/>
      <w:numFmt w:val="lowerLetter"/>
      <w:start w:val="1"/>
    </w:lvl>
  </w:abstractNum>
  <w:abstractNum w:abstractNumId="12">
    <w:nsid w:val="519B500D"/>
    <w:multiLevelType w:val="hybridMultilevel"/>
    <w:lvl w:ilvl="0">
      <w:lvlJc w:val="left"/>
      <w:lvlText w:val="%1"/>
      <w:numFmt w:val="decimal"/>
      <w:start w:val="1"/>
    </w:lvl>
    <w:lvl w:ilvl="1">
      <w:lvlJc w:val="left"/>
      <w:lvlText w:val="%2."/>
      <w:numFmt w:val="decimal"/>
      <w:start w:val="8"/>
    </w:lvl>
  </w:abstractNum>
  <w:abstractNum w:abstractNumId="13">
    <w:nsid w:val="431BD7B7"/>
    <w:multiLevelType w:val="hybridMultilevel"/>
    <w:lvl w:ilvl="0">
      <w:lvlJc w:val="left"/>
      <w:lvlText w:val="%1."/>
      <w:numFmt w:val="decimal"/>
      <w:start w:val="9"/>
    </w:lvl>
    <w:lvl w:ilvl="1">
      <w:lvlJc w:val="left"/>
      <w:lvlText w:val="%2"/>
      <w:numFmt w:val="decimal"/>
      <w:start w:val="1"/>
    </w:lvl>
  </w:abstractNum>
  <w:abstractNum w:abstractNumId="14">
    <w:nsid w:val="3F2DBA31"/>
    <w:multiLevelType w:val="hybridMultilevel"/>
    <w:lvl w:ilvl="0">
      <w:lvlJc w:val="left"/>
      <w:lvlText w:val="%1."/>
      <w:numFmt w:val="decimal"/>
      <w:start w:val="1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lowerLetter"/>
      <w:start w:val="1"/>
    </w:lvl>
    <w:lvl w:ilvl="1">
      <w:lvlJc w:val="left"/>
      <w:lvlText w:val="(%2)"/>
      <w:numFmt w:val="lowerLetter"/>
      <w:start w:val="1"/>
    </w:lvl>
  </w:abstractNum>
  <w:abstractNum w:abstractNumId="19">
    <w:nsid w:val="628C895D"/>
    <w:multiLevelType w:val="hybridMultilevel"/>
    <w:lvl w:ilvl="0">
      <w:lvlJc w:val="left"/>
      <w:lvlText w:val="(%1)"/>
      <w:numFmt w:val="lowerLetter"/>
      <w:start w:val="4"/>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2019-12-20T14:35:03Z</dcterms:created>
  <dcterms:modified xsi:type="dcterms:W3CDTF">2019-12-20T14:35:03Z</dcterms:modified>
</cp:coreProperties>
</file>