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CURRENT REPORT</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 2022 (June 1, 2022)</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REGENERON PHARMACEUTICALS,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135"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5500" w:type="dxa"/>
            <w:vAlign w:val="bottom"/>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w w:val="99"/>
              </w:rPr>
              <w:t>000-19034</w:t>
            </w:r>
          </w:p>
        </w:tc>
        <w:tc>
          <w:tcPr>
            <w:tcW w:w="29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8"/>
              </w:rPr>
              <w:t>13-3444607</w:t>
            </w:r>
          </w:p>
        </w:tc>
      </w:tr>
      <w:tr>
        <w:trPr>
          <w:trHeight w:val="216"/>
        </w:trPr>
        <w:tc>
          <w:tcPr>
            <w:tcW w:w="550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9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50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9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550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9"/>
              </w:rPr>
              <w:t>777 Old Saw Mill River Road, Tarrytown, New York</w:t>
            </w:r>
          </w:p>
        </w:tc>
        <w:tc>
          <w:tcPr>
            <w:tcW w:w="29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8"/>
              </w:rPr>
              <w:t>10591-6707</w:t>
            </w:r>
          </w:p>
        </w:tc>
      </w:tr>
      <w:tr>
        <w:trPr>
          <w:trHeight w:val="238"/>
        </w:trPr>
        <w:tc>
          <w:tcPr>
            <w:tcW w:w="5500" w:type="dxa"/>
            <w:vAlign w:val="bottom"/>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90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(914) 847-7000</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2"/>
        </w:trPr>
        <w:tc>
          <w:tcPr>
            <w:tcW w:w="4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7"/>
        </w:trPr>
        <w:tc>
          <w:tcPr>
            <w:tcW w:w="4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REGN</w:t>
            </w:r>
          </w:p>
        </w:tc>
        <w:tc>
          <w:tcPr>
            <w:tcW w:w="4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8"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A&amp;R IO License and Collaboration Agreement</w:t>
      </w:r>
      <w:r>
        <w:rPr>
          <w:rFonts w:ascii="Times New Roman" w:cs="Times New Roman" w:eastAsia="Times New Roman" w:hAnsi="Times New Roman"/>
          <w:sz w:val="18"/>
          <w:szCs w:val="18"/>
          <w:color w:val="auto"/>
        </w:rPr>
        <w:t>. On June 1, 2022, Regeneron Pharmaceuticals, Inc., a New York corporation (“</w:t>
      </w:r>
      <w:r>
        <w:rPr>
          <w:rFonts w:ascii="Times New Roman" w:cs="Times New Roman" w:eastAsia="Times New Roman" w:hAnsi="Times New Roman"/>
          <w:sz w:val="18"/>
          <w:szCs w:val="18"/>
          <w:u w:val="single" w:color="auto"/>
          <w:color w:val="auto"/>
        </w:rPr>
        <w:t>Regeneron</w:t>
      </w:r>
      <w:r>
        <w:rPr>
          <w:rFonts w:ascii="Times New Roman" w:cs="Times New Roman" w:eastAsia="Times New Roman" w:hAnsi="Times New Roman"/>
          <w:sz w:val="18"/>
          <w:szCs w:val="18"/>
          <w:color w:val="auto"/>
        </w:rPr>
        <w:t>” or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Sanofi Biotechnology SAS, a société par actions simplifée organized under the laws of France (“</w:t>
      </w:r>
      <w:r>
        <w:rPr>
          <w:rFonts w:ascii="Times New Roman" w:cs="Times New Roman" w:eastAsia="Times New Roman" w:hAnsi="Times New Roman"/>
          <w:sz w:val="18"/>
          <w:szCs w:val="18"/>
          <w:u w:val="single" w:color="auto"/>
          <w:color w:val="auto"/>
        </w:rPr>
        <w:t>Sanofi Biotechnology</w:t>
      </w:r>
      <w:r>
        <w:rPr>
          <w:rFonts w:ascii="Times New Roman" w:cs="Times New Roman" w:eastAsia="Times New Roman" w:hAnsi="Times New Roman"/>
          <w:sz w:val="18"/>
          <w:szCs w:val="18"/>
          <w:color w:val="auto"/>
        </w:rPr>
        <w:t>”), entered into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Amended and Restated Immuno-Oncology License and Collaboration Agreement (the “</w:t>
      </w:r>
      <w:r>
        <w:rPr>
          <w:rFonts w:ascii="Times New Roman" w:cs="Times New Roman" w:eastAsia="Times New Roman" w:hAnsi="Times New Roman"/>
          <w:sz w:val="17"/>
          <w:szCs w:val="17"/>
          <w:u w:val="single" w:color="auto"/>
          <w:color w:val="auto"/>
        </w:rPr>
        <w:t>A&amp;R IO LCA</w:t>
      </w:r>
      <w:r>
        <w:rPr>
          <w:rFonts w:ascii="Times New Roman" w:cs="Times New Roman" w:eastAsia="Times New Roman" w:hAnsi="Times New Roman"/>
          <w:sz w:val="17"/>
          <w:szCs w:val="17"/>
          <w:color w:val="auto"/>
        </w:rPr>
        <w:t>”), which amends the Immuno-Oncology License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 Agreement, dated as of July 1, 2015 and executed as of July 27, 2015 (as amended), by and between the Company and Sanofi Biotechnology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Original IO LCA</w:t>
      </w:r>
      <w:r>
        <w:rPr>
          <w:rFonts w:ascii="Times New Roman" w:cs="Times New Roman" w:eastAsia="Times New Roman" w:hAnsi="Times New Roman"/>
          <w:sz w:val="18"/>
          <w:szCs w:val="18"/>
          <w:color w:val="auto"/>
        </w:rPr>
        <w:t>”). The A&amp;R IO LCA is subject to and will become effective on the first day of the first month following receipt of all necessary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authorizations and expiration of all necessary waiting periods applicable to the consummation of the A&amp;R IO LCA (such date, the “</w:t>
      </w:r>
      <w:r>
        <w:rPr>
          <w:rFonts w:ascii="Times New Roman" w:cs="Times New Roman" w:eastAsia="Times New Roman" w:hAnsi="Times New Roman"/>
          <w:sz w:val="18"/>
          <w:szCs w:val="18"/>
          <w:u w:val="single" w:color="auto"/>
          <w:color w:val="auto"/>
        </w:rPr>
        <w:t>A&amp;R Effective Date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firstLine="324"/>
        <w:spacing w:after="0" w:line="239" w:lineRule="auto"/>
        <w:rPr>
          <w:sz w:val="20"/>
          <w:szCs w:val="20"/>
          <w:color w:val="auto"/>
        </w:rPr>
      </w:pPr>
      <w:r>
        <w:rPr>
          <w:rFonts w:ascii="Times New Roman" w:cs="Times New Roman" w:eastAsia="Times New Roman" w:hAnsi="Times New Roman"/>
          <w:sz w:val="18"/>
          <w:szCs w:val="18"/>
          <w:color w:val="auto"/>
        </w:rPr>
        <w:t>The Original IO LCA provides for Regeneron and Sanofi Biotechnology to collaborate on the development and commercialization of certain immuno-oncology products, including Libtayo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(cemiplimab). From and after the A&amp;R Effective Date, Regeneron will have the sole right to develop and commercialize Libtayo worldwide and no other products will be subject to the A&amp;R IO LCA; and Regeneron will also obtain a license under certain intellectual property rights of Sanofi Biotechnology to develop and commercialize Libtayo worldwide and Sanofi Biotechnology will transfer to Regeneron certain regulatory, promotional, and other rights relating to the commercialization of Libtayo outside the United States. The parties have also entered into a transition services agreement, a transitional distribution agreement, and a manufacturing services agreement, pursuant to which, during certain transitional periods, Sanofi Biotechnology will perform for Regeneron certain transition, distribution, and manufacturing services, respectively.</w:t>
      </w:r>
    </w:p>
    <w:p>
      <w:pPr>
        <w:spacing w:after="0" w:line="200" w:lineRule="exact"/>
        <w:rPr>
          <w:sz w:val="20"/>
          <w:szCs w:val="20"/>
          <w:color w:val="auto"/>
        </w:rPr>
      </w:pPr>
    </w:p>
    <w:p>
      <w:pPr>
        <w:ind w:right="240" w:firstLine="324"/>
        <w:spacing w:after="0" w:line="254" w:lineRule="auto"/>
        <w:rPr>
          <w:sz w:val="20"/>
          <w:szCs w:val="20"/>
          <w:color w:val="auto"/>
        </w:rPr>
      </w:pPr>
      <w:r>
        <w:rPr>
          <w:rFonts w:ascii="Times New Roman" w:cs="Times New Roman" w:eastAsia="Times New Roman" w:hAnsi="Times New Roman"/>
          <w:sz w:val="18"/>
          <w:szCs w:val="18"/>
          <w:color w:val="auto"/>
        </w:rPr>
        <w:t>Under the A&amp;R IO LCA, the quarterly period ended March 31, 2022 is the last quarter for which Sanofi Biotechnology and Regeneron share net profits and losses for Libtayo under the Original IO LCA. From and after April 1, 2022 (after giving effect to certain true-up payments as set forth in the A&amp;R IO LCA), Regeneron will be entitled to all profits from Libtayo and will pay Sanofi Biotechnology an 11% royalty on net product sales of Libtayo through March 31, 2034. In addition, the A&amp;R IO LCA provides for the following payments by Regeneron to Sanofi Biotechnology: (i) a $900 million upfront payment, payable within 10 business days after the A&amp;R Effective Date; (ii) a $100 million development milestone payment upon the first marketing approval from the U.S. Food and Drug Administration or the European Commission of Libtayo in non-small cell lung cancer in combination with chemotherapy; and (iii) sales milestone payments of up to $100 million in the aggregate upon achieving certain amounts of worldwide net product sales of Libtayo in 2022 or 2023.</w:t>
      </w:r>
    </w:p>
    <w:p>
      <w:pPr>
        <w:spacing w:after="0" w:line="19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Under the A&amp;R IO LCA, the amount of development costs incurred under the Original IO LCA for which Regeneron is obligated to reimburse Sanofi Biotechnology is $35 million. Regeneron will reimburse Sanofi Biotechnology for such development costs by paying Sanofi a 0.5% royalty on Regeneron’s net product sales of Libtayo until Regeneron has reimbursed Sanofi Biotechnology for all such development costs.</w:t>
      </w:r>
    </w:p>
    <w:p>
      <w:pPr>
        <w:spacing w:after="0" w:line="174"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Fifth Amendment to Antibody LCA. </w:t>
      </w:r>
      <w:r>
        <w:rPr>
          <w:rFonts w:ascii="Times New Roman" w:cs="Times New Roman" w:eastAsia="Times New Roman" w:hAnsi="Times New Roman"/>
          <w:sz w:val="18"/>
          <w:szCs w:val="18"/>
          <w:color w:val="auto"/>
        </w:rPr>
        <w:t>On June 1, 2022, Regeneron, Sanofi Biotechnology, and Sanofi, a société anonyme organized under the laws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France (“</w:t>
      </w:r>
      <w:r>
        <w:rPr>
          <w:rFonts w:ascii="Times New Roman" w:cs="Times New Roman" w:eastAsia="Times New Roman" w:hAnsi="Times New Roman"/>
          <w:sz w:val="18"/>
          <w:szCs w:val="18"/>
          <w:u w:val="single" w:color="auto"/>
          <w:color w:val="auto"/>
        </w:rPr>
        <w:t>Sanofi Parent</w:t>
      </w:r>
      <w:r>
        <w:rPr>
          <w:rFonts w:ascii="Times New Roman" w:cs="Times New Roman" w:eastAsia="Times New Roman" w:hAnsi="Times New Roman"/>
          <w:sz w:val="18"/>
          <w:szCs w:val="18"/>
          <w:color w:val="auto"/>
        </w:rPr>
        <w:t>”), entered into the Fifth Amendment to Amended and Restated License and Collaboration Agreement (the “</w:t>
      </w:r>
      <w:r>
        <w:rPr>
          <w:rFonts w:ascii="Times New Roman" w:cs="Times New Roman" w:eastAsia="Times New Roman" w:hAnsi="Times New Roman"/>
          <w:sz w:val="18"/>
          <w:szCs w:val="18"/>
          <w:u w:val="single" w:color="auto"/>
          <w:color w:val="auto"/>
        </w:rPr>
        <w:t>Fifth Amendment</w:t>
      </w:r>
      <w:r>
        <w:rPr>
          <w:rFonts w:ascii="Times New Roman" w:cs="Times New Roman" w:eastAsia="Times New Roman" w:hAnsi="Times New Roman"/>
          <w:sz w:val="18"/>
          <w:szCs w:val="18"/>
          <w:color w:val="auto"/>
        </w:rPr>
        <w:t>”), which amends the Amended and Restated License and Collaboration Agreement, dated as of November 10, 2009 (as amended), by and between the Company, Sanofi Biotechnology (as successor in interest to Aventis Pharmaceuticals Inc.) and Sanofi Parent (the “</w:t>
      </w:r>
      <w:r>
        <w:rPr>
          <w:rFonts w:ascii="Times New Roman" w:cs="Times New Roman" w:eastAsia="Times New Roman" w:hAnsi="Times New Roman"/>
          <w:sz w:val="18"/>
          <w:szCs w:val="18"/>
          <w:u w:val="single" w:color="auto"/>
          <w:color w:val="auto"/>
        </w:rPr>
        <w:t>Antibody LCA</w:t>
      </w:r>
      <w:r>
        <w:rPr>
          <w:rFonts w:ascii="Times New Roman" w:cs="Times New Roman" w:eastAsia="Times New Roman" w:hAnsi="Times New Roman"/>
          <w:sz w:val="18"/>
          <w:szCs w:val="18"/>
          <w:color w:val="auto"/>
        </w:rPr>
        <w:t>”) and will become effective on the A&amp;R Effective Date. Pursuant to the Fifth Amendment, the parties amended the Antibody LCA, among other matters, to, from and after April 1, 2022, increase from 10% to 20% the percentage of Regeneron’s share of profits used to reimburse Sanofi Biotechnology for the remaining development costs incurred under the Antibody LCA subject to reimbursement by Regeneron.</w:t>
      </w:r>
    </w:p>
    <w:p>
      <w:pPr>
        <w:spacing w:after="0" w:line="185"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A&amp;R IO LCA and the Fifth Amendment is qualified in its entirety by reference to the full text of the A&amp;R IO LCA and the Fifth Amendment, a copy of each of which will be filed with the U.S. Securities and Exchange Commission as an exhibit to the Quarterly Report on Form 10-Q to be filed by the Company for the quarterly period ending June 30, 2022.</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Note Regarding Forward-Looking Statements</w:t>
      </w:r>
    </w:p>
    <w:p>
      <w:pPr>
        <w:spacing w:after="0" w:line="227"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7"/>
          <w:szCs w:val="17"/>
          <w:i w:val="1"/>
          <w:iCs w:val="1"/>
          <w:color w:val="auto"/>
        </w:rPr>
        <w:t>This Current Report on Form 8-K (this “</w:t>
      </w:r>
      <w:r>
        <w:rPr>
          <w:rFonts w:ascii="Times New Roman" w:cs="Times New Roman" w:eastAsia="Times New Roman" w:hAnsi="Times New Roman"/>
          <w:sz w:val="17"/>
          <w:szCs w:val="17"/>
          <w:i w:val="1"/>
          <w:iCs w:val="1"/>
          <w:u w:val="single" w:color="auto"/>
          <w:color w:val="auto"/>
        </w:rPr>
        <w:t>Report</w:t>
      </w:r>
      <w:r>
        <w:rPr>
          <w:rFonts w:ascii="Times New Roman" w:cs="Times New Roman" w:eastAsia="Times New Roman" w:hAnsi="Times New Roman"/>
          <w:sz w:val="17"/>
          <w:szCs w:val="17"/>
          <w:i w:val="1"/>
          <w:iCs w:val="1"/>
          <w:color w:val="auto"/>
        </w:rPr>
        <w:t>”)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Risks that may cause these forward-looking statements to be inaccurate include, among others: risks related to the satisfaction or waiver of the conditions to closing the proposed restructuring (the “</w:t>
      </w:r>
      <w:r>
        <w:rPr>
          <w:rFonts w:ascii="Times New Roman" w:cs="Times New Roman" w:eastAsia="Times New Roman" w:hAnsi="Times New Roman"/>
          <w:sz w:val="17"/>
          <w:szCs w:val="17"/>
          <w:i w:val="1"/>
          <w:iCs w:val="1"/>
          <w:u w:val="single" w:color="auto"/>
          <w:color w:val="auto"/>
        </w:rPr>
        <w:t>Proposed Restructuring</w:t>
      </w:r>
      <w:r>
        <w:rPr>
          <w:rFonts w:ascii="Times New Roman" w:cs="Times New Roman" w:eastAsia="Times New Roman" w:hAnsi="Times New Roman"/>
          <w:sz w:val="17"/>
          <w:szCs w:val="17"/>
          <w:i w:val="1"/>
          <w:iCs w:val="1"/>
          <w:color w:val="auto"/>
        </w:rPr>
        <w:t>”) of the Company’s Immuno-oncology Collaboration with Sanofi</w:t>
      </w:r>
    </w:p>
    <w:p>
      <w:pPr>
        <w:spacing w:after="0" w:line="2"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i w:val="1"/>
          <w:iCs w:val="1"/>
          <w:color w:val="auto"/>
        </w:rPr>
        <w:t>related to Libtayo</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(cemiplimab) (including the failure to obtain necessary regulatory approvals) in the anticipated timeframe or at all; risks related to the Company’s ability to realize the anticipated benefits of the Proposed Restructuring, including the possibility that the expected benefits from the Proposed Restructuring will not be realized or will not be realized within the expected time period; and the impact of the Proposed Restructuring on Regeneron’s business, operating results, and financial condition, as well as effects of this announcement or the consummation of the Proposed Restructuring on the market price of the Company’s common stock. Any forward-looking statements are made based on management’s current beliefs and judgment, and the reader is cautioned not to rely on any forward-looking statements made by Regeneron. Regeneron does not undertake any obligation to update (publicly or otherwise) any forward-looking statement, including without limitation any financial projection or guidance, whether as a result of new information, future events, or otherwise.</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Joseph J. LaRosa</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 2022</w:t>
      </w:r>
    </w:p>
    <w:p>
      <w:pPr>
        <w:spacing w:after="0" w:line="2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2022-06-02T06:38:49Z</dcterms:created>
  <dcterms:modified xsi:type="dcterms:W3CDTF">2022-06-02T06:38:49Z</dcterms:modified>
</cp:coreProperties>
</file>