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6151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51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3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jc w:val="center"/>
              <w:ind w:right="5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816.58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19,140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817.49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19,127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818.47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19,100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819.48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820.55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821.61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822.37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823.34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 adopted on August 4, 2022.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 shares of Company stock on April 3, 2023 at prices ranging from $816.15 to $816.90. Upon request by the Commission staff, the Company, or a security holder of the Company, the reporting person will provide full information regarding the number of shares sold by the reporting person on April 3, 2023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13 shares of Company stock on April 3, 2023 at prices ranging from $817.01 to $817.90. Upon request by the Commission staff, the Company, or a security holder of the Company, the reporting person will provide full information regarding the number of shares sold by the reporting person on April 3, 2023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27 shares of Company stock on April 3, 2023 at prices ranging from $818.04 to $818.94. Upon request by the Commission staff, the Company, or a security holder of the Company, the reporting person will provide full information regarding the number of shares sold by the reporting person on April 3, 2023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32 shares of Company stock on April 3, 2023 at prices ranging from $819.01 to $819.94. Upon request by the Commission staff, the Company, or a security holder of the Company, the reporting person will provide full information regarding the number of shares sold by the reporting person on April 3, 2023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 shares of Company stock on April 3, 2023 at prices ranging from $820.22 to $820.93. Upon request by the Commission staff, the Company, or a security holder of the Company, the reporting person will provide full information regarding the number of shares sold by the reporting person on April 3, 2023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9 shares of Company stock on April 3, 2023 at prices ranging from $822.06 to $822.71. Upon request by the Commission staff, the Company, or a security holder of the Company, the reporting person will provide full information regarding the number of shares sold by the reporting person on April 3, 2023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6 shares of Company stock on April 3, 2023 at prices ranging from $823.11 to $823.70. Upon request by the Commission staff, the Company, or a security holder of the Company, the reporting person will provide full information regarding the number of shares sold by the reporting person on April 3, 2023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04/05/2023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3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2023-04-05T15:10:18Z</dcterms:created>
  <dcterms:modified xsi:type="dcterms:W3CDTF">2023-04-05T15:10:18Z</dcterms:modified>
</cp:coreProperties>
</file>