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35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352540"/>
                    </a:xfrm>
                    <a:prstGeom prst="rect">
                      <a:avLst/>
                    </a:prstGeom>
                    <a:noFill/>
                  </pic:spPr>
                </pic:pic>
              </a:graphicData>
            </a:graphic>
          </wp:anchor>
        </w:drawing>
      </w:r>
    </w:p>
    <w:p>
      <w:pPr>
        <w:sectPr>
          <w:pgSz w:w="11900" w:h="16838" w:orient="portrait"/>
          <w:cols w:equalWidth="0" w:num="1">
            <w:col w:w="10940"/>
          </w:cols>
          <w:pgMar w:left="480" w:top="230" w:right="479" w:bottom="82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Pitofsky Jason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02/06/2024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REGENERON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82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9"/>
              </w:rPr>
              <w:t>777 OLD SAW MILL RIVER ROAD</w:t>
            </w: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TARRYTOWN NY</w:t>
            </w:r>
          </w:p>
        </w:tc>
        <w:tc>
          <w:tcPr>
            <w:tcW w:w="1260" w:type="dxa"/>
            <w:vAlign w:val="bottom"/>
          </w:tcPr>
          <w:p>
            <w:pPr>
              <w:jc w:val="right"/>
              <w:ind w:right="337"/>
              <w:spacing w:after="0"/>
              <w:rPr>
                <w:sz w:val="20"/>
                <w:szCs w:val="20"/>
                <w:color w:val="auto"/>
              </w:rPr>
            </w:pPr>
            <w:r>
              <w:rPr>
                <w:rFonts w:ascii="Times New Roman" w:cs="Times New Roman" w:eastAsia="Times New Roman" w:hAnsi="Times New Roman"/>
                <w:sz w:val="20"/>
                <w:szCs w:val="20"/>
                <w:color w:val="0000FF"/>
              </w:rPr>
              <w:t>10591</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Vice President, Controller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82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jc w:val="center"/>
              <w:ind w:left="91"/>
              <w:spacing w:after="0"/>
              <w:rPr>
                <w:sz w:val="20"/>
                <w:szCs w:val="20"/>
                <w:color w:val="auto"/>
              </w:rPr>
            </w:pPr>
            <w:r>
              <w:rPr>
                <w:rFonts w:ascii="Times New Roman" w:cs="Times New Roman" w:eastAsia="Times New Roman" w:hAnsi="Times New Roman"/>
                <w:sz w:val="20"/>
                <w:szCs w:val="20"/>
                <w:color w:val="0000FF"/>
                <w:w w:val="93"/>
              </w:rPr>
              <w:t>4,204</w:t>
            </w:r>
            <w:r>
              <w:rPr>
                <w:rFonts w:ascii="Times New Roman" w:cs="Times New Roman" w:eastAsia="Times New Roman" w:hAnsi="Times New Roman"/>
                <w:sz w:val="25"/>
                <w:szCs w:val="25"/>
                <w:color w:val="008000"/>
                <w:w w:val="93"/>
                <w:vertAlign w:val="superscript"/>
              </w:rPr>
              <w:t>(1)</w:t>
            </w:r>
          </w:p>
        </w:tc>
        <w:tc>
          <w:tcPr>
            <w:tcW w:w="10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00" w:type="dxa"/>
            <w:vAlign w:val="bottom"/>
            <w:gridSpan w:val="8"/>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3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58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Non-Qualified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6"/>
              </w:rPr>
              <w:t>12/11/2029</w:t>
            </w:r>
          </w:p>
        </w:tc>
        <w:tc>
          <w:tcPr>
            <w:tcW w:w="1620" w:type="dxa"/>
            <w:vAlign w:val="bottom"/>
            <w:vMerge w:val="restart"/>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vMerge w:val="restart"/>
          </w:tcPr>
          <w:p>
            <w:pPr>
              <w:jc w:val="center"/>
              <w:ind w:left="132"/>
              <w:spacing w:after="0"/>
              <w:rPr>
                <w:sz w:val="20"/>
                <w:szCs w:val="20"/>
                <w:color w:val="auto"/>
              </w:rPr>
            </w:pPr>
            <w:r>
              <w:rPr>
                <w:rFonts w:ascii="Times New Roman" w:cs="Times New Roman" w:eastAsia="Times New Roman" w:hAnsi="Times New Roman"/>
                <w:sz w:val="20"/>
                <w:szCs w:val="20"/>
                <w:color w:val="0000FF"/>
                <w:w w:val="99"/>
              </w:rPr>
              <w:t>487</w:t>
            </w:r>
          </w:p>
        </w:tc>
        <w:tc>
          <w:tcPr>
            <w:tcW w:w="40" w:type="dxa"/>
            <w:vAlign w:val="bottom"/>
          </w:tcPr>
          <w:p>
            <w:pPr>
              <w:spacing w:after="0"/>
              <w:rPr>
                <w:sz w:val="24"/>
                <w:szCs w:val="24"/>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20"/>
                <w:szCs w:val="20"/>
                <w:color w:val="0000FF"/>
                <w:w w:val="98"/>
              </w:rPr>
              <w:t>372.46</w:t>
            </w:r>
          </w:p>
        </w:tc>
        <w:tc>
          <w:tcPr>
            <w:tcW w:w="240" w:type="dxa"/>
            <w:vAlign w:val="bottom"/>
          </w:tcPr>
          <w:p>
            <w:pPr>
              <w:spacing w:after="0"/>
              <w:rPr>
                <w:sz w:val="24"/>
                <w:szCs w:val="24"/>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Non-Qualified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12/09/2030</w:t>
            </w:r>
          </w:p>
        </w:tc>
        <w:tc>
          <w:tcPr>
            <w:tcW w:w="1620" w:type="dxa"/>
            <w:vAlign w:val="bottom"/>
            <w:vMerge w:val="restart"/>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vMerge w:val="restart"/>
          </w:tcPr>
          <w:p>
            <w:pPr>
              <w:jc w:val="center"/>
              <w:ind w:left="152"/>
              <w:spacing w:after="0"/>
              <w:rPr>
                <w:sz w:val="20"/>
                <w:szCs w:val="20"/>
                <w:color w:val="auto"/>
              </w:rPr>
            </w:pPr>
            <w:r>
              <w:rPr>
                <w:rFonts w:ascii="Times New Roman" w:cs="Times New Roman" w:eastAsia="Times New Roman" w:hAnsi="Times New Roman"/>
                <w:sz w:val="20"/>
                <w:szCs w:val="20"/>
                <w:color w:val="0000FF"/>
                <w:w w:val="97"/>
              </w:rPr>
              <w:t>1,905</w:t>
            </w:r>
          </w:p>
        </w:tc>
        <w:tc>
          <w:tcPr>
            <w:tcW w:w="40" w:type="dxa"/>
            <w:vAlign w:val="bottom"/>
          </w:tcPr>
          <w:p>
            <w:pPr>
              <w:spacing w:after="0"/>
              <w:rPr>
                <w:sz w:val="24"/>
                <w:szCs w:val="24"/>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20"/>
                <w:szCs w:val="20"/>
                <w:color w:val="0000FF"/>
                <w:w w:val="99"/>
              </w:rPr>
              <w:t>492</w:t>
            </w:r>
          </w:p>
        </w:tc>
        <w:tc>
          <w:tcPr>
            <w:tcW w:w="240" w:type="dxa"/>
            <w:vAlign w:val="bottom"/>
          </w:tcPr>
          <w:p>
            <w:pPr>
              <w:spacing w:after="0"/>
              <w:rPr>
                <w:sz w:val="24"/>
                <w:szCs w:val="24"/>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Non-Qualified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12/08/2031</w:t>
            </w:r>
          </w:p>
        </w:tc>
        <w:tc>
          <w:tcPr>
            <w:tcW w:w="1620" w:type="dxa"/>
            <w:vAlign w:val="bottom"/>
            <w:vMerge w:val="restart"/>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vMerge w:val="restart"/>
          </w:tcPr>
          <w:p>
            <w:pPr>
              <w:jc w:val="center"/>
              <w:ind w:left="152"/>
              <w:spacing w:after="0"/>
              <w:rPr>
                <w:sz w:val="20"/>
                <w:szCs w:val="20"/>
                <w:color w:val="auto"/>
              </w:rPr>
            </w:pPr>
            <w:r>
              <w:rPr>
                <w:rFonts w:ascii="Times New Roman" w:cs="Times New Roman" w:eastAsia="Times New Roman" w:hAnsi="Times New Roman"/>
                <w:sz w:val="20"/>
                <w:szCs w:val="20"/>
                <w:color w:val="0000FF"/>
                <w:w w:val="97"/>
              </w:rPr>
              <w:t>1,978</w:t>
            </w:r>
          </w:p>
        </w:tc>
        <w:tc>
          <w:tcPr>
            <w:tcW w:w="40" w:type="dxa"/>
            <w:vAlign w:val="bottom"/>
          </w:tcPr>
          <w:p>
            <w:pPr>
              <w:spacing w:after="0"/>
              <w:rPr>
                <w:sz w:val="24"/>
                <w:szCs w:val="24"/>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20"/>
                <w:szCs w:val="20"/>
                <w:color w:val="0000FF"/>
                <w:w w:val="98"/>
              </w:rPr>
              <w:t>644.54</w:t>
            </w:r>
          </w:p>
        </w:tc>
        <w:tc>
          <w:tcPr>
            <w:tcW w:w="240" w:type="dxa"/>
            <w:vAlign w:val="bottom"/>
          </w:tcPr>
          <w:p>
            <w:pPr>
              <w:spacing w:after="0"/>
              <w:rPr>
                <w:sz w:val="24"/>
                <w:szCs w:val="24"/>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Non-Qualified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12/16/2032</w:t>
            </w:r>
          </w:p>
        </w:tc>
        <w:tc>
          <w:tcPr>
            <w:tcW w:w="1620" w:type="dxa"/>
            <w:vAlign w:val="bottom"/>
            <w:vMerge w:val="restart"/>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vMerge w:val="restart"/>
          </w:tcPr>
          <w:p>
            <w:pPr>
              <w:jc w:val="center"/>
              <w:ind w:left="152"/>
              <w:spacing w:after="0"/>
              <w:rPr>
                <w:sz w:val="20"/>
                <w:szCs w:val="20"/>
                <w:color w:val="auto"/>
              </w:rPr>
            </w:pPr>
            <w:r>
              <w:rPr>
                <w:rFonts w:ascii="Times New Roman" w:cs="Times New Roman" w:eastAsia="Times New Roman" w:hAnsi="Times New Roman"/>
                <w:sz w:val="20"/>
                <w:szCs w:val="20"/>
                <w:color w:val="0000FF"/>
                <w:w w:val="97"/>
              </w:rPr>
              <w:t>3,978</w:t>
            </w:r>
          </w:p>
        </w:tc>
        <w:tc>
          <w:tcPr>
            <w:tcW w:w="40" w:type="dxa"/>
            <w:vAlign w:val="bottom"/>
          </w:tcPr>
          <w:p>
            <w:pPr>
              <w:spacing w:after="0"/>
              <w:rPr>
                <w:sz w:val="24"/>
                <w:szCs w:val="24"/>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20"/>
                <w:szCs w:val="20"/>
                <w:color w:val="0000FF"/>
                <w:w w:val="98"/>
              </w:rPr>
              <w:t>726.53</w:t>
            </w:r>
          </w:p>
        </w:tc>
        <w:tc>
          <w:tcPr>
            <w:tcW w:w="240" w:type="dxa"/>
            <w:vAlign w:val="bottom"/>
          </w:tcPr>
          <w:p>
            <w:pPr>
              <w:spacing w:after="0"/>
              <w:rPr>
                <w:sz w:val="24"/>
                <w:szCs w:val="24"/>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Non-Qualified Stock Option (right to</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rPr>
              <w:t>12/08/2033</w:t>
            </w:r>
          </w:p>
        </w:tc>
        <w:tc>
          <w:tcPr>
            <w:tcW w:w="1620" w:type="dxa"/>
            <w:vAlign w:val="bottom"/>
            <w:vMerge w:val="restart"/>
          </w:tcPr>
          <w:p>
            <w:pPr>
              <w:jc w:val="center"/>
              <w:ind w:left="151"/>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vMerge w:val="restart"/>
          </w:tcPr>
          <w:p>
            <w:pPr>
              <w:jc w:val="center"/>
              <w:ind w:left="152"/>
              <w:spacing w:after="0"/>
              <w:rPr>
                <w:sz w:val="20"/>
                <w:szCs w:val="20"/>
                <w:color w:val="auto"/>
              </w:rPr>
            </w:pPr>
            <w:r>
              <w:rPr>
                <w:rFonts w:ascii="Times New Roman" w:cs="Times New Roman" w:eastAsia="Times New Roman" w:hAnsi="Times New Roman"/>
                <w:sz w:val="20"/>
                <w:szCs w:val="20"/>
                <w:color w:val="0000FF"/>
                <w:w w:val="97"/>
              </w:rPr>
              <w:t>3,264</w:t>
            </w:r>
          </w:p>
        </w:tc>
        <w:tc>
          <w:tcPr>
            <w:tcW w:w="40" w:type="dxa"/>
            <w:vAlign w:val="bottom"/>
          </w:tcPr>
          <w:p>
            <w:pPr>
              <w:spacing w:after="0"/>
              <w:rPr>
                <w:sz w:val="24"/>
                <w:szCs w:val="24"/>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20"/>
                <w:szCs w:val="20"/>
                <w:color w:val="0000FF"/>
                <w:w w:val="98"/>
              </w:rPr>
              <w:t>843.79</w:t>
            </w:r>
          </w:p>
        </w:tc>
        <w:tc>
          <w:tcPr>
            <w:tcW w:w="240" w:type="dxa"/>
            <w:vAlign w:val="bottom"/>
          </w:tcPr>
          <w:p>
            <w:pPr>
              <w:spacing w:after="0"/>
              <w:rPr>
                <w:sz w:val="24"/>
                <w:szCs w:val="24"/>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500" w:type="dxa"/>
            <w:vAlign w:val="bottom"/>
            <w:gridSpan w:val="8"/>
          </w:tcPr>
          <w:p>
            <w:pPr>
              <w:ind w:left="20"/>
              <w:spacing w:after="0"/>
              <w:rPr>
                <w:sz w:val="20"/>
                <w:szCs w:val="20"/>
                <w:color w:val="auto"/>
              </w:rPr>
            </w:pPr>
            <w:r>
              <w:rPr>
                <w:rFonts w:ascii="Times New Roman" w:cs="Times New Roman" w:eastAsia="Times New Roman" w:hAnsi="Times New Roman"/>
                <w:sz w:val="15"/>
                <w:szCs w:val="15"/>
                <w:color w:val="008000"/>
              </w:rPr>
              <w:t>1. Consists of awards of restricted stock under the Second Amended and Restated 2014 Long-Term Incentive Plan or its predecessor.</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560" w:type="dxa"/>
            <w:vAlign w:val="bottom"/>
            <w:gridSpan w:val="6"/>
          </w:tcPr>
          <w:p>
            <w:pPr>
              <w:ind w:left="20"/>
              <w:spacing w:after="0"/>
              <w:rPr>
                <w:sz w:val="20"/>
                <w:szCs w:val="20"/>
                <w:color w:val="auto"/>
              </w:rPr>
            </w:pPr>
            <w:r>
              <w:rPr>
                <w:rFonts w:ascii="Times New Roman" w:cs="Times New Roman" w:eastAsia="Times New Roman" w:hAnsi="Times New Roman"/>
                <w:sz w:val="15"/>
                <w:szCs w:val="15"/>
                <w:color w:val="008000"/>
              </w:rPr>
              <w:t>2. The stock option award vests in four equal annual installments, commencing one year after the date of grant.</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Jason Pitofsky</w:t>
            </w: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02/08/2024</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82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Leonard S. Schleifer, Christopher Fenimore, Joseph J. LaRosa, Richard Gluckselig, Joseph Skrokov, and Mark Montaruli, signing singly, as the undersigned’s true and lawful attorney-in-fact to:</w:t>
      </w:r>
    </w:p>
    <w:p>
      <w:pPr>
        <w:spacing w:after="0" w:line="196" w:lineRule="exact"/>
        <w:rPr>
          <w:sz w:val="20"/>
          <w:szCs w:val="20"/>
          <w:color w:val="auto"/>
        </w:rPr>
      </w:pPr>
    </w:p>
    <w:p>
      <w:pPr>
        <w:jc w:val="both"/>
        <w:ind w:left="1440" w:hanging="720"/>
        <w:spacing w:after="0" w:line="266"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director or officer of Regeneron Pharmaceuticals, Inc. (the “Company”), Forms 3, 4, and 5 in accordance with Section 16(a) of the Securities Exchange Act of 1934, as amended, and the rules thereunder;</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8th day of February,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2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Jason Pitofsky</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Jason Pitofsky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511810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09236" TargetMode="External"/><Relationship Id="rId11"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2024-02-08T15:16:45Z</dcterms:created>
  <dcterms:modified xsi:type="dcterms:W3CDTF">2024-02-08T15:16:45Z</dcterms:modified>
</cp:coreProperties>
</file>