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SECURITIES AND EXCHANGE COMMISSION</w:t>
      </w:r>
    </w:p>
    <w:p>
      <w:pPr>
        <w:ind w:left="456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ind w:left="422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Securities Exchange Act of 1934</w:t>
      </w:r>
    </w:p>
    <w:p>
      <w:pPr>
        <w:spacing w:after="0" w:line="112"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Date of Report (Date of earliest event reported): January 8, 2013 (January 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168275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0" w:lineRule="exact"/>
        <w:rPr>
          <w:sz w:val="24"/>
          <w:szCs w:val="24"/>
          <w:color w:val="auto"/>
        </w:rPr>
      </w:pPr>
    </w:p>
    <w:p>
      <w:pPr>
        <w:ind w:left="2026"/>
        <w:spacing w:after="0"/>
        <w:rPr>
          <w:sz w:val="20"/>
          <w:szCs w:val="20"/>
          <w:color w:val="auto"/>
        </w:rPr>
      </w:pPr>
      <w:r>
        <w:rPr>
          <w:rFonts w:ascii="Arial" w:cs="Arial" w:eastAsia="Arial" w:hAnsi="Arial"/>
          <w:sz w:val="38"/>
          <w:szCs w:val="38"/>
          <w:b w:val="1"/>
          <w:bCs w:val="1"/>
          <w:color w:val="auto"/>
        </w:rPr>
        <w:t>REGENERON PHARMACEUTICALS, INC.</w:t>
      </w:r>
    </w:p>
    <w:p>
      <w:pPr>
        <w:spacing w:after="0" w:line="41" w:lineRule="exact"/>
        <w:rPr>
          <w:sz w:val="24"/>
          <w:szCs w:val="24"/>
          <w:color w:val="auto"/>
        </w:rPr>
      </w:pPr>
    </w:p>
    <w:tbl>
      <w:tblPr>
        <w:tblLayout w:type="fixed"/>
        <w:tblInd w:w="1266" w:type="dxa"/>
        <w:tblCellMar>
          <w:top w:w="0" w:type="dxa"/>
          <w:left w:w="0" w:type="dxa"/>
          <w:bottom w:w="0" w:type="dxa"/>
          <w:right w:w="0" w:type="dxa"/>
        </w:tblCellMar>
      </w:tblPr>
      <w:tr>
        <w:trPr>
          <w:trHeight w:val="198"/>
        </w:trPr>
        <w:tc>
          <w:tcPr>
            <w:tcW w:w="1840" w:type="dxa"/>
            <w:vAlign w:val="bottom"/>
          </w:tcPr>
          <w:p>
            <w:pPr>
              <w:spacing w:after="0"/>
              <w:rPr>
                <w:sz w:val="17"/>
                <w:szCs w:val="17"/>
                <w:color w:val="auto"/>
              </w:rPr>
            </w:pPr>
          </w:p>
        </w:tc>
        <w:tc>
          <w:tcPr>
            <w:tcW w:w="53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(Exact Name of Registrant as Specified in Charter)</w:t>
            </w:r>
          </w:p>
        </w:tc>
        <w:tc>
          <w:tcPr>
            <w:tcW w:w="1580" w:type="dxa"/>
            <w:vAlign w:val="bottom"/>
          </w:tcPr>
          <w:p>
            <w:pPr>
              <w:spacing w:after="0"/>
              <w:rPr>
                <w:sz w:val="17"/>
                <w:szCs w:val="17"/>
                <w:color w:val="auto"/>
              </w:rPr>
            </w:pPr>
          </w:p>
        </w:tc>
      </w:tr>
      <w:tr>
        <w:trPr>
          <w:trHeight w:val="244"/>
        </w:trPr>
        <w:tc>
          <w:tcPr>
            <w:tcW w:w="18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69"/>
        </w:trPr>
        <w:tc>
          <w:tcPr>
            <w:tcW w:w="1840" w:type="dxa"/>
            <w:vAlign w:val="bottom"/>
          </w:tcPr>
          <w:p>
            <w:pPr>
              <w:jc w:val="center"/>
              <w:ind w:right="435"/>
              <w:spacing w:after="0"/>
              <w:rPr>
                <w:sz w:val="20"/>
                <w:szCs w:val="20"/>
                <w:color w:val="auto"/>
              </w:rPr>
            </w:pPr>
            <w:r>
              <w:rPr>
                <w:rFonts w:ascii="Arial" w:cs="Arial" w:eastAsia="Arial" w:hAnsi="Arial"/>
                <w:sz w:val="15"/>
                <w:szCs w:val="15"/>
                <w:b w:val="1"/>
                <w:bCs w:val="1"/>
                <w:color w:val="auto"/>
                <w:w w:val="96"/>
              </w:rPr>
              <w:t>New York</w:t>
            </w:r>
          </w:p>
        </w:tc>
        <w:tc>
          <w:tcPr>
            <w:tcW w:w="3820" w:type="dxa"/>
            <w:vAlign w:val="bottom"/>
            <w:gridSpan w:val="2"/>
          </w:tcPr>
          <w:p>
            <w:pPr>
              <w:jc w:val="center"/>
              <w:ind w:left="1609"/>
              <w:spacing w:after="0"/>
              <w:rPr>
                <w:sz w:val="20"/>
                <w:szCs w:val="20"/>
                <w:color w:val="auto"/>
              </w:rPr>
            </w:pPr>
            <w:r>
              <w:rPr>
                <w:rFonts w:ascii="Arial" w:cs="Arial" w:eastAsia="Arial" w:hAnsi="Arial"/>
                <w:sz w:val="15"/>
                <w:szCs w:val="15"/>
                <w:b w:val="1"/>
                <w:bCs w:val="1"/>
                <w:color w:val="auto"/>
                <w:w w:val="91"/>
              </w:rPr>
              <w:t>000-19034</w:t>
            </w:r>
          </w:p>
        </w:tc>
        <w:tc>
          <w:tcPr>
            <w:tcW w:w="1560" w:type="dxa"/>
            <w:vAlign w:val="bottom"/>
          </w:tcPr>
          <w:p>
            <w:pPr>
              <w:spacing w:after="0"/>
              <w:rPr>
                <w:sz w:val="24"/>
                <w:szCs w:val="24"/>
                <w:color w:val="auto"/>
              </w:rPr>
            </w:pPr>
          </w:p>
        </w:tc>
        <w:tc>
          <w:tcPr>
            <w:tcW w:w="1580" w:type="dxa"/>
            <w:vAlign w:val="bottom"/>
          </w:tcPr>
          <w:p>
            <w:pPr>
              <w:jc w:val="center"/>
              <w:ind w:left="615"/>
              <w:spacing w:after="0"/>
              <w:rPr>
                <w:sz w:val="20"/>
                <w:szCs w:val="20"/>
                <w:color w:val="auto"/>
              </w:rPr>
            </w:pPr>
            <w:r>
              <w:rPr>
                <w:rFonts w:ascii="Arial" w:cs="Arial" w:eastAsia="Arial" w:hAnsi="Arial"/>
                <w:sz w:val="15"/>
                <w:szCs w:val="15"/>
                <w:b w:val="1"/>
                <w:bCs w:val="1"/>
                <w:color w:val="auto"/>
                <w:w w:val="92"/>
              </w:rPr>
              <w:t>13-3444607</w:t>
            </w:r>
          </w:p>
        </w:tc>
      </w:tr>
      <w:tr>
        <w:trPr>
          <w:trHeight w:val="129"/>
        </w:trPr>
        <w:tc>
          <w:tcPr>
            <w:tcW w:w="1840" w:type="dxa"/>
            <w:vAlign w:val="bottom"/>
          </w:tcPr>
          <w:p>
            <w:pPr>
              <w:jc w:val="center"/>
              <w:ind w:right="435"/>
              <w:spacing w:after="0" w:line="129" w:lineRule="exact"/>
              <w:rPr>
                <w:sz w:val="20"/>
                <w:szCs w:val="20"/>
                <w:color w:val="auto"/>
              </w:rPr>
            </w:pPr>
            <w:r>
              <w:rPr>
                <w:rFonts w:ascii="Arial" w:cs="Arial" w:eastAsia="Arial" w:hAnsi="Arial"/>
                <w:sz w:val="12"/>
                <w:szCs w:val="12"/>
                <w:b w:val="1"/>
                <w:bCs w:val="1"/>
                <w:color w:val="auto"/>
                <w:w w:val="89"/>
              </w:rPr>
              <w:t>(State or other jurisdiction</w:t>
            </w:r>
          </w:p>
        </w:tc>
        <w:tc>
          <w:tcPr>
            <w:tcW w:w="1400" w:type="dxa"/>
            <w:vAlign w:val="bottom"/>
          </w:tcPr>
          <w:p>
            <w:pPr>
              <w:spacing w:after="0"/>
              <w:rPr>
                <w:sz w:val="11"/>
                <w:szCs w:val="11"/>
                <w:color w:val="auto"/>
              </w:rPr>
            </w:pPr>
          </w:p>
        </w:tc>
        <w:tc>
          <w:tcPr>
            <w:tcW w:w="3980" w:type="dxa"/>
            <w:vAlign w:val="bottom"/>
            <w:gridSpan w:val="2"/>
          </w:tcPr>
          <w:p>
            <w:pPr>
              <w:jc w:val="center"/>
              <w:ind w:right="1280"/>
              <w:spacing w:after="0" w:line="129" w:lineRule="exact"/>
              <w:rPr>
                <w:sz w:val="20"/>
                <w:szCs w:val="20"/>
                <w:color w:val="auto"/>
              </w:rPr>
            </w:pPr>
            <w:r>
              <w:rPr>
                <w:rFonts w:ascii="Arial" w:cs="Arial" w:eastAsia="Arial" w:hAnsi="Arial"/>
                <w:sz w:val="12"/>
                <w:szCs w:val="12"/>
                <w:b w:val="1"/>
                <w:bCs w:val="1"/>
                <w:color w:val="auto"/>
                <w:w w:val="86"/>
              </w:rPr>
              <w:t>(Commission</w:t>
            </w:r>
          </w:p>
        </w:tc>
        <w:tc>
          <w:tcPr>
            <w:tcW w:w="1580" w:type="dxa"/>
            <w:vAlign w:val="bottom"/>
          </w:tcPr>
          <w:p>
            <w:pPr>
              <w:jc w:val="center"/>
              <w:ind w:left="595"/>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1840" w:type="dxa"/>
            <w:vAlign w:val="bottom"/>
          </w:tcPr>
          <w:p>
            <w:pPr>
              <w:jc w:val="center"/>
              <w:ind w:right="415"/>
              <w:spacing w:after="0"/>
              <w:rPr>
                <w:sz w:val="20"/>
                <w:szCs w:val="20"/>
                <w:color w:val="auto"/>
              </w:rPr>
            </w:pPr>
            <w:r>
              <w:rPr>
                <w:rFonts w:ascii="Arial" w:cs="Arial" w:eastAsia="Arial" w:hAnsi="Arial"/>
                <w:sz w:val="12"/>
                <w:szCs w:val="12"/>
                <w:b w:val="1"/>
                <w:bCs w:val="1"/>
                <w:color w:val="auto"/>
                <w:w w:val="91"/>
              </w:rPr>
              <w:t>of Incorporation)</w:t>
            </w:r>
          </w:p>
        </w:tc>
        <w:tc>
          <w:tcPr>
            <w:tcW w:w="1400" w:type="dxa"/>
            <w:vAlign w:val="bottom"/>
          </w:tcPr>
          <w:p>
            <w:pPr>
              <w:spacing w:after="0"/>
              <w:rPr>
                <w:sz w:val="13"/>
                <w:szCs w:val="13"/>
                <w:color w:val="auto"/>
              </w:rPr>
            </w:pPr>
          </w:p>
        </w:tc>
        <w:tc>
          <w:tcPr>
            <w:tcW w:w="3980" w:type="dxa"/>
            <w:vAlign w:val="bottom"/>
            <w:gridSpan w:val="2"/>
          </w:tcPr>
          <w:p>
            <w:pPr>
              <w:jc w:val="center"/>
              <w:ind w:right="1300"/>
              <w:spacing w:after="0"/>
              <w:rPr>
                <w:sz w:val="20"/>
                <w:szCs w:val="20"/>
                <w:color w:val="auto"/>
              </w:rPr>
            </w:pPr>
            <w:r>
              <w:rPr>
                <w:rFonts w:ascii="Arial" w:cs="Arial" w:eastAsia="Arial" w:hAnsi="Arial"/>
                <w:sz w:val="12"/>
                <w:szCs w:val="12"/>
                <w:b w:val="1"/>
                <w:bCs w:val="1"/>
                <w:color w:val="auto"/>
                <w:w w:val="92"/>
              </w:rPr>
              <w:t>File No.)</w:t>
            </w:r>
          </w:p>
        </w:tc>
        <w:tc>
          <w:tcPr>
            <w:tcW w:w="1580" w:type="dxa"/>
            <w:vAlign w:val="bottom"/>
          </w:tcPr>
          <w:p>
            <w:pPr>
              <w:jc w:val="center"/>
              <w:ind w:left="595"/>
              <w:spacing w:after="0"/>
              <w:rPr>
                <w:sz w:val="20"/>
                <w:szCs w:val="20"/>
                <w:color w:val="auto"/>
              </w:rPr>
            </w:pPr>
            <w:r>
              <w:rPr>
                <w:rFonts w:ascii="Arial" w:cs="Arial" w:eastAsia="Arial" w:hAnsi="Arial"/>
                <w:sz w:val="12"/>
                <w:szCs w:val="12"/>
                <w:b w:val="1"/>
                <w:bCs w:val="1"/>
                <w:color w:val="auto"/>
                <w:w w:val="90"/>
              </w:rPr>
              <w:t>Identification No.)</w:t>
            </w:r>
          </w:p>
        </w:tc>
      </w:tr>
      <w:tr>
        <w:trPr>
          <w:trHeight w:val="320"/>
        </w:trPr>
        <w:tc>
          <w:tcPr>
            <w:tcW w:w="1840" w:type="dxa"/>
            <w:vAlign w:val="bottom"/>
          </w:tcPr>
          <w:p>
            <w:pPr>
              <w:spacing w:after="0"/>
              <w:rPr>
                <w:sz w:val="24"/>
                <w:szCs w:val="24"/>
                <w:color w:val="auto"/>
              </w:rPr>
            </w:pPr>
          </w:p>
        </w:tc>
        <w:tc>
          <w:tcPr>
            <w:tcW w:w="53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4"/>
              </w:rPr>
              <w:t>777 Old Saw Mill River Road, Tarrytown, New York 10591-6707</w:t>
            </w:r>
          </w:p>
        </w:tc>
        <w:tc>
          <w:tcPr>
            <w:tcW w:w="1580" w:type="dxa"/>
            <w:vAlign w:val="bottom"/>
          </w:tcPr>
          <w:p>
            <w:pPr>
              <w:spacing w:after="0"/>
              <w:rPr>
                <w:sz w:val="24"/>
                <w:szCs w:val="24"/>
                <w:color w:val="auto"/>
              </w:rPr>
            </w:pPr>
          </w:p>
        </w:tc>
      </w:tr>
      <w:tr>
        <w:trPr>
          <w:trHeight w:val="151"/>
        </w:trPr>
        <w:tc>
          <w:tcPr>
            <w:tcW w:w="1840" w:type="dxa"/>
            <w:vAlign w:val="bottom"/>
          </w:tcPr>
          <w:p>
            <w:pPr>
              <w:spacing w:after="0"/>
              <w:rPr>
                <w:sz w:val="13"/>
                <w:szCs w:val="13"/>
                <w:color w:val="auto"/>
              </w:rPr>
            </w:pPr>
          </w:p>
        </w:tc>
        <w:tc>
          <w:tcPr>
            <w:tcW w:w="53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6"/>
              </w:rPr>
              <w:t>(Address of principal executive offices, including zip code)</w:t>
            </w:r>
          </w:p>
        </w:tc>
        <w:tc>
          <w:tcPr>
            <w:tcW w:w="1580" w:type="dxa"/>
            <w:vAlign w:val="bottom"/>
          </w:tcPr>
          <w:p>
            <w:pPr>
              <w:spacing w:after="0"/>
              <w:rPr>
                <w:sz w:val="13"/>
                <w:szCs w:val="13"/>
                <w:color w:val="auto"/>
              </w:rPr>
            </w:pPr>
          </w:p>
        </w:tc>
      </w:tr>
      <w:tr>
        <w:trPr>
          <w:trHeight w:val="308"/>
        </w:trPr>
        <w:tc>
          <w:tcPr>
            <w:tcW w:w="1840" w:type="dxa"/>
            <w:vAlign w:val="bottom"/>
          </w:tcPr>
          <w:p>
            <w:pPr>
              <w:spacing w:after="0"/>
              <w:rPr>
                <w:sz w:val="24"/>
                <w:szCs w:val="24"/>
                <w:color w:val="auto"/>
              </w:rPr>
            </w:pPr>
          </w:p>
        </w:tc>
        <w:tc>
          <w:tcPr>
            <w:tcW w:w="3820" w:type="dxa"/>
            <w:vAlign w:val="bottom"/>
            <w:gridSpan w:val="2"/>
          </w:tcPr>
          <w:p>
            <w:pPr>
              <w:jc w:val="center"/>
              <w:ind w:left="1349"/>
              <w:spacing w:after="0"/>
              <w:rPr>
                <w:sz w:val="20"/>
                <w:szCs w:val="20"/>
                <w:color w:val="auto"/>
              </w:rPr>
            </w:pPr>
            <w:r>
              <w:rPr>
                <w:rFonts w:ascii="Arial" w:cs="Arial" w:eastAsia="Arial" w:hAnsi="Arial"/>
                <w:sz w:val="15"/>
                <w:szCs w:val="15"/>
                <w:b w:val="1"/>
                <w:bCs w:val="1"/>
                <w:color w:val="auto"/>
                <w:w w:val="93"/>
              </w:rPr>
              <w:t>(914) 847-7000</w:t>
            </w: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840" w:type="dxa"/>
            <w:vAlign w:val="bottom"/>
          </w:tcPr>
          <w:p>
            <w:pPr>
              <w:spacing w:after="0"/>
              <w:rPr>
                <w:sz w:val="13"/>
                <w:szCs w:val="13"/>
                <w:color w:val="auto"/>
              </w:rPr>
            </w:pPr>
          </w:p>
        </w:tc>
        <w:tc>
          <w:tcPr>
            <w:tcW w:w="53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(Registrant’s telephone number, including area code)</w:t>
            </w:r>
          </w:p>
        </w:tc>
        <w:tc>
          <w:tcPr>
            <w:tcW w:w="15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149860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2"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118745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06"/>
          </w:cols>
          <w:pgMar w:left="234" w:top="291" w:right="135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Regulation FD Disclosure.</w:t>
      </w:r>
    </w:p>
    <w:p>
      <w:pPr>
        <w:spacing w:after="0" w:line="90" w:lineRule="exact"/>
        <w:rPr>
          <w:sz w:val="20"/>
          <w:szCs w:val="20"/>
          <w:color w:val="auto"/>
        </w:rPr>
      </w:pPr>
    </w:p>
    <w:p>
      <w:pPr>
        <w:ind w:right="180" w:firstLine="457"/>
        <w:spacing w:after="0" w:line="329" w:lineRule="auto"/>
        <w:rPr>
          <w:sz w:val="20"/>
          <w:szCs w:val="20"/>
          <w:color w:val="auto"/>
        </w:rPr>
      </w:pPr>
      <w:r>
        <w:rPr>
          <w:rFonts w:ascii="Arial" w:cs="Arial" w:eastAsia="Arial" w:hAnsi="Arial"/>
          <w:sz w:val="14"/>
          <w:szCs w:val="14"/>
          <w:color w:val="auto"/>
        </w:rPr>
        <w:t>On January 8, 2013, at the J.P. Morgan Healthcare Conference in San Francisco, California, Leonard S. Schleifer, M.D., Ph.D., President and Chief Executive Officer of Regeneron Pharmaceuticals, Inc., is providing a corporate update. A copy of the presentation is furnished as Exhibit 99.1 to this Current Report on Form 8-K.</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u w:val="single" w:color="auto"/>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19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Presentation by Leonard S. Schleifer, M.D., Ph.D., President and Chief Executive Officer of Regeneron Pharmaceuticals, Inc., at the J.P. Morgan Healthcare Conference.</w:t>
      </w:r>
    </w:p>
    <w:p>
      <w:pPr>
        <w:sectPr>
          <w:pgSz w:w="11900" w:h="16838" w:orient="portrait"/>
          <w:cols w:equalWidth="0" w:num="1">
            <w:col w:w="10920"/>
          </w:cols>
          <w:pgMar w:left="240" w:top="258"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SIGNATURES</w:t>
      </w:r>
    </w:p>
    <w:p>
      <w:pPr>
        <w:spacing w:after="0" w:line="157" w:lineRule="exact"/>
        <w:rPr>
          <w:sz w:val="20"/>
          <w:szCs w:val="20"/>
          <w:color w:val="auto"/>
        </w:rPr>
      </w:pPr>
    </w:p>
    <w:p>
      <w:pPr>
        <w:ind w:right="6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20"/>
                <w:szCs w:val="20"/>
                <w:color w:val="auto"/>
              </w:rPr>
            </w:pPr>
            <w:r>
              <w:rPr>
                <w:rFonts w:ascii="Arial" w:cs="Arial" w:eastAsia="Arial" w:hAnsi="Arial"/>
                <w:sz w:val="15"/>
                <w:szCs w:val="15"/>
                <w:color w:val="auto"/>
              </w:rPr>
              <w:t>Date: January 8, 2013</w:t>
            </w:r>
          </w:p>
        </w:tc>
        <w:tc>
          <w:tcPr>
            <w:tcW w:w="7840" w:type="dxa"/>
            <w:vAlign w:val="bottom"/>
            <w:gridSpan w:val="2"/>
          </w:tcPr>
          <w:p>
            <w:pPr>
              <w:ind w:left="2240"/>
              <w:spacing w:after="0"/>
              <w:rPr>
                <w:sz w:val="20"/>
                <w:szCs w:val="20"/>
                <w:color w:val="auto"/>
              </w:rPr>
            </w:pPr>
            <w:r>
              <w:rPr>
                <w:rFonts w:ascii="Arial" w:cs="Arial" w:eastAsia="Arial" w:hAnsi="Arial"/>
                <w:sz w:val="15"/>
                <w:szCs w:val="15"/>
                <w:color w:val="auto"/>
              </w:rPr>
              <w:t>REGENERON PHARMACEUTICALS, INC.</w:t>
            </w:r>
          </w:p>
        </w:tc>
      </w:tr>
      <w:tr>
        <w:trPr>
          <w:trHeight w:val="376"/>
        </w:trPr>
        <w:tc>
          <w:tcPr>
            <w:tcW w:w="36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5"/>
                <w:szCs w:val="15"/>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Joseph J. LaRosa</w:t>
            </w:r>
          </w:p>
        </w:tc>
      </w:tr>
      <w:tr>
        <w:trPr>
          <w:trHeight w:val="186"/>
        </w:trPr>
        <w:tc>
          <w:tcPr>
            <w:tcW w:w="3600" w:type="dxa"/>
            <w:vAlign w:val="bottom"/>
          </w:tcPr>
          <w:p>
            <w:pPr>
              <w:spacing w:after="0"/>
              <w:rPr>
                <w:sz w:val="16"/>
                <w:szCs w:val="16"/>
                <w:color w:val="auto"/>
              </w:rPr>
            </w:pPr>
          </w:p>
        </w:tc>
        <w:tc>
          <w:tcPr>
            <w:tcW w:w="2800" w:type="dxa"/>
            <w:vAlign w:val="bottom"/>
          </w:tcPr>
          <w:p>
            <w:pPr>
              <w:ind w:left="2240"/>
              <w:spacing w:after="0"/>
              <w:rPr>
                <w:sz w:val="20"/>
                <w:szCs w:val="20"/>
                <w:color w:val="auto"/>
              </w:rPr>
            </w:pPr>
            <w:r>
              <w:rPr>
                <w:rFonts w:ascii="Arial" w:cs="Arial" w:eastAsia="Arial" w:hAnsi="Arial"/>
                <w:sz w:val="15"/>
                <w:szCs w:val="15"/>
                <w:color w:val="auto"/>
              </w:rPr>
              <w:t>Name:</w:t>
            </w:r>
          </w:p>
        </w:tc>
        <w:tc>
          <w:tcPr>
            <w:tcW w:w="5040" w:type="dxa"/>
            <w:vAlign w:val="bottom"/>
          </w:tcPr>
          <w:p>
            <w:pPr>
              <w:spacing w:after="0"/>
              <w:rPr>
                <w:sz w:val="20"/>
                <w:szCs w:val="20"/>
                <w:color w:val="auto"/>
              </w:rPr>
            </w:pPr>
            <w:r>
              <w:rPr>
                <w:rFonts w:ascii="Arial" w:cs="Arial" w:eastAsia="Arial" w:hAnsi="Arial"/>
                <w:sz w:val="15"/>
                <w:szCs w:val="15"/>
                <w:color w:val="auto"/>
              </w:rPr>
              <w:t>Joseph J. LaRosa</w:t>
            </w:r>
          </w:p>
        </w:tc>
      </w:tr>
      <w:tr>
        <w:trPr>
          <w:trHeight w:val="194"/>
        </w:trPr>
        <w:tc>
          <w:tcPr>
            <w:tcW w:w="3600" w:type="dxa"/>
            <w:vAlign w:val="bottom"/>
          </w:tcPr>
          <w:p>
            <w:pPr>
              <w:spacing w:after="0"/>
              <w:rPr>
                <w:sz w:val="16"/>
                <w:szCs w:val="16"/>
                <w:color w:val="auto"/>
              </w:rPr>
            </w:pPr>
          </w:p>
        </w:tc>
        <w:tc>
          <w:tcPr>
            <w:tcW w:w="2800" w:type="dxa"/>
            <w:vAlign w:val="bottom"/>
          </w:tcPr>
          <w:p>
            <w:pPr>
              <w:ind w:left="2240"/>
              <w:spacing w:after="0"/>
              <w:rPr>
                <w:sz w:val="20"/>
                <w:szCs w:val="20"/>
                <w:color w:val="auto"/>
              </w:rPr>
            </w:pPr>
            <w:r>
              <w:rPr>
                <w:rFonts w:ascii="Arial" w:cs="Arial" w:eastAsia="Arial" w:hAnsi="Arial"/>
                <w:sz w:val="15"/>
                <w:szCs w:val="15"/>
                <w:color w:val="auto"/>
              </w:rPr>
              <w:t>Title:</w:t>
            </w:r>
          </w:p>
        </w:tc>
        <w:tc>
          <w:tcPr>
            <w:tcW w:w="5040" w:type="dxa"/>
            <w:vAlign w:val="bottom"/>
          </w:tcPr>
          <w:p>
            <w:pPr>
              <w:spacing w:after="0"/>
              <w:rPr>
                <w:sz w:val="20"/>
                <w:szCs w:val="20"/>
                <w:color w:val="auto"/>
              </w:rPr>
            </w:pPr>
            <w:r>
              <w:rPr>
                <w:rFonts w:ascii="Arial" w:cs="Arial" w:eastAsia="Arial" w:hAnsi="Arial"/>
                <w:sz w:val="15"/>
                <w:szCs w:val="15"/>
                <w:color w:val="auto"/>
              </w:rPr>
              <w:t>Senior Vice President, General Counsel and Secretary</w:t>
            </w:r>
          </w:p>
        </w:tc>
      </w:tr>
    </w:tbl>
    <w:p>
      <w:pPr>
        <w:sectPr>
          <w:pgSz w:w="11900" w:h="16838" w:orient="portrait"/>
          <w:cols w:equalWidth="0" w:num="1">
            <w:col w:w="11440"/>
          </w:cols>
          <w:pgMar w:left="240" w:top="262"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400" w:type="dxa"/>
            <w:vAlign w:val="bottom"/>
          </w:tcPr>
          <w:p>
            <w:pPr>
              <w:spacing w:after="0"/>
              <w:rPr>
                <w:sz w:val="16"/>
                <w:szCs w:val="16"/>
                <w:color w:val="auto"/>
              </w:rPr>
            </w:pPr>
          </w:p>
        </w:tc>
        <w:tc>
          <w:tcPr>
            <w:tcW w:w="10900" w:type="dxa"/>
            <w:vAlign w:val="bottom"/>
            <w:gridSpan w:val="3"/>
          </w:tcPr>
          <w:p>
            <w:pPr>
              <w:ind w:left="4900"/>
              <w:spacing w:after="0"/>
              <w:rPr>
                <w:sz w:val="20"/>
                <w:szCs w:val="20"/>
                <w:color w:val="auto"/>
              </w:rPr>
            </w:pPr>
            <w:r>
              <w:rPr>
                <w:rFonts w:ascii="Arial" w:cs="Arial" w:eastAsia="Arial" w:hAnsi="Arial"/>
                <w:sz w:val="15"/>
                <w:szCs w:val="15"/>
                <w:color w:val="auto"/>
              </w:rPr>
              <w:t>Exhibit Index</w:t>
            </w:r>
          </w:p>
        </w:tc>
      </w:tr>
      <w:tr>
        <w:trPr>
          <w:trHeight w:val="307"/>
        </w:trPr>
        <w:tc>
          <w:tcPr>
            <w:tcW w:w="400" w:type="dxa"/>
            <w:vAlign w:val="bottom"/>
          </w:tcPr>
          <w:p>
            <w:pPr>
              <w:spacing w:after="0"/>
              <w:rPr>
                <w:sz w:val="20"/>
                <w:szCs w:val="20"/>
                <w:color w:val="auto"/>
              </w:rPr>
            </w:pPr>
            <w:r>
              <w:rPr>
                <w:rFonts w:ascii="Arial" w:cs="Arial" w:eastAsia="Arial" w:hAnsi="Arial"/>
                <w:sz w:val="12"/>
                <w:szCs w:val="12"/>
                <w:color w:val="auto"/>
                <w:w w:val="88"/>
              </w:rPr>
              <w:t>Number</w:t>
            </w:r>
          </w:p>
        </w:tc>
        <w:tc>
          <w:tcPr>
            <w:tcW w:w="5500" w:type="dxa"/>
            <w:vAlign w:val="bottom"/>
          </w:tcPr>
          <w:p>
            <w:pPr>
              <w:spacing w:after="0"/>
              <w:rPr>
                <w:sz w:val="24"/>
                <w:szCs w:val="24"/>
                <w:color w:val="auto"/>
              </w:rPr>
            </w:pPr>
          </w:p>
        </w:tc>
        <w:tc>
          <w:tcPr>
            <w:tcW w:w="5400" w:type="dxa"/>
            <w:vAlign w:val="bottom"/>
            <w:gridSpan w:val="2"/>
          </w:tcPr>
          <w:p>
            <w:pPr>
              <w:jc w:val="center"/>
              <w:ind w:right="4724"/>
              <w:spacing w:after="0"/>
              <w:rPr>
                <w:sz w:val="20"/>
                <w:szCs w:val="20"/>
                <w:color w:val="auto"/>
              </w:rPr>
            </w:pPr>
            <w:r>
              <w:rPr>
                <w:rFonts w:ascii="Arial" w:cs="Arial" w:eastAsia="Arial" w:hAnsi="Arial"/>
                <w:sz w:val="12"/>
                <w:szCs w:val="12"/>
                <w:color w:val="auto"/>
                <w:w w:val="93"/>
              </w:rPr>
              <w:t>Description</w:t>
            </w:r>
          </w:p>
        </w:tc>
      </w:tr>
      <w:tr>
        <w:trPr>
          <w:trHeight w:val="186"/>
        </w:trPr>
        <w:tc>
          <w:tcPr>
            <w:tcW w:w="4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99.1</w:t>
            </w:r>
          </w:p>
        </w:tc>
        <w:tc>
          <w:tcPr>
            <w:tcW w:w="5500" w:type="dxa"/>
            <w:vAlign w:val="bottom"/>
          </w:tcPr>
          <w:p>
            <w:pPr>
              <w:ind w:left="560"/>
              <w:spacing w:after="0"/>
              <w:rPr>
                <w:sz w:val="20"/>
                <w:szCs w:val="20"/>
                <w:color w:val="auto"/>
              </w:rPr>
            </w:pPr>
            <w:r>
              <w:rPr>
                <w:rFonts w:ascii="Arial" w:cs="Arial" w:eastAsia="Arial" w:hAnsi="Arial"/>
                <w:sz w:val="15"/>
                <w:szCs w:val="15"/>
                <w:color w:val="auto"/>
                <w:w w:val="91"/>
              </w:rPr>
              <w:t>Presentation by Leonard S. Schleifer, M.D., Ph.D., President and Chief Executive</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Officer</w:t>
            </w:r>
          </w:p>
        </w:tc>
        <w:tc>
          <w:tcPr>
            <w:tcW w:w="4820" w:type="dxa"/>
            <w:vAlign w:val="bottom"/>
          </w:tcPr>
          <w:p>
            <w:pPr>
              <w:spacing w:after="0"/>
              <w:rPr>
                <w:sz w:val="20"/>
                <w:szCs w:val="20"/>
                <w:color w:val="auto"/>
              </w:rPr>
            </w:pPr>
            <w:r>
              <w:rPr>
                <w:rFonts w:ascii="Arial" w:cs="Arial" w:eastAsia="Arial" w:hAnsi="Arial"/>
                <w:sz w:val="15"/>
                <w:szCs w:val="15"/>
                <w:color w:val="auto"/>
                <w:w w:val="90"/>
              </w:rPr>
              <w:t>of Regeneron Pharmaceuticals, Inc., at the J.P. Morgan Healthcare Conference.</w:t>
            </w:r>
          </w:p>
        </w:tc>
      </w:tr>
    </w:tbl>
    <w:p>
      <w:pPr>
        <w:sectPr>
          <w:pgSz w:w="11900" w:h="16838" w:orient="portrait"/>
          <w:cols w:equalWidth="0" w:num="1">
            <w:col w:w="11300"/>
          </w:cols>
          <w:pgMar w:left="240" w:top="262"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left="4480" w:right="340"/>
        <w:spacing w:after="0" w:line="280" w:lineRule="auto"/>
        <w:rPr>
          <w:sz w:val="20"/>
          <w:szCs w:val="20"/>
          <w:color w:val="auto"/>
        </w:rPr>
      </w:pPr>
      <w:r>
        <w:rPr>
          <w:rFonts w:ascii="Arial" w:cs="Arial" w:eastAsia="Arial" w:hAnsi="Arial"/>
          <w:sz w:val="32"/>
          <w:szCs w:val="32"/>
          <w:b w:val="1"/>
          <w:bCs w:val="1"/>
          <w:color w:val="FFFFFF"/>
        </w:rPr>
        <w:t>J.P. Morgan Healthcare Conference January 2013</w:t>
      </w:r>
    </w:p>
    <w:p>
      <w:pPr>
        <w:sectPr>
          <w:pgSz w:w="11900" w:h="16838" w:orient="portrait"/>
          <w:cols w:equalWidth="0" w:num="1">
            <w:col w:w="10120"/>
          </w:cols>
          <w:pgMar w:left="1440" w:top="298" w:right="339" w:bottom="1440" w:gutter="0" w:footer="0" w:header="0"/>
        </w:sectPr>
      </w:pPr>
    </w:p>
    <w:bookmarkStart w:id="5" w:name="page6"/>
    <w:bookmarkEnd w:id="5"/>
    <w:p>
      <w:pPr>
        <w:ind w:left="68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94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549465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80"/>
        <w:spacing w:after="0"/>
        <w:rPr>
          <w:sz w:val="20"/>
          <w:szCs w:val="20"/>
          <w:color w:val="auto"/>
        </w:rPr>
      </w:pPr>
      <w:r>
        <w:rPr>
          <w:rFonts w:ascii="Arial" w:cs="Arial" w:eastAsia="Arial" w:hAnsi="Arial"/>
          <w:sz w:val="25"/>
          <w:szCs w:val="25"/>
          <w:color w:val="00233E"/>
        </w:rPr>
        <w:t>Except for historical information, the matters contained in this presentation may constitute forward-looking statements that involve risks and uncertainties, including risks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00233E"/>
        </w:rPr>
        <w:t>and uncertainties related to product development and clinical trials, unforeseen safety issues resulting from the administration of products and product candidates in patients, uncertainties related to the need for regulatory and other government approvals, government regulations, risks related to third party patents and proprietary technology, litigation, the need for additional capital, uncertainty of market acceptance of Regeneron’s products and product candidates, the ability of the Company to meet any of its sales or other financial projections, the receipt of future payments, the continuation of business partnerships, and additional risks detailed from time to time in Regeneron’s filings with the Securities and Exchange Commission (SEC). Please refer to Regeneron’s Form 10-K for the year ended December 31, 2011 and its Form 10-Q for the quarter ended September 30, 2012 for additional information on these risks and uncertainties and for other information related to our business.</w:t>
      </w:r>
    </w:p>
    <w:p>
      <w:pPr>
        <w:spacing w:after="0" w:line="89" w:lineRule="exact"/>
        <w:rPr>
          <w:sz w:val="20"/>
          <w:szCs w:val="20"/>
          <w:color w:val="auto"/>
        </w:rPr>
      </w:pPr>
    </w:p>
    <w:p>
      <w:pPr>
        <w:ind w:right="180"/>
        <w:spacing w:after="0" w:line="242" w:lineRule="auto"/>
        <w:rPr>
          <w:sz w:val="20"/>
          <w:szCs w:val="20"/>
          <w:color w:val="auto"/>
        </w:rPr>
      </w:pPr>
      <w:r>
        <w:rPr>
          <w:rFonts w:ascii="Arial" w:cs="Arial" w:eastAsia="Arial" w:hAnsi="Arial"/>
          <w:sz w:val="25"/>
          <w:szCs w:val="25"/>
          <w:color w:val="00233E"/>
        </w:rPr>
        <w:t>Because forward-looking statements involve risks and uncertainties, actual results may differ materially from current results expected by Regeneron. Regeneron is providing this information as of the original date of this presentation and expressly disclaims any duty to update any information contained in these materials, including without limitation any sales forecasts and any other forward-looking statements.</w:t>
      </w: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9"/>
          <w:szCs w:val="19"/>
          <w:color w:val="FFFFFF"/>
        </w:rPr>
        <w:t>2</w:t>
      </w:r>
    </w:p>
    <w:p>
      <w:pPr>
        <w:sectPr>
          <w:pgSz w:w="11900" w:h="16838" w:orient="portrait"/>
          <w:cols w:equalWidth="0" w:num="1">
            <w:col w:w="9940"/>
          </w:cols>
          <w:pgMar w:left="920" w:top="943" w:right="103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56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REGENERON TRANSFORMED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32"/>
          <w:szCs w:val="32"/>
          <w:color w:val="003C6B"/>
        </w:rPr>
        <w:t>EYLEA</w:t>
      </w:r>
      <w:r>
        <w:rPr>
          <w:rFonts w:ascii="Arial" w:cs="Arial" w:eastAsia="Arial" w:hAnsi="Arial"/>
          <w:sz w:val="19"/>
          <w:szCs w:val="19"/>
          <w:color w:val="003C6B"/>
        </w:rPr>
        <w:t>®</w:t>
      </w:r>
      <w:r>
        <w:rPr>
          <w:rFonts w:ascii="Arial" w:cs="Arial" w:eastAsia="Arial" w:hAnsi="Arial"/>
          <w:sz w:val="32"/>
          <w:szCs w:val="32"/>
          <w:color w:val="003C6B"/>
        </w:rPr>
        <w:t xml:space="preserve"> LAUNCH HAS EXCEEDED EXPECTATIONS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C6B"/>
        </w:rPr>
        <w:t>One of the top 5 biopharmaceutical launches of all time</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32"/>
          <w:szCs w:val="32"/>
          <w:color w:val="003C6B"/>
        </w:rPr>
        <w:t>MULTIPLE REGULATORY APPROVALS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C6B"/>
        </w:rPr>
        <w:t>EYLEA US, EU, Japan, Australia, and other countries; ZALTRAP US</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32"/>
          <w:szCs w:val="32"/>
          <w:color w:val="003C6B"/>
        </w:rPr>
        <w:t>FOUR FULL QUARTERS OF PROFITABILITY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C6B"/>
        </w:rPr>
        <w:t>GAAP &amp; Non-GAAP</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32"/>
          <w:szCs w:val="32"/>
          <w:color w:val="003C6B"/>
        </w:rPr>
        <w:t>STRONG FINANCIAL 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C6B"/>
        </w:rPr>
        <w:t>Year end cash and receivables of ~$1.2B</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32"/>
          <w:szCs w:val="32"/>
          <w:color w:val="003C6B"/>
        </w:rPr>
        <w:t>WORLD’S #1 BIOPHARMACEUTICAL EMPLOYER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C6B"/>
        </w:rPr>
        <w:t>Science magazine annual poll; “Biotechnology Company of the Year” by Scrip Intelligence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FFFFFF"/>
        </w:rPr>
        <w:t>4</w:t>
      </w:r>
    </w:p>
    <w:p>
      <w:pPr>
        <w:sectPr>
          <w:pgSz w:w="11900" w:h="16838" w:orient="portrait"/>
          <w:cols w:equalWidth="0" w:num="1">
            <w:col w:w="9740"/>
          </w:cols>
          <w:pgMar w:left="1040" w:top="931" w:right="1119" w:bottom="1440" w:gutter="0" w:footer="0" w:header="0"/>
        </w:sectPr>
      </w:pPr>
    </w:p>
    <w:bookmarkStart w:id="8" w:name="page9"/>
    <w:bookmarkEnd w:id="8"/>
    <w:p>
      <w:pPr>
        <w:ind w:left="56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94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494655"/>
                    </a:xfrm>
                    <a:prstGeom prst="rect">
                      <a:avLst/>
                    </a:prstGeom>
                    <a:noFill/>
                  </pic:spPr>
                </pic:pic>
              </a:graphicData>
            </a:graphic>
          </wp:anchor>
        </w:drawing>
        <w:t>REGENERON LOOKING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0"/>
        <w:spacing w:after="0"/>
        <w:rPr>
          <w:sz w:val="20"/>
          <w:szCs w:val="20"/>
          <w:color w:val="auto"/>
        </w:rPr>
      </w:pPr>
      <w:r>
        <w:rPr>
          <w:rFonts w:ascii="Arial" w:cs="Arial" w:eastAsia="Arial" w:hAnsi="Arial"/>
          <w:sz w:val="32"/>
          <w:szCs w:val="32"/>
          <w:color w:val="003C6B"/>
        </w:rPr>
        <w:t>EYLEA</w:t>
      </w:r>
    </w:p>
    <w:p>
      <w:pPr>
        <w:ind w:left="600"/>
        <w:spacing w:after="0"/>
        <w:rPr>
          <w:sz w:val="20"/>
          <w:szCs w:val="20"/>
          <w:color w:val="auto"/>
        </w:rPr>
      </w:pPr>
      <w:r>
        <w:rPr>
          <w:rFonts w:ascii="Arial" w:cs="Arial" w:eastAsia="Arial" w:hAnsi="Arial"/>
          <w:sz w:val="20"/>
          <w:szCs w:val="20"/>
          <w:b w:val="1"/>
          <w:bCs w:val="1"/>
          <w:color w:val="003C6B"/>
        </w:rPr>
        <w:t>Increasing market share, expanding</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003C6B"/>
        </w:rPr>
        <w:t>geographies and indications, securing future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0"/>
        <w:spacing w:after="0"/>
        <w:rPr>
          <w:sz w:val="20"/>
          <w:szCs w:val="20"/>
          <w:color w:val="auto"/>
        </w:rPr>
      </w:pPr>
      <w:r>
        <w:rPr>
          <w:rFonts w:ascii="Arial" w:cs="Arial" w:eastAsia="Arial" w:hAnsi="Arial"/>
          <w:sz w:val="32"/>
          <w:szCs w:val="32"/>
          <w:color w:val="003C6B"/>
        </w:rPr>
        <w:t>ZALTRAP</w:t>
      </w:r>
    </w:p>
    <w:p>
      <w:pPr>
        <w:ind w:left="600"/>
        <w:spacing w:after="0"/>
        <w:rPr>
          <w:sz w:val="20"/>
          <w:szCs w:val="20"/>
          <w:color w:val="auto"/>
        </w:rPr>
      </w:pPr>
      <w:r>
        <w:rPr>
          <w:rFonts w:ascii="Arial" w:cs="Arial" w:eastAsia="Arial" w:hAnsi="Arial"/>
          <w:sz w:val="20"/>
          <w:szCs w:val="20"/>
          <w:b w:val="1"/>
          <w:bCs w:val="1"/>
          <w:color w:val="003C6B"/>
        </w:rPr>
        <w:t>Global launch; Novel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0"/>
        <w:spacing w:after="0"/>
        <w:rPr>
          <w:sz w:val="20"/>
          <w:szCs w:val="20"/>
          <w:color w:val="auto"/>
        </w:rPr>
      </w:pPr>
      <w:r>
        <w:rPr>
          <w:rFonts w:ascii="Arial" w:cs="Arial" w:eastAsia="Arial" w:hAnsi="Arial"/>
          <w:sz w:val="32"/>
          <w:szCs w:val="32"/>
          <w:color w:val="003C6B"/>
        </w:rPr>
        <w:t>FINANCIAL</w:t>
      </w:r>
    </w:p>
    <w:p>
      <w:pPr>
        <w:ind w:left="600"/>
        <w:spacing w:after="0"/>
        <w:rPr>
          <w:sz w:val="20"/>
          <w:szCs w:val="20"/>
          <w:color w:val="auto"/>
        </w:rPr>
      </w:pPr>
      <w:r>
        <w:rPr>
          <w:rFonts w:ascii="Arial" w:cs="Arial" w:eastAsia="Arial" w:hAnsi="Arial"/>
          <w:sz w:val="19"/>
          <w:szCs w:val="19"/>
          <w:b w:val="1"/>
          <w:bCs w:val="1"/>
          <w:color w:val="003C6B"/>
        </w:rPr>
        <w:t>Continuing growth in sales and profits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0"/>
        <w:spacing w:after="0"/>
        <w:rPr>
          <w:sz w:val="20"/>
          <w:szCs w:val="20"/>
          <w:color w:val="auto"/>
        </w:rPr>
      </w:pPr>
      <w:r>
        <w:rPr>
          <w:rFonts w:ascii="Arial" w:cs="Arial" w:eastAsia="Arial" w:hAnsi="Arial"/>
          <w:sz w:val="32"/>
          <w:szCs w:val="32"/>
          <w:color w:val="003C6B"/>
        </w:rPr>
        <w:t>RESEARCH &amp; DEVELOPMENT</w:t>
      </w:r>
    </w:p>
    <w:p>
      <w:pPr>
        <w:ind w:left="600" w:right="179"/>
        <w:spacing w:after="0" w:line="256" w:lineRule="auto"/>
        <w:rPr>
          <w:sz w:val="20"/>
          <w:szCs w:val="20"/>
          <w:color w:val="auto"/>
        </w:rPr>
      </w:pPr>
      <w:r>
        <w:rPr>
          <w:rFonts w:ascii="Arial" w:cs="Arial" w:eastAsia="Arial" w:hAnsi="Arial"/>
          <w:sz w:val="20"/>
          <w:szCs w:val="20"/>
          <w:b w:val="1"/>
          <w:bCs w:val="1"/>
          <w:color w:val="003C6B"/>
        </w:rPr>
        <w:t>Expanding late stage pipeline with REGN727 (PCSK9), Sarilumab (IL6R), &amp; REGN668 (IL4R) Continuing to invest in early stage pipeline and innovative technologies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FFFFFF"/>
        </w:rPr>
        <w:t>5</w:t>
      </w:r>
    </w:p>
    <w:p>
      <w:pPr>
        <w:sectPr>
          <w:pgSz w:w="11900" w:h="16838" w:orient="portrait"/>
          <w:cols w:equalWidth="0" w:num="1">
            <w:col w:w="9419"/>
          </w:cols>
          <w:pgMar w:left="1040" w:top="943" w:right="1440" w:bottom="1440" w:gutter="0" w:footer="0" w:header="0"/>
        </w:sectPr>
      </w:pPr>
    </w:p>
    <w:bookmarkStart w:id="9" w:name="page10"/>
    <w:bookmarkEnd w:id="9"/>
    <w:p>
      <w:pPr>
        <w:ind w:left="582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94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494655"/>
                    </a:xfrm>
                    <a:prstGeom prst="rect">
                      <a:avLst/>
                    </a:prstGeom>
                    <a:noFill/>
                  </pic:spPr>
                </pic:pic>
              </a:graphicData>
            </a:graphic>
          </wp:anchor>
        </w:drawing>
        <w:t>EXCEEDING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44"/>
          <w:szCs w:val="44"/>
          <w:color w:val="FB8332"/>
        </w:rPr>
        <w:t>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00"/>
        <w:spacing w:after="0"/>
        <w:rPr>
          <w:sz w:val="20"/>
          <w:szCs w:val="20"/>
          <w:color w:val="auto"/>
        </w:rPr>
      </w:pPr>
      <w:r>
        <w:rPr>
          <w:rFonts w:ascii="Arial" w:cs="Arial" w:eastAsia="Arial" w:hAnsi="Arial"/>
          <w:sz w:val="38"/>
          <w:szCs w:val="38"/>
          <w:b w:val="1"/>
          <w:bCs w:val="1"/>
          <w:color w:val="003C6B"/>
        </w:rPr>
        <w:t>U.S. LAUNCH</w:t>
      </w:r>
    </w:p>
    <w:p>
      <w:pPr>
        <w:spacing w:after="0" w:line="342"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EYLEAnet product</w:t>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sales of $276 million</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in 4Q12*</w:t>
      </w:r>
    </w:p>
    <w:p>
      <w:pPr>
        <w:spacing w:after="0" w:line="326"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$838 million in full year</w:t>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2012*</w:t>
      </w:r>
    </w:p>
    <w:p>
      <w:pPr>
        <w:spacing w:after="0" w:line="314"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2013 EYLEA U.S. net sales</w:t>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guidance: ~50% growth</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28"/>
          <w:szCs w:val="28"/>
          <w:b w:val="1"/>
          <w:bCs w:val="1"/>
          <w:color w:val="1D355D"/>
        </w:rPr>
        <w:t>(i.e. ~$1.2B to $1.3B)</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FFFFFF"/>
        </w:rPr>
        <w:t>* 4Q12 Sales Estimate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9"/>
          <w:szCs w:val="19"/>
          <w:color w:val="FFFFFF"/>
        </w:rPr>
        <w:t>6</w:t>
      </w:r>
    </w:p>
    <w:p>
      <w:pPr>
        <w:sectPr>
          <w:pgSz w:w="11900" w:h="16838" w:orient="portrait"/>
          <w:cols w:equalWidth="0" w:num="1">
            <w:col w:w="10140"/>
          </w:cols>
          <w:pgMar w:left="960" w:top="767" w:right="7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60"/>
        <w:spacing w:after="0"/>
        <w:tabs>
          <w:tab w:leader="none" w:pos="3540" w:val="left"/>
        </w:tabs>
        <w:rPr>
          <w:sz w:val="20"/>
          <w:szCs w:val="20"/>
          <w:color w:val="auto"/>
        </w:rPr>
      </w:pPr>
      <w:r>
        <w:rPr>
          <w:rFonts w:ascii="Arial" w:cs="Arial" w:eastAsia="Arial" w:hAnsi="Arial"/>
          <w:sz w:val="25"/>
          <w:szCs w:val="25"/>
          <w:b w:val="1"/>
          <w:bCs w:val="1"/>
          <w:color w:val="FFFFFF"/>
        </w:rPr>
        <w:t>EYLEA</w:t>
      </w:r>
      <w:r>
        <w:rPr>
          <w:sz w:val="20"/>
          <w:szCs w:val="20"/>
          <w:color w:val="auto"/>
        </w:rPr>
        <w:tab/>
      </w:r>
      <w:r>
        <w:rPr>
          <w:rFonts w:ascii="Arial" w:cs="Arial" w:eastAsia="Arial" w:hAnsi="Arial"/>
          <w:sz w:val="25"/>
          <w:szCs w:val="25"/>
          <w:b w:val="1"/>
          <w:bCs w:val="1"/>
          <w:color w:val="FFFFFF"/>
        </w:rPr>
        <w:t>Lucentis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700</w:t>
      </w:r>
    </w:p>
    <w:p>
      <w:pPr>
        <w:spacing w:after="0" w:line="347"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600</w:t>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500</w:t>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400</w:t>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300</w:t>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200</w:t>
      </w:r>
    </w:p>
    <w:p>
      <w:pPr>
        <w:spacing w:after="0" w:line="347" w:lineRule="exact"/>
        <w:rPr>
          <w:sz w:val="20"/>
          <w:szCs w:val="20"/>
          <w:color w:val="auto"/>
        </w:rPr>
      </w:pPr>
    </w:p>
    <w:p>
      <w:pPr>
        <w:ind w:left="860"/>
        <w:spacing w:after="0"/>
        <w:rPr>
          <w:sz w:val="20"/>
          <w:szCs w:val="20"/>
          <w:color w:val="auto"/>
        </w:rPr>
      </w:pPr>
      <w:r>
        <w:rPr>
          <w:rFonts w:ascii="Arial" w:cs="Arial" w:eastAsia="Arial" w:hAnsi="Arial"/>
          <w:sz w:val="22"/>
          <w:szCs w:val="22"/>
          <w:color w:val="FFFFFF"/>
        </w:rPr>
        <w:t>100</w:t>
      </w:r>
    </w:p>
    <w:p>
      <w:pPr>
        <w:spacing w:after="0" w:line="358" w:lineRule="exact"/>
        <w:rPr>
          <w:sz w:val="20"/>
          <w:szCs w:val="20"/>
          <w:color w:val="auto"/>
        </w:rPr>
      </w:pPr>
    </w:p>
    <w:p>
      <w:pPr>
        <w:ind w:left="1120"/>
        <w:spacing w:after="0"/>
        <w:rPr>
          <w:sz w:val="20"/>
          <w:szCs w:val="20"/>
          <w:color w:val="auto"/>
        </w:rPr>
      </w:pPr>
      <w:r>
        <w:rPr>
          <w:rFonts w:ascii="Arial" w:cs="Arial" w:eastAsia="Arial" w:hAnsi="Arial"/>
          <w:sz w:val="22"/>
          <w:szCs w:val="22"/>
          <w:color w:val="FFFFFF"/>
        </w:rPr>
        <w:t>0</w:t>
      </w:r>
    </w:p>
    <w:p>
      <w:pPr>
        <w:spacing w:after="0" w:line="17" w:lineRule="exact"/>
        <w:rPr>
          <w:sz w:val="20"/>
          <w:szCs w:val="20"/>
          <w:color w:val="auto"/>
        </w:rPr>
      </w:pPr>
    </w:p>
    <w:p>
      <w:pPr>
        <w:jc w:val="both"/>
        <w:ind w:left="1760"/>
        <w:spacing w:after="0"/>
        <w:tabs>
          <w:tab w:leader="none" w:pos="2980" w:val="left"/>
          <w:tab w:leader="none" w:pos="4200" w:val="left"/>
        </w:tabs>
        <w:rPr>
          <w:sz w:val="20"/>
          <w:szCs w:val="20"/>
          <w:color w:val="auto"/>
        </w:rPr>
      </w:pPr>
      <w:r>
        <w:rPr>
          <w:rFonts w:ascii="Arial" w:cs="Arial" w:eastAsia="Arial" w:hAnsi="Arial"/>
          <w:sz w:val="22"/>
          <w:szCs w:val="22"/>
          <w:color w:val="FFFFFF"/>
        </w:rPr>
        <w:t>3Q11</w:t>
      </w:r>
      <w:r>
        <w:rPr>
          <w:sz w:val="20"/>
          <w:szCs w:val="20"/>
          <w:color w:val="auto"/>
        </w:rPr>
        <w:tab/>
      </w:r>
      <w:r>
        <w:rPr>
          <w:rFonts w:ascii="Arial" w:cs="Arial" w:eastAsia="Arial" w:hAnsi="Arial"/>
          <w:sz w:val="22"/>
          <w:szCs w:val="22"/>
          <w:color w:val="FFFFFF"/>
        </w:rPr>
        <w:t>4Q11</w:t>
      </w:r>
      <w:r>
        <w:rPr>
          <w:sz w:val="20"/>
          <w:szCs w:val="20"/>
          <w:color w:val="auto"/>
        </w:rPr>
        <w:tab/>
      </w:r>
      <w:r>
        <w:rPr>
          <w:rFonts w:ascii="Arial" w:cs="Arial" w:eastAsia="Arial" w:hAnsi="Arial"/>
          <w:sz w:val="22"/>
          <w:szCs w:val="22"/>
          <w:color w:val="FFFFFF"/>
        </w:rPr>
        <w:t>1Q12</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22"/>
          <w:szCs w:val="22"/>
          <w:color w:val="FFFFFF"/>
        </w:rPr>
        <w:t>* 4Q12 Sales Estimate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FFFFFF"/>
        </w:rPr>
        <w:t>7</w:t>
      </w:r>
    </w:p>
    <w:p>
      <w:pPr>
        <w:spacing w:after="0" w:line="20" w:lineRule="exact"/>
        <w:rPr>
          <w:sz w:val="20"/>
          <w:szCs w:val="20"/>
          <w:color w:val="auto"/>
        </w:rPr>
      </w:pPr>
      <w:r>
        <w:rPr>
          <w:sz w:val="20"/>
          <w:szCs w:val="20"/>
          <w:color w:val="auto"/>
        </w:rPr>
        <w:br w:type="column"/>
      </w:r>
    </w:p>
    <w:p>
      <w:pPr>
        <w:ind w:left="460"/>
        <w:spacing w:after="0" w:line="278" w:lineRule="auto"/>
        <w:rPr>
          <w:sz w:val="20"/>
          <w:szCs w:val="20"/>
          <w:color w:val="auto"/>
        </w:rPr>
      </w:pPr>
      <w:r>
        <w:rPr>
          <w:rFonts w:ascii="Arial" w:cs="Arial" w:eastAsia="Arial" w:hAnsi="Arial"/>
          <w:sz w:val="42"/>
          <w:szCs w:val="42"/>
          <w:color w:val="FB8332"/>
        </w:rPr>
        <w:t>EXPANDING BRANDED MARKET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EYLEA &amp; Lucentis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500"/>
        <w:spacing w:after="0"/>
        <w:rPr>
          <w:sz w:val="20"/>
          <w:szCs w:val="20"/>
          <w:color w:val="auto"/>
        </w:rPr>
      </w:pPr>
      <w:r>
        <w:rPr>
          <w:rFonts w:ascii="Arial" w:cs="Arial" w:eastAsia="Arial" w:hAnsi="Arial"/>
          <w:sz w:val="25"/>
          <w:szCs w:val="25"/>
          <w:color w:val="FFFFFF"/>
        </w:rPr>
        <w:t>+</w:t>
      </w:r>
      <w:r>
        <w:rPr>
          <w:rFonts w:ascii="Arial" w:cs="Arial" w:eastAsia="Arial" w:hAnsi="Arial"/>
          <w:sz w:val="21"/>
          <w:szCs w:val="21"/>
          <w:b w:val="1"/>
          <w:bCs w:val="1"/>
          <w:color w:val="FFFFFF"/>
        </w:rPr>
        <w:t>47</w:t>
      </w:r>
      <w:r>
        <w:rPr>
          <w:rFonts w:ascii="Arial" w:cs="Arial" w:eastAsia="Arial" w:hAnsi="Arial"/>
          <w:sz w:val="25"/>
          <w:szCs w:val="25"/>
          <w:color w:val="FFFFFF"/>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tabs>
          <w:tab w:leader="none" w:pos="1400" w:val="left"/>
          <w:tab w:leader="none" w:pos="2620" w:val="left"/>
        </w:tabs>
        <w:rPr>
          <w:sz w:val="20"/>
          <w:szCs w:val="20"/>
          <w:color w:val="auto"/>
        </w:rPr>
      </w:pPr>
      <w:r>
        <w:rPr>
          <w:rFonts w:ascii="Arial" w:cs="Arial" w:eastAsia="Arial" w:hAnsi="Arial"/>
          <w:sz w:val="22"/>
          <w:szCs w:val="22"/>
          <w:color w:val="FFFFFF"/>
        </w:rPr>
        <w:t>2Q12</w:t>
      </w:r>
      <w:r>
        <w:rPr>
          <w:sz w:val="20"/>
          <w:szCs w:val="20"/>
          <w:color w:val="auto"/>
        </w:rPr>
        <w:tab/>
      </w:r>
      <w:r>
        <w:rPr>
          <w:rFonts w:ascii="Arial" w:cs="Arial" w:eastAsia="Arial" w:hAnsi="Arial"/>
          <w:sz w:val="22"/>
          <w:szCs w:val="22"/>
          <w:color w:val="FFFFFF"/>
        </w:rPr>
        <w:t>3Q12</w:t>
      </w:r>
      <w:r>
        <w:rPr>
          <w:sz w:val="20"/>
          <w:szCs w:val="20"/>
          <w:color w:val="auto"/>
        </w:rPr>
        <w:tab/>
      </w:r>
      <w:r>
        <w:rPr>
          <w:rFonts w:ascii="Arial" w:cs="Arial" w:eastAsia="Arial" w:hAnsi="Arial"/>
          <w:sz w:val="22"/>
          <w:szCs w:val="22"/>
          <w:color w:val="FFFFFF"/>
        </w:rPr>
        <w:t>4Q12</w:t>
      </w:r>
    </w:p>
    <w:p>
      <w:pPr>
        <w:sectPr>
          <w:pgSz w:w="11900" w:h="16838" w:orient="portrait"/>
          <w:cols w:equalWidth="0" w:num="2">
            <w:col w:w="4780" w:space="500"/>
            <w:col w:w="4520"/>
          </w:cols>
          <w:pgMar w:left="1040" w:top="767" w:right="1059" w:bottom="1440" w:gutter="0" w:footer="0" w:header="0"/>
        </w:sectPr>
      </w:pPr>
    </w:p>
    <w:bookmarkStart w:id="11" w:name="page12"/>
    <w:bookmarkEnd w:id="11"/>
    <w:p>
      <w:pPr>
        <w:ind w:left="574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EXPANDING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42"/>
          <w:szCs w:val="42"/>
          <w:color w:val="FB8332"/>
        </w:rPr>
        <w:t>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80"/>
        <w:spacing w:after="0"/>
        <w:tabs>
          <w:tab w:leader="none" w:pos="3940" w:val="left"/>
          <w:tab w:leader="none" w:pos="6000" w:val="left"/>
        </w:tabs>
        <w:rPr>
          <w:sz w:val="20"/>
          <w:szCs w:val="20"/>
          <w:color w:val="auto"/>
        </w:rPr>
      </w:pPr>
      <w:r>
        <w:rPr>
          <w:rFonts w:ascii="Arial" w:cs="Arial" w:eastAsia="Arial" w:hAnsi="Arial"/>
          <w:sz w:val="25"/>
          <w:szCs w:val="25"/>
          <w:b w:val="1"/>
          <w:bCs w:val="1"/>
          <w:color w:val="FFFFFF"/>
        </w:rPr>
        <w:t>US: EYLEA</w:t>
      </w:r>
      <w:r>
        <w:rPr>
          <w:sz w:val="20"/>
          <w:szCs w:val="20"/>
          <w:color w:val="auto"/>
        </w:rPr>
        <w:tab/>
      </w:r>
      <w:r>
        <w:rPr>
          <w:rFonts w:ascii="Arial" w:cs="Arial" w:eastAsia="Arial" w:hAnsi="Arial"/>
          <w:sz w:val="25"/>
          <w:szCs w:val="25"/>
          <w:b w:val="1"/>
          <w:bCs w:val="1"/>
          <w:color w:val="FFFFFF"/>
        </w:rPr>
        <w:t>US: Lucentis</w:t>
      </w:r>
      <w:r>
        <w:rPr>
          <w:sz w:val="20"/>
          <w:szCs w:val="20"/>
          <w:color w:val="auto"/>
        </w:rPr>
        <w:tab/>
      </w:r>
      <w:r>
        <w:rPr>
          <w:rFonts w:ascii="Arial" w:cs="Arial" w:eastAsia="Arial" w:hAnsi="Arial"/>
          <w:sz w:val="24"/>
          <w:szCs w:val="24"/>
          <w:b w:val="1"/>
          <w:bCs w:val="1"/>
          <w:color w:val="FFFFFF"/>
        </w:rPr>
        <w:t>exUS: Lucentis</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700</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600</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500</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400</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300</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200</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22"/>
          <w:szCs w:val="22"/>
          <w:color w:val="FFFFFF"/>
        </w:rPr>
        <w:t>100</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2"/>
          <w:szCs w:val="22"/>
          <w:color w:val="FFFFFF"/>
        </w:rPr>
        <w:t>0</w:t>
      </w:r>
    </w:p>
    <w:p>
      <w:pPr>
        <w:ind w:left="1920"/>
        <w:spacing w:after="0"/>
        <w:tabs>
          <w:tab w:leader="none" w:pos="3340" w:val="left"/>
          <w:tab w:leader="none" w:pos="4740" w:val="left"/>
          <w:tab w:leader="none" w:pos="6160" w:val="left"/>
          <w:tab w:leader="none" w:pos="7540" w:val="left"/>
        </w:tabs>
        <w:rPr>
          <w:sz w:val="20"/>
          <w:szCs w:val="20"/>
          <w:color w:val="auto"/>
        </w:rPr>
      </w:pPr>
      <w:r>
        <w:rPr>
          <w:rFonts w:ascii="Arial" w:cs="Arial" w:eastAsia="Arial" w:hAnsi="Arial"/>
          <w:sz w:val="22"/>
          <w:szCs w:val="22"/>
          <w:color w:val="FFFFFF"/>
        </w:rPr>
        <w:t>3Q11</w:t>
      </w:r>
      <w:r>
        <w:rPr>
          <w:sz w:val="20"/>
          <w:szCs w:val="20"/>
          <w:color w:val="auto"/>
        </w:rPr>
        <w:tab/>
      </w:r>
      <w:r>
        <w:rPr>
          <w:rFonts w:ascii="Arial" w:cs="Arial" w:eastAsia="Arial" w:hAnsi="Arial"/>
          <w:sz w:val="22"/>
          <w:szCs w:val="22"/>
          <w:color w:val="FFFFFF"/>
        </w:rPr>
        <w:t>4Q11</w:t>
      </w:r>
      <w:r>
        <w:rPr>
          <w:sz w:val="20"/>
          <w:szCs w:val="20"/>
          <w:color w:val="auto"/>
        </w:rPr>
        <w:tab/>
      </w:r>
      <w:r>
        <w:rPr>
          <w:rFonts w:ascii="Arial" w:cs="Arial" w:eastAsia="Arial" w:hAnsi="Arial"/>
          <w:sz w:val="22"/>
          <w:szCs w:val="22"/>
          <w:color w:val="FFFFFF"/>
        </w:rPr>
        <w:t>1Q12</w:t>
      </w:r>
      <w:r>
        <w:rPr>
          <w:sz w:val="20"/>
          <w:szCs w:val="20"/>
          <w:color w:val="auto"/>
        </w:rPr>
        <w:tab/>
      </w:r>
      <w:r>
        <w:rPr>
          <w:rFonts w:ascii="Arial" w:cs="Arial" w:eastAsia="Arial" w:hAnsi="Arial"/>
          <w:sz w:val="22"/>
          <w:szCs w:val="22"/>
          <w:color w:val="FFFFFF"/>
        </w:rPr>
        <w:t>2Q12</w:t>
      </w:r>
      <w:r>
        <w:rPr>
          <w:sz w:val="20"/>
          <w:szCs w:val="20"/>
          <w:color w:val="auto"/>
        </w:rPr>
        <w:tab/>
      </w:r>
      <w:r>
        <w:rPr>
          <w:rFonts w:ascii="Arial" w:cs="Arial" w:eastAsia="Arial" w:hAnsi="Arial"/>
          <w:sz w:val="22"/>
          <w:szCs w:val="22"/>
          <w:color w:val="FFFFFF"/>
        </w:rPr>
        <w:t>3Q12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FFFFFF"/>
        </w:rPr>
        <w:t>8</w:t>
      </w:r>
    </w:p>
    <w:p>
      <w:pPr>
        <w:sectPr>
          <w:pgSz w:w="11900" w:h="16838" w:orient="portrait"/>
          <w:cols w:equalWidth="0" w:num="1">
            <w:col w:w="9419"/>
          </w:cols>
          <w:pgMar w:left="1040" w:top="755" w:right="1440" w:bottom="1440" w:gutter="0" w:footer="0" w:header="0"/>
        </w:sectPr>
      </w:pPr>
    </w:p>
    <w:bookmarkStart w:id="12" w:name="page13"/>
    <w:bookmarkEnd w:id="12"/>
    <w:p>
      <w:pPr>
        <w:ind w:left="574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BROADENING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44"/>
          <w:szCs w:val="44"/>
          <w:color w:val="FB8332"/>
        </w:rPr>
        <w:t>INDICATIONS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60"/>
        <w:spacing w:after="0"/>
        <w:rPr>
          <w:sz w:val="20"/>
          <w:szCs w:val="20"/>
          <w:color w:val="auto"/>
        </w:rPr>
      </w:pPr>
      <w:r>
        <w:rPr>
          <w:rFonts w:ascii="Arial" w:cs="Arial" w:eastAsia="Arial" w:hAnsi="Arial"/>
          <w:sz w:val="27"/>
          <w:szCs w:val="27"/>
          <w:b w:val="1"/>
          <w:bCs w:val="1"/>
          <w:color w:val="003C6B"/>
        </w:rPr>
        <w:t>Diabetic Macular Edema (DME)</w:t>
      </w:r>
    </w:p>
    <w:p>
      <w:pPr>
        <w:spacing w:after="0" w:line="361" w:lineRule="exact"/>
        <w:rPr>
          <w:sz w:val="20"/>
          <w:szCs w:val="20"/>
          <w:color w:val="auto"/>
        </w:rPr>
      </w:pPr>
    </w:p>
    <w:p>
      <w:pPr>
        <w:ind w:left="4780"/>
        <w:spacing w:after="0"/>
        <w:rPr>
          <w:sz w:val="20"/>
          <w:szCs w:val="20"/>
          <w:color w:val="auto"/>
        </w:rPr>
      </w:pPr>
      <w:r>
        <w:rPr>
          <w:rFonts w:ascii="Arial" w:cs="Arial" w:eastAsia="Arial" w:hAnsi="Arial"/>
          <w:sz w:val="25"/>
          <w:szCs w:val="25"/>
          <w:b w:val="1"/>
          <w:bCs w:val="1"/>
          <w:color w:val="1D355D"/>
        </w:rPr>
        <w:t>Trials fully enrolled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20"/>
        <w:spacing w:after="0"/>
        <w:rPr>
          <w:sz w:val="20"/>
          <w:szCs w:val="20"/>
          <w:color w:val="auto"/>
        </w:rPr>
      </w:pPr>
      <w:r>
        <w:rPr>
          <w:rFonts w:ascii="Arial" w:cs="Arial" w:eastAsia="Arial" w:hAnsi="Arial"/>
          <w:sz w:val="26"/>
          <w:szCs w:val="26"/>
          <w:b w:val="1"/>
          <w:bCs w:val="1"/>
          <w:color w:val="003C6B"/>
        </w:rPr>
        <w:t>Branch Retinal Vein Occlusion (BRVO)</w:t>
      </w:r>
    </w:p>
    <w:p>
      <w:pPr>
        <w:spacing w:after="0" w:line="200" w:lineRule="exact"/>
        <w:rPr>
          <w:sz w:val="20"/>
          <w:szCs w:val="20"/>
          <w:color w:val="auto"/>
        </w:rPr>
      </w:pPr>
    </w:p>
    <w:p>
      <w:pPr>
        <w:spacing w:after="0" w:line="208" w:lineRule="exact"/>
        <w:rPr>
          <w:sz w:val="20"/>
          <w:szCs w:val="20"/>
          <w:color w:val="auto"/>
        </w:rPr>
      </w:pPr>
    </w:p>
    <w:p>
      <w:pPr>
        <w:ind w:left="4780"/>
        <w:spacing w:after="0"/>
        <w:rPr>
          <w:sz w:val="20"/>
          <w:szCs w:val="20"/>
          <w:color w:val="auto"/>
        </w:rPr>
      </w:pPr>
      <w:r>
        <w:rPr>
          <w:rFonts w:ascii="Arial" w:cs="Arial" w:eastAsia="Arial" w:hAnsi="Arial"/>
          <w:sz w:val="25"/>
          <w:szCs w:val="25"/>
          <w:b w:val="1"/>
          <w:bCs w:val="1"/>
          <w:color w:val="1D355D"/>
        </w:rPr>
        <w:t>Trial enrolling</w:t>
      </w:r>
    </w:p>
    <w:p>
      <w:pPr>
        <w:sectPr>
          <w:pgSz w:w="11900" w:h="16838" w:orient="portrait"/>
          <w:cols w:equalWidth="0" w:num="1">
            <w:col w:w="9720"/>
          </w:cols>
          <w:pgMar w:left="1040" w:top="75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003C6B"/>
        </w:rPr>
        <w:t>Myopic CNV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6"/>
          <w:szCs w:val="26"/>
          <w:b w:val="1"/>
          <w:bCs w:val="1"/>
          <w:color w:val="003C6B"/>
        </w:rPr>
        <w:t>Central Retinal Vein Occlusion (CRVO)</w:t>
      </w:r>
    </w:p>
    <w:p>
      <w:pPr>
        <w:spacing w:after="0" w:line="223" w:lineRule="exact"/>
        <w:rPr>
          <w:sz w:val="20"/>
          <w:szCs w:val="20"/>
          <w:color w:val="auto"/>
        </w:rPr>
      </w:pPr>
    </w:p>
    <w:p>
      <w:pPr>
        <w:sectPr>
          <w:pgSz w:w="11900" w:h="16838" w:orient="portrait"/>
          <w:cols w:equalWidth="0" w:num="2">
            <w:col w:w="4040" w:space="720"/>
            <w:col w:w="4960"/>
          </w:cols>
          <w:pgMar w:left="1040" w:top="755" w:right="1139" w:bottom="1440" w:gutter="0" w:footer="0" w:header="0"/>
          <w:type w:val="continuous"/>
        </w:sectPr>
      </w:pP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1D355D"/>
        </w:rPr>
        <w:t>Trial fully enrolled in Asia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1D355D"/>
        </w:rPr>
        <w:t>Approved in U.S.; Filings globally</w:t>
      </w:r>
    </w:p>
    <w:p>
      <w:pPr>
        <w:spacing w:after="0" w:line="200" w:lineRule="exact"/>
        <w:rPr>
          <w:sz w:val="20"/>
          <w:szCs w:val="20"/>
          <w:color w:val="auto"/>
        </w:rPr>
      </w:pPr>
    </w:p>
    <w:p>
      <w:pPr>
        <w:sectPr>
          <w:pgSz w:w="11900" w:h="16838" w:orient="portrait"/>
          <w:cols w:equalWidth="0" w:num="2">
            <w:col w:w="4080" w:space="720"/>
            <w:col w:w="4920"/>
          </w:cols>
          <w:pgMar w:left="1040" w:top="755"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FFFFFF"/>
        </w:rPr>
        <w:t>9</w:t>
      </w:r>
    </w:p>
    <w:p>
      <w:pPr>
        <w:sectPr>
          <w:pgSz w:w="11900" w:h="16838" w:orient="portrait"/>
          <w:cols w:equalWidth="0" w:num="1">
            <w:col w:w="9720"/>
          </w:cols>
          <w:pgMar w:left="1040" w:top="755" w:right="1139" w:bottom="1440" w:gutter="0" w:footer="0" w:header="0"/>
          <w:type w:val="continuous"/>
        </w:sectPr>
      </w:pPr>
    </w:p>
    <w:bookmarkStart w:id="13" w:name="page14"/>
    <w:bookmarkEnd w:id="13"/>
    <w:p>
      <w:pPr>
        <w:ind w:left="574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SECURING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44"/>
          <w:szCs w:val="44"/>
          <w:color w:val="FB8332"/>
        </w:rPr>
        <w:t>THE FUTURE</w:t>
      </w: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37"/>
          <w:szCs w:val="37"/>
          <w:b w:val="1"/>
          <w:bCs w:val="1"/>
          <w:color w:val="003C6B"/>
        </w:rPr>
        <w:t>Novel Targets in Development for Retinal Disease</w:t>
      </w:r>
    </w:p>
    <w:p>
      <w:pPr>
        <w:sectPr>
          <w:pgSz w:w="11900" w:h="16838" w:orient="portrait"/>
          <w:cols w:equalWidth="0" w:num="1">
            <w:col w:w="9520"/>
          </w:cols>
          <w:pgMar w:left="1040" w:top="755" w:right="1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38"/>
          <w:szCs w:val="38"/>
          <w:b w:val="1"/>
          <w:bCs w:val="1"/>
          <w:color w:val="003C6B"/>
        </w:rPr>
        <w:t>PDGFR</w:t>
      </w:r>
    </w:p>
    <w:p>
      <w:pPr>
        <w:spacing w:after="0" w:line="298" w:lineRule="exact"/>
        <w:rPr>
          <w:sz w:val="20"/>
          <w:szCs w:val="20"/>
          <w:color w:val="auto"/>
        </w:rPr>
      </w:pPr>
    </w:p>
    <w:p>
      <w:pPr>
        <w:ind w:left="140" w:right="1820"/>
        <w:spacing w:after="0" w:line="310" w:lineRule="auto"/>
        <w:rPr>
          <w:sz w:val="20"/>
          <w:szCs w:val="20"/>
          <w:color w:val="auto"/>
        </w:rPr>
      </w:pPr>
      <w:r>
        <w:rPr>
          <w:rFonts w:ascii="Arial" w:cs="Arial" w:eastAsia="Arial" w:hAnsi="Arial"/>
          <w:sz w:val="24"/>
          <w:szCs w:val="24"/>
          <w:b w:val="1"/>
          <w:bCs w:val="1"/>
          <w:color w:val="1D355D"/>
        </w:rPr>
        <w:t>High affinity, fully-human antibody to PDGFR</w:t>
      </w:r>
    </w:p>
    <w:p>
      <w:pPr>
        <w:spacing w:after="0" w:line="192" w:lineRule="exact"/>
        <w:rPr>
          <w:sz w:val="20"/>
          <w:szCs w:val="20"/>
          <w:color w:val="auto"/>
        </w:rPr>
      </w:pPr>
    </w:p>
    <w:p>
      <w:pPr>
        <w:ind w:left="140" w:right="1200"/>
        <w:spacing w:after="0" w:line="288" w:lineRule="auto"/>
        <w:rPr>
          <w:sz w:val="20"/>
          <w:szCs w:val="20"/>
          <w:color w:val="auto"/>
        </w:rPr>
      </w:pPr>
      <w:r>
        <w:rPr>
          <w:rFonts w:ascii="Arial" w:cs="Arial" w:eastAsia="Arial" w:hAnsi="Arial"/>
          <w:sz w:val="25"/>
          <w:szCs w:val="25"/>
          <w:b w:val="1"/>
          <w:bCs w:val="1"/>
          <w:color w:val="1D355D"/>
        </w:rPr>
        <w:t>Goal to enter clinic with co-formulated product in 2H13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8"/>
          <w:szCs w:val="38"/>
          <w:b w:val="1"/>
          <w:bCs w:val="1"/>
          <w:color w:val="003C6B"/>
        </w:rPr>
        <w:t>ANG2</w:t>
      </w:r>
    </w:p>
    <w:p>
      <w:pPr>
        <w:spacing w:after="0" w:line="309" w:lineRule="exact"/>
        <w:rPr>
          <w:sz w:val="20"/>
          <w:szCs w:val="20"/>
          <w:color w:val="auto"/>
        </w:rPr>
      </w:pPr>
    </w:p>
    <w:p>
      <w:pPr>
        <w:ind w:right="960"/>
        <w:spacing w:after="0" w:line="288" w:lineRule="auto"/>
        <w:rPr>
          <w:sz w:val="20"/>
          <w:szCs w:val="20"/>
          <w:color w:val="auto"/>
        </w:rPr>
      </w:pPr>
      <w:r>
        <w:rPr>
          <w:rFonts w:ascii="Arial" w:cs="Arial" w:eastAsia="Arial" w:hAnsi="Arial"/>
          <w:sz w:val="25"/>
          <w:szCs w:val="25"/>
          <w:b w:val="1"/>
          <w:bCs w:val="1"/>
          <w:color w:val="1D355D"/>
        </w:rPr>
        <w:t>High affinity, fully human antibody to ang2</w:t>
      </w:r>
    </w:p>
    <w:p>
      <w:pPr>
        <w:spacing w:after="0" w:line="215" w:lineRule="exact"/>
        <w:rPr>
          <w:sz w:val="20"/>
          <w:szCs w:val="20"/>
          <w:color w:val="auto"/>
        </w:rPr>
      </w:pPr>
    </w:p>
    <w:p>
      <w:pPr>
        <w:spacing w:after="0" w:line="310" w:lineRule="auto"/>
        <w:rPr>
          <w:sz w:val="20"/>
          <w:szCs w:val="20"/>
          <w:color w:val="auto"/>
        </w:rPr>
      </w:pPr>
      <w:r>
        <w:rPr>
          <w:rFonts w:ascii="Arial" w:cs="Arial" w:eastAsia="Arial" w:hAnsi="Arial"/>
          <w:sz w:val="24"/>
          <w:szCs w:val="24"/>
          <w:b w:val="1"/>
          <w:bCs w:val="1"/>
          <w:color w:val="1D355D"/>
        </w:rPr>
        <w:t>Goal to enter into ophthalmology clinical development in 2013</w:t>
      </w:r>
    </w:p>
    <w:p>
      <w:pPr>
        <w:spacing w:after="0" w:line="200" w:lineRule="exact"/>
        <w:rPr>
          <w:sz w:val="20"/>
          <w:szCs w:val="20"/>
          <w:color w:val="auto"/>
        </w:rPr>
      </w:pPr>
    </w:p>
    <w:p>
      <w:pPr>
        <w:sectPr>
          <w:pgSz w:w="11900" w:h="16838" w:orient="portrait"/>
          <w:cols w:equalWidth="0" w:num="2">
            <w:col w:w="4920" w:space="720"/>
            <w:col w:w="3880"/>
          </w:cols>
          <w:pgMar w:left="1040" w:top="755"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right="1500"/>
        <w:spacing w:after="0" w:line="280" w:lineRule="auto"/>
        <w:rPr>
          <w:sz w:val="20"/>
          <w:szCs w:val="20"/>
          <w:color w:val="auto"/>
        </w:rPr>
      </w:pPr>
      <w:r>
        <w:rPr>
          <w:rFonts w:ascii="Arial" w:cs="Arial" w:eastAsia="Arial" w:hAnsi="Arial"/>
          <w:sz w:val="38"/>
          <w:szCs w:val="38"/>
          <w:b w:val="1"/>
          <w:bCs w:val="1"/>
          <w:color w:val="003C6B"/>
        </w:rPr>
        <w:t>Novel formulation and delivery of EYLEA as well as evaluation of new technologies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FFFFFF"/>
        </w:rPr>
        <w:t>10</w:t>
      </w:r>
    </w:p>
    <w:p>
      <w:pPr>
        <w:sectPr>
          <w:pgSz w:w="11900" w:h="16838" w:orient="portrait"/>
          <w:cols w:equalWidth="0" w:num="1">
            <w:col w:w="9520"/>
          </w:cols>
          <w:pgMar w:left="1040" w:top="755" w:right="1339" w:bottom="1440" w:gutter="0" w:footer="0" w:header="0"/>
          <w:type w:val="continuous"/>
        </w:sectPr>
      </w:pPr>
    </w:p>
    <w:bookmarkStart w:id="14" w:name="page15"/>
    <w:bookmarkEnd w:id="14"/>
    <w:p>
      <w:pPr>
        <w:ind w:left="452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OPPORTUNITIES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44"/>
          <w:szCs w:val="44"/>
          <w:color w:val="FB8332"/>
        </w:rPr>
        <w:t>IN CANCER</w:t>
      </w:r>
    </w:p>
    <w:p>
      <w:pPr>
        <w:spacing w:after="0" w:line="200" w:lineRule="exact"/>
        <w:rPr>
          <w:sz w:val="20"/>
          <w:szCs w:val="20"/>
          <w:color w:val="auto"/>
        </w:rPr>
      </w:pPr>
    </w:p>
    <w:p>
      <w:pPr>
        <w:spacing w:after="0" w:line="259" w:lineRule="exact"/>
        <w:rPr>
          <w:sz w:val="20"/>
          <w:szCs w:val="20"/>
          <w:color w:val="auto"/>
        </w:rPr>
      </w:pPr>
    </w:p>
    <w:p>
      <w:pPr>
        <w:spacing w:after="0" w:line="271" w:lineRule="auto"/>
        <w:rPr>
          <w:sz w:val="20"/>
          <w:szCs w:val="20"/>
          <w:color w:val="auto"/>
        </w:rPr>
      </w:pPr>
      <w:r>
        <w:rPr>
          <w:rFonts w:ascii="Arial" w:cs="Arial" w:eastAsia="Arial" w:hAnsi="Arial"/>
          <w:sz w:val="22"/>
          <w:szCs w:val="22"/>
          <w:b w:val="1"/>
          <w:bCs w:val="1"/>
          <w:color w:val="003C6B"/>
        </w:rPr>
        <w:t>ZALTRAP is the only agent that has demonstrated a statistically significant improvement in overall survival in combination with FOLFIRI versus FOLFIRI alone in patients who progressed on a prior oxaliplatin-containing regimen.</w:t>
      </w:r>
    </w:p>
    <w:p>
      <w:pPr>
        <w:sectPr>
          <w:pgSz w:w="11900" w:h="16838" w:orient="portrait"/>
          <w:cols w:equalWidth="0" w:num="1">
            <w:col w:w="10060"/>
          </w:cols>
          <w:pgMar w:left="920" w:top="778" w:right="9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003C6B"/>
        </w:rPr>
        <w:t>Approved in the US</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24"/>
          <w:szCs w:val="24"/>
          <w:b w:val="1"/>
          <w:bCs w:val="1"/>
          <w:color w:val="1D355D"/>
        </w:rPr>
        <w:t>Approved and launched in U.S.</w:t>
      </w:r>
    </w:p>
    <w:p>
      <w:pPr>
        <w:spacing w:after="0" w:line="324" w:lineRule="exact"/>
        <w:rPr>
          <w:sz w:val="20"/>
          <w:szCs w:val="20"/>
          <w:color w:val="auto"/>
        </w:rPr>
      </w:pPr>
    </w:p>
    <w:p>
      <w:pPr>
        <w:ind w:left="300" w:right="1140"/>
        <w:spacing w:after="0" w:line="288" w:lineRule="auto"/>
        <w:rPr>
          <w:sz w:val="20"/>
          <w:szCs w:val="20"/>
          <w:color w:val="auto"/>
        </w:rPr>
      </w:pPr>
      <w:r>
        <w:rPr>
          <w:rFonts w:ascii="Arial" w:cs="Arial" w:eastAsia="Arial" w:hAnsi="Arial"/>
          <w:sz w:val="25"/>
          <w:szCs w:val="25"/>
          <w:b w:val="1"/>
          <w:bCs w:val="1"/>
          <w:color w:val="1D355D"/>
        </w:rPr>
        <w:t>Discovered by Regeneron and co-developed with Sanofi</w:t>
      </w:r>
    </w:p>
    <w:p>
      <w:pPr>
        <w:spacing w:after="0" w:line="215" w:lineRule="exact"/>
        <w:rPr>
          <w:sz w:val="20"/>
          <w:szCs w:val="20"/>
          <w:color w:val="auto"/>
        </w:rPr>
      </w:pPr>
    </w:p>
    <w:p>
      <w:pPr>
        <w:ind w:left="300" w:right="1420"/>
        <w:spacing w:after="0" w:line="310" w:lineRule="auto"/>
        <w:rPr>
          <w:sz w:val="20"/>
          <w:szCs w:val="20"/>
          <w:color w:val="auto"/>
        </w:rPr>
      </w:pPr>
      <w:r>
        <w:rPr>
          <w:rFonts w:ascii="Arial" w:cs="Arial" w:eastAsia="Arial" w:hAnsi="Arial"/>
          <w:sz w:val="24"/>
          <w:szCs w:val="24"/>
          <w:b w:val="1"/>
          <w:bCs w:val="1"/>
          <w:color w:val="1D355D"/>
        </w:rPr>
        <w:t>Regeneron has worldwide co-commercialization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1"/>
          <w:szCs w:val="31"/>
          <w:b w:val="1"/>
          <w:bCs w:val="1"/>
          <w:color w:val="003C6B"/>
        </w:rPr>
        <w:t>Pending Approval in the EU</w:t>
      </w:r>
    </w:p>
    <w:p>
      <w:pPr>
        <w:spacing w:after="0" w:line="200" w:lineRule="exact"/>
        <w:rPr>
          <w:sz w:val="20"/>
          <w:szCs w:val="20"/>
          <w:color w:val="auto"/>
        </w:rPr>
      </w:pPr>
    </w:p>
    <w:p>
      <w:pPr>
        <w:spacing w:after="0" w:line="270" w:lineRule="exact"/>
        <w:rPr>
          <w:sz w:val="20"/>
          <w:szCs w:val="20"/>
          <w:color w:val="auto"/>
        </w:rPr>
      </w:pPr>
    </w:p>
    <w:p>
      <w:pPr>
        <w:ind w:left="80" w:right="860"/>
        <w:spacing w:after="0" w:line="310" w:lineRule="auto"/>
        <w:rPr>
          <w:sz w:val="20"/>
          <w:szCs w:val="20"/>
          <w:color w:val="auto"/>
        </w:rPr>
      </w:pPr>
      <w:r>
        <w:rPr>
          <w:rFonts w:ascii="Arial" w:cs="Arial" w:eastAsia="Arial" w:hAnsi="Arial"/>
          <w:sz w:val="24"/>
          <w:szCs w:val="24"/>
          <w:b w:val="1"/>
          <w:bCs w:val="1"/>
          <w:color w:val="1D355D"/>
        </w:rPr>
        <w:t>Positive recommendation for approval by European CHMP</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1D355D"/>
        </w:rPr>
        <w:t>EU approval expected 1Q13</w:t>
      </w:r>
    </w:p>
    <w:p>
      <w:pPr>
        <w:spacing w:after="0" w:line="312" w:lineRule="exact"/>
        <w:rPr>
          <w:sz w:val="20"/>
          <w:szCs w:val="20"/>
          <w:color w:val="auto"/>
        </w:rPr>
      </w:pPr>
    </w:p>
    <w:p>
      <w:pPr>
        <w:ind w:left="80" w:right="980"/>
        <w:spacing w:after="0" w:line="310" w:lineRule="auto"/>
        <w:rPr>
          <w:sz w:val="20"/>
          <w:szCs w:val="20"/>
          <w:color w:val="auto"/>
        </w:rPr>
      </w:pPr>
      <w:r>
        <w:rPr>
          <w:rFonts w:ascii="Arial" w:cs="Arial" w:eastAsia="Arial" w:hAnsi="Arial"/>
          <w:sz w:val="24"/>
          <w:szCs w:val="24"/>
          <w:b w:val="1"/>
          <w:bCs w:val="1"/>
          <w:color w:val="1D355D"/>
        </w:rPr>
        <w:t>Regeneron has worldwide co-commercialization rights</w:t>
      </w:r>
    </w:p>
    <w:p>
      <w:pPr>
        <w:spacing w:after="0" w:line="223" w:lineRule="exact"/>
        <w:rPr>
          <w:sz w:val="20"/>
          <w:szCs w:val="20"/>
          <w:color w:val="auto"/>
        </w:rPr>
      </w:pPr>
    </w:p>
    <w:p>
      <w:pPr>
        <w:sectPr>
          <w:pgSz w:w="11900" w:h="16838" w:orient="portrait"/>
          <w:cols w:equalWidth="0" w:num="2">
            <w:col w:w="5000" w:space="720"/>
            <w:col w:w="4340"/>
          </w:cols>
          <w:pgMar w:left="920" w:top="778"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Arial" w:cs="Arial" w:eastAsia="Arial" w:hAnsi="Arial"/>
          <w:sz w:val="19"/>
          <w:szCs w:val="19"/>
          <w:color w:val="FFFFFF"/>
        </w:rPr>
        <w:t>11</w:t>
      </w:r>
    </w:p>
    <w:p>
      <w:pPr>
        <w:sectPr>
          <w:pgSz w:w="11900" w:h="16838" w:orient="portrait"/>
          <w:cols w:equalWidth="0" w:num="1">
            <w:col w:w="10060"/>
          </w:cols>
          <w:pgMar w:left="920" w:top="778" w:right="919" w:bottom="1440" w:gutter="0" w:footer="0" w:header="0"/>
          <w:type w:val="continuous"/>
        </w:sectPr>
      </w:pPr>
    </w:p>
    <w:bookmarkStart w:id="15" w:name="page16"/>
    <w:bookmarkEnd w:id="15"/>
    <w:p>
      <w:pPr>
        <w:ind w:left="3680"/>
        <w:spacing w:after="0"/>
        <w:rPr>
          <w:sz w:val="20"/>
          <w:szCs w:val="20"/>
          <w:color w:val="auto"/>
        </w:rPr>
      </w:pPr>
      <w:r>
        <w:rPr>
          <w:rFonts w:ascii="Arial" w:cs="Arial" w:eastAsia="Arial" w:hAnsi="Arial"/>
          <w:sz w:val="42"/>
          <w:szCs w:val="42"/>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EXPANDING LATE</w:t>
      </w:r>
    </w:p>
    <w:p>
      <w:pPr>
        <w:spacing w:after="0" w:line="46" w:lineRule="exact"/>
        <w:rPr>
          <w:sz w:val="20"/>
          <w:szCs w:val="20"/>
          <w:color w:val="auto"/>
        </w:rPr>
      </w:pPr>
    </w:p>
    <w:p>
      <w:pPr>
        <w:ind w:left="3680"/>
        <w:spacing w:after="0"/>
        <w:rPr>
          <w:sz w:val="20"/>
          <w:szCs w:val="20"/>
          <w:color w:val="auto"/>
        </w:rPr>
      </w:pPr>
      <w:r>
        <w:rPr>
          <w:rFonts w:ascii="Arial" w:cs="Arial" w:eastAsia="Arial" w:hAnsi="Arial"/>
          <w:sz w:val="44"/>
          <w:szCs w:val="44"/>
          <w:color w:val="FB8332"/>
        </w:rPr>
        <w:t>STAGE PIPELINE</w:t>
      </w:r>
    </w:p>
    <w:p>
      <w:pPr>
        <w:sectPr>
          <w:pgSz w:w="11900" w:h="16838" w:orient="portrait"/>
          <w:cols w:equalWidth="0" w:num="1">
            <w:col w:w="9419"/>
          </w:cols>
          <w:pgMar w:left="1040" w:top="7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80"/>
        <w:spacing w:after="0"/>
        <w:rPr>
          <w:sz w:val="20"/>
          <w:szCs w:val="20"/>
          <w:color w:val="auto"/>
        </w:rPr>
      </w:pPr>
      <w:r>
        <w:rPr>
          <w:rFonts w:ascii="Arial" w:cs="Arial" w:eastAsia="Arial" w:hAnsi="Arial"/>
          <w:sz w:val="37"/>
          <w:szCs w:val="37"/>
          <w:b w:val="1"/>
          <w:bCs w:val="1"/>
          <w:color w:val="003C6B"/>
        </w:rPr>
        <w:t>REGN727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37"/>
          <w:szCs w:val="37"/>
          <w:b w:val="1"/>
          <w:bCs w:val="1"/>
          <w:color w:val="003C6B"/>
        </w:rPr>
        <w:t>Sarilumab</w:t>
      </w:r>
    </w:p>
    <w:p>
      <w:pPr>
        <w:spacing w:after="0" w:line="200" w:lineRule="exact"/>
        <w:rPr>
          <w:sz w:val="20"/>
          <w:szCs w:val="20"/>
          <w:color w:val="auto"/>
        </w:rPr>
      </w:pPr>
    </w:p>
    <w:p>
      <w:pPr>
        <w:sectPr>
          <w:pgSz w:w="11900" w:h="16838" w:orient="portrait"/>
          <w:cols w:equalWidth="0" w:num="2">
            <w:col w:w="5980" w:space="720"/>
            <w:col w:w="2719"/>
          </w:cols>
          <w:pgMar w:left="1040" w:top="755" w:right="1440" w:bottom="1440" w:gutter="0" w:footer="0" w:header="0"/>
          <w:type w:val="continuous"/>
        </w:sectPr>
      </w:pPr>
    </w:p>
    <w:p>
      <w:pPr>
        <w:spacing w:after="0" w:line="203"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1D355D"/>
        </w:rPr>
        <w:t>PCSK9 antibody for</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24"/>
          <w:szCs w:val="24"/>
          <w:b w:val="1"/>
          <w:bCs w:val="1"/>
          <w:color w:val="1D355D"/>
        </w:rPr>
        <w:t>elevated cholesterol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1D355D"/>
        </w:rPr>
        <w:t>IL6R antibody for</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1D355D"/>
        </w:rPr>
        <w:t>rheumatoid arthritis</w:t>
      </w:r>
    </w:p>
    <w:p>
      <w:pPr>
        <w:spacing w:after="0" w:line="200" w:lineRule="exact"/>
        <w:rPr>
          <w:sz w:val="20"/>
          <w:szCs w:val="20"/>
          <w:color w:val="auto"/>
        </w:rPr>
      </w:pPr>
    </w:p>
    <w:p>
      <w:pPr>
        <w:sectPr>
          <w:pgSz w:w="11900" w:h="16838" w:orient="portrait"/>
          <w:cols w:equalWidth="0" w:num="2">
            <w:col w:w="5220" w:space="720"/>
            <w:col w:w="3479"/>
          </w:cols>
          <w:pgMar w:left="1040" w:top="7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300"/>
        <w:spacing w:after="0"/>
        <w:rPr>
          <w:sz w:val="20"/>
          <w:szCs w:val="20"/>
          <w:color w:val="auto"/>
        </w:rPr>
      </w:pPr>
      <w:r>
        <w:rPr>
          <w:rFonts w:ascii="Arial" w:cs="Arial" w:eastAsia="Arial" w:hAnsi="Arial"/>
          <w:sz w:val="41"/>
          <w:szCs w:val="41"/>
          <w:b w:val="1"/>
          <w:bCs w:val="1"/>
          <w:color w:val="003C6B"/>
        </w:rPr>
        <w:t>REGN668</w:t>
      </w:r>
    </w:p>
    <w:p>
      <w:pPr>
        <w:spacing w:after="0" w:line="381" w:lineRule="exact"/>
        <w:rPr>
          <w:sz w:val="20"/>
          <w:szCs w:val="20"/>
          <w:color w:val="auto"/>
        </w:rPr>
      </w:pPr>
    </w:p>
    <w:p>
      <w:pPr>
        <w:ind w:left="3540"/>
        <w:spacing w:after="0"/>
        <w:rPr>
          <w:sz w:val="20"/>
          <w:szCs w:val="20"/>
          <w:color w:val="auto"/>
        </w:rPr>
      </w:pPr>
      <w:r>
        <w:rPr>
          <w:rFonts w:ascii="Arial" w:cs="Arial" w:eastAsia="Arial" w:hAnsi="Arial"/>
          <w:sz w:val="24"/>
          <w:szCs w:val="24"/>
          <w:b w:val="1"/>
          <w:bCs w:val="1"/>
          <w:color w:val="1D355D"/>
        </w:rPr>
        <w:t>IL4R antibody for Asthma</w:t>
      </w:r>
    </w:p>
    <w:p>
      <w:pPr>
        <w:spacing w:after="0" w:line="48" w:lineRule="exact"/>
        <w:rPr>
          <w:sz w:val="20"/>
          <w:szCs w:val="20"/>
          <w:color w:val="auto"/>
        </w:rPr>
      </w:pPr>
    </w:p>
    <w:p>
      <w:pPr>
        <w:ind w:left="3540"/>
        <w:spacing w:after="0"/>
        <w:rPr>
          <w:sz w:val="20"/>
          <w:szCs w:val="20"/>
          <w:color w:val="auto"/>
        </w:rPr>
      </w:pPr>
      <w:r>
        <w:rPr>
          <w:rFonts w:ascii="Arial" w:cs="Arial" w:eastAsia="Arial" w:hAnsi="Arial"/>
          <w:sz w:val="25"/>
          <w:szCs w:val="25"/>
          <w:b w:val="1"/>
          <w:bCs w:val="1"/>
          <w:color w:val="1D355D"/>
        </w:rPr>
        <w:t>and Atopic Dermatitis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FFFFFF"/>
        </w:rPr>
        <w:t>12</w:t>
      </w:r>
    </w:p>
    <w:p>
      <w:pPr>
        <w:sectPr>
          <w:pgSz w:w="11900" w:h="16838" w:orient="portrait"/>
          <w:cols w:equalWidth="0" w:num="1">
            <w:col w:w="9419"/>
          </w:cols>
          <w:pgMar w:left="1040" w:top="755" w:right="1440" w:bottom="1440" w:gutter="0" w:footer="0" w:header="0"/>
          <w:type w:val="continuous"/>
        </w:sectPr>
      </w:pPr>
    </w:p>
    <w:bookmarkStart w:id="16" w:name="page17"/>
    <w:bookmarkEnd w:id="16"/>
    <w:p>
      <w:pPr>
        <w:ind w:left="2040" w:right="160"/>
        <w:spacing w:after="0" w:line="243" w:lineRule="auto"/>
        <w:rPr>
          <w:sz w:val="20"/>
          <w:szCs w:val="20"/>
          <w:color w:val="auto"/>
        </w:rPr>
      </w:pPr>
      <w:r>
        <w:rPr>
          <w:rFonts w:ascii="Arial" w:cs="Arial" w:eastAsia="Arial" w:hAnsi="Arial"/>
          <w:sz w:val="38"/>
          <w:szCs w:val="38"/>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PCSK9: BLOCKING PCSK9 CAN POTENTIALLY LOWER LDL-C LEVELS</w:t>
      </w:r>
      <w:r>
        <w:rPr>
          <w:rFonts w:ascii="Arial" w:cs="Arial" w:eastAsia="Arial" w:hAnsi="Arial"/>
          <w:sz w:val="49"/>
          <w:szCs w:val="49"/>
          <w:color w:val="FB8332"/>
          <w:vertAlign w:val="superscript"/>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80" w:hanging="237"/>
        <w:spacing w:after="0"/>
        <w:tabs>
          <w:tab w:leader="none" w:pos="780" w:val="left"/>
        </w:tabs>
        <w:numPr>
          <w:ilvl w:val="0"/>
          <w:numId w:val="2"/>
        </w:numPr>
        <w:rPr>
          <w:rFonts w:ascii="Arial" w:cs="Arial" w:eastAsia="Arial" w:hAnsi="Arial"/>
          <w:sz w:val="15"/>
          <w:szCs w:val="15"/>
          <w:i w:val="1"/>
          <w:iCs w:val="1"/>
          <w:color w:val="272727"/>
        </w:rPr>
      </w:pPr>
      <w:r>
        <w:rPr>
          <w:rFonts w:ascii="Arial" w:cs="Arial" w:eastAsia="Arial" w:hAnsi="Arial"/>
          <w:sz w:val="15"/>
          <w:szCs w:val="15"/>
          <w:i w:val="1"/>
          <w:iCs w:val="1"/>
          <w:color w:val="272727"/>
        </w:rPr>
        <w:t>Tibolla G et al. Nutr Metab Cardiovasc Dis 2011;21:835-43. (2) Akram ON et al. Arterioscler Thromb Vasc Biol 2010;30:1279-81.</w:t>
      </w:r>
    </w:p>
    <w:p>
      <w:pPr>
        <w:spacing w:after="0" w:line="27" w:lineRule="exact"/>
        <w:rPr>
          <w:rFonts w:ascii="Arial" w:cs="Arial" w:eastAsia="Arial" w:hAnsi="Arial"/>
          <w:sz w:val="15"/>
          <w:szCs w:val="15"/>
          <w:i w:val="1"/>
          <w:iCs w:val="1"/>
          <w:color w:val="272727"/>
        </w:rPr>
      </w:pPr>
    </w:p>
    <w:p>
      <w:pPr>
        <w:ind w:left="540" w:firstLine="3"/>
        <w:spacing w:after="0" w:line="283" w:lineRule="auto"/>
        <w:tabs>
          <w:tab w:leader="none" w:pos="769" w:val="left"/>
        </w:tabs>
        <w:numPr>
          <w:ilvl w:val="0"/>
          <w:numId w:val="3"/>
        </w:numPr>
        <w:rPr>
          <w:rFonts w:ascii="Arial" w:cs="Arial" w:eastAsia="Arial" w:hAnsi="Arial"/>
          <w:sz w:val="15"/>
          <w:szCs w:val="15"/>
          <w:i w:val="1"/>
          <w:iCs w:val="1"/>
          <w:color w:val="272727"/>
        </w:rPr>
      </w:pPr>
      <w:r>
        <w:rPr>
          <w:rFonts w:ascii="Arial" w:cs="Arial" w:eastAsia="Arial" w:hAnsi="Arial"/>
          <w:sz w:val="15"/>
          <w:szCs w:val="15"/>
          <w:i w:val="1"/>
          <w:iCs w:val="1"/>
          <w:color w:val="272727"/>
        </w:rPr>
        <w:t>Duff CJ et al. Expert Opin Ther Targets 2011;15:157-68. (4) Horton JD et al. J Lipid Res 2009;50 Suppl:S172-7. (5) Cariou B et al. Atherosclerosis 2011;216:258-65.</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FFFFFF"/>
        </w:rPr>
        <w:t>13</w:t>
      </w:r>
    </w:p>
    <w:p>
      <w:pPr>
        <w:sectPr>
          <w:pgSz w:w="11900" w:h="16838" w:orient="portrait"/>
          <w:cols w:equalWidth="0" w:num="1">
            <w:col w:w="9540"/>
          </w:cols>
          <w:pgMar w:left="1020" w:top="857" w:right="1339" w:bottom="1440" w:gutter="0" w:footer="0" w:header="0"/>
        </w:sectPr>
      </w:pPr>
    </w:p>
    <w:bookmarkStart w:id="17" w:name="page18"/>
    <w:bookmarkEnd w:id="17"/>
    <w:p>
      <w:pPr>
        <w:ind w:left="216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REGN727:</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44"/>
          <w:szCs w:val="44"/>
          <w:color w:val="FB8332"/>
        </w:rPr>
        <w:t>LDL CHOLESTEROL REDUCTION</w:t>
      </w:r>
    </w:p>
    <w:p>
      <w:pPr>
        <w:spacing w:after="0" w:line="200" w:lineRule="exact"/>
        <w:rPr>
          <w:sz w:val="20"/>
          <w:szCs w:val="20"/>
          <w:color w:val="auto"/>
        </w:rPr>
      </w:pPr>
    </w:p>
    <w:p>
      <w:pPr>
        <w:spacing w:after="0" w:line="271" w:lineRule="exact"/>
        <w:rPr>
          <w:sz w:val="20"/>
          <w:szCs w:val="20"/>
          <w:color w:val="auto"/>
        </w:rPr>
      </w:pPr>
    </w:p>
    <w:p>
      <w:pPr>
        <w:ind w:left="120" w:right="760"/>
        <w:spacing w:after="0" w:line="297" w:lineRule="auto"/>
        <w:rPr>
          <w:sz w:val="20"/>
          <w:szCs w:val="20"/>
          <w:color w:val="auto"/>
        </w:rPr>
      </w:pPr>
      <w:r>
        <w:rPr>
          <w:rFonts w:ascii="Arial" w:cs="Arial" w:eastAsia="Arial" w:hAnsi="Arial"/>
          <w:sz w:val="22"/>
          <w:szCs w:val="22"/>
          <w:b w:val="1"/>
          <w:bCs w:val="1"/>
          <w:color w:val="003C6B"/>
        </w:rPr>
        <w:t>Change in Calculated LDL-C at Bi-Weekly Intervals from Baseline to Week 12 in Patients With Primary Hypercholesterolemia.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1D355D"/>
        </w:rPr>
        <w:t>Phase 2 data published in The</w:t>
      </w:r>
    </w:p>
    <w:p>
      <w:pPr>
        <w:ind w:left="6400"/>
        <w:spacing w:after="0" w:line="232" w:lineRule="auto"/>
        <w:rPr>
          <w:sz w:val="20"/>
          <w:szCs w:val="20"/>
          <w:color w:val="auto"/>
        </w:rPr>
      </w:pPr>
      <w:r>
        <w:rPr>
          <w:rFonts w:ascii="Arial" w:cs="Arial" w:eastAsia="Arial" w:hAnsi="Arial"/>
          <w:sz w:val="22"/>
          <w:szCs w:val="22"/>
          <w:b w:val="1"/>
          <w:bCs w:val="1"/>
          <w:color w:val="1D355D"/>
        </w:rPr>
        <w:t>Lancet, Journal of the American</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1D355D"/>
        </w:rPr>
        <w:t>College of Cardiology, and NEJM</w:t>
      </w:r>
    </w:p>
    <w:p>
      <w:pPr>
        <w:spacing w:after="0" w:line="189"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1D355D"/>
        </w:rPr>
        <w:t>Significantly reduced mean LDL-C</w:t>
      </w:r>
    </w:p>
    <w:p>
      <w:pPr>
        <w:spacing w:after="0" w:line="4"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1D355D"/>
        </w:rPr>
        <w:t>by 40% to 72% over 8 to 12 weeks</w:t>
      </w:r>
    </w:p>
    <w:p>
      <w:pPr>
        <w:ind w:left="6400"/>
        <w:spacing w:after="0"/>
        <w:rPr>
          <w:sz w:val="20"/>
          <w:szCs w:val="20"/>
          <w:color w:val="auto"/>
        </w:rPr>
      </w:pPr>
      <w:r>
        <w:rPr>
          <w:rFonts w:ascii="Arial" w:cs="Arial" w:eastAsia="Arial" w:hAnsi="Arial"/>
          <w:sz w:val="22"/>
          <w:szCs w:val="22"/>
          <w:b w:val="1"/>
          <w:bCs w:val="1"/>
          <w:color w:val="1D355D"/>
        </w:rPr>
        <w:t>in patients on stable dose of statins</w:t>
      </w:r>
    </w:p>
    <w:p>
      <w:pPr>
        <w:spacing w:after="0" w:line="189"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1D355D"/>
        </w:rPr>
        <w:t>Most common adverse event</w:t>
      </w:r>
    </w:p>
    <w:p>
      <w:pPr>
        <w:spacing w:after="0" w:line="10"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1D355D"/>
        </w:rPr>
        <w:t>was injection site reaction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160"/>
        <w:spacing w:after="0" w:line="278" w:lineRule="auto"/>
        <w:rPr>
          <w:sz w:val="20"/>
          <w:szCs w:val="20"/>
          <w:color w:val="auto"/>
        </w:rPr>
      </w:pPr>
      <w:r>
        <w:rPr>
          <w:rFonts w:ascii="Arial" w:cs="Arial" w:eastAsia="Arial" w:hAnsi="Arial"/>
          <w:sz w:val="15"/>
          <w:szCs w:val="15"/>
          <w:color w:val="272727"/>
        </w:rPr>
        <w:t>Mean percentage change in calculated LDL-C from baseline to weeks 2, 4, 6, 8, 10, and 12 in the modified intent-to-treat (mITT) population, by treatment group. Week 12 estimation using LOCF method.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272727"/>
        </w:rPr>
        <w:t>*Data from Phase 2 , dose-ranging study. Patients were on background atorvastatin therapy of 10, 20, or 40 mg.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i w:val="1"/>
          <w:iCs w:val="1"/>
          <w:color w:val="272727"/>
        </w:rPr>
        <w:t>Decrease in LDL-C shown is at week 12.</w:t>
      </w:r>
    </w:p>
    <w:p>
      <w:pPr>
        <w:spacing w:after="0" w:line="305" w:lineRule="exact"/>
        <w:rPr>
          <w:sz w:val="20"/>
          <w:szCs w:val="20"/>
          <w:color w:val="auto"/>
        </w:rPr>
      </w:pPr>
    </w:p>
    <w:p>
      <w:pPr>
        <w:ind w:left="100"/>
        <w:spacing w:after="0"/>
        <w:rPr>
          <w:sz w:val="20"/>
          <w:szCs w:val="20"/>
          <w:color w:val="auto"/>
        </w:rPr>
      </w:pPr>
      <w:r>
        <w:rPr>
          <w:rFonts w:ascii="Arial" w:cs="Arial" w:eastAsia="Arial" w:hAnsi="Arial"/>
          <w:sz w:val="19"/>
          <w:szCs w:val="19"/>
          <w:color w:val="FFFFFF"/>
        </w:rPr>
        <w:t>14</w:t>
      </w:r>
    </w:p>
    <w:p>
      <w:pPr>
        <w:sectPr>
          <w:pgSz w:w="11900" w:h="16838" w:orient="portrait"/>
          <w:cols w:equalWidth="0" w:num="1">
            <w:col w:w="10200"/>
          </w:cols>
          <w:pgMar w:left="920" w:top="755" w:right="779" w:bottom="1440" w:gutter="0" w:footer="0" w:header="0"/>
        </w:sectPr>
      </w:pPr>
    </w:p>
    <w:bookmarkStart w:id="18" w:name="page19"/>
    <w:bookmarkEnd w:id="18"/>
    <w:p>
      <w:pPr>
        <w:ind w:left="214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REGN727:</w:t>
      </w:r>
    </w:p>
    <w:p>
      <w:pPr>
        <w:spacing w:after="0" w:line="23" w:lineRule="exact"/>
        <w:rPr>
          <w:sz w:val="20"/>
          <w:szCs w:val="20"/>
          <w:color w:val="auto"/>
        </w:rPr>
      </w:pPr>
    </w:p>
    <w:p>
      <w:pPr>
        <w:ind w:left="2140"/>
        <w:spacing w:after="0"/>
        <w:rPr>
          <w:sz w:val="20"/>
          <w:szCs w:val="20"/>
          <w:color w:val="auto"/>
        </w:rPr>
      </w:pPr>
      <w:r>
        <w:rPr>
          <w:rFonts w:ascii="Arial" w:cs="Arial" w:eastAsia="Arial" w:hAnsi="Arial"/>
          <w:sz w:val="44"/>
          <w:szCs w:val="44"/>
          <w:color w:val="FB8332"/>
        </w:rPr>
        <w:t>LDL CHOLESTEROL REDUCTION</w:t>
      </w:r>
    </w:p>
    <w:p>
      <w:pPr>
        <w:spacing w:after="0" w:line="200" w:lineRule="exact"/>
        <w:rPr>
          <w:sz w:val="20"/>
          <w:szCs w:val="20"/>
          <w:color w:val="auto"/>
        </w:rPr>
      </w:pPr>
    </w:p>
    <w:p>
      <w:pPr>
        <w:spacing w:after="0" w:line="271" w:lineRule="exact"/>
        <w:rPr>
          <w:sz w:val="20"/>
          <w:szCs w:val="20"/>
          <w:color w:val="auto"/>
        </w:rPr>
      </w:pPr>
    </w:p>
    <w:p>
      <w:pPr>
        <w:spacing w:after="0"/>
        <w:tabs>
          <w:tab w:leader="none" w:pos="3420" w:val="left"/>
          <w:tab w:leader="none" w:pos="6980" w:val="left"/>
        </w:tabs>
        <w:rPr>
          <w:sz w:val="20"/>
          <w:szCs w:val="20"/>
          <w:color w:val="auto"/>
        </w:rPr>
      </w:pPr>
      <w:r>
        <w:rPr>
          <w:rFonts w:ascii="Arial" w:cs="Arial" w:eastAsia="Arial" w:hAnsi="Arial"/>
          <w:sz w:val="25"/>
          <w:szCs w:val="25"/>
          <w:b w:val="1"/>
          <w:bCs w:val="1"/>
          <w:color w:val="003C6B"/>
        </w:rPr>
        <w:t>Heterozygous Familial</w:t>
      </w:r>
      <w:r>
        <w:rPr>
          <w:sz w:val="20"/>
          <w:szCs w:val="20"/>
          <w:color w:val="auto"/>
        </w:rPr>
        <w:tab/>
      </w:r>
      <w:r>
        <w:rPr>
          <w:rFonts w:ascii="Arial" w:cs="Arial" w:eastAsia="Arial" w:hAnsi="Arial"/>
          <w:sz w:val="25"/>
          <w:szCs w:val="25"/>
          <w:b w:val="1"/>
          <w:bCs w:val="1"/>
          <w:color w:val="003C6B"/>
        </w:rPr>
        <w:t>High Cholesterol at High</w:t>
      </w:r>
      <w:r>
        <w:rPr>
          <w:sz w:val="20"/>
          <w:szCs w:val="20"/>
          <w:color w:val="auto"/>
        </w:rPr>
        <w:tab/>
      </w:r>
      <w:r>
        <w:rPr>
          <w:rFonts w:ascii="Arial" w:cs="Arial" w:eastAsia="Arial" w:hAnsi="Arial"/>
          <w:sz w:val="24"/>
          <w:szCs w:val="24"/>
          <w:b w:val="1"/>
          <w:bCs w:val="1"/>
          <w:color w:val="003C6B"/>
        </w:rPr>
        <w:t>Additional</w:t>
      </w:r>
    </w:p>
    <w:p>
      <w:pPr>
        <w:spacing w:after="0" w:line="48" w:lineRule="exact"/>
        <w:rPr>
          <w:sz w:val="20"/>
          <w:szCs w:val="20"/>
          <w:color w:val="auto"/>
        </w:rPr>
      </w:pPr>
    </w:p>
    <w:p>
      <w:pPr>
        <w:spacing w:after="0"/>
        <w:tabs>
          <w:tab w:leader="none" w:pos="3420" w:val="left"/>
          <w:tab w:leader="none" w:pos="6980" w:val="left"/>
        </w:tabs>
        <w:rPr>
          <w:sz w:val="20"/>
          <w:szCs w:val="20"/>
          <w:color w:val="auto"/>
        </w:rPr>
      </w:pPr>
      <w:r>
        <w:rPr>
          <w:rFonts w:ascii="Arial" w:cs="Arial" w:eastAsia="Arial" w:hAnsi="Arial"/>
          <w:sz w:val="25"/>
          <w:szCs w:val="25"/>
          <w:b w:val="1"/>
          <w:bCs w:val="1"/>
          <w:color w:val="003C6B"/>
        </w:rPr>
        <w:t>Hypercholesterolemia</w:t>
      </w:r>
      <w:r>
        <w:rPr>
          <w:sz w:val="20"/>
          <w:szCs w:val="20"/>
          <w:color w:val="auto"/>
        </w:rPr>
        <w:tab/>
      </w:r>
      <w:r>
        <w:rPr>
          <w:rFonts w:ascii="Arial" w:cs="Arial" w:eastAsia="Arial" w:hAnsi="Arial"/>
          <w:sz w:val="25"/>
          <w:szCs w:val="25"/>
          <w:b w:val="1"/>
          <w:bCs w:val="1"/>
          <w:color w:val="003C6B"/>
        </w:rPr>
        <w:t>Cardiovascular Risk</w:t>
      </w:r>
      <w:r>
        <w:rPr>
          <w:sz w:val="20"/>
          <w:szCs w:val="20"/>
          <w:color w:val="auto"/>
        </w:rPr>
        <w:tab/>
      </w:r>
      <w:r>
        <w:rPr>
          <w:rFonts w:ascii="Arial" w:cs="Arial" w:eastAsia="Arial" w:hAnsi="Arial"/>
          <w:sz w:val="24"/>
          <w:szCs w:val="24"/>
          <w:b w:val="1"/>
          <w:bCs w:val="1"/>
          <w:color w:val="003C6B"/>
        </w:rPr>
        <w:t>populations/studies</w:t>
      </w:r>
    </w:p>
    <w:p>
      <w:pPr>
        <w:sectPr>
          <w:pgSz w:w="11900" w:h="16838" w:orient="portrait"/>
          <w:cols w:equalWidth="0" w:num="1">
            <w:col w:w="9980"/>
          </w:cols>
          <w:pgMar w:left="940" w:top="755"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900" w:type="dxa"/>
            <w:vAlign w:val="bottom"/>
          </w:tcPr>
          <w:p>
            <w:pPr>
              <w:spacing w:after="0"/>
              <w:rPr>
                <w:sz w:val="19"/>
                <w:szCs w:val="19"/>
                <w:color w:val="auto"/>
              </w:rPr>
            </w:pPr>
          </w:p>
        </w:tc>
        <w:tc>
          <w:tcPr>
            <w:tcW w:w="1020" w:type="dxa"/>
            <w:vAlign w:val="bottom"/>
          </w:tcPr>
          <w:p>
            <w:pPr>
              <w:ind w:left="140"/>
              <w:spacing w:after="0"/>
              <w:rPr>
                <w:sz w:val="20"/>
                <w:szCs w:val="20"/>
                <w:color w:val="auto"/>
              </w:rPr>
            </w:pPr>
            <w:r>
              <w:rPr>
                <w:rFonts w:ascii="Arial" w:cs="Arial" w:eastAsia="Arial" w:hAnsi="Arial"/>
                <w:sz w:val="19"/>
                <w:szCs w:val="19"/>
                <w:color w:val="003C6B"/>
              </w:rPr>
              <w:t>N=471</w:t>
            </w:r>
          </w:p>
        </w:tc>
        <w:tc>
          <w:tcPr>
            <w:tcW w:w="0" w:type="dxa"/>
            <w:vAlign w:val="bottom"/>
          </w:tcPr>
          <w:p>
            <w:pPr>
              <w:spacing w:after="0"/>
              <w:rPr>
                <w:sz w:val="1"/>
                <w:szCs w:val="1"/>
                <w:color w:val="auto"/>
              </w:rPr>
            </w:pPr>
          </w:p>
        </w:tc>
      </w:tr>
      <w:tr>
        <w:trPr>
          <w:trHeight w:val="226"/>
        </w:trPr>
        <w:tc>
          <w:tcPr>
            <w:tcW w:w="900" w:type="dxa"/>
            <w:vAlign w:val="bottom"/>
            <w:vMerge w:val="restart"/>
          </w:tcPr>
          <w:p>
            <w:pPr>
              <w:jc w:val="right"/>
              <w:ind w:right="72"/>
              <w:spacing w:after="0"/>
              <w:rPr>
                <w:sz w:val="20"/>
                <w:szCs w:val="20"/>
                <w:color w:val="auto"/>
              </w:rPr>
            </w:pPr>
            <w:r>
              <w:rPr>
                <w:rFonts w:ascii="Arial" w:cs="Arial" w:eastAsia="Arial" w:hAnsi="Arial"/>
                <w:sz w:val="18"/>
                <w:szCs w:val="18"/>
                <w:color w:val="1767B3"/>
              </w:rPr>
              <w:t>FH I</w:t>
            </w:r>
          </w:p>
        </w:tc>
        <w:tc>
          <w:tcPr>
            <w:tcW w:w="1020" w:type="dxa"/>
            <w:vAlign w:val="bottom"/>
          </w:tcPr>
          <w:p>
            <w:pPr>
              <w:ind w:left="140"/>
              <w:spacing w:after="0"/>
              <w:rPr>
                <w:sz w:val="20"/>
                <w:szCs w:val="20"/>
                <w:color w:val="auto"/>
              </w:rPr>
            </w:pPr>
            <w:r>
              <w:rPr>
                <w:rFonts w:ascii="Arial" w:cs="Arial" w:eastAsia="Arial" w:hAnsi="Arial"/>
                <w:sz w:val="19"/>
                <w:szCs w:val="19"/>
                <w:color w:val="003C6B"/>
                <w:w w:val="96"/>
              </w:rPr>
              <w:t>18 months</w:t>
            </w:r>
          </w:p>
        </w:tc>
        <w:tc>
          <w:tcPr>
            <w:tcW w:w="0" w:type="dxa"/>
            <w:vAlign w:val="bottom"/>
          </w:tcPr>
          <w:p>
            <w:pPr>
              <w:spacing w:after="0"/>
              <w:rPr>
                <w:sz w:val="1"/>
                <w:szCs w:val="1"/>
                <w:color w:val="auto"/>
              </w:rPr>
            </w:pPr>
          </w:p>
        </w:tc>
      </w:tr>
      <w:tr>
        <w:trPr>
          <w:trHeight w:val="78"/>
        </w:trPr>
        <w:tc>
          <w:tcPr>
            <w:tcW w:w="9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4"/>
        </w:trPr>
        <w:tc>
          <w:tcPr>
            <w:tcW w:w="9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9"/>
                <w:szCs w:val="19"/>
                <w:color w:val="003C6B"/>
              </w:rPr>
              <w:t>N=250</w:t>
            </w:r>
          </w:p>
        </w:tc>
        <w:tc>
          <w:tcPr>
            <w:tcW w:w="0" w:type="dxa"/>
            <w:vAlign w:val="bottom"/>
          </w:tcPr>
          <w:p>
            <w:pPr>
              <w:spacing w:after="0"/>
              <w:rPr>
                <w:sz w:val="1"/>
                <w:szCs w:val="1"/>
                <w:color w:val="auto"/>
              </w:rPr>
            </w:pPr>
          </w:p>
        </w:tc>
      </w:tr>
      <w:tr>
        <w:trPr>
          <w:trHeight w:val="226"/>
        </w:trPr>
        <w:tc>
          <w:tcPr>
            <w:tcW w:w="900" w:type="dxa"/>
            <w:vAlign w:val="bottom"/>
            <w:vMerge w:val="restart"/>
          </w:tcPr>
          <w:p>
            <w:pPr>
              <w:jc w:val="right"/>
              <w:ind w:right="92"/>
              <w:spacing w:after="0"/>
              <w:rPr>
                <w:sz w:val="20"/>
                <w:szCs w:val="20"/>
                <w:color w:val="auto"/>
              </w:rPr>
            </w:pPr>
            <w:r>
              <w:rPr>
                <w:rFonts w:ascii="Arial" w:cs="Arial" w:eastAsia="Arial" w:hAnsi="Arial"/>
                <w:sz w:val="18"/>
                <w:szCs w:val="18"/>
                <w:color w:val="1767B3"/>
              </w:rPr>
              <w:t>FH II</w:t>
            </w:r>
          </w:p>
        </w:tc>
        <w:tc>
          <w:tcPr>
            <w:tcW w:w="1020" w:type="dxa"/>
            <w:vAlign w:val="bottom"/>
          </w:tcPr>
          <w:p>
            <w:pPr>
              <w:ind w:left="140"/>
              <w:spacing w:after="0"/>
              <w:rPr>
                <w:sz w:val="20"/>
                <w:szCs w:val="20"/>
                <w:color w:val="auto"/>
              </w:rPr>
            </w:pPr>
            <w:r>
              <w:rPr>
                <w:rFonts w:ascii="Arial" w:cs="Arial" w:eastAsia="Arial" w:hAnsi="Arial"/>
                <w:sz w:val="19"/>
                <w:szCs w:val="19"/>
                <w:color w:val="003C6B"/>
                <w:w w:val="96"/>
              </w:rPr>
              <w:t>18 months</w:t>
            </w: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4"/>
        </w:trPr>
        <w:tc>
          <w:tcPr>
            <w:tcW w:w="9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9"/>
                <w:szCs w:val="19"/>
                <w:color w:val="003C6B"/>
              </w:rPr>
              <w:t>N=105</w:t>
            </w:r>
          </w:p>
        </w:tc>
        <w:tc>
          <w:tcPr>
            <w:tcW w:w="0" w:type="dxa"/>
            <w:vAlign w:val="bottom"/>
          </w:tcPr>
          <w:p>
            <w:pPr>
              <w:spacing w:after="0"/>
              <w:rPr>
                <w:sz w:val="1"/>
                <w:szCs w:val="1"/>
                <w:color w:val="auto"/>
              </w:rPr>
            </w:pPr>
          </w:p>
        </w:tc>
      </w:tr>
      <w:tr>
        <w:trPr>
          <w:trHeight w:val="226"/>
        </w:trPr>
        <w:tc>
          <w:tcPr>
            <w:tcW w:w="900" w:type="dxa"/>
            <w:vAlign w:val="bottom"/>
            <w:vMerge w:val="restart"/>
          </w:tcPr>
          <w:p>
            <w:pPr>
              <w:jc w:val="right"/>
              <w:ind w:right="92"/>
              <w:spacing w:after="0"/>
              <w:rPr>
                <w:sz w:val="20"/>
                <w:szCs w:val="20"/>
                <w:color w:val="auto"/>
              </w:rPr>
            </w:pPr>
            <w:r>
              <w:rPr>
                <w:rFonts w:ascii="Arial" w:cs="Arial" w:eastAsia="Arial" w:hAnsi="Arial"/>
                <w:sz w:val="18"/>
                <w:szCs w:val="18"/>
                <w:color w:val="1767B3"/>
                <w:w w:val="94"/>
              </w:rPr>
              <w:t>HIGH FH</w:t>
            </w:r>
          </w:p>
        </w:tc>
        <w:tc>
          <w:tcPr>
            <w:tcW w:w="1020" w:type="dxa"/>
            <w:vAlign w:val="bottom"/>
          </w:tcPr>
          <w:p>
            <w:pPr>
              <w:ind w:left="140"/>
              <w:spacing w:after="0"/>
              <w:rPr>
                <w:sz w:val="20"/>
                <w:szCs w:val="20"/>
                <w:color w:val="auto"/>
              </w:rPr>
            </w:pPr>
            <w:r>
              <w:rPr>
                <w:rFonts w:ascii="Arial" w:cs="Arial" w:eastAsia="Arial" w:hAnsi="Arial"/>
                <w:sz w:val="19"/>
                <w:szCs w:val="19"/>
                <w:color w:val="003C6B"/>
                <w:w w:val="96"/>
              </w:rPr>
              <w:t>18 months</w:t>
            </w: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9"/>
        </w:trPr>
        <w:tc>
          <w:tcPr>
            <w:tcW w:w="1920" w:type="dxa"/>
            <w:vAlign w:val="bottom"/>
            <w:gridSpan w:val="2"/>
          </w:tcPr>
          <w:p>
            <w:pPr>
              <w:ind w:left="560"/>
              <w:spacing w:after="0"/>
              <w:rPr>
                <w:sz w:val="20"/>
                <w:szCs w:val="20"/>
                <w:color w:val="auto"/>
              </w:rPr>
            </w:pPr>
            <w:r>
              <w:rPr>
                <w:rFonts w:ascii="Arial" w:cs="Arial" w:eastAsia="Arial" w:hAnsi="Arial"/>
                <w:sz w:val="18"/>
                <w:szCs w:val="18"/>
                <w:color w:val="1767B3"/>
              </w:rPr>
              <w:t>LONG TERM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Arial" w:cs="Arial" w:eastAsia="Arial" w:hAnsi="Arial"/>
          <w:sz w:val="19"/>
          <w:szCs w:val="19"/>
          <w:color w:val="FFFFFF"/>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18"/>
          <w:szCs w:val="18"/>
          <w:color w:val="1767B3"/>
        </w:rPr>
        <w:t>COMBO I</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1767B3"/>
        </w:rPr>
        <w:t>COMBO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9"/>
          <w:szCs w:val="19"/>
          <w:color w:val="003C6B"/>
        </w:rPr>
        <w:t>N=2,100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003C6B"/>
        </w:rPr>
        <w:t>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1767B3"/>
        </w:rPr>
        <w:t>OUTCOMES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003C6B"/>
        </w:rPr>
        <w:t>N=306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003C6B"/>
        </w:rPr>
        <w:t>12 months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003C6B"/>
        </w:rPr>
        <w:t>N=660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003C6B"/>
        </w:rPr>
        <w:t>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003C6B"/>
        </w:rPr>
        <w:t>N=18,000</w:t>
      </w:r>
    </w:p>
    <w:p>
      <w:pPr>
        <w:spacing w:after="0" w:line="5"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003C6B"/>
        </w:rPr>
        <w:t>(Event</w:t>
      </w:r>
    </w:p>
    <w:p>
      <w:pPr>
        <w:spacing w:after="0" w:line="17"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003C6B"/>
        </w:rPr>
        <w:t>Driven)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9"/>
                <w:szCs w:val="19"/>
                <w:color w:val="003C6B"/>
              </w:rPr>
              <w:t>N=100</w:t>
            </w:r>
          </w:p>
        </w:tc>
        <w:tc>
          <w:tcPr>
            <w:tcW w:w="0" w:type="dxa"/>
            <w:vAlign w:val="bottom"/>
          </w:tcPr>
          <w:p>
            <w:pPr>
              <w:spacing w:after="0"/>
              <w:rPr>
                <w:sz w:val="1"/>
                <w:szCs w:val="1"/>
                <w:color w:val="auto"/>
              </w:rPr>
            </w:pPr>
          </w:p>
        </w:tc>
      </w:tr>
      <w:tr>
        <w:trPr>
          <w:trHeight w:val="226"/>
        </w:trPr>
        <w:tc>
          <w:tcPr>
            <w:tcW w:w="1400" w:type="dxa"/>
            <w:vAlign w:val="bottom"/>
            <w:vMerge w:val="restart"/>
          </w:tcPr>
          <w:p>
            <w:pPr>
              <w:ind w:left="660"/>
              <w:spacing w:after="0"/>
              <w:rPr>
                <w:sz w:val="20"/>
                <w:szCs w:val="20"/>
                <w:color w:val="auto"/>
              </w:rPr>
            </w:pPr>
            <w:r>
              <w:rPr>
                <w:rFonts w:ascii="Arial" w:cs="Arial" w:eastAsia="Arial" w:hAnsi="Arial"/>
                <w:sz w:val="18"/>
                <w:szCs w:val="18"/>
                <w:color w:val="1767B3"/>
              </w:rPr>
              <w:t>MONO</w:t>
            </w:r>
          </w:p>
        </w:tc>
        <w:tc>
          <w:tcPr>
            <w:tcW w:w="920" w:type="dxa"/>
            <w:vAlign w:val="bottom"/>
          </w:tcPr>
          <w:p>
            <w:pPr>
              <w:ind w:left="140"/>
              <w:spacing w:after="0"/>
              <w:rPr>
                <w:sz w:val="20"/>
                <w:szCs w:val="20"/>
                <w:color w:val="auto"/>
              </w:rPr>
            </w:pPr>
            <w:r>
              <w:rPr>
                <w:rFonts w:ascii="Arial" w:cs="Arial" w:eastAsia="Arial" w:hAnsi="Arial"/>
                <w:sz w:val="19"/>
                <w:szCs w:val="19"/>
                <w:color w:val="003C6B"/>
                <w:w w:val="97"/>
              </w:rPr>
              <w:t>6 months</w:t>
            </w:r>
          </w:p>
        </w:tc>
        <w:tc>
          <w:tcPr>
            <w:tcW w:w="0" w:type="dxa"/>
            <w:vAlign w:val="bottom"/>
          </w:tcPr>
          <w:p>
            <w:pPr>
              <w:spacing w:after="0"/>
              <w:rPr>
                <w:sz w:val="1"/>
                <w:szCs w:val="1"/>
                <w:color w:val="auto"/>
              </w:rPr>
            </w:pPr>
          </w:p>
        </w:tc>
      </w:tr>
      <w:tr>
        <w:trPr>
          <w:trHeight w:val="78"/>
        </w:trPr>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4"/>
        </w:trPr>
        <w:tc>
          <w:tcPr>
            <w:tcW w:w="14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9"/>
                <w:szCs w:val="19"/>
                <w:color w:val="003C6B"/>
              </w:rPr>
              <w:t>N=250</w:t>
            </w:r>
          </w:p>
        </w:tc>
        <w:tc>
          <w:tcPr>
            <w:tcW w:w="0" w:type="dxa"/>
            <w:vAlign w:val="bottom"/>
          </w:tcPr>
          <w:p>
            <w:pPr>
              <w:spacing w:after="0"/>
              <w:rPr>
                <w:sz w:val="1"/>
                <w:szCs w:val="1"/>
                <w:color w:val="auto"/>
              </w:rPr>
            </w:pPr>
          </w:p>
        </w:tc>
      </w:tr>
      <w:tr>
        <w:trPr>
          <w:trHeight w:val="226"/>
        </w:trPr>
        <w:tc>
          <w:tcPr>
            <w:tcW w:w="1400" w:type="dxa"/>
            <w:vAlign w:val="bottom"/>
            <w:vMerge w:val="restart"/>
          </w:tcPr>
          <w:p>
            <w:pPr>
              <w:spacing w:after="0"/>
              <w:rPr>
                <w:sz w:val="20"/>
                <w:szCs w:val="20"/>
                <w:color w:val="auto"/>
              </w:rPr>
            </w:pPr>
            <w:r>
              <w:rPr>
                <w:rFonts w:ascii="Arial" w:cs="Arial" w:eastAsia="Arial" w:hAnsi="Arial"/>
                <w:sz w:val="18"/>
                <w:szCs w:val="18"/>
                <w:color w:val="1767B3"/>
              </w:rPr>
              <w:t>ALTERNATIVE</w:t>
            </w:r>
          </w:p>
        </w:tc>
        <w:tc>
          <w:tcPr>
            <w:tcW w:w="920" w:type="dxa"/>
            <w:vAlign w:val="bottom"/>
          </w:tcPr>
          <w:p>
            <w:pPr>
              <w:ind w:left="140"/>
              <w:spacing w:after="0"/>
              <w:rPr>
                <w:sz w:val="20"/>
                <w:szCs w:val="20"/>
                <w:color w:val="auto"/>
              </w:rPr>
            </w:pPr>
            <w:r>
              <w:rPr>
                <w:rFonts w:ascii="Arial" w:cs="Arial" w:eastAsia="Arial" w:hAnsi="Arial"/>
                <w:sz w:val="19"/>
                <w:szCs w:val="19"/>
                <w:color w:val="003C6B"/>
                <w:w w:val="97"/>
              </w:rPr>
              <w:t>6 months</w:t>
            </w: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4"/>
        </w:trPr>
        <w:tc>
          <w:tcPr>
            <w:tcW w:w="14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9"/>
                <w:szCs w:val="19"/>
                <w:color w:val="003C6B"/>
              </w:rPr>
              <w:t>N=350</w:t>
            </w:r>
          </w:p>
        </w:tc>
        <w:tc>
          <w:tcPr>
            <w:tcW w:w="0" w:type="dxa"/>
            <w:vAlign w:val="bottom"/>
          </w:tcPr>
          <w:p>
            <w:pPr>
              <w:spacing w:after="0"/>
              <w:rPr>
                <w:sz w:val="1"/>
                <w:szCs w:val="1"/>
                <w:color w:val="auto"/>
              </w:rPr>
            </w:pPr>
          </w:p>
        </w:tc>
      </w:tr>
      <w:tr>
        <w:trPr>
          <w:trHeight w:val="226"/>
        </w:trPr>
        <w:tc>
          <w:tcPr>
            <w:tcW w:w="1400" w:type="dxa"/>
            <w:vAlign w:val="bottom"/>
            <w:vMerge w:val="restart"/>
          </w:tcPr>
          <w:p>
            <w:pPr>
              <w:ind w:left="340"/>
              <w:spacing w:after="0"/>
              <w:rPr>
                <w:sz w:val="20"/>
                <w:szCs w:val="20"/>
                <w:color w:val="auto"/>
              </w:rPr>
            </w:pPr>
            <w:r>
              <w:rPr>
                <w:rFonts w:ascii="Arial" w:cs="Arial" w:eastAsia="Arial" w:hAnsi="Arial"/>
                <w:sz w:val="18"/>
                <w:szCs w:val="18"/>
                <w:color w:val="1767B3"/>
              </w:rPr>
              <w:t>OPTIONS I</w:t>
            </w:r>
          </w:p>
        </w:tc>
        <w:tc>
          <w:tcPr>
            <w:tcW w:w="920" w:type="dxa"/>
            <w:vAlign w:val="bottom"/>
          </w:tcPr>
          <w:p>
            <w:pPr>
              <w:ind w:left="140"/>
              <w:spacing w:after="0"/>
              <w:rPr>
                <w:sz w:val="20"/>
                <w:szCs w:val="20"/>
                <w:color w:val="auto"/>
              </w:rPr>
            </w:pPr>
            <w:r>
              <w:rPr>
                <w:rFonts w:ascii="Arial" w:cs="Arial" w:eastAsia="Arial" w:hAnsi="Arial"/>
                <w:sz w:val="19"/>
                <w:szCs w:val="19"/>
                <w:color w:val="003C6B"/>
                <w:w w:val="97"/>
              </w:rPr>
              <w:t>6 months</w:t>
            </w: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4"/>
        </w:trPr>
        <w:tc>
          <w:tcPr>
            <w:tcW w:w="14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9"/>
                <w:szCs w:val="19"/>
                <w:color w:val="003C6B"/>
              </w:rPr>
              <w:t>N=300</w:t>
            </w:r>
          </w:p>
        </w:tc>
        <w:tc>
          <w:tcPr>
            <w:tcW w:w="0" w:type="dxa"/>
            <w:vAlign w:val="bottom"/>
          </w:tcPr>
          <w:p>
            <w:pPr>
              <w:spacing w:after="0"/>
              <w:rPr>
                <w:sz w:val="1"/>
                <w:szCs w:val="1"/>
                <w:color w:val="auto"/>
              </w:rPr>
            </w:pPr>
          </w:p>
        </w:tc>
      </w:tr>
      <w:tr>
        <w:trPr>
          <w:trHeight w:val="226"/>
        </w:trPr>
        <w:tc>
          <w:tcPr>
            <w:tcW w:w="1400" w:type="dxa"/>
            <w:vAlign w:val="bottom"/>
            <w:vMerge w:val="restart"/>
          </w:tcPr>
          <w:p>
            <w:pPr>
              <w:ind w:left="280"/>
              <w:spacing w:after="0"/>
              <w:rPr>
                <w:sz w:val="20"/>
                <w:szCs w:val="20"/>
                <w:color w:val="auto"/>
              </w:rPr>
            </w:pPr>
            <w:r>
              <w:rPr>
                <w:rFonts w:ascii="Arial" w:cs="Arial" w:eastAsia="Arial" w:hAnsi="Arial"/>
                <w:sz w:val="18"/>
                <w:szCs w:val="18"/>
                <w:color w:val="1767B3"/>
              </w:rPr>
              <w:t>OPTIONS II</w:t>
            </w:r>
          </w:p>
        </w:tc>
        <w:tc>
          <w:tcPr>
            <w:tcW w:w="920" w:type="dxa"/>
            <w:vAlign w:val="bottom"/>
          </w:tcPr>
          <w:p>
            <w:pPr>
              <w:ind w:left="140"/>
              <w:spacing w:after="0"/>
              <w:rPr>
                <w:sz w:val="20"/>
                <w:szCs w:val="20"/>
                <w:color w:val="auto"/>
              </w:rPr>
            </w:pPr>
            <w:r>
              <w:rPr>
                <w:rFonts w:ascii="Arial" w:cs="Arial" w:eastAsia="Arial" w:hAnsi="Arial"/>
                <w:sz w:val="19"/>
                <w:szCs w:val="19"/>
                <w:color w:val="003C6B"/>
                <w:w w:val="97"/>
              </w:rPr>
              <w:t>6 months</w:t>
            </w:r>
          </w:p>
        </w:tc>
        <w:tc>
          <w:tcPr>
            <w:tcW w:w="0" w:type="dxa"/>
            <w:vAlign w:val="bottom"/>
          </w:tcPr>
          <w:p>
            <w:pPr>
              <w:spacing w:after="0"/>
              <w:rPr>
                <w:sz w:val="1"/>
                <w:szCs w:val="1"/>
                <w:color w:val="auto"/>
              </w:rPr>
            </w:pPr>
          </w:p>
        </w:tc>
      </w:tr>
      <w:tr>
        <w:trPr>
          <w:trHeight w:val="78"/>
        </w:trPr>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4">
            <w:col w:w="3660" w:space="720"/>
            <w:col w:w="1040" w:space="240"/>
            <w:col w:w="1280" w:space="720"/>
            <w:col w:w="2320"/>
          </w:cols>
          <w:pgMar w:left="940" w:top="755" w:right="979" w:bottom="1440" w:gutter="0" w:footer="0" w:header="0"/>
          <w:type w:val="continuous"/>
        </w:sectPr>
      </w:pPr>
    </w:p>
    <w:bookmarkStart w:id="19" w:name="page20"/>
    <w:bookmarkEnd w:id="19"/>
    <w:p>
      <w:pPr>
        <w:ind w:left="224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94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494655"/>
                    </a:xfrm>
                    <a:prstGeom prst="rect">
                      <a:avLst/>
                    </a:prstGeom>
                    <a:noFill/>
                  </pic:spPr>
                </pic:pic>
              </a:graphicData>
            </a:graphic>
          </wp:anchor>
        </w:drawing>
        <w:t>SARILUMAB:</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44"/>
          <w:szCs w:val="44"/>
          <w:color w:val="FB8332"/>
        </w:rPr>
        <w:t>RHEUMATOID ARTHRITIS</w:t>
      </w:r>
    </w:p>
    <w:p>
      <w:pPr>
        <w:spacing w:after="0" w:line="200" w:lineRule="exact"/>
        <w:rPr>
          <w:sz w:val="20"/>
          <w:szCs w:val="20"/>
          <w:color w:val="auto"/>
        </w:rPr>
      </w:pPr>
    </w:p>
    <w:p>
      <w:pPr>
        <w:spacing w:after="0" w:line="247" w:lineRule="exact"/>
        <w:rPr>
          <w:sz w:val="20"/>
          <w:szCs w:val="20"/>
          <w:color w:val="auto"/>
        </w:rPr>
      </w:pPr>
    </w:p>
    <w:p>
      <w:pPr>
        <w:ind w:left="20" w:right="640"/>
        <w:spacing w:after="0" w:line="286" w:lineRule="auto"/>
        <w:rPr>
          <w:sz w:val="20"/>
          <w:szCs w:val="20"/>
          <w:color w:val="auto"/>
        </w:rPr>
      </w:pPr>
      <w:r>
        <w:rPr>
          <w:rFonts w:ascii="Arial" w:cs="Arial" w:eastAsia="Arial" w:hAnsi="Arial"/>
          <w:sz w:val="22"/>
          <w:szCs w:val="22"/>
          <w:b w:val="1"/>
          <w:bCs w:val="1"/>
          <w:color w:val="003C6B"/>
        </w:rPr>
        <w:t>Significant improvements in signs and symptoms of moderate-to-severe RA in patients receiving sarilumab in combination with methotrexate in Phase 2 study.</w:t>
      </w:r>
    </w:p>
    <w:p>
      <w:pPr>
        <w:sectPr>
          <w:pgSz w:w="11900" w:h="16838" w:orient="portrait"/>
          <w:cols w:equalWidth="0" w:num="1">
            <w:col w:w="9900"/>
          </w:cols>
          <w:pgMar w:left="920" w:top="767" w:right="10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9"/>
          <w:szCs w:val="19"/>
          <w:color w:val="272727"/>
        </w:rPr>
        <w:t>ACR20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9"/>
          <w:szCs w:val="19"/>
          <w:color w:val="272727"/>
        </w:rPr>
        <w:t>ACR50</w:t>
      </w:r>
    </w:p>
    <w:p>
      <w:pPr>
        <w:ind w:left="1300" w:hanging="940"/>
        <w:spacing w:after="0" w:line="183" w:lineRule="auto"/>
        <w:tabs>
          <w:tab w:leader="none" w:pos="1300" w:val="left"/>
        </w:tabs>
        <w:numPr>
          <w:ilvl w:val="0"/>
          <w:numId w:val="4"/>
        </w:numPr>
        <w:rPr>
          <w:rFonts w:ascii="Arial" w:cs="Arial" w:eastAsia="Arial" w:hAnsi="Arial"/>
          <w:sz w:val="33"/>
          <w:szCs w:val="33"/>
          <w:color w:val="272727"/>
          <w:vertAlign w:val="subscript"/>
        </w:rPr>
      </w:pPr>
      <w:r>
        <w:rPr>
          <w:rFonts w:ascii="Arial" w:cs="Arial" w:eastAsia="Arial" w:hAnsi="Arial"/>
          <w:sz w:val="16"/>
          <w:szCs w:val="16"/>
          <w:color w:val="272727"/>
        </w:rPr>
        <w:t>ACR70</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22"/>
          <w:szCs w:val="22"/>
          <w:color w:val="272727"/>
        </w:rPr>
        <w:t>70</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22"/>
          <w:szCs w:val="22"/>
          <w:color w:val="272727"/>
        </w:rPr>
        <w:t>60</w:t>
      </w:r>
    </w:p>
    <w:p>
      <w:pPr>
        <w:spacing w:after="0" w:line="124" w:lineRule="exact"/>
        <w:rPr>
          <w:sz w:val="20"/>
          <w:szCs w:val="20"/>
          <w:color w:val="auto"/>
        </w:rPr>
      </w:pPr>
    </w:p>
    <w:p>
      <w:pPr>
        <w:ind w:left="920" w:hanging="560"/>
        <w:spacing w:after="0"/>
        <w:tabs>
          <w:tab w:leader="none" w:pos="920" w:val="left"/>
        </w:tabs>
        <w:numPr>
          <w:ilvl w:val="0"/>
          <w:numId w:val="5"/>
        </w:numPr>
        <w:rPr>
          <w:rFonts w:ascii="Arial" w:cs="Arial" w:eastAsia="Arial" w:hAnsi="Arial"/>
          <w:sz w:val="22"/>
          <w:szCs w:val="22"/>
          <w:color w:val="272727"/>
        </w:rPr>
      </w:pPr>
      <w:r>
        <w:rPr>
          <w:rFonts w:ascii="Arial" w:cs="Arial" w:eastAsia="Arial" w:hAnsi="Arial"/>
          <w:sz w:val="18"/>
          <w:szCs w:val="18"/>
          <w:color w:val="272727"/>
        </w:rPr>
        <w:t>46.2</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2"/>
          <w:szCs w:val="22"/>
          <w:color w:val="272727"/>
        </w:rPr>
        <w:t>40</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22"/>
          <w:szCs w:val="22"/>
          <w:color w:val="272727"/>
        </w:rPr>
        <w:t>30</w:t>
      </w:r>
    </w:p>
    <w:p>
      <w:pPr>
        <w:spacing w:after="0" w:line="160" w:lineRule="exact"/>
        <w:rPr>
          <w:sz w:val="20"/>
          <w:szCs w:val="20"/>
          <w:color w:val="auto"/>
        </w:rPr>
      </w:pPr>
    </w:p>
    <w:p>
      <w:pPr>
        <w:ind w:left="1400" w:hanging="1040"/>
        <w:spacing w:after="0"/>
        <w:tabs>
          <w:tab w:leader="none" w:pos="1400" w:val="left"/>
        </w:tabs>
        <w:numPr>
          <w:ilvl w:val="0"/>
          <w:numId w:val="6"/>
        </w:numPr>
        <w:rPr>
          <w:rFonts w:ascii="Arial" w:cs="Arial" w:eastAsia="Arial" w:hAnsi="Arial"/>
          <w:sz w:val="22"/>
          <w:szCs w:val="22"/>
          <w:color w:val="272727"/>
        </w:rPr>
      </w:pPr>
      <w:r>
        <w:rPr>
          <w:rFonts w:ascii="Arial" w:cs="Arial" w:eastAsia="Arial" w:hAnsi="Arial"/>
          <w:sz w:val="18"/>
          <w:szCs w:val="18"/>
          <w:color w:val="272727"/>
        </w:rPr>
        <w:t>15.4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1000" w:type="dxa"/>
            <w:vAlign w:val="bottom"/>
          </w:tcPr>
          <w:p>
            <w:pPr>
              <w:spacing w:after="0"/>
              <w:rPr>
                <w:sz w:val="24"/>
                <w:szCs w:val="24"/>
                <w:color w:val="auto"/>
              </w:rPr>
            </w:pPr>
          </w:p>
        </w:tc>
        <w:tc>
          <w:tcPr>
            <w:tcW w:w="6640" w:type="dxa"/>
            <w:vAlign w:val="bottom"/>
          </w:tcPr>
          <w:p>
            <w:pPr>
              <w:ind w:left="1960"/>
              <w:spacing w:after="0"/>
              <w:rPr>
                <w:sz w:val="20"/>
                <w:szCs w:val="20"/>
                <w:color w:val="auto"/>
              </w:rPr>
            </w:pPr>
            <w:r>
              <w:rPr>
                <w:rFonts w:ascii="Arial" w:cs="Arial" w:eastAsia="Arial" w:hAnsi="Arial"/>
                <w:sz w:val="25"/>
                <w:szCs w:val="25"/>
                <w:b w:val="1"/>
                <w:bCs w:val="1"/>
                <w:color w:val="1D355D"/>
              </w:rPr>
              <w:t>Sarilumab is a fully human, high</w:t>
            </w: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6640" w:type="dxa"/>
            <w:vAlign w:val="bottom"/>
          </w:tcPr>
          <w:p>
            <w:pPr>
              <w:ind w:left="1960"/>
              <w:spacing w:after="0" w:line="247" w:lineRule="exact"/>
              <w:rPr>
                <w:sz w:val="20"/>
                <w:szCs w:val="20"/>
                <w:color w:val="auto"/>
              </w:rPr>
            </w:pPr>
            <w:r>
              <w:rPr>
                <w:rFonts w:ascii="Arial" w:cs="Arial" w:eastAsia="Arial" w:hAnsi="Arial"/>
                <w:sz w:val="25"/>
                <w:szCs w:val="25"/>
                <w:b w:val="1"/>
                <w:bCs w:val="1"/>
                <w:color w:val="1D355D"/>
              </w:rPr>
              <w:t>affinity, interleukin-6 receptor (IL-6R)</w:t>
            </w:r>
          </w:p>
        </w:tc>
        <w:tc>
          <w:tcPr>
            <w:tcW w:w="0" w:type="dxa"/>
            <w:vAlign w:val="bottom"/>
          </w:tcPr>
          <w:p>
            <w:pPr>
              <w:spacing w:after="0"/>
              <w:rPr>
                <w:sz w:val="1"/>
                <w:szCs w:val="1"/>
                <w:color w:val="auto"/>
              </w:rPr>
            </w:pPr>
          </w:p>
        </w:tc>
      </w:tr>
      <w:tr>
        <w:trPr>
          <w:trHeight w:val="264"/>
        </w:trPr>
        <w:tc>
          <w:tcPr>
            <w:tcW w:w="1000" w:type="dxa"/>
            <w:vAlign w:val="bottom"/>
            <w:vMerge w:val="restart"/>
          </w:tcPr>
          <w:p>
            <w:pPr>
              <w:jc w:val="right"/>
              <w:ind w:right="572"/>
              <w:spacing w:after="0"/>
              <w:rPr>
                <w:sz w:val="20"/>
                <w:szCs w:val="20"/>
                <w:color w:val="auto"/>
              </w:rPr>
            </w:pPr>
            <w:r>
              <w:rPr>
                <w:rFonts w:ascii="Arial" w:cs="Arial" w:eastAsia="Arial" w:hAnsi="Arial"/>
                <w:sz w:val="18"/>
                <w:szCs w:val="18"/>
                <w:color w:val="272727"/>
                <w:w w:val="91"/>
              </w:rPr>
              <w:t>66.7</w:t>
            </w:r>
          </w:p>
        </w:tc>
        <w:tc>
          <w:tcPr>
            <w:tcW w:w="6640" w:type="dxa"/>
            <w:vAlign w:val="bottom"/>
          </w:tcPr>
          <w:p>
            <w:pPr>
              <w:ind w:left="1960"/>
              <w:spacing w:after="0" w:line="264" w:lineRule="exact"/>
              <w:rPr>
                <w:sz w:val="20"/>
                <w:szCs w:val="20"/>
                <w:color w:val="auto"/>
              </w:rPr>
            </w:pPr>
            <w:r>
              <w:rPr>
                <w:rFonts w:ascii="Arial" w:cs="Arial" w:eastAsia="Arial" w:hAnsi="Arial"/>
                <w:sz w:val="25"/>
                <w:szCs w:val="25"/>
                <w:b w:val="1"/>
                <w:bCs w:val="1"/>
                <w:color w:val="1D355D"/>
              </w:rPr>
              <w:t>antibody</w:t>
            </w:r>
          </w:p>
        </w:tc>
        <w:tc>
          <w:tcPr>
            <w:tcW w:w="0" w:type="dxa"/>
            <w:vAlign w:val="bottom"/>
          </w:tcPr>
          <w:p>
            <w:pPr>
              <w:spacing w:after="0"/>
              <w:rPr>
                <w:sz w:val="1"/>
                <w:szCs w:val="1"/>
                <w:color w:val="auto"/>
              </w:rPr>
            </w:pPr>
          </w:p>
        </w:tc>
      </w:tr>
      <w:tr>
        <w:trPr>
          <w:trHeight w:val="212"/>
        </w:trPr>
        <w:tc>
          <w:tcPr>
            <w:tcW w:w="1000" w:type="dxa"/>
            <w:vAlign w:val="bottom"/>
            <w:vMerge w:val="continue"/>
          </w:tcPr>
          <w:p>
            <w:pPr>
              <w:spacing w:after="0"/>
              <w:rPr>
                <w:sz w:val="18"/>
                <w:szCs w:val="18"/>
                <w:color w:val="auto"/>
              </w:rPr>
            </w:pPr>
          </w:p>
        </w:tc>
        <w:tc>
          <w:tcPr>
            <w:tcW w:w="6640" w:type="dxa"/>
            <w:vAlign w:val="bottom"/>
          </w:tcPr>
          <w:p>
            <w:pPr>
              <w:ind w:left="280"/>
              <w:spacing w:after="0"/>
              <w:rPr>
                <w:sz w:val="20"/>
                <w:szCs w:val="20"/>
                <w:color w:val="auto"/>
              </w:rPr>
            </w:pPr>
            <w:r>
              <w:rPr>
                <w:rFonts w:ascii="Arial" w:cs="Arial" w:eastAsia="Arial" w:hAnsi="Arial"/>
                <w:sz w:val="18"/>
                <w:szCs w:val="18"/>
                <w:color w:val="272727"/>
              </w:rPr>
              <w:t>65.4</w:t>
            </w:r>
          </w:p>
        </w:tc>
        <w:tc>
          <w:tcPr>
            <w:tcW w:w="0" w:type="dxa"/>
            <w:vAlign w:val="bottom"/>
          </w:tcPr>
          <w:p>
            <w:pPr>
              <w:spacing w:after="0"/>
              <w:rPr>
                <w:sz w:val="1"/>
                <w:szCs w:val="1"/>
                <w:color w:val="auto"/>
              </w:rPr>
            </w:pPr>
          </w:p>
        </w:tc>
      </w:tr>
      <w:tr>
        <w:trPr>
          <w:trHeight w:val="360"/>
        </w:trPr>
        <w:tc>
          <w:tcPr>
            <w:tcW w:w="1000" w:type="dxa"/>
            <w:vAlign w:val="bottom"/>
          </w:tcPr>
          <w:p>
            <w:pPr>
              <w:spacing w:after="0"/>
              <w:rPr>
                <w:sz w:val="24"/>
                <w:szCs w:val="24"/>
                <w:color w:val="auto"/>
              </w:rPr>
            </w:pPr>
          </w:p>
        </w:tc>
        <w:tc>
          <w:tcPr>
            <w:tcW w:w="6640" w:type="dxa"/>
            <w:vAlign w:val="bottom"/>
          </w:tcPr>
          <w:p>
            <w:pPr>
              <w:ind w:left="1960"/>
              <w:spacing w:after="0"/>
              <w:rPr>
                <w:sz w:val="20"/>
                <w:szCs w:val="20"/>
                <w:color w:val="auto"/>
              </w:rPr>
            </w:pPr>
            <w:r>
              <w:rPr>
                <w:rFonts w:ascii="Arial" w:cs="Arial" w:eastAsia="Arial" w:hAnsi="Arial"/>
                <w:sz w:val="25"/>
                <w:szCs w:val="25"/>
                <w:b w:val="1"/>
                <w:bCs w:val="1"/>
                <w:color w:val="1D355D"/>
              </w:rPr>
              <w:t>Positive Phase 2 study in rheumatoid</w:t>
            </w:r>
          </w:p>
        </w:tc>
        <w:tc>
          <w:tcPr>
            <w:tcW w:w="0" w:type="dxa"/>
            <w:vAlign w:val="bottom"/>
          </w:tcPr>
          <w:p>
            <w:pPr>
              <w:spacing w:after="0"/>
              <w:rPr>
                <w:sz w:val="1"/>
                <w:szCs w:val="1"/>
                <w:color w:val="auto"/>
              </w:rPr>
            </w:pPr>
          </w:p>
        </w:tc>
      </w:tr>
      <w:tr>
        <w:trPr>
          <w:trHeight w:val="327"/>
        </w:trPr>
        <w:tc>
          <w:tcPr>
            <w:tcW w:w="1000" w:type="dxa"/>
            <w:vAlign w:val="bottom"/>
          </w:tcPr>
          <w:p>
            <w:pPr>
              <w:spacing w:after="0"/>
              <w:rPr>
                <w:sz w:val="24"/>
                <w:szCs w:val="24"/>
                <w:color w:val="auto"/>
              </w:rPr>
            </w:pPr>
          </w:p>
        </w:tc>
        <w:tc>
          <w:tcPr>
            <w:tcW w:w="6640" w:type="dxa"/>
            <w:vAlign w:val="bottom"/>
          </w:tcPr>
          <w:p>
            <w:pPr>
              <w:ind w:left="1960"/>
              <w:spacing w:after="0"/>
              <w:rPr>
                <w:sz w:val="20"/>
                <w:szCs w:val="20"/>
                <w:color w:val="auto"/>
              </w:rPr>
            </w:pPr>
            <w:r>
              <w:rPr>
                <w:rFonts w:ascii="Arial" w:cs="Arial" w:eastAsia="Arial" w:hAnsi="Arial"/>
                <w:sz w:val="25"/>
                <w:szCs w:val="25"/>
                <w:b w:val="1"/>
                <w:bCs w:val="1"/>
                <w:color w:val="1D355D"/>
              </w:rPr>
              <w:t>arthritis</w:t>
            </w: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6640" w:type="dxa"/>
            <w:vAlign w:val="bottom"/>
          </w:tcPr>
          <w:p>
            <w:pPr>
              <w:ind w:left="680"/>
              <w:spacing w:after="0"/>
              <w:rPr>
                <w:sz w:val="20"/>
                <w:szCs w:val="20"/>
                <w:color w:val="auto"/>
              </w:rPr>
            </w:pPr>
            <w:r>
              <w:rPr>
                <w:rFonts w:ascii="Arial" w:cs="Arial" w:eastAsia="Arial" w:hAnsi="Arial"/>
                <w:sz w:val="18"/>
                <w:szCs w:val="18"/>
                <w:color w:val="272727"/>
              </w:rPr>
              <w:t>40.4</w:t>
            </w:r>
          </w:p>
        </w:tc>
        <w:tc>
          <w:tcPr>
            <w:tcW w:w="0" w:type="dxa"/>
            <w:vAlign w:val="bottom"/>
          </w:tcPr>
          <w:p>
            <w:pPr>
              <w:spacing w:after="0"/>
              <w:rPr>
                <w:sz w:val="1"/>
                <w:szCs w:val="1"/>
                <w:color w:val="auto"/>
              </w:rPr>
            </w:pPr>
          </w:p>
        </w:tc>
      </w:tr>
      <w:tr>
        <w:trPr>
          <w:trHeight w:val="253"/>
        </w:trPr>
        <w:tc>
          <w:tcPr>
            <w:tcW w:w="1000" w:type="dxa"/>
            <w:vAlign w:val="bottom"/>
          </w:tcPr>
          <w:p>
            <w:pPr>
              <w:jc w:val="right"/>
              <w:ind w:right="172"/>
              <w:spacing w:after="0"/>
              <w:rPr>
                <w:sz w:val="20"/>
                <w:szCs w:val="20"/>
                <w:color w:val="auto"/>
              </w:rPr>
            </w:pPr>
            <w:r>
              <w:rPr>
                <w:rFonts w:ascii="Arial" w:cs="Arial" w:eastAsia="Arial" w:hAnsi="Arial"/>
                <w:sz w:val="18"/>
                <w:szCs w:val="18"/>
                <w:color w:val="272727"/>
              </w:rPr>
              <w:t>35.3</w:t>
            </w:r>
          </w:p>
        </w:tc>
        <w:tc>
          <w:tcPr>
            <w:tcW w:w="6640" w:type="dxa"/>
            <w:vAlign w:val="bottom"/>
          </w:tcPr>
          <w:p>
            <w:pPr>
              <w:ind w:left="1960"/>
              <w:spacing w:after="0" w:line="253" w:lineRule="exact"/>
              <w:rPr>
                <w:sz w:val="20"/>
                <w:szCs w:val="20"/>
                <w:color w:val="auto"/>
              </w:rPr>
            </w:pPr>
            <w:r>
              <w:rPr>
                <w:rFonts w:ascii="Arial" w:cs="Arial" w:eastAsia="Arial" w:hAnsi="Arial"/>
                <w:sz w:val="25"/>
                <w:szCs w:val="25"/>
                <w:b w:val="1"/>
                <w:bCs w:val="1"/>
                <w:color w:val="1D355D"/>
              </w:rPr>
              <w:t>Types and incidence of adverse</w:t>
            </w: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6640" w:type="dxa"/>
            <w:vAlign w:val="bottom"/>
          </w:tcPr>
          <w:p>
            <w:pPr>
              <w:ind w:left="1960"/>
              <w:spacing w:after="0" w:line="247" w:lineRule="exact"/>
              <w:rPr>
                <w:sz w:val="20"/>
                <w:szCs w:val="20"/>
                <w:color w:val="auto"/>
              </w:rPr>
            </w:pPr>
            <w:r>
              <w:rPr>
                <w:rFonts w:ascii="Arial" w:cs="Arial" w:eastAsia="Arial" w:hAnsi="Arial"/>
                <w:sz w:val="25"/>
                <w:szCs w:val="25"/>
                <w:b w:val="1"/>
                <w:bCs w:val="1"/>
                <w:color w:val="1D355D"/>
                <w:w w:val="98"/>
              </w:rPr>
              <w:t>events consistent with those previously</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6640" w:type="dxa"/>
            <w:vAlign w:val="bottom"/>
          </w:tcPr>
          <w:p>
            <w:pPr>
              <w:ind w:left="1960"/>
              <w:spacing w:after="0" w:line="264" w:lineRule="exact"/>
              <w:rPr>
                <w:sz w:val="20"/>
                <w:szCs w:val="20"/>
                <w:color w:val="auto"/>
              </w:rPr>
            </w:pPr>
            <w:r>
              <w:rPr>
                <w:rFonts w:ascii="Arial" w:cs="Arial" w:eastAsia="Arial" w:hAnsi="Arial"/>
                <w:sz w:val="25"/>
                <w:szCs w:val="25"/>
                <w:b w:val="1"/>
                <w:bCs w:val="1"/>
                <w:color w:val="1D355D"/>
              </w:rPr>
              <w:t>reported with IL-6 inhibition</w:t>
            </w: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6640" w:type="dxa"/>
            <w:vAlign w:val="bottom"/>
          </w:tcPr>
          <w:p>
            <w:pPr>
              <w:ind w:left="900"/>
              <w:spacing w:after="0"/>
              <w:rPr>
                <w:sz w:val="20"/>
                <w:szCs w:val="20"/>
                <w:color w:val="auto"/>
              </w:rPr>
            </w:pPr>
            <w:r>
              <w:rPr>
                <w:rFonts w:ascii="Arial" w:cs="Arial" w:eastAsia="Arial" w:hAnsi="Arial"/>
                <w:sz w:val="18"/>
                <w:szCs w:val="18"/>
                <w:color w:val="272727"/>
              </w:rPr>
              <w:t>17.3</w:t>
            </w:r>
          </w:p>
        </w:tc>
        <w:tc>
          <w:tcPr>
            <w:tcW w:w="0" w:type="dxa"/>
            <w:vAlign w:val="bottom"/>
          </w:tcPr>
          <w:p>
            <w:pPr>
              <w:spacing w:after="0"/>
              <w:rPr>
                <w:sz w:val="1"/>
                <w:szCs w:val="1"/>
                <w:color w:val="auto"/>
              </w:rPr>
            </w:pPr>
          </w:p>
        </w:tc>
      </w:tr>
    </w:tbl>
    <w:p>
      <w:pPr>
        <w:ind w:left="620"/>
        <w:spacing w:after="0" w:line="236" w:lineRule="auto"/>
        <w:rPr>
          <w:sz w:val="20"/>
          <w:szCs w:val="20"/>
          <w:color w:val="auto"/>
        </w:rPr>
      </w:pPr>
      <w:r>
        <w:rPr>
          <w:rFonts w:ascii="Arial" w:cs="Arial" w:eastAsia="Arial" w:hAnsi="Arial"/>
          <w:sz w:val="18"/>
          <w:szCs w:val="18"/>
          <w:color w:val="272727"/>
        </w:rPr>
        <w:t>11.8</w:t>
      </w:r>
    </w:p>
    <w:p>
      <w:pPr>
        <w:spacing w:after="0" w:line="1" w:lineRule="exact"/>
        <w:rPr>
          <w:sz w:val="20"/>
          <w:szCs w:val="20"/>
          <w:color w:val="auto"/>
        </w:rPr>
      </w:pPr>
    </w:p>
    <w:p>
      <w:pPr>
        <w:sectPr>
          <w:pgSz w:w="11900" w:h="16838" w:orient="portrait"/>
          <w:cols w:equalWidth="0" w:num="2">
            <w:col w:w="1900" w:space="360"/>
            <w:col w:w="7640"/>
          </w:cols>
          <w:pgMar w:left="920" w:top="767" w:right="1079" w:bottom="1440" w:gutter="0" w:footer="0" w:header="0"/>
          <w:type w:val="continuous"/>
        </w:sectPr>
      </w:pPr>
    </w:p>
    <w:p>
      <w:pPr>
        <w:jc w:val="right"/>
        <w:ind w:right="220"/>
        <w:spacing w:after="0"/>
        <w:rPr>
          <w:sz w:val="20"/>
          <w:szCs w:val="20"/>
          <w:color w:val="auto"/>
        </w:rPr>
      </w:pPr>
      <w:r>
        <w:rPr>
          <w:rFonts w:ascii="Arial" w:cs="Arial" w:eastAsia="Arial" w:hAnsi="Arial"/>
          <w:sz w:val="21"/>
          <w:szCs w:val="21"/>
          <w:color w:val="272727"/>
        </w:rPr>
        <w:t>10</w:t>
      </w:r>
    </w:p>
    <w:p>
      <w:pPr>
        <w:spacing w:after="0" w:line="158"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272727"/>
        </w:rPr>
        <w:t>0</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272727"/>
        </w:rPr>
        <w:t>1.9</w:t>
      </w:r>
    </w:p>
    <w:p>
      <w:pPr>
        <w:spacing w:after="0" w:line="20" w:lineRule="exact"/>
        <w:rPr>
          <w:sz w:val="20"/>
          <w:szCs w:val="20"/>
          <w:color w:val="auto"/>
        </w:rPr>
      </w:pPr>
      <w:r>
        <w:rPr>
          <w:sz w:val="20"/>
          <w:szCs w:val="20"/>
          <w:color w:val="auto"/>
        </w:rPr>
        <w:br w:type="column"/>
      </w:r>
    </w:p>
    <w:p>
      <w:pPr>
        <w:ind w:right="380"/>
        <w:spacing w:after="0" w:line="232" w:lineRule="auto"/>
        <w:rPr>
          <w:sz w:val="20"/>
          <w:szCs w:val="20"/>
          <w:color w:val="auto"/>
        </w:rPr>
      </w:pPr>
      <w:r>
        <w:rPr>
          <w:rFonts w:ascii="Arial" w:cs="Arial" w:eastAsia="Arial" w:hAnsi="Arial"/>
          <w:sz w:val="24"/>
          <w:szCs w:val="24"/>
          <w:b w:val="1"/>
          <w:bCs w:val="1"/>
          <w:color w:val="1D355D"/>
        </w:rPr>
        <w:t>Phase 3 MOBILITY trial fully enrolled Phase 3 TARGET trial enrolling</w:t>
      </w:r>
    </w:p>
    <w:p>
      <w:pPr>
        <w:spacing w:after="0" w:line="125" w:lineRule="exact"/>
        <w:rPr>
          <w:sz w:val="20"/>
          <w:szCs w:val="20"/>
          <w:color w:val="auto"/>
        </w:rPr>
      </w:pPr>
    </w:p>
    <w:p>
      <w:pPr>
        <w:sectPr>
          <w:pgSz w:w="11900" w:h="16838" w:orient="portrait"/>
          <w:cols w:equalWidth="0" w:num="3">
            <w:col w:w="820" w:space="720"/>
            <w:col w:w="2960" w:space="720"/>
            <w:col w:w="4680"/>
          </w:cols>
          <w:pgMar w:left="920" w:top="767" w:right="1079" w:bottom="1440" w:gutter="0" w:footer="0" w:header="0"/>
          <w:type w:val="continuous"/>
        </w:sectPr>
      </w:pPr>
    </w:p>
    <w:p>
      <w:pPr>
        <w:ind w:left="980"/>
        <w:spacing w:after="0"/>
        <w:rPr>
          <w:sz w:val="20"/>
          <w:szCs w:val="20"/>
          <w:color w:val="auto"/>
        </w:rPr>
      </w:pPr>
      <w:r>
        <w:rPr>
          <w:rFonts w:ascii="Arial" w:cs="Arial" w:eastAsia="Arial" w:hAnsi="Arial"/>
          <w:sz w:val="22"/>
          <w:szCs w:val="22"/>
          <w:color w:val="272727"/>
        </w:rPr>
        <w:t>Placebo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272727"/>
        </w:rPr>
        <w:t>150 mg q2w 200mg q2w</w:t>
      </w:r>
    </w:p>
    <w:p>
      <w:pPr>
        <w:spacing w:after="0" w:line="186" w:lineRule="exact"/>
        <w:rPr>
          <w:sz w:val="20"/>
          <w:szCs w:val="20"/>
          <w:color w:val="auto"/>
        </w:rPr>
      </w:pPr>
    </w:p>
    <w:p>
      <w:pPr>
        <w:sectPr>
          <w:pgSz w:w="11900" w:h="16838" w:orient="portrait"/>
          <w:cols w:equalWidth="0" w:num="2">
            <w:col w:w="1780" w:space="300"/>
            <w:col w:w="7820"/>
          </w:cols>
          <w:pgMar w:left="920" w:top="767" w:right="1079" w:bottom="1440" w:gutter="0" w:footer="0" w:header="0"/>
          <w:type w:val="continuous"/>
        </w:sectPr>
      </w:pPr>
    </w:p>
    <w:p>
      <w:pPr>
        <w:spacing w:after="0"/>
        <w:rPr>
          <w:sz w:val="20"/>
          <w:szCs w:val="20"/>
          <w:color w:val="auto"/>
        </w:rPr>
      </w:pPr>
      <w:r>
        <w:rPr>
          <w:rFonts w:ascii="Arial" w:cs="Arial" w:eastAsia="Arial" w:hAnsi="Arial"/>
          <w:sz w:val="14"/>
          <w:szCs w:val="14"/>
          <w:color w:val="003C6B"/>
        </w:rPr>
        <w:t>*p&lt;0.01 versus placebo (only unadjusted p-values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3C6B"/>
        </w:rPr>
        <w:t>&lt;0.01 are considered statistically significant)</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9"/>
          <w:szCs w:val="19"/>
          <w:color w:val="FFFFFF"/>
        </w:rPr>
        <w:t>16</w:t>
      </w:r>
    </w:p>
    <w:p>
      <w:pPr>
        <w:sectPr>
          <w:pgSz w:w="11900" w:h="16838" w:orient="portrait"/>
          <w:cols w:equalWidth="0" w:num="1">
            <w:col w:w="9900"/>
          </w:cols>
          <w:pgMar w:left="920" w:top="767" w:right="1079" w:bottom="1440" w:gutter="0" w:footer="0" w:header="0"/>
          <w:type w:val="continuous"/>
        </w:sectPr>
      </w:pPr>
    </w:p>
    <w:bookmarkStart w:id="20" w:name="page21"/>
    <w:bookmarkEnd w:id="20"/>
    <w:p>
      <w:pPr>
        <w:ind w:left="212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REGN668:</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42"/>
          <w:szCs w:val="42"/>
          <w:color w:val="FB8332"/>
        </w:rPr>
        <w:t>ASTHMA AND ATOPIC DERMATITIS</w:t>
      </w:r>
    </w:p>
    <w:p>
      <w:pPr>
        <w:sectPr>
          <w:pgSz w:w="11900" w:h="16838" w:orient="portrait"/>
          <w:cols w:equalWidth="0" w:num="1">
            <w:col w:w="9840"/>
          </w:cols>
          <w:pgMar w:left="940" w:top="75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14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Arial" w:cs="Arial" w:eastAsia="Arial" w:hAnsi="Arial"/>
                <w:sz w:val="28"/>
                <w:szCs w:val="28"/>
                <w:b w:val="1"/>
                <w:bCs w:val="1"/>
                <w:color w:val="FFC000"/>
              </w:rPr>
              <w:t>IL-4</w:t>
            </w:r>
          </w:p>
        </w:tc>
        <w:tc>
          <w:tcPr>
            <w:tcW w:w="400" w:type="dxa"/>
            <w:vAlign w:val="bottom"/>
          </w:tcPr>
          <w:p>
            <w:pPr>
              <w:spacing w:after="0"/>
              <w:rPr>
                <w:sz w:val="24"/>
                <w:szCs w:val="24"/>
                <w:color w:val="auto"/>
              </w:rPr>
            </w:pPr>
          </w:p>
        </w:tc>
        <w:tc>
          <w:tcPr>
            <w:tcW w:w="2360" w:type="dxa"/>
            <w:vAlign w:val="bottom"/>
          </w:tcPr>
          <w:p>
            <w:pPr>
              <w:ind w:left="860"/>
              <w:spacing w:after="0"/>
              <w:rPr>
                <w:sz w:val="20"/>
                <w:szCs w:val="20"/>
                <w:color w:val="auto"/>
              </w:rPr>
            </w:pPr>
            <w:r>
              <w:rPr>
                <w:rFonts w:ascii="Arial" w:cs="Arial" w:eastAsia="Arial" w:hAnsi="Arial"/>
                <w:sz w:val="28"/>
                <w:szCs w:val="28"/>
                <w:b w:val="1"/>
                <w:bCs w:val="1"/>
                <w:color w:val="272727"/>
              </w:rPr>
              <w:t>IL-13</w:t>
            </w:r>
          </w:p>
        </w:tc>
      </w:tr>
      <w:tr>
        <w:trPr>
          <w:trHeight w:val="336"/>
        </w:trPr>
        <w:tc>
          <w:tcPr>
            <w:tcW w:w="5320" w:type="dxa"/>
            <w:vAlign w:val="bottom"/>
            <w:gridSpan w:val="4"/>
          </w:tcPr>
          <w:p>
            <w:pPr>
              <w:spacing w:after="0"/>
              <w:rPr>
                <w:sz w:val="20"/>
                <w:szCs w:val="20"/>
                <w:color w:val="auto"/>
              </w:rPr>
            </w:pPr>
            <w:r>
              <w:rPr>
                <w:rFonts w:ascii="Arial" w:cs="Arial" w:eastAsia="Arial" w:hAnsi="Arial"/>
                <w:sz w:val="19"/>
                <w:szCs w:val="19"/>
                <w:color w:val="272727"/>
              </w:rPr>
              <w:t>Dominant (some overlapping) functions in :</w:t>
            </w:r>
          </w:p>
        </w:tc>
      </w:tr>
      <w:tr>
        <w:trPr>
          <w:trHeight w:val="337"/>
        </w:trPr>
        <w:tc>
          <w:tcPr>
            <w:tcW w:w="140" w:type="dxa"/>
            <w:vAlign w:val="bottom"/>
          </w:tcPr>
          <w:p>
            <w:pPr>
              <w:spacing w:after="0"/>
              <w:rPr>
                <w:sz w:val="20"/>
                <w:szCs w:val="20"/>
                <w:color w:val="auto"/>
              </w:rPr>
            </w:pPr>
            <w:r>
              <w:rPr>
                <w:rFonts w:ascii="Arial" w:cs="Arial" w:eastAsia="Arial" w:hAnsi="Arial"/>
                <w:sz w:val="18"/>
                <w:szCs w:val="18"/>
                <w:color w:val="272727"/>
              </w:rPr>
              <w:t>•</w:t>
            </w:r>
          </w:p>
        </w:tc>
        <w:tc>
          <w:tcPr>
            <w:tcW w:w="2420" w:type="dxa"/>
            <w:vAlign w:val="bottom"/>
          </w:tcPr>
          <w:p>
            <w:pPr>
              <w:ind w:left="80"/>
              <w:spacing w:after="0"/>
              <w:rPr>
                <w:sz w:val="20"/>
                <w:szCs w:val="20"/>
                <w:color w:val="auto"/>
              </w:rPr>
            </w:pPr>
            <w:r>
              <w:rPr>
                <w:rFonts w:ascii="Arial" w:cs="Arial" w:eastAsia="Arial" w:hAnsi="Arial"/>
                <w:sz w:val="18"/>
                <w:szCs w:val="18"/>
                <w:color w:val="272727"/>
              </w:rPr>
              <w:t>Initiation and drive of T</w:t>
            </w:r>
            <w:r>
              <w:rPr>
                <w:rFonts w:ascii="Arial" w:cs="Arial" w:eastAsia="Arial" w:hAnsi="Arial"/>
                <w:sz w:val="21"/>
                <w:szCs w:val="21"/>
                <w:color w:val="272727"/>
                <w:vertAlign w:val="subscript"/>
              </w:rPr>
              <w:t>H</w:t>
            </w:r>
            <w:r>
              <w:rPr>
                <w:rFonts w:ascii="Arial" w:cs="Arial" w:eastAsia="Arial" w:hAnsi="Arial"/>
                <w:sz w:val="18"/>
                <w:szCs w:val="18"/>
                <w:color w:val="272727"/>
              </w:rPr>
              <w:t>2</w:t>
            </w:r>
          </w:p>
        </w:tc>
        <w:tc>
          <w:tcPr>
            <w:tcW w:w="400" w:type="dxa"/>
            <w:vAlign w:val="bottom"/>
          </w:tcPr>
          <w:p>
            <w:pPr>
              <w:ind w:left="260"/>
              <w:spacing w:after="0"/>
              <w:rPr>
                <w:sz w:val="20"/>
                <w:szCs w:val="20"/>
                <w:color w:val="auto"/>
              </w:rPr>
            </w:pPr>
            <w:r>
              <w:rPr>
                <w:rFonts w:ascii="Arial" w:cs="Arial" w:eastAsia="Arial" w:hAnsi="Arial"/>
                <w:sz w:val="18"/>
                <w:szCs w:val="18"/>
                <w:color w:val="272727"/>
              </w:rPr>
              <w:t>•</w:t>
            </w:r>
          </w:p>
        </w:tc>
        <w:tc>
          <w:tcPr>
            <w:tcW w:w="2360" w:type="dxa"/>
            <w:vAlign w:val="bottom"/>
          </w:tcPr>
          <w:p>
            <w:pPr>
              <w:ind w:left="80"/>
              <w:spacing w:after="0"/>
              <w:rPr>
                <w:sz w:val="20"/>
                <w:szCs w:val="20"/>
                <w:color w:val="auto"/>
              </w:rPr>
            </w:pPr>
            <w:r>
              <w:rPr>
                <w:rFonts w:ascii="Arial" w:cs="Arial" w:eastAsia="Arial" w:hAnsi="Arial"/>
                <w:sz w:val="18"/>
                <w:szCs w:val="18"/>
                <w:color w:val="272727"/>
                <w:w w:val="96"/>
              </w:rPr>
              <w:t>Airway hyper responsiveness</w:t>
            </w:r>
          </w:p>
        </w:tc>
      </w:tr>
      <w:tr>
        <w:trPr>
          <w:trHeight w:val="212"/>
        </w:trPr>
        <w:tc>
          <w:tcPr>
            <w:tcW w:w="14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272727"/>
              </w:rPr>
              <w:t>differentiation</w:t>
            </w:r>
          </w:p>
        </w:tc>
        <w:tc>
          <w:tcPr>
            <w:tcW w:w="4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272727"/>
              </w:rPr>
              <w:t>(AHR)</w:t>
            </w:r>
          </w:p>
        </w:tc>
      </w:tr>
      <w:tr>
        <w:trPr>
          <w:trHeight w:val="200"/>
        </w:trPr>
        <w:tc>
          <w:tcPr>
            <w:tcW w:w="2560" w:type="dxa"/>
            <w:vAlign w:val="bottom"/>
            <w:gridSpan w:val="2"/>
          </w:tcPr>
          <w:p>
            <w:pPr>
              <w:spacing w:after="0" w:line="200" w:lineRule="exact"/>
              <w:rPr>
                <w:sz w:val="20"/>
                <w:szCs w:val="20"/>
                <w:color w:val="auto"/>
              </w:rPr>
            </w:pPr>
            <w:r>
              <w:rPr>
                <w:rFonts w:ascii="Arial" w:cs="Arial" w:eastAsia="Arial" w:hAnsi="Arial"/>
                <w:sz w:val="18"/>
                <w:szCs w:val="18"/>
                <w:color w:val="272727"/>
              </w:rPr>
              <w:t>•  Activation and growth of B</w:t>
            </w:r>
          </w:p>
        </w:tc>
        <w:tc>
          <w:tcPr>
            <w:tcW w:w="400" w:type="dxa"/>
            <w:vAlign w:val="bottom"/>
          </w:tcPr>
          <w:p>
            <w:pPr>
              <w:ind w:left="260"/>
              <w:spacing w:after="0" w:line="200" w:lineRule="exact"/>
              <w:rPr>
                <w:sz w:val="20"/>
                <w:szCs w:val="20"/>
                <w:color w:val="auto"/>
              </w:rPr>
            </w:pPr>
            <w:r>
              <w:rPr>
                <w:rFonts w:ascii="Arial" w:cs="Arial" w:eastAsia="Arial" w:hAnsi="Arial"/>
                <w:sz w:val="18"/>
                <w:szCs w:val="18"/>
                <w:color w:val="272727"/>
              </w:rPr>
              <w:t>•</w:t>
            </w:r>
          </w:p>
        </w:tc>
        <w:tc>
          <w:tcPr>
            <w:tcW w:w="2360" w:type="dxa"/>
            <w:vAlign w:val="bottom"/>
          </w:tcPr>
          <w:p>
            <w:pPr>
              <w:ind w:left="80"/>
              <w:spacing w:after="0" w:line="200" w:lineRule="exact"/>
              <w:rPr>
                <w:sz w:val="20"/>
                <w:szCs w:val="20"/>
                <w:color w:val="auto"/>
              </w:rPr>
            </w:pPr>
            <w:r>
              <w:rPr>
                <w:rFonts w:ascii="Arial" w:cs="Arial" w:eastAsia="Arial" w:hAnsi="Arial"/>
                <w:sz w:val="18"/>
                <w:szCs w:val="18"/>
                <w:color w:val="272727"/>
              </w:rPr>
              <w:t>Goblet cell hyperplasia</w:t>
            </w:r>
          </w:p>
        </w:tc>
      </w:tr>
      <w:tr>
        <w:trPr>
          <w:trHeight w:val="212"/>
        </w:trPr>
        <w:tc>
          <w:tcPr>
            <w:tcW w:w="14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272727"/>
              </w:rPr>
              <w:t>cells</w:t>
            </w:r>
          </w:p>
        </w:tc>
        <w:tc>
          <w:tcPr>
            <w:tcW w:w="400" w:type="dxa"/>
            <w:vAlign w:val="bottom"/>
          </w:tcPr>
          <w:p>
            <w:pPr>
              <w:ind w:left="260"/>
              <w:spacing w:after="0"/>
              <w:rPr>
                <w:sz w:val="20"/>
                <w:szCs w:val="20"/>
                <w:color w:val="auto"/>
              </w:rPr>
            </w:pPr>
            <w:r>
              <w:rPr>
                <w:rFonts w:ascii="Arial" w:cs="Arial" w:eastAsia="Arial" w:hAnsi="Arial"/>
                <w:sz w:val="18"/>
                <w:szCs w:val="18"/>
                <w:color w:val="272727"/>
              </w:rPr>
              <w:t>•</w:t>
            </w:r>
          </w:p>
        </w:tc>
        <w:tc>
          <w:tcPr>
            <w:tcW w:w="2360" w:type="dxa"/>
            <w:vAlign w:val="bottom"/>
          </w:tcPr>
          <w:p>
            <w:pPr>
              <w:ind w:left="80"/>
              <w:spacing w:after="0"/>
              <w:rPr>
                <w:sz w:val="20"/>
                <w:szCs w:val="20"/>
                <w:color w:val="auto"/>
              </w:rPr>
            </w:pPr>
            <w:r>
              <w:rPr>
                <w:rFonts w:ascii="Arial" w:cs="Arial" w:eastAsia="Arial" w:hAnsi="Arial"/>
                <w:sz w:val="18"/>
                <w:szCs w:val="18"/>
                <w:color w:val="272727"/>
              </w:rPr>
              <w:t>Tissue remodeling</w:t>
            </w:r>
          </w:p>
        </w:tc>
      </w:tr>
      <w:tr>
        <w:trPr>
          <w:trHeight w:val="212"/>
        </w:trPr>
        <w:tc>
          <w:tcPr>
            <w:tcW w:w="2560" w:type="dxa"/>
            <w:vAlign w:val="bottom"/>
            <w:gridSpan w:val="2"/>
          </w:tcPr>
          <w:p>
            <w:pPr>
              <w:spacing w:after="0"/>
              <w:rPr>
                <w:sz w:val="20"/>
                <w:szCs w:val="20"/>
                <w:color w:val="auto"/>
              </w:rPr>
            </w:pPr>
            <w:r>
              <w:rPr>
                <w:rFonts w:ascii="Arial" w:cs="Arial" w:eastAsia="Arial" w:hAnsi="Arial"/>
                <w:sz w:val="18"/>
                <w:szCs w:val="18"/>
                <w:color w:val="272727"/>
              </w:rPr>
              <w:t>•  Class switching to IgE and</w:t>
            </w:r>
          </w:p>
        </w:tc>
        <w:tc>
          <w:tcPr>
            <w:tcW w:w="400" w:type="dxa"/>
            <w:vAlign w:val="bottom"/>
          </w:tcPr>
          <w:p>
            <w:pPr>
              <w:ind w:left="260"/>
              <w:spacing w:after="0"/>
              <w:rPr>
                <w:sz w:val="20"/>
                <w:szCs w:val="20"/>
                <w:color w:val="auto"/>
              </w:rPr>
            </w:pPr>
            <w:r>
              <w:rPr>
                <w:rFonts w:ascii="Arial" w:cs="Arial" w:eastAsia="Arial" w:hAnsi="Arial"/>
                <w:sz w:val="18"/>
                <w:szCs w:val="18"/>
                <w:color w:val="272727"/>
              </w:rPr>
              <w:t>•</w:t>
            </w:r>
          </w:p>
        </w:tc>
        <w:tc>
          <w:tcPr>
            <w:tcW w:w="2360" w:type="dxa"/>
            <w:vAlign w:val="bottom"/>
          </w:tcPr>
          <w:p>
            <w:pPr>
              <w:ind w:left="80"/>
              <w:spacing w:after="0"/>
              <w:rPr>
                <w:sz w:val="20"/>
                <w:szCs w:val="20"/>
                <w:color w:val="auto"/>
              </w:rPr>
            </w:pPr>
            <w:r>
              <w:rPr>
                <w:rFonts w:ascii="Arial" w:cs="Arial" w:eastAsia="Arial" w:hAnsi="Arial"/>
                <w:sz w:val="18"/>
                <w:szCs w:val="18"/>
                <w:color w:val="272727"/>
              </w:rPr>
              <w:t>Fibrosis</w:t>
            </w:r>
          </w:p>
        </w:tc>
      </w:tr>
      <w:tr>
        <w:trPr>
          <w:trHeight w:val="200"/>
        </w:trPr>
        <w:tc>
          <w:tcPr>
            <w:tcW w:w="140" w:type="dxa"/>
            <w:vAlign w:val="bottom"/>
          </w:tcPr>
          <w:p>
            <w:pPr>
              <w:spacing w:after="0"/>
              <w:rPr>
                <w:sz w:val="17"/>
                <w:szCs w:val="17"/>
                <w:color w:val="auto"/>
              </w:rPr>
            </w:pPr>
          </w:p>
        </w:tc>
        <w:tc>
          <w:tcPr>
            <w:tcW w:w="2420" w:type="dxa"/>
            <w:vAlign w:val="bottom"/>
          </w:tcPr>
          <w:p>
            <w:pPr>
              <w:ind w:left="80"/>
              <w:spacing w:after="0" w:line="200" w:lineRule="exact"/>
              <w:rPr>
                <w:sz w:val="20"/>
                <w:szCs w:val="20"/>
                <w:color w:val="auto"/>
              </w:rPr>
            </w:pPr>
            <w:r>
              <w:rPr>
                <w:rFonts w:ascii="Arial" w:cs="Arial" w:eastAsia="Arial" w:hAnsi="Arial"/>
                <w:sz w:val="18"/>
                <w:szCs w:val="18"/>
                <w:color w:val="272727"/>
              </w:rPr>
              <w:t>IgG1a</w:t>
            </w:r>
          </w:p>
        </w:tc>
        <w:tc>
          <w:tcPr>
            <w:tcW w:w="400" w:type="dxa"/>
            <w:vAlign w:val="bottom"/>
          </w:tcPr>
          <w:p>
            <w:pPr>
              <w:ind w:left="260"/>
              <w:spacing w:after="0" w:line="200" w:lineRule="exact"/>
              <w:rPr>
                <w:sz w:val="20"/>
                <w:szCs w:val="20"/>
                <w:color w:val="auto"/>
              </w:rPr>
            </w:pPr>
            <w:r>
              <w:rPr>
                <w:rFonts w:ascii="Arial" w:cs="Arial" w:eastAsia="Arial" w:hAnsi="Arial"/>
                <w:sz w:val="18"/>
                <w:szCs w:val="18"/>
                <w:color w:val="272727"/>
              </w:rPr>
              <w:t>•</w:t>
            </w:r>
          </w:p>
        </w:tc>
        <w:tc>
          <w:tcPr>
            <w:tcW w:w="2360" w:type="dxa"/>
            <w:vAlign w:val="bottom"/>
          </w:tcPr>
          <w:p>
            <w:pPr>
              <w:ind w:left="80"/>
              <w:spacing w:after="0" w:line="200" w:lineRule="exact"/>
              <w:rPr>
                <w:sz w:val="20"/>
                <w:szCs w:val="20"/>
                <w:color w:val="auto"/>
              </w:rPr>
            </w:pPr>
            <w:r>
              <w:rPr>
                <w:rFonts w:ascii="Arial" w:cs="Arial" w:eastAsia="Arial" w:hAnsi="Arial"/>
                <w:sz w:val="18"/>
                <w:szCs w:val="18"/>
                <w:color w:val="272727"/>
                <w:w w:val="97"/>
              </w:rPr>
              <w:t>Regulation of gastrointestinal</w:t>
            </w:r>
          </w:p>
        </w:tc>
      </w:tr>
      <w:tr>
        <w:trPr>
          <w:trHeight w:val="212"/>
        </w:trPr>
        <w:tc>
          <w:tcPr>
            <w:tcW w:w="140" w:type="dxa"/>
            <w:vAlign w:val="bottom"/>
          </w:tcPr>
          <w:p>
            <w:pPr>
              <w:spacing w:after="0"/>
              <w:rPr>
                <w:sz w:val="20"/>
                <w:szCs w:val="20"/>
                <w:color w:val="auto"/>
              </w:rPr>
            </w:pPr>
            <w:r>
              <w:rPr>
                <w:rFonts w:ascii="Arial" w:cs="Arial" w:eastAsia="Arial" w:hAnsi="Arial"/>
                <w:sz w:val="18"/>
                <w:szCs w:val="18"/>
                <w:color w:val="272727"/>
              </w:rPr>
              <w:t>•</w:t>
            </w:r>
          </w:p>
        </w:tc>
        <w:tc>
          <w:tcPr>
            <w:tcW w:w="2420" w:type="dxa"/>
            <w:vAlign w:val="bottom"/>
          </w:tcPr>
          <w:p>
            <w:pPr>
              <w:ind w:left="80"/>
              <w:spacing w:after="0"/>
              <w:rPr>
                <w:sz w:val="20"/>
                <w:szCs w:val="20"/>
                <w:color w:val="auto"/>
              </w:rPr>
            </w:pPr>
            <w:r>
              <w:rPr>
                <w:rFonts w:ascii="Arial" w:cs="Arial" w:eastAsia="Arial" w:hAnsi="Arial"/>
                <w:sz w:val="18"/>
                <w:szCs w:val="18"/>
                <w:color w:val="272727"/>
              </w:rPr>
              <w:t>Recruitment of eosinophils</w:t>
            </w:r>
          </w:p>
        </w:tc>
        <w:tc>
          <w:tcPr>
            <w:tcW w:w="400" w:type="dxa"/>
            <w:vAlign w:val="bottom"/>
          </w:tcPr>
          <w:p>
            <w:pPr>
              <w:spacing w:after="0"/>
              <w:rPr>
                <w:sz w:val="18"/>
                <w:szCs w:val="18"/>
                <w:color w:val="auto"/>
              </w:rPr>
            </w:pPr>
          </w:p>
        </w:tc>
        <w:tc>
          <w:tcPr>
            <w:tcW w:w="2360" w:type="dxa"/>
            <w:vAlign w:val="bottom"/>
          </w:tcPr>
          <w:p>
            <w:pPr>
              <w:ind w:left="80"/>
              <w:spacing w:after="0"/>
              <w:rPr>
                <w:sz w:val="20"/>
                <w:szCs w:val="20"/>
                <w:color w:val="auto"/>
              </w:rPr>
            </w:pPr>
            <w:r>
              <w:rPr>
                <w:rFonts w:ascii="Arial" w:cs="Arial" w:eastAsia="Arial" w:hAnsi="Arial"/>
                <w:sz w:val="18"/>
                <w:szCs w:val="18"/>
                <w:color w:val="272727"/>
              </w:rPr>
              <w:t>parasite expulsion</w:t>
            </w:r>
          </w:p>
        </w:tc>
      </w:tr>
    </w:tbl>
    <w:p>
      <w:pPr>
        <w:spacing w:after="0" w:line="330" w:lineRule="exact"/>
        <w:rPr>
          <w:sz w:val="20"/>
          <w:szCs w:val="20"/>
          <w:color w:val="auto"/>
        </w:rPr>
      </w:pPr>
    </w:p>
    <w:p>
      <w:pPr>
        <w:ind w:left="80"/>
        <w:spacing w:after="0"/>
        <w:rPr>
          <w:sz w:val="20"/>
          <w:szCs w:val="20"/>
          <w:color w:val="auto"/>
        </w:rPr>
      </w:pPr>
      <w:r>
        <w:rPr>
          <w:rFonts w:ascii="Arial" w:cs="Arial" w:eastAsia="Arial" w:hAnsi="Arial"/>
          <w:sz w:val="19"/>
          <w:szCs w:val="19"/>
          <w:color w:val="FFFFFF"/>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0"/>
        <w:spacing w:after="0" w:line="250" w:lineRule="auto"/>
        <w:rPr>
          <w:sz w:val="20"/>
          <w:szCs w:val="20"/>
          <w:color w:val="auto"/>
        </w:rPr>
      </w:pPr>
      <w:r>
        <w:rPr>
          <w:rFonts w:ascii="Arial" w:cs="Arial" w:eastAsia="Arial" w:hAnsi="Arial"/>
          <w:sz w:val="24"/>
          <w:szCs w:val="24"/>
          <w:b w:val="1"/>
          <w:bCs w:val="1"/>
          <w:color w:val="1D355D"/>
        </w:rPr>
        <w:t>Positive proof of concept data for atopic dermatitis to be submitted for presentation at a medical conference in 2013</w:t>
      </w:r>
    </w:p>
    <w:p>
      <w:pPr>
        <w:spacing w:after="0" w:line="332" w:lineRule="exact"/>
        <w:rPr>
          <w:sz w:val="20"/>
          <w:szCs w:val="20"/>
          <w:color w:val="auto"/>
        </w:rPr>
      </w:pPr>
    </w:p>
    <w:p>
      <w:pPr>
        <w:spacing w:after="0" w:line="237" w:lineRule="auto"/>
        <w:rPr>
          <w:sz w:val="20"/>
          <w:szCs w:val="20"/>
          <w:color w:val="auto"/>
        </w:rPr>
      </w:pPr>
      <w:r>
        <w:rPr>
          <w:rFonts w:ascii="Arial" w:cs="Arial" w:eastAsia="Arial" w:hAnsi="Arial"/>
          <w:sz w:val="25"/>
          <w:szCs w:val="25"/>
          <w:b w:val="1"/>
          <w:bCs w:val="1"/>
          <w:color w:val="1D355D"/>
        </w:rPr>
        <w:t>Positive proof of concept data for asthma to be submitted for presentation at a medical conference in 2013</w:t>
      </w:r>
    </w:p>
    <w:p>
      <w:pPr>
        <w:spacing w:after="0" w:line="346" w:lineRule="exact"/>
        <w:rPr>
          <w:sz w:val="20"/>
          <w:szCs w:val="20"/>
          <w:color w:val="auto"/>
        </w:rPr>
      </w:pPr>
    </w:p>
    <w:p>
      <w:pPr>
        <w:ind w:right="40"/>
        <w:spacing w:after="0" w:line="279" w:lineRule="auto"/>
        <w:rPr>
          <w:sz w:val="20"/>
          <w:szCs w:val="20"/>
          <w:color w:val="auto"/>
        </w:rPr>
      </w:pPr>
      <w:r>
        <w:rPr>
          <w:rFonts w:ascii="Arial" w:cs="Arial" w:eastAsia="Arial" w:hAnsi="Arial"/>
          <w:sz w:val="24"/>
          <w:szCs w:val="24"/>
          <w:b w:val="1"/>
          <w:bCs w:val="1"/>
          <w:color w:val="1D355D"/>
        </w:rPr>
        <w:t>Phase 2b initiation in both indications expected mid-year</w:t>
      </w:r>
    </w:p>
    <w:p>
      <w:pPr>
        <w:sectPr>
          <w:pgSz w:w="11900" w:h="16838" w:orient="portrait"/>
          <w:cols w:equalWidth="0" w:num="2">
            <w:col w:w="5540" w:space="720"/>
            <w:col w:w="3580"/>
          </w:cols>
          <w:pgMar w:left="940" w:top="755" w:right="1119" w:bottom="1440" w:gutter="0" w:footer="0" w:header="0"/>
          <w:type w:val="continuous"/>
        </w:sectPr>
      </w:pPr>
    </w:p>
    <w:bookmarkStart w:id="21" w:name="page22"/>
    <w:bookmarkEnd w:id="21"/>
    <w:p>
      <w:pPr>
        <w:ind w:left="80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BROAD ANTIBODY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2880" w:val="left"/>
          <w:tab w:leader="none" w:pos="4620" w:val="left"/>
          <w:tab w:leader="none" w:pos="6200" w:val="left"/>
          <w:tab w:leader="none" w:pos="7760" w:val="left"/>
          <w:tab w:leader="none" w:pos="9700" w:val="left"/>
        </w:tabs>
        <w:rPr>
          <w:sz w:val="20"/>
          <w:szCs w:val="20"/>
          <w:color w:val="auto"/>
        </w:rPr>
      </w:pPr>
      <w:r>
        <w:rPr>
          <w:rFonts w:ascii="Arial" w:cs="Arial" w:eastAsia="Arial" w:hAnsi="Arial"/>
          <w:sz w:val="15"/>
          <w:szCs w:val="15"/>
          <w:color w:val="003C6B"/>
        </w:rPr>
        <w:t>Therapeutic Focus Legend:</w:t>
      </w:r>
      <w:r>
        <w:rPr>
          <w:sz w:val="20"/>
          <w:szCs w:val="20"/>
          <w:color w:val="auto"/>
        </w:rPr>
        <w:tab/>
      </w:r>
      <w:r>
        <w:rPr>
          <w:rFonts w:ascii="Arial" w:cs="Arial" w:eastAsia="Arial" w:hAnsi="Arial"/>
          <w:sz w:val="15"/>
          <w:szCs w:val="15"/>
          <w:color w:val="003C6B"/>
        </w:rPr>
        <w:t>Inflammation</w:t>
      </w:r>
      <w:r>
        <w:rPr>
          <w:sz w:val="20"/>
          <w:szCs w:val="20"/>
          <w:color w:val="auto"/>
        </w:rPr>
        <w:tab/>
      </w:r>
      <w:r>
        <w:rPr>
          <w:rFonts w:ascii="Arial" w:cs="Arial" w:eastAsia="Arial" w:hAnsi="Arial"/>
          <w:sz w:val="15"/>
          <w:szCs w:val="15"/>
          <w:color w:val="003C6B"/>
        </w:rPr>
        <w:t>Metabolism</w:t>
      </w:r>
      <w:r>
        <w:rPr>
          <w:sz w:val="20"/>
          <w:szCs w:val="20"/>
          <w:color w:val="auto"/>
        </w:rPr>
        <w:tab/>
      </w:r>
      <w:r>
        <w:rPr>
          <w:rFonts w:ascii="Arial" w:cs="Arial" w:eastAsia="Arial" w:hAnsi="Arial"/>
          <w:sz w:val="15"/>
          <w:szCs w:val="15"/>
          <w:color w:val="003C6B"/>
        </w:rPr>
        <w:t>Oncology</w:t>
      </w:r>
      <w:r>
        <w:rPr>
          <w:sz w:val="20"/>
          <w:szCs w:val="20"/>
          <w:color w:val="auto"/>
        </w:rPr>
        <w:tab/>
      </w:r>
      <w:r>
        <w:rPr>
          <w:rFonts w:ascii="Arial" w:cs="Arial" w:eastAsia="Arial" w:hAnsi="Arial"/>
          <w:sz w:val="15"/>
          <w:szCs w:val="15"/>
          <w:color w:val="003C6B"/>
        </w:rPr>
        <w:t>Ophthalmology</w:t>
      </w:r>
      <w:r>
        <w:rPr>
          <w:sz w:val="20"/>
          <w:szCs w:val="20"/>
          <w:color w:val="auto"/>
        </w:rPr>
        <w:tab/>
      </w:r>
      <w:r>
        <w:rPr>
          <w:rFonts w:ascii="Arial" w:cs="Arial" w:eastAsia="Arial" w:hAnsi="Arial"/>
          <w:sz w:val="14"/>
          <w:szCs w:val="14"/>
          <w:color w:val="003C6B"/>
        </w:rPr>
        <w:t>Pain</w:t>
      </w:r>
    </w:p>
    <w:p>
      <w:pPr>
        <w:sectPr>
          <w:pgSz w:w="11900" w:h="16838" w:orient="portrait"/>
          <w:cols w:equalWidth="0" w:num="1">
            <w:col w:w="10120"/>
          </w:cols>
          <w:pgMar w:left="800" w:top="943" w:right="9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720"/>
        <w:spacing w:after="0"/>
        <w:rPr>
          <w:sz w:val="20"/>
          <w:szCs w:val="20"/>
          <w:color w:val="auto"/>
        </w:rPr>
      </w:pPr>
      <w:r>
        <w:rPr>
          <w:rFonts w:ascii="Arial" w:cs="Arial" w:eastAsia="Arial" w:hAnsi="Arial"/>
          <w:sz w:val="32"/>
          <w:szCs w:val="32"/>
          <w:b w:val="1"/>
          <w:bCs w:val="1"/>
          <w:color w:val="003C6B"/>
        </w:rPr>
        <w:t>Phase 1</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D355D"/>
        </w:rPr>
        <w:t>REGN421 (DII4 Antibody)</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1D355D"/>
        </w:rPr>
        <w:t>Advanced malignancies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D355D"/>
        </w:rPr>
        <w:t>REGN910 (ANG2 Antibody)</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1D355D"/>
        </w:rPr>
        <w:t>Advanced malignancies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D355D"/>
        </w:rPr>
        <w:t>REGN1033 (GDF8 Antibody)</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1D355D"/>
        </w:rPr>
        <w:t>Metabolic disorders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1D355D"/>
        </w:rPr>
        <w:t>REGN1400 (ERBB3 Antibody)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4"/>
          <w:szCs w:val="14"/>
          <w:color w:val="1D355D"/>
        </w:rPr>
        <w:t>Advanced malignancies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D355D"/>
        </w:rPr>
        <w:t>REGN846</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1D355D"/>
        </w:rPr>
        <w:t>(undisclosed target)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color w:val="1D355D"/>
        </w:rPr>
        <w:t>Atopic dermatitis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D355D"/>
        </w:rPr>
        <w:t>REGN1154</w:t>
      </w:r>
    </w:p>
    <w:p>
      <w:pPr>
        <w:ind w:left="360"/>
        <w:spacing w:after="0"/>
        <w:rPr>
          <w:sz w:val="20"/>
          <w:szCs w:val="20"/>
          <w:color w:val="auto"/>
        </w:rPr>
      </w:pPr>
      <w:r>
        <w:rPr>
          <w:rFonts w:ascii="Arial" w:cs="Arial" w:eastAsia="Arial" w:hAnsi="Arial"/>
          <w:sz w:val="14"/>
          <w:szCs w:val="14"/>
          <w:color w:val="1D355D"/>
        </w:rPr>
        <w:t>(undisclosed target)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D355D"/>
        </w:rPr>
        <w:t>REGN1500</w:t>
      </w:r>
    </w:p>
    <w:p>
      <w:pPr>
        <w:ind w:left="360"/>
        <w:spacing w:after="0"/>
        <w:rPr>
          <w:sz w:val="20"/>
          <w:szCs w:val="20"/>
          <w:color w:val="auto"/>
        </w:rPr>
      </w:pPr>
      <w:r>
        <w:rPr>
          <w:rFonts w:ascii="Arial" w:cs="Arial" w:eastAsia="Arial" w:hAnsi="Arial"/>
          <w:sz w:val="14"/>
          <w:szCs w:val="14"/>
          <w:color w:val="1D355D"/>
        </w:rPr>
        <w:t>(undisclosed target)</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272727"/>
        </w:rPr>
        <w:t>*Remains on clinical hold by the FDA</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9"/>
          <w:szCs w:val="19"/>
          <w:color w:val="FFFFFF"/>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40"/>
        <w:spacing w:after="0"/>
        <w:tabs>
          <w:tab w:leader="none" w:pos="4420" w:val="left"/>
        </w:tabs>
        <w:rPr>
          <w:sz w:val="20"/>
          <w:szCs w:val="20"/>
          <w:color w:val="auto"/>
        </w:rPr>
      </w:pPr>
      <w:r>
        <w:rPr>
          <w:rFonts w:ascii="Arial" w:cs="Arial" w:eastAsia="Arial" w:hAnsi="Arial"/>
          <w:sz w:val="32"/>
          <w:szCs w:val="32"/>
          <w:b w:val="1"/>
          <w:bCs w:val="1"/>
          <w:color w:val="003C6B"/>
        </w:rPr>
        <w:t>Phase 2</w:t>
      </w:r>
      <w:r>
        <w:rPr>
          <w:sz w:val="20"/>
          <w:szCs w:val="20"/>
          <w:color w:val="auto"/>
        </w:rPr>
        <w:tab/>
      </w:r>
      <w:r>
        <w:rPr>
          <w:rFonts w:ascii="Arial" w:cs="Arial" w:eastAsia="Arial" w:hAnsi="Arial"/>
          <w:sz w:val="31"/>
          <w:szCs w:val="31"/>
          <w:b w:val="1"/>
          <w:bCs w:val="1"/>
          <w:color w:val="003C6B"/>
        </w:rPr>
        <w:t>Phase 3</w:t>
      </w:r>
    </w:p>
    <w:p>
      <w:pPr>
        <w:spacing w:after="0" w:line="200" w:lineRule="exact"/>
        <w:rPr>
          <w:sz w:val="20"/>
          <w:szCs w:val="20"/>
          <w:color w:val="auto"/>
        </w:rPr>
      </w:pPr>
    </w:p>
    <w:p>
      <w:pPr>
        <w:spacing w:after="0" w:line="248" w:lineRule="exact"/>
        <w:rPr>
          <w:sz w:val="20"/>
          <w:szCs w:val="20"/>
          <w:color w:val="auto"/>
        </w:rPr>
      </w:pPr>
    </w:p>
    <w:p>
      <w:pPr>
        <w:ind w:left="380"/>
        <w:spacing w:after="0"/>
        <w:tabs>
          <w:tab w:leader="none" w:pos="4020" w:val="left"/>
        </w:tabs>
        <w:rPr>
          <w:sz w:val="20"/>
          <w:szCs w:val="20"/>
          <w:color w:val="auto"/>
        </w:rPr>
      </w:pPr>
      <w:r>
        <w:rPr>
          <w:rFonts w:ascii="Arial" w:cs="Arial" w:eastAsia="Arial" w:hAnsi="Arial"/>
          <w:sz w:val="18"/>
          <w:szCs w:val="18"/>
          <w:b w:val="1"/>
          <w:bCs w:val="1"/>
          <w:color w:val="1D355D"/>
        </w:rPr>
        <w:t>REGN668 (IL-4R Antibody)</w:t>
      </w:r>
      <w:r>
        <w:rPr>
          <w:sz w:val="20"/>
          <w:szCs w:val="20"/>
          <w:color w:val="auto"/>
        </w:rPr>
        <w:tab/>
      </w:r>
      <w:r>
        <w:rPr>
          <w:rFonts w:ascii="Arial" w:cs="Arial" w:eastAsia="Arial" w:hAnsi="Arial"/>
          <w:sz w:val="17"/>
          <w:szCs w:val="17"/>
          <w:b w:val="1"/>
          <w:bCs w:val="1"/>
          <w:color w:val="1D355D"/>
        </w:rPr>
        <w:t>REGN727 (PCSK9 Antibody)</w:t>
      </w:r>
    </w:p>
    <w:p>
      <w:pPr>
        <w:spacing w:after="0" w:line="12" w:lineRule="exact"/>
        <w:rPr>
          <w:sz w:val="20"/>
          <w:szCs w:val="20"/>
          <w:color w:val="auto"/>
        </w:rPr>
      </w:pPr>
    </w:p>
    <w:p>
      <w:pPr>
        <w:ind w:left="380"/>
        <w:spacing w:after="0"/>
        <w:tabs>
          <w:tab w:leader="none" w:pos="4020" w:val="left"/>
        </w:tabs>
        <w:rPr>
          <w:sz w:val="20"/>
          <w:szCs w:val="20"/>
          <w:color w:val="auto"/>
        </w:rPr>
      </w:pPr>
      <w:r>
        <w:rPr>
          <w:rFonts w:ascii="Arial" w:cs="Arial" w:eastAsia="Arial" w:hAnsi="Arial"/>
          <w:sz w:val="14"/>
          <w:szCs w:val="14"/>
          <w:color w:val="1D355D"/>
        </w:rPr>
        <w:t>Eosinophilic asthma</w:t>
      </w:r>
      <w:r>
        <w:rPr>
          <w:sz w:val="20"/>
          <w:szCs w:val="20"/>
          <w:color w:val="auto"/>
        </w:rPr>
        <w:tab/>
      </w:r>
      <w:r>
        <w:rPr>
          <w:rFonts w:ascii="Arial" w:cs="Arial" w:eastAsia="Arial" w:hAnsi="Arial"/>
          <w:sz w:val="14"/>
          <w:szCs w:val="14"/>
          <w:b w:val="1"/>
          <w:bCs w:val="1"/>
          <w:color w:val="1D355D"/>
        </w:rPr>
        <w:t>LDL cholesterol reduction</w:t>
      </w:r>
    </w:p>
    <w:p>
      <w:pPr>
        <w:spacing w:after="0" w:line="138" w:lineRule="exact"/>
        <w:rPr>
          <w:sz w:val="20"/>
          <w:szCs w:val="20"/>
          <w:color w:val="auto"/>
        </w:rPr>
      </w:pPr>
    </w:p>
    <w:p>
      <w:pPr>
        <w:ind w:left="380"/>
        <w:spacing w:after="0"/>
        <w:tabs>
          <w:tab w:leader="none" w:pos="4020" w:val="left"/>
        </w:tabs>
        <w:rPr>
          <w:sz w:val="20"/>
          <w:szCs w:val="20"/>
          <w:color w:val="auto"/>
        </w:rPr>
      </w:pPr>
      <w:r>
        <w:rPr>
          <w:rFonts w:ascii="Arial" w:cs="Arial" w:eastAsia="Arial" w:hAnsi="Arial"/>
          <w:sz w:val="18"/>
          <w:szCs w:val="18"/>
          <w:b w:val="1"/>
          <w:bCs w:val="1"/>
          <w:color w:val="1D355D"/>
        </w:rPr>
        <w:t>REGN668 (IL-4R Antibody)</w:t>
      </w:r>
      <w:r>
        <w:rPr>
          <w:sz w:val="20"/>
          <w:szCs w:val="20"/>
          <w:color w:val="auto"/>
        </w:rPr>
        <w:tab/>
      </w:r>
      <w:r>
        <w:rPr>
          <w:rFonts w:ascii="Arial" w:cs="Arial" w:eastAsia="Arial" w:hAnsi="Arial"/>
          <w:sz w:val="17"/>
          <w:szCs w:val="17"/>
          <w:b w:val="1"/>
          <w:bCs w:val="1"/>
          <w:color w:val="1D355D"/>
        </w:rPr>
        <w:t>Sarilumab (IL-6R Antibody)</w:t>
      </w:r>
    </w:p>
    <w:p>
      <w:pPr>
        <w:spacing w:after="0" w:line="12" w:lineRule="exact"/>
        <w:rPr>
          <w:sz w:val="20"/>
          <w:szCs w:val="20"/>
          <w:color w:val="auto"/>
        </w:rPr>
      </w:pPr>
    </w:p>
    <w:p>
      <w:pPr>
        <w:ind w:left="380"/>
        <w:spacing w:after="0"/>
        <w:tabs>
          <w:tab w:leader="none" w:pos="4020" w:val="left"/>
        </w:tabs>
        <w:rPr>
          <w:sz w:val="20"/>
          <w:szCs w:val="20"/>
          <w:color w:val="auto"/>
        </w:rPr>
      </w:pPr>
      <w:r>
        <w:rPr>
          <w:rFonts w:ascii="Arial" w:cs="Arial" w:eastAsia="Arial" w:hAnsi="Arial"/>
          <w:sz w:val="14"/>
          <w:szCs w:val="14"/>
          <w:color w:val="1D355D"/>
        </w:rPr>
        <w:t>Atopic dermatitis</w:t>
      </w:r>
      <w:r>
        <w:rPr>
          <w:sz w:val="20"/>
          <w:szCs w:val="20"/>
          <w:color w:val="auto"/>
        </w:rPr>
        <w:tab/>
      </w:r>
      <w:r>
        <w:rPr>
          <w:rFonts w:ascii="Arial" w:cs="Arial" w:eastAsia="Arial" w:hAnsi="Arial"/>
          <w:sz w:val="14"/>
          <w:szCs w:val="14"/>
          <w:color w:val="1D355D"/>
        </w:rPr>
        <w:t>Rheumatoid arthritis</w:t>
      </w:r>
    </w:p>
    <w:p>
      <w:pPr>
        <w:spacing w:after="0" w:line="138" w:lineRule="exact"/>
        <w:rPr>
          <w:sz w:val="20"/>
          <w:szCs w:val="20"/>
          <w:color w:val="auto"/>
        </w:rPr>
      </w:pPr>
    </w:p>
    <w:p>
      <w:pPr>
        <w:ind w:left="380"/>
        <w:spacing w:after="0"/>
        <w:tabs>
          <w:tab w:leader="none" w:pos="4020" w:val="left"/>
        </w:tabs>
        <w:rPr>
          <w:sz w:val="20"/>
          <w:szCs w:val="20"/>
          <w:color w:val="auto"/>
        </w:rPr>
      </w:pPr>
      <w:r>
        <w:rPr>
          <w:rFonts w:ascii="Arial" w:cs="Arial" w:eastAsia="Arial" w:hAnsi="Arial"/>
          <w:sz w:val="18"/>
          <w:szCs w:val="18"/>
          <w:b w:val="1"/>
          <w:bCs w:val="1"/>
          <w:color w:val="1D355D"/>
        </w:rPr>
        <w:t>REGN475* (NGF Antibody)</w:t>
      </w:r>
      <w:r>
        <w:rPr>
          <w:sz w:val="20"/>
          <w:szCs w:val="20"/>
          <w:color w:val="auto"/>
        </w:rPr>
        <w:tab/>
      </w:r>
      <w:r>
        <w:rPr>
          <w:rFonts w:ascii="Arial" w:cs="Arial" w:eastAsia="Arial" w:hAnsi="Arial"/>
          <w:sz w:val="17"/>
          <w:szCs w:val="17"/>
          <w:b w:val="1"/>
          <w:bCs w:val="1"/>
          <w:color w:val="1D355D"/>
        </w:rPr>
        <w:t>EYLEA</w:t>
      </w:r>
    </w:p>
    <w:p>
      <w:pPr>
        <w:spacing w:after="0" w:line="12" w:lineRule="exact"/>
        <w:rPr>
          <w:sz w:val="20"/>
          <w:szCs w:val="20"/>
          <w:color w:val="auto"/>
        </w:rPr>
      </w:pPr>
    </w:p>
    <w:p>
      <w:pPr>
        <w:ind w:left="380"/>
        <w:spacing w:after="0"/>
        <w:tabs>
          <w:tab w:leader="none" w:pos="4020" w:val="left"/>
        </w:tabs>
        <w:rPr>
          <w:sz w:val="20"/>
          <w:szCs w:val="20"/>
          <w:color w:val="auto"/>
        </w:rPr>
      </w:pPr>
      <w:r>
        <w:rPr>
          <w:rFonts w:ascii="Arial" w:cs="Arial" w:eastAsia="Arial" w:hAnsi="Arial"/>
          <w:sz w:val="14"/>
          <w:szCs w:val="14"/>
          <w:color w:val="1D355D"/>
        </w:rPr>
        <w:t>Osteoarthritis</w:t>
      </w:r>
      <w:r>
        <w:rPr>
          <w:sz w:val="20"/>
          <w:szCs w:val="20"/>
          <w:color w:val="auto"/>
        </w:rPr>
        <w:tab/>
      </w:r>
      <w:r>
        <w:rPr>
          <w:rFonts w:ascii="Arial" w:cs="Arial" w:eastAsia="Arial" w:hAnsi="Arial"/>
          <w:sz w:val="14"/>
          <w:szCs w:val="14"/>
          <w:color w:val="1D355D"/>
        </w:rPr>
        <w:t>Diabetic macular edema</w:t>
      </w:r>
    </w:p>
    <w:p>
      <w:pPr>
        <w:spacing w:after="0" w:line="13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1D355D"/>
        </w:rPr>
        <w:t>EYLEA</w:t>
      </w:r>
    </w:p>
    <w:p>
      <w:pPr>
        <w:spacing w:after="0" w:line="12" w:lineRule="exact"/>
        <w:rPr>
          <w:sz w:val="20"/>
          <w:szCs w:val="20"/>
          <w:color w:val="auto"/>
        </w:rPr>
      </w:pPr>
    </w:p>
    <w:p>
      <w:pPr>
        <w:ind w:left="4040"/>
        <w:spacing w:after="0"/>
        <w:rPr>
          <w:sz w:val="20"/>
          <w:szCs w:val="20"/>
          <w:color w:val="auto"/>
        </w:rPr>
      </w:pPr>
      <w:r>
        <w:rPr>
          <w:rFonts w:ascii="Arial" w:cs="Arial" w:eastAsia="Arial" w:hAnsi="Arial"/>
          <w:sz w:val="14"/>
          <w:szCs w:val="14"/>
          <w:color w:val="1D355D"/>
        </w:rPr>
        <w:t>Branch Retinal Vein Occlusion</w:t>
      </w:r>
    </w:p>
    <w:p>
      <w:pPr>
        <w:spacing w:after="0" w:line="200" w:lineRule="exact"/>
        <w:rPr>
          <w:sz w:val="20"/>
          <w:szCs w:val="20"/>
          <w:color w:val="auto"/>
        </w:rPr>
      </w:pPr>
    </w:p>
    <w:p>
      <w:pPr>
        <w:spacing w:after="0" w:line="251" w:lineRule="exact"/>
        <w:rPr>
          <w:sz w:val="20"/>
          <w:szCs w:val="20"/>
          <w:color w:val="auto"/>
        </w:rPr>
      </w:pPr>
    </w:p>
    <w:p>
      <w:pPr>
        <w:ind w:left="60" w:right="680"/>
        <w:spacing w:after="0" w:line="276" w:lineRule="auto"/>
        <w:rPr>
          <w:sz w:val="20"/>
          <w:szCs w:val="20"/>
          <w:color w:val="auto"/>
        </w:rPr>
      </w:pPr>
      <w:r>
        <w:rPr>
          <w:rFonts w:ascii="Arial" w:cs="Arial" w:eastAsia="Arial" w:hAnsi="Arial"/>
          <w:sz w:val="28"/>
          <w:szCs w:val="28"/>
          <w:b w:val="1"/>
          <w:bCs w:val="1"/>
          <w:color w:val="003C6B"/>
        </w:rPr>
        <w:t>Novel Antibody Technologies in Preclincal Development</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1D355D"/>
        </w:rPr>
        <w:t>Bispecific Antibodies</w:t>
      </w:r>
    </w:p>
    <w:p>
      <w:pPr>
        <w:spacing w:after="0" w:line="34"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1D355D"/>
        </w:rPr>
        <w:t>Long Acting Technologies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D355D"/>
        </w:rPr>
        <w:t>Antibody Drug Conjugates</w:t>
      </w:r>
    </w:p>
    <w:p>
      <w:pPr>
        <w:sectPr>
          <w:pgSz w:w="11900" w:h="16838" w:orient="portrait"/>
          <w:cols w:equalWidth="0" w:num="2">
            <w:col w:w="2960" w:space="720"/>
            <w:col w:w="6440"/>
          </w:cols>
          <w:pgMar w:left="800" w:top="943" w:right="979" w:bottom="1440" w:gutter="0" w:footer="0" w:header="0"/>
          <w:type w:val="continuous"/>
        </w:sectPr>
      </w:pPr>
    </w:p>
    <w:bookmarkStart w:id="22" w:name="page23"/>
    <w:bookmarkEnd w:id="22"/>
    <w:p>
      <w:pPr>
        <w:ind w:left="640"/>
        <w:spacing w:after="0"/>
        <w:rPr>
          <w:sz w:val="20"/>
          <w:szCs w:val="20"/>
          <w:color w:val="auto"/>
        </w:rPr>
      </w:pPr>
      <w:r>
        <w:rPr>
          <w:rFonts w:ascii="Arial" w:cs="Arial" w:eastAsia="Arial" w:hAnsi="Arial"/>
          <w:sz w:val="42"/>
          <w:szCs w:val="42"/>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SANOFI ANTIBODY COLLABORATION</w:t>
      </w:r>
    </w:p>
    <w:p>
      <w:pPr>
        <w:sectPr>
          <w:pgSz w:w="11900" w:h="16838" w:orient="portrait"/>
          <w:cols w:equalWidth="0" w:num="1">
            <w:col w:w="9900"/>
          </w:cols>
          <w:pgMar w:left="920" w:top="967"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spacing w:after="0"/>
        <w:tabs>
          <w:tab w:leader="none" w:pos="3740" w:val="left"/>
        </w:tabs>
        <w:rPr>
          <w:sz w:val="20"/>
          <w:szCs w:val="20"/>
          <w:color w:val="auto"/>
        </w:rPr>
      </w:pPr>
      <w:r>
        <w:rPr>
          <w:rFonts w:ascii="Arial" w:cs="Arial" w:eastAsia="Arial" w:hAnsi="Arial"/>
          <w:sz w:val="32"/>
          <w:szCs w:val="32"/>
          <w:b w:val="1"/>
          <w:bCs w:val="1"/>
          <w:color w:val="003C6B"/>
        </w:rPr>
        <w:t>Discovery</w:t>
      </w:r>
      <w:r>
        <w:rPr>
          <w:sz w:val="20"/>
          <w:szCs w:val="20"/>
          <w:color w:val="auto"/>
        </w:rPr>
        <w:tab/>
      </w:r>
      <w:r>
        <w:rPr>
          <w:rFonts w:ascii="Arial" w:cs="Arial" w:eastAsia="Arial" w:hAnsi="Arial"/>
          <w:sz w:val="32"/>
          <w:szCs w:val="32"/>
          <w:b w:val="1"/>
          <w:bCs w:val="1"/>
          <w:color w:val="003C6B"/>
        </w:rPr>
        <w:t>Development</w:t>
      </w:r>
    </w:p>
    <w:p>
      <w:pPr>
        <w:spacing w:after="0" w:line="200" w:lineRule="exact"/>
        <w:rPr>
          <w:sz w:val="20"/>
          <w:szCs w:val="20"/>
          <w:color w:val="auto"/>
        </w:rPr>
      </w:pPr>
    </w:p>
    <w:p>
      <w:pPr>
        <w:spacing w:after="0" w:line="258" w:lineRule="exact"/>
        <w:rPr>
          <w:sz w:val="20"/>
          <w:szCs w:val="20"/>
          <w:color w:val="auto"/>
        </w:rPr>
      </w:pPr>
    </w:p>
    <w:p>
      <w:pPr>
        <w:ind w:left="300"/>
        <w:spacing w:after="0"/>
        <w:tabs>
          <w:tab w:leader="none" w:pos="3780" w:val="left"/>
        </w:tabs>
        <w:rPr>
          <w:sz w:val="20"/>
          <w:szCs w:val="20"/>
          <w:color w:val="auto"/>
        </w:rPr>
      </w:pPr>
      <w:r>
        <w:rPr>
          <w:rFonts w:ascii="Arial" w:cs="Arial" w:eastAsia="Arial" w:hAnsi="Arial"/>
          <w:sz w:val="22"/>
          <w:szCs w:val="22"/>
          <w:b w:val="1"/>
          <w:bCs w:val="1"/>
          <w:color w:val="1D355D"/>
        </w:rPr>
        <w:t>$160 million of annual</w:t>
      </w:r>
      <w:r>
        <w:rPr>
          <w:sz w:val="20"/>
          <w:szCs w:val="20"/>
          <w:color w:val="auto"/>
        </w:rPr>
        <w:tab/>
      </w:r>
      <w:r>
        <w:rPr>
          <w:rFonts w:ascii="Arial" w:cs="Arial" w:eastAsia="Arial" w:hAnsi="Arial"/>
          <w:sz w:val="22"/>
          <w:szCs w:val="22"/>
          <w:b w:val="1"/>
          <w:bCs w:val="1"/>
          <w:color w:val="1D355D"/>
        </w:rPr>
        <w:t>Sanofi funds</w:t>
      </w:r>
    </w:p>
    <w:p>
      <w:pPr>
        <w:ind w:left="300"/>
        <w:spacing w:after="0" w:line="232" w:lineRule="auto"/>
        <w:tabs>
          <w:tab w:leader="none" w:pos="3780" w:val="left"/>
        </w:tabs>
        <w:rPr>
          <w:sz w:val="20"/>
          <w:szCs w:val="20"/>
          <w:color w:val="auto"/>
        </w:rPr>
      </w:pPr>
      <w:r>
        <w:rPr>
          <w:rFonts w:ascii="Arial" w:cs="Arial" w:eastAsia="Arial" w:hAnsi="Arial"/>
          <w:sz w:val="22"/>
          <w:szCs w:val="22"/>
          <w:b w:val="1"/>
          <w:bCs w:val="1"/>
          <w:color w:val="1D355D"/>
        </w:rPr>
        <w:t>funding through 2017</w:t>
      </w:r>
      <w:r>
        <w:rPr>
          <w:sz w:val="20"/>
          <w:szCs w:val="20"/>
          <w:color w:val="auto"/>
        </w:rPr>
        <w:tab/>
      </w:r>
      <w:r>
        <w:rPr>
          <w:rFonts w:ascii="Arial" w:cs="Arial" w:eastAsia="Arial" w:hAnsi="Arial"/>
          <w:sz w:val="22"/>
          <w:szCs w:val="22"/>
          <w:b w:val="1"/>
          <w:bCs w:val="1"/>
          <w:color w:val="1D355D"/>
        </w:rPr>
        <w:t>approximately 100% of</w:t>
      </w:r>
    </w:p>
    <w:p>
      <w:pPr>
        <w:ind w:left="300"/>
        <w:spacing w:after="0" w:line="223" w:lineRule="auto"/>
        <w:tabs>
          <w:tab w:leader="none" w:pos="3780" w:val="left"/>
        </w:tabs>
        <w:rPr>
          <w:sz w:val="20"/>
          <w:szCs w:val="20"/>
          <w:color w:val="auto"/>
        </w:rPr>
      </w:pPr>
      <w:r>
        <w:rPr>
          <w:rFonts w:ascii="Arial" w:cs="Arial" w:eastAsia="Arial" w:hAnsi="Arial"/>
          <w:sz w:val="22"/>
          <w:szCs w:val="22"/>
          <w:b w:val="1"/>
          <w:bCs w:val="1"/>
          <w:color w:val="1D355D"/>
        </w:rPr>
        <w:t>(plus possible</w:t>
      </w:r>
      <w:r>
        <w:rPr>
          <w:sz w:val="20"/>
          <w:szCs w:val="20"/>
          <w:color w:val="auto"/>
        </w:rPr>
        <w:tab/>
      </w:r>
      <w:r>
        <w:rPr>
          <w:rFonts w:ascii="Arial" w:cs="Arial" w:eastAsia="Arial" w:hAnsi="Arial"/>
          <w:sz w:val="22"/>
          <w:szCs w:val="22"/>
          <w:b w:val="1"/>
          <w:bCs w:val="1"/>
          <w:color w:val="1D355D"/>
        </w:rPr>
        <w:t>clinical development cost*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1D355D"/>
        </w:rPr>
        <w:t>tail period through 2020)</w:t>
      </w:r>
    </w:p>
    <w:p>
      <w:pPr>
        <w:spacing w:after="0" w:line="72"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1D355D"/>
        </w:rPr>
        <w:t>Current antibodies</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1D355D"/>
        </w:rPr>
        <w:t>include:</w:t>
      </w:r>
    </w:p>
    <w:p>
      <w:pPr>
        <w:spacing w:after="0" w:line="15"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1D355D"/>
        </w:rPr>
        <w:t>• REGN727 (Phase 3)</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1D355D"/>
        </w:rPr>
        <w:t>• Sarilumab (Phase 3)</w:t>
      </w:r>
    </w:p>
    <w:p>
      <w:pPr>
        <w:spacing w:after="0" w:line="41"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1D355D"/>
        </w:rPr>
        <w:t>• REGN668 (Phase 2)</w:t>
      </w:r>
    </w:p>
    <w:p>
      <w:pPr>
        <w:spacing w:after="0" w:line="41"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1D355D"/>
        </w:rPr>
        <w:t>• 3 additional in Phase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b w:val="1"/>
          <w:bCs w:val="1"/>
          <w:color w:val="003C6B"/>
        </w:rPr>
        <w:t>Commercialization</w:t>
      </w:r>
    </w:p>
    <w:p>
      <w:pPr>
        <w:spacing w:after="0" w:line="200" w:lineRule="exact"/>
        <w:rPr>
          <w:sz w:val="20"/>
          <w:szCs w:val="20"/>
          <w:color w:val="auto"/>
        </w:rPr>
      </w:pPr>
    </w:p>
    <w:p>
      <w:pPr>
        <w:spacing w:after="0" w:line="256" w:lineRule="exact"/>
        <w:rPr>
          <w:sz w:val="20"/>
          <w:szCs w:val="20"/>
          <w:color w:val="auto"/>
        </w:rPr>
      </w:pPr>
    </w:p>
    <w:p>
      <w:pPr>
        <w:ind w:left="20" w:right="340"/>
        <w:spacing w:after="0" w:line="264" w:lineRule="auto"/>
        <w:rPr>
          <w:sz w:val="20"/>
          <w:szCs w:val="20"/>
          <w:color w:val="auto"/>
        </w:rPr>
      </w:pPr>
      <w:r>
        <w:rPr>
          <w:rFonts w:ascii="Arial" w:cs="Arial" w:eastAsia="Arial" w:hAnsi="Arial"/>
          <w:sz w:val="22"/>
          <w:szCs w:val="22"/>
          <w:b w:val="1"/>
          <w:bCs w:val="1"/>
          <w:color w:val="1D355D"/>
        </w:rPr>
        <w:t>Regeneron retains 50% of profits in US**</w:t>
      </w:r>
    </w:p>
    <w:p>
      <w:pPr>
        <w:spacing w:after="0" w:line="255" w:lineRule="exact"/>
        <w:rPr>
          <w:sz w:val="20"/>
          <w:szCs w:val="20"/>
          <w:color w:val="auto"/>
        </w:rPr>
      </w:pPr>
    </w:p>
    <w:p>
      <w:pPr>
        <w:ind w:left="20"/>
        <w:spacing w:after="0" w:line="275" w:lineRule="auto"/>
        <w:rPr>
          <w:sz w:val="20"/>
          <w:szCs w:val="20"/>
          <w:color w:val="auto"/>
        </w:rPr>
      </w:pPr>
      <w:r>
        <w:rPr>
          <w:rFonts w:ascii="Arial" w:cs="Arial" w:eastAsia="Arial" w:hAnsi="Arial"/>
          <w:sz w:val="22"/>
          <w:szCs w:val="22"/>
          <w:b w:val="1"/>
          <w:bCs w:val="1"/>
          <w:color w:val="1D355D"/>
        </w:rPr>
        <w:t>Regeneron retains 35% to 45% of profits ex-US**</w:t>
      </w:r>
    </w:p>
    <w:p>
      <w:pPr>
        <w:spacing w:after="0" w:line="243" w:lineRule="exact"/>
        <w:rPr>
          <w:sz w:val="20"/>
          <w:szCs w:val="20"/>
          <w:color w:val="auto"/>
        </w:rPr>
      </w:pPr>
    </w:p>
    <w:p>
      <w:pPr>
        <w:ind w:left="20" w:right="300"/>
        <w:spacing w:after="0" w:line="243" w:lineRule="auto"/>
        <w:rPr>
          <w:sz w:val="20"/>
          <w:szCs w:val="20"/>
          <w:color w:val="auto"/>
        </w:rPr>
      </w:pPr>
      <w:r>
        <w:rPr>
          <w:rFonts w:ascii="Arial" w:cs="Arial" w:eastAsia="Arial" w:hAnsi="Arial"/>
          <w:sz w:val="22"/>
          <w:szCs w:val="22"/>
          <w:b w:val="1"/>
          <w:bCs w:val="1"/>
          <w:color w:val="1D355D"/>
        </w:rPr>
        <w:t>Co-promotion rights in US and other major market countries</w:t>
      </w:r>
    </w:p>
    <w:p>
      <w:pPr>
        <w:spacing w:after="0" w:line="509" w:lineRule="exact"/>
        <w:rPr>
          <w:sz w:val="20"/>
          <w:szCs w:val="20"/>
          <w:color w:val="auto"/>
        </w:rPr>
      </w:pPr>
    </w:p>
    <w:p>
      <w:pPr>
        <w:sectPr>
          <w:pgSz w:w="11900" w:h="16838" w:orient="portrait"/>
          <w:cols w:equalWidth="0" w:num="2">
            <w:col w:w="6600" w:space="660"/>
            <w:col w:w="2640"/>
          </w:cols>
          <w:pgMar w:left="920" w:top="967"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300" w:lineRule="auto"/>
        <w:rPr>
          <w:sz w:val="20"/>
          <w:szCs w:val="20"/>
          <w:color w:val="auto"/>
        </w:rPr>
      </w:pPr>
      <w:r>
        <w:rPr>
          <w:rFonts w:ascii="Arial" w:cs="Arial" w:eastAsia="Arial" w:hAnsi="Arial"/>
          <w:sz w:val="15"/>
          <w:szCs w:val="15"/>
          <w:i w:val="1"/>
          <w:iCs w:val="1"/>
          <w:color w:val="272727"/>
        </w:rPr>
        <w:t>*100% development funding by Sanofi for all opted-in antibodies except 80% of an antibody’s Phase 3 costs incurred after receipt of the first positive results in a Phase 3 trial for that antibody.</w:t>
      </w:r>
    </w:p>
    <w:p>
      <w:pPr>
        <w:spacing w:after="0" w:line="39" w:lineRule="exact"/>
        <w:rPr>
          <w:sz w:val="20"/>
          <w:szCs w:val="20"/>
          <w:color w:val="auto"/>
        </w:rPr>
      </w:pPr>
    </w:p>
    <w:p>
      <w:pPr>
        <w:ind w:right="460"/>
        <w:spacing w:after="0" w:line="300" w:lineRule="auto"/>
        <w:rPr>
          <w:sz w:val="20"/>
          <w:szCs w:val="20"/>
          <w:color w:val="auto"/>
        </w:rPr>
      </w:pPr>
      <w:r>
        <w:rPr>
          <w:rFonts w:ascii="Arial" w:cs="Arial" w:eastAsia="Arial" w:hAnsi="Arial"/>
          <w:sz w:val="15"/>
          <w:szCs w:val="15"/>
          <w:i w:val="1"/>
          <w:iCs w:val="1"/>
          <w:color w:val="272727"/>
        </w:rPr>
        <w:t>**Regeneron repays Sanofi for 50% of development costs out of profits. Repayment capped in any year at 10% of Regeneron share of total antibody profits</w:t>
      </w: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9"/>
          <w:szCs w:val="19"/>
          <w:color w:val="FFFFFF"/>
        </w:rPr>
        <w:t>19</w:t>
      </w:r>
    </w:p>
    <w:p>
      <w:pPr>
        <w:sectPr>
          <w:pgSz w:w="11900" w:h="16838" w:orient="portrait"/>
          <w:cols w:equalWidth="0" w:num="1">
            <w:col w:w="9900"/>
          </w:cols>
          <w:pgMar w:left="920" w:top="967" w:right="1079" w:bottom="1440" w:gutter="0" w:footer="0" w:header="0"/>
          <w:type w:val="continuous"/>
        </w:sectPr>
      </w:pPr>
    </w:p>
    <w:bookmarkStart w:id="23" w:name="page24"/>
    <w:bookmarkEnd w:id="23"/>
    <w:p>
      <w:pPr>
        <w:ind w:left="80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94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494655"/>
                    </a:xfrm>
                    <a:prstGeom prst="rect">
                      <a:avLst/>
                    </a:prstGeom>
                    <a:noFill/>
                  </pic:spPr>
                </pic:pic>
              </a:graphicData>
            </a:graphic>
          </wp:anchor>
        </w:drawing>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980"/>
        <w:spacing w:after="0"/>
        <w:rPr>
          <w:sz w:val="20"/>
          <w:szCs w:val="20"/>
          <w:color w:val="auto"/>
        </w:rPr>
      </w:pPr>
      <w:r>
        <w:rPr>
          <w:rFonts w:ascii="Arial" w:cs="Arial" w:eastAsia="Arial" w:hAnsi="Arial"/>
          <w:sz w:val="25"/>
          <w:szCs w:val="25"/>
          <w:color w:val="272727"/>
        </w:rPr>
        <w:t>Non-GAAP Net Income</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color w:val="272727"/>
        </w:rPr>
        <w:t>$250</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22"/>
          <w:szCs w:val="22"/>
          <w:color w:val="272727"/>
        </w:rPr>
        <w:t>$200</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22"/>
          <w:szCs w:val="22"/>
          <w:color w:val="272727"/>
        </w:rPr>
        <w:t>$150</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22"/>
          <w:szCs w:val="22"/>
          <w:color w:val="272727"/>
        </w:rPr>
        <w:t>$100</w:t>
      </w:r>
    </w:p>
    <w:p>
      <w:pPr>
        <w:spacing w:after="0" w:line="200" w:lineRule="exact"/>
        <w:rPr>
          <w:sz w:val="20"/>
          <w:szCs w:val="20"/>
          <w:color w:val="auto"/>
        </w:rPr>
      </w:pPr>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268"/>
        </w:trPr>
        <w:tc>
          <w:tcPr>
            <w:tcW w:w="1960" w:type="dxa"/>
            <w:vAlign w:val="bottom"/>
          </w:tcPr>
          <w:p>
            <w:pPr>
              <w:jc w:val="right"/>
              <w:ind w:right="1488"/>
              <w:spacing w:after="0"/>
              <w:rPr>
                <w:sz w:val="20"/>
                <w:szCs w:val="20"/>
                <w:color w:val="auto"/>
              </w:rPr>
            </w:pPr>
            <w:r>
              <w:rPr>
                <w:rFonts w:ascii="Arial" w:cs="Arial" w:eastAsia="Arial" w:hAnsi="Arial"/>
                <w:sz w:val="22"/>
                <w:szCs w:val="22"/>
                <w:color w:val="272727"/>
                <w:w w:val="92"/>
              </w:rPr>
              <w:t>$50</w:t>
            </w:r>
          </w:p>
        </w:tc>
        <w:tc>
          <w:tcPr>
            <w:tcW w:w="15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694"/>
        </w:trPr>
        <w:tc>
          <w:tcPr>
            <w:tcW w:w="1960" w:type="dxa"/>
            <w:vAlign w:val="bottom"/>
          </w:tcPr>
          <w:p>
            <w:pPr>
              <w:jc w:val="right"/>
              <w:ind w:right="1488"/>
              <w:spacing w:after="0"/>
              <w:rPr>
                <w:sz w:val="20"/>
                <w:szCs w:val="20"/>
                <w:color w:val="auto"/>
              </w:rPr>
            </w:pPr>
            <w:r>
              <w:rPr>
                <w:rFonts w:ascii="Arial" w:cs="Arial" w:eastAsia="Arial" w:hAnsi="Arial"/>
                <w:sz w:val="22"/>
                <w:szCs w:val="22"/>
                <w:color w:val="272727"/>
              </w:rPr>
              <w:t>$0</w:t>
            </w: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1960" w:type="dxa"/>
            <w:vAlign w:val="bottom"/>
          </w:tcPr>
          <w:p>
            <w:pPr>
              <w:jc w:val="right"/>
              <w:ind w:right="368"/>
              <w:spacing w:after="0"/>
              <w:rPr>
                <w:sz w:val="20"/>
                <w:szCs w:val="20"/>
                <w:color w:val="auto"/>
              </w:rPr>
            </w:pPr>
            <w:r>
              <w:rPr>
                <w:rFonts w:ascii="Arial" w:cs="Arial" w:eastAsia="Arial" w:hAnsi="Arial"/>
                <w:sz w:val="22"/>
                <w:szCs w:val="22"/>
                <w:color w:val="272727"/>
              </w:rPr>
              <w:t>1Q12</w:t>
            </w:r>
          </w:p>
        </w:tc>
        <w:tc>
          <w:tcPr>
            <w:tcW w:w="1540" w:type="dxa"/>
            <w:vAlign w:val="bottom"/>
          </w:tcPr>
          <w:p>
            <w:pPr>
              <w:ind w:left="500"/>
              <w:spacing w:after="0"/>
              <w:rPr>
                <w:sz w:val="20"/>
                <w:szCs w:val="20"/>
                <w:color w:val="auto"/>
              </w:rPr>
            </w:pPr>
            <w:r>
              <w:rPr>
                <w:rFonts w:ascii="Arial" w:cs="Arial" w:eastAsia="Arial" w:hAnsi="Arial"/>
                <w:sz w:val="22"/>
                <w:szCs w:val="22"/>
                <w:color w:val="272727"/>
              </w:rPr>
              <w:t>2Q12</w:t>
            </w:r>
          </w:p>
        </w:tc>
        <w:tc>
          <w:tcPr>
            <w:tcW w:w="1020" w:type="dxa"/>
            <w:vAlign w:val="bottom"/>
          </w:tcPr>
          <w:p>
            <w:pPr>
              <w:ind w:left="480"/>
              <w:spacing w:after="0"/>
              <w:rPr>
                <w:sz w:val="20"/>
                <w:szCs w:val="20"/>
                <w:color w:val="auto"/>
              </w:rPr>
            </w:pPr>
            <w:r>
              <w:rPr>
                <w:rFonts w:ascii="Arial" w:cs="Arial" w:eastAsia="Arial" w:hAnsi="Arial"/>
                <w:sz w:val="22"/>
                <w:szCs w:val="22"/>
                <w:color w:val="272727"/>
                <w:w w:val="96"/>
              </w:rPr>
              <w:t>3Q12</w:t>
            </w: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272727"/>
        </w:rPr>
        <w:t>* Unaudited Estimate</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19"/>
          <w:szCs w:val="19"/>
          <w:color w:val="FFFFFF"/>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003C6B"/>
        </w:rPr>
        <w:t>Year-end 2012</w:t>
      </w:r>
    </w:p>
    <w:p>
      <w:pPr>
        <w:spacing w:after="0" w:line="48" w:lineRule="exact"/>
        <w:rPr>
          <w:sz w:val="20"/>
          <w:szCs w:val="20"/>
          <w:color w:val="auto"/>
        </w:rPr>
      </w:pPr>
    </w:p>
    <w:p>
      <w:pPr>
        <w:spacing w:after="0"/>
        <w:rPr>
          <w:sz w:val="20"/>
          <w:szCs w:val="20"/>
          <w:color w:val="auto"/>
        </w:rPr>
      </w:pPr>
      <w:r>
        <w:rPr>
          <w:rFonts w:ascii="Arial" w:cs="Arial" w:eastAsia="Arial" w:hAnsi="Arial"/>
          <w:sz w:val="32"/>
          <w:szCs w:val="32"/>
          <w:b w:val="1"/>
          <w:bCs w:val="1"/>
          <w:color w:val="003C6B"/>
        </w:rPr>
        <w:t>cash and</w:t>
      </w:r>
    </w:p>
    <w:p>
      <w:pPr>
        <w:spacing w:after="0" w:line="8" w:lineRule="exact"/>
        <w:rPr>
          <w:sz w:val="20"/>
          <w:szCs w:val="20"/>
          <w:color w:val="auto"/>
        </w:rPr>
      </w:pPr>
    </w:p>
    <w:p>
      <w:pPr>
        <w:spacing w:after="0"/>
        <w:rPr>
          <w:sz w:val="20"/>
          <w:szCs w:val="20"/>
          <w:color w:val="auto"/>
        </w:rPr>
      </w:pPr>
      <w:r>
        <w:rPr>
          <w:rFonts w:ascii="Arial" w:cs="Arial" w:eastAsia="Arial" w:hAnsi="Arial"/>
          <w:sz w:val="32"/>
          <w:szCs w:val="32"/>
          <w:b w:val="1"/>
          <w:bCs w:val="1"/>
          <w:color w:val="003C6B"/>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2"/>
          <w:szCs w:val="32"/>
          <w:b w:val="1"/>
          <w:bCs w:val="1"/>
          <w:color w:val="003C6B"/>
        </w:rPr>
        <w:t>Year-end 2012</w:t>
      </w:r>
    </w:p>
    <w:p>
      <w:pPr>
        <w:spacing w:after="0" w:line="48" w:lineRule="exact"/>
        <w:rPr>
          <w:sz w:val="20"/>
          <w:szCs w:val="20"/>
          <w:color w:val="auto"/>
        </w:rPr>
      </w:pPr>
    </w:p>
    <w:p>
      <w:pPr>
        <w:spacing w:after="0"/>
        <w:rPr>
          <w:sz w:val="20"/>
          <w:szCs w:val="20"/>
          <w:color w:val="auto"/>
        </w:rPr>
      </w:pPr>
      <w:r>
        <w:rPr>
          <w:rFonts w:ascii="Arial" w:cs="Arial" w:eastAsia="Arial" w:hAnsi="Arial"/>
          <w:sz w:val="32"/>
          <w:szCs w:val="32"/>
          <w:b w:val="1"/>
          <w:bCs w:val="1"/>
          <w:color w:val="003C6B"/>
        </w:rPr>
        <w:t>trade receivables</w:t>
      </w:r>
    </w:p>
    <w:p>
      <w:pPr>
        <w:sectPr>
          <w:pgSz w:w="11900" w:h="16838" w:orient="portrait"/>
          <w:cols w:equalWidth="0" w:num="2">
            <w:col w:w="6920" w:space="720"/>
            <w:col w:w="2720"/>
          </w:cols>
          <w:pgMar w:left="760" w:top="967" w:right="779" w:bottom="1440" w:gutter="0" w:footer="0" w:header="0"/>
        </w:sectPr>
      </w:pPr>
    </w:p>
    <w:bookmarkStart w:id="24" w:name="page25"/>
    <w:bookmarkEnd w:id="24"/>
    <w:p>
      <w:pPr>
        <w:ind w:left="560"/>
        <w:spacing w:after="0"/>
        <w:rPr>
          <w:sz w:val="20"/>
          <w:szCs w:val="20"/>
          <w:color w:val="auto"/>
        </w:rPr>
      </w:pPr>
      <w:r>
        <w:rPr>
          <w:rFonts w:ascii="Arial" w:cs="Arial" w:eastAsia="Arial" w:hAnsi="Arial"/>
          <w:sz w:val="44"/>
          <w:szCs w:val="44"/>
          <w:color w:val="FB8332"/>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94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494655"/>
                    </a:xfrm>
                    <a:prstGeom prst="rect">
                      <a:avLst/>
                    </a:prstGeom>
                    <a:noFill/>
                  </pic:spPr>
                </pic:pic>
              </a:graphicData>
            </a:graphic>
          </wp:anchor>
        </w:drawing>
        <w:t>THE YEAR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32"/>
          <w:szCs w:val="32"/>
          <w:color w:val="003C6B"/>
        </w:rPr>
        <w:t>COMMERCIAL MILESTONES</w:t>
      </w:r>
    </w:p>
    <w:p>
      <w:pPr>
        <w:spacing w:after="0" w:line="230" w:lineRule="exact"/>
        <w:rPr>
          <w:sz w:val="20"/>
          <w:szCs w:val="20"/>
          <w:color w:val="auto"/>
        </w:rPr>
      </w:pPr>
    </w:p>
    <w:p>
      <w:pPr>
        <w:ind w:left="460" w:hanging="141"/>
        <w:spacing w:after="0"/>
        <w:tabs>
          <w:tab w:leader="none" w:pos="460" w:val="left"/>
        </w:tabs>
        <w:numPr>
          <w:ilvl w:val="0"/>
          <w:numId w:val="7"/>
        </w:numPr>
        <w:rPr>
          <w:rFonts w:ascii="Arial" w:cs="Arial" w:eastAsia="Arial" w:hAnsi="Arial"/>
          <w:sz w:val="22"/>
          <w:szCs w:val="22"/>
          <w:b w:val="1"/>
          <w:bCs w:val="1"/>
          <w:color w:val="003C6B"/>
        </w:rPr>
      </w:pPr>
      <w:r>
        <w:rPr>
          <w:rFonts w:ascii="Arial" w:cs="Arial" w:eastAsia="Arial" w:hAnsi="Arial"/>
          <w:sz w:val="22"/>
          <w:szCs w:val="22"/>
          <w:b w:val="1"/>
          <w:bCs w:val="1"/>
          <w:color w:val="003C6B"/>
        </w:rPr>
        <w:t>EYLEA US sales guidance of ~50% growth (i.e. $1.2B to $1.3B)</w:t>
      </w:r>
    </w:p>
    <w:p>
      <w:pPr>
        <w:spacing w:after="0" w:line="52" w:lineRule="exact"/>
        <w:rPr>
          <w:rFonts w:ascii="Arial" w:cs="Arial" w:eastAsia="Arial" w:hAnsi="Arial"/>
          <w:sz w:val="22"/>
          <w:szCs w:val="22"/>
          <w:b w:val="1"/>
          <w:bCs w:val="1"/>
          <w:color w:val="003C6B"/>
        </w:rPr>
      </w:pPr>
    </w:p>
    <w:p>
      <w:pPr>
        <w:ind w:left="460" w:hanging="141"/>
        <w:spacing w:after="0"/>
        <w:tabs>
          <w:tab w:leader="none" w:pos="460" w:val="left"/>
        </w:tabs>
        <w:numPr>
          <w:ilvl w:val="0"/>
          <w:numId w:val="7"/>
        </w:numPr>
        <w:rPr>
          <w:rFonts w:ascii="Arial" w:cs="Arial" w:eastAsia="Arial" w:hAnsi="Arial"/>
          <w:sz w:val="22"/>
          <w:szCs w:val="22"/>
          <w:b w:val="1"/>
          <w:bCs w:val="1"/>
          <w:color w:val="003C6B"/>
        </w:rPr>
      </w:pPr>
      <w:r>
        <w:rPr>
          <w:rFonts w:ascii="Arial" w:cs="Arial" w:eastAsia="Arial" w:hAnsi="Arial"/>
          <w:sz w:val="22"/>
          <w:szCs w:val="22"/>
          <w:b w:val="1"/>
          <w:bCs w:val="1"/>
          <w:color w:val="003C6B"/>
        </w:rPr>
        <w:t>EYLEA ex-US launch in multiple additional countries</w:t>
      </w: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32"/>
          <w:szCs w:val="32"/>
          <w:color w:val="003C6B"/>
        </w:rPr>
        <w:t>EXPECTED REGULATORY MILESTONES</w:t>
      </w:r>
    </w:p>
    <w:p>
      <w:pPr>
        <w:spacing w:after="0" w:line="230" w:lineRule="exact"/>
        <w:rPr>
          <w:sz w:val="20"/>
          <w:szCs w:val="20"/>
          <w:color w:val="auto"/>
        </w:rPr>
      </w:pPr>
    </w:p>
    <w:p>
      <w:pPr>
        <w:ind w:left="460" w:hanging="141"/>
        <w:spacing w:after="0"/>
        <w:tabs>
          <w:tab w:leader="none" w:pos="460" w:val="left"/>
        </w:tabs>
        <w:numPr>
          <w:ilvl w:val="0"/>
          <w:numId w:val="8"/>
        </w:numPr>
        <w:rPr>
          <w:rFonts w:ascii="Arial" w:cs="Arial" w:eastAsia="Arial" w:hAnsi="Arial"/>
          <w:sz w:val="22"/>
          <w:szCs w:val="22"/>
          <w:b w:val="1"/>
          <w:bCs w:val="1"/>
          <w:color w:val="003C6B"/>
        </w:rPr>
      </w:pPr>
      <w:r>
        <w:rPr>
          <w:rFonts w:ascii="Arial" w:cs="Arial" w:eastAsia="Arial" w:hAnsi="Arial"/>
          <w:sz w:val="22"/>
          <w:szCs w:val="22"/>
          <w:b w:val="1"/>
          <w:bCs w:val="1"/>
          <w:color w:val="003C6B"/>
        </w:rPr>
        <w:t>EYLEA approval in CRVO outside the U.S.</w:t>
      </w:r>
    </w:p>
    <w:p>
      <w:pPr>
        <w:spacing w:after="0" w:line="64" w:lineRule="exact"/>
        <w:rPr>
          <w:rFonts w:ascii="Arial" w:cs="Arial" w:eastAsia="Arial" w:hAnsi="Arial"/>
          <w:sz w:val="22"/>
          <w:szCs w:val="22"/>
          <w:b w:val="1"/>
          <w:bCs w:val="1"/>
          <w:color w:val="003C6B"/>
        </w:rPr>
      </w:pPr>
    </w:p>
    <w:p>
      <w:pPr>
        <w:ind w:left="460" w:hanging="141"/>
        <w:spacing w:after="0"/>
        <w:tabs>
          <w:tab w:leader="none" w:pos="460" w:val="left"/>
        </w:tabs>
        <w:numPr>
          <w:ilvl w:val="0"/>
          <w:numId w:val="8"/>
        </w:numPr>
        <w:rPr>
          <w:rFonts w:ascii="Arial" w:cs="Arial" w:eastAsia="Arial" w:hAnsi="Arial"/>
          <w:sz w:val="22"/>
          <w:szCs w:val="22"/>
          <w:b w:val="1"/>
          <w:bCs w:val="1"/>
          <w:color w:val="003C6B"/>
        </w:rPr>
      </w:pPr>
      <w:r>
        <w:rPr>
          <w:rFonts w:ascii="Arial" w:cs="Arial" w:eastAsia="Arial" w:hAnsi="Arial"/>
          <w:sz w:val="22"/>
          <w:szCs w:val="22"/>
          <w:b w:val="1"/>
          <w:bCs w:val="1"/>
          <w:color w:val="003C6B"/>
        </w:rPr>
        <w:t>ZALTRAP approval in metastatic colorectal cancer outside the U.S.</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Arial" w:cs="Arial" w:eastAsia="Arial" w:hAnsi="Arial"/>
          <w:sz w:val="32"/>
          <w:szCs w:val="32"/>
          <w:color w:val="003C6B"/>
        </w:rPr>
        <w:t>EXPECTED CLINICAL MILESTONES</w:t>
      </w:r>
    </w:p>
    <w:p>
      <w:pPr>
        <w:spacing w:after="0" w:line="183" w:lineRule="exact"/>
        <w:rPr>
          <w:sz w:val="20"/>
          <w:szCs w:val="20"/>
          <w:color w:val="auto"/>
        </w:rPr>
      </w:pPr>
    </w:p>
    <w:p>
      <w:pPr>
        <w:ind w:left="440" w:hanging="133"/>
        <w:spacing w:after="0"/>
        <w:tabs>
          <w:tab w:leader="none" w:pos="440" w:val="left"/>
        </w:tabs>
        <w:numPr>
          <w:ilvl w:val="0"/>
          <w:numId w:val="9"/>
        </w:numPr>
        <w:rPr>
          <w:rFonts w:ascii="Arial" w:cs="Arial" w:eastAsia="Arial" w:hAnsi="Arial"/>
          <w:sz w:val="22"/>
          <w:szCs w:val="22"/>
          <w:b w:val="1"/>
          <w:bCs w:val="1"/>
          <w:color w:val="003C6B"/>
        </w:rPr>
      </w:pPr>
      <w:r>
        <w:rPr>
          <w:rFonts w:ascii="Arial" w:cs="Arial" w:eastAsia="Arial" w:hAnsi="Arial"/>
          <w:sz w:val="22"/>
          <w:szCs w:val="22"/>
          <w:b w:val="1"/>
          <w:bCs w:val="1"/>
          <w:color w:val="003C6B"/>
        </w:rPr>
        <w:t>Top-line 1-year Phase 3 EYLEA results in DME by year end</w:t>
      </w:r>
    </w:p>
    <w:p>
      <w:pPr>
        <w:spacing w:after="0" w:line="64" w:lineRule="exact"/>
        <w:rPr>
          <w:rFonts w:ascii="Arial" w:cs="Arial" w:eastAsia="Arial" w:hAnsi="Arial"/>
          <w:sz w:val="22"/>
          <w:szCs w:val="22"/>
          <w:b w:val="1"/>
          <w:bCs w:val="1"/>
          <w:color w:val="003C6B"/>
        </w:rPr>
      </w:pPr>
    </w:p>
    <w:p>
      <w:pPr>
        <w:ind w:left="440" w:hanging="133"/>
        <w:spacing w:after="0"/>
        <w:tabs>
          <w:tab w:leader="none" w:pos="440" w:val="left"/>
        </w:tabs>
        <w:numPr>
          <w:ilvl w:val="0"/>
          <w:numId w:val="9"/>
        </w:numPr>
        <w:rPr>
          <w:rFonts w:ascii="Arial" w:cs="Arial" w:eastAsia="Arial" w:hAnsi="Arial"/>
          <w:sz w:val="21"/>
          <w:szCs w:val="21"/>
          <w:b w:val="1"/>
          <w:bCs w:val="1"/>
          <w:color w:val="003C6B"/>
        </w:rPr>
      </w:pPr>
      <w:r>
        <w:rPr>
          <w:rFonts w:ascii="Arial" w:cs="Arial" w:eastAsia="Arial" w:hAnsi="Arial"/>
          <w:sz w:val="21"/>
          <w:szCs w:val="21"/>
          <w:b w:val="1"/>
          <w:bCs w:val="1"/>
          <w:color w:val="003C6B"/>
        </w:rPr>
        <w:t>REGN668 Phase 1b data in Atopic Dermatitis to be presented at a medical conference</w:t>
      </w:r>
    </w:p>
    <w:p>
      <w:pPr>
        <w:spacing w:after="0" w:line="64" w:lineRule="exact"/>
        <w:rPr>
          <w:rFonts w:ascii="Arial" w:cs="Arial" w:eastAsia="Arial" w:hAnsi="Arial"/>
          <w:sz w:val="21"/>
          <w:szCs w:val="21"/>
          <w:b w:val="1"/>
          <w:bCs w:val="1"/>
          <w:color w:val="003C6B"/>
        </w:rPr>
      </w:pPr>
    </w:p>
    <w:p>
      <w:pPr>
        <w:ind w:left="440" w:hanging="133"/>
        <w:spacing w:after="0"/>
        <w:tabs>
          <w:tab w:leader="none" w:pos="440" w:val="left"/>
        </w:tabs>
        <w:numPr>
          <w:ilvl w:val="0"/>
          <w:numId w:val="9"/>
        </w:numPr>
        <w:rPr>
          <w:rFonts w:ascii="Arial" w:cs="Arial" w:eastAsia="Arial" w:hAnsi="Arial"/>
          <w:sz w:val="22"/>
          <w:szCs w:val="22"/>
          <w:b w:val="1"/>
          <w:bCs w:val="1"/>
          <w:color w:val="003C6B"/>
        </w:rPr>
      </w:pPr>
      <w:r>
        <w:rPr>
          <w:rFonts w:ascii="Arial" w:cs="Arial" w:eastAsia="Arial" w:hAnsi="Arial"/>
          <w:sz w:val="22"/>
          <w:szCs w:val="22"/>
          <w:b w:val="1"/>
          <w:bCs w:val="1"/>
          <w:color w:val="003C6B"/>
        </w:rPr>
        <w:t>REGN668 Phase 2a data in Asthma to be presented at a medical conference</w:t>
      </w:r>
    </w:p>
    <w:p>
      <w:pPr>
        <w:spacing w:after="0" w:line="64" w:lineRule="exact"/>
        <w:rPr>
          <w:rFonts w:ascii="Arial" w:cs="Arial" w:eastAsia="Arial" w:hAnsi="Arial"/>
          <w:sz w:val="22"/>
          <w:szCs w:val="22"/>
          <w:b w:val="1"/>
          <w:bCs w:val="1"/>
          <w:color w:val="003C6B"/>
        </w:rPr>
      </w:pPr>
    </w:p>
    <w:p>
      <w:pPr>
        <w:ind w:left="440" w:hanging="133"/>
        <w:spacing w:after="0"/>
        <w:tabs>
          <w:tab w:leader="none" w:pos="440" w:val="left"/>
        </w:tabs>
        <w:numPr>
          <w:ilvl w:val="0"/>
          <w:numId w:val="9"/>
        </w:numPr>
        <w:rPr>
          <w:rFonts w:ascii="Arial" w:cs="Arial" w:eastAsia="Arial" w:hAnsi="Arial"/>
          <w:sz w:val="22"/>
          <w:szCs w:val="22"/>
          <w:b w:val="1"/>
          <w:bCs w:val="1"/>
          <w:color w:val="003C6B"/>
        </w:rPr>
      </w:pPr>
      <w:r>
        <w:rPr>
          <w:rFonts w:ascii="Arial" w:cs="Arial" w:eastAsia="Arial" w:hAnsi="Arial"/>
          <w:sz w:val="22"/>
          <w:szCs w:val="22"/>
          <w:b w:val="1"/>
          <w:bCs w:val="1"/>
          <w:color w:val="003C6B"/>
        </w:rPr>
        <w:t>Sarilumab additional Phase 3 trials in RA to start</w:t>
      </w:r>
    </w:p>
    <w:p>
      <w:pPr>
        <w:spacing w:after="0" w:line="64" w:lineRule="exact"/>
        <w:rPr>
          <w:rFonts w:ascii="Arial" w:cs="Arial" w:eastAsia="Arial" w:hAnsi="Arial"/>
          <w:sz w:val="22"/>
          <w:szCs w:val="22"/>
          <w:b w:val="1"/>
          <w:bCs w:val="1"/>
          <w:color w:val="003C6B"/>
        </w:rPr>
      </w:pPr>
    </w:p>
    <w:p>
      <w:pPr>
        <w:ind w:left="440" w:hanging="133"/>
        <w:spacing w:after="0"/>
        <w:tabs>
          <w:tab w:leader="none" w:pos="440" w:val="left"/>
        </w:tabs>
        <w:numPr>
          <w:ilvl w:val="0"/>
          <w:numId w:val="9"/>
        </w:numPr>
        <w:rPr>
          <w:rFonts w:ascii="Arial" w:cs="Arial" w:eastAsia="Arial" w:hAnsi="Arial"/>
          <w:sz w:val="22"/>
          <w:szCs w:val="22"/>
          <w:b w:val="1"/>
          <w:bCs w:val="1"/>
          <w:color w:val="003C6B"/>
        </w:rPr>
      </w:pPr>
      <w:r>
        <w:rPr>
          <w:rFonts w:ascii="Arial" w:cs="Arial" w:eastAsia="Arial" w:hAnsi="Arial"/>
          <w:sz w:val="22"/>
          <w:szCs w:val="22"/>
          <w:b w:val="1"/>
          <w:bCs w:val="1"/>
          <w:color w:val="003C6B"/>
        </w:rPr>
        <w:t>Enrollment updates for REGN727 in hypercholesterolemia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FFFFFF"/>
        </w:rPr>
        <w:t>21</w:t>
      </w:r>
    </w:p>
    <w:sectPr>
      <w:pgSz w:w="11900" w:h="16838" w:orient="portrait"/>
      <w:cols w:equalWidth="0" w:num="1">
        <w:col w:w="9439"/>
      </w:cols>
      <w:pgMar w:left="1020" w:top="9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80"/>
    </w:lvl>
  </w:abstractNum>
  <w:abstractNum w:abstractNumId="4">
    <w:nsid w:val="41B71EFB"/>
    <w:multiLevelType w:val="hybridMultilevel"/>
    <w:lvl w:ilvl="0">
      <w:lvlJc w:val="left"/>
      <w:lvlText w:val="%1"/>
      <w:numFmt w:val="decimal"/>
      <w:start w:val="50"/>
    </w:lvl>
  </w:abstractNum>
  <w:abstractNum w:abstractNumId="5">
    <w:nsid w:val="79E2A9E3"/>
    <w:multiLevelType w:val="hybridMultilevel"/>
    <w:lvl w:ilvl="0">
      <w:lvlJc w:val="left"/>
      <w:lvlText w:val="%1"/>
      <w:numFmt w:val="decimal"/>
      <w:start w:val="20"/>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2019-12-06T04:45:13Z</dcterms:created>
  <dcterms:modified xsi:type="dcterms:W3CDTF">2019-12-06T04:45:13Z</dcterms:modified>
</cp:coreProperties>
</file>