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-592455</wp:posOffset>
            </wp:positionV>
            <wp:extent cx="8255" cy="593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309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-600075</wp:posOffset>
            </wp:positionV>
            <wp:extent cx="8255"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-576580</wp:posOffset>
            </wp:positionV>
            <wp:extent cx="1266190" cy="553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5308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030" cy="157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578610"/>
                    </a:xfrm>
                    <a:prstGeom prst="rect">
                      <a:avLst/>
                    </a:prstGeom>
                    <a:noFill/>
                  </pic:spPr>
                </pic:pic>
              </a:graphicData>
            </a:graphic>
          </wp:anchor>
        </w:drawing>
      </w:r>
    </w:p>
    <w:p>
      <w:pPr>
        <w:spacing w:after="0" w:line="2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3"/>
            <w:vMerge w:val="restart"/>
          </w:tcPr>
          <w:p>
            <w:pPr>
              <w:ind w:left="20"/>
              <w:spacing w:after="0"/>
              <w:rPr>
                <w:rFonts w:ascii="Arial" w:cs="Arial" w:eastAsia="Arial" w:hAnsi="Arial"/>
                <w:sz w:val="20"/>
                <w:szCs w:val="20"/>
                <w:u w:val="single" w:color="auto"/>
                <w:color w:val="0000EE"/>
                <w:w w:val="97"/>
              </w:rPr>
            </w:pPr>
            <w:hyperlink r:id="rId13">
              <w:r>
                <w:rPr>
                  <w:rFonts w:ascii="Arial" w:cs="Arial" w:eastAsia="Arial" w:hAnsi="Arial"/>
                  <w:sz w:val="20"/>
                  <w:szCs w:val="20"/>
                  <w:u w:val="single" w:color="auto"/>
                  <w:color w:val="0000EE"/>
                  <w:w w:val="97"/>
                </w:rPr>
                <w:t>YANCOPOULOS GEORGE</w:t>
              </w:r>
            </w:hyperlink>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80" w:type="dxa"/>
            <w:vAlign w:val="bottom"/>
            <w:gridSpan w:val="10"/>
          </w:tcPr>
          <w:p>
            <w:pPr>
              <w:ind w:left="60"/>
              <w:spacing w:after="0" w:line="101" w:lineRule="exact"/>
              <w:rPr>
                <w:rFonts w:ascii="Arial" w:cs="Arial" w:eastAsia="Arial" w:hAnsi="Arial"/>
                <w:sz w:val="11"/>
                <w:szCs w:val="11"/>
                <w:color w:val="0000EE"/>
              </w:rPr>
            </w:pPr>
            <w:hyperlink r:id="rId14">
              <w:r>
                <w:rPr>
                  <w:rFonts w:ascii="Arial" w:cs="Arial" w:eastAsia="Arial" w:hAnsi="Arial"/>
                  <w:sz w:val="11"/>
                  <w:szCs w:val="11"/>
                  <w:color w:val="0000EE"/>
                </w:rPr>
                <w:t>REGENERON PHARMACEUTICALS,</w:t>
              </w:r>
            </w:hyperlink>
          </w:p>
        </w:tc>
        <w:tc>
          <w:tcPr>
            <w:tcW w:w="24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4"/>
            <w:vMerge w:val="restart"/>
          </w:tcPr>
          <w:p>
            <w:pPr>
              <w:ind w:left="60"/>
              <w:spacing w:after="0" w:line="207" w:lineRule="exact"/>
              <w:rPr>
                <w:rFonts w:ascii="Arial" w:cs="Arial" w:eastAsia="Arial" w:hAnsi="Arial"/>
                <w:sz w:val="20"/>
                <w:szCs w:val="20"/>
                <w:color w:val="0000EE"/>
              </w:rPr>
            </w:pPr>
            <w:hyperlink r:id="rId14">
              <w:r>
                <w:rPr>
                  <w:rFonts w:ascii="Arial" w:cs="Arial" w:eastAsia="Arial" w:hAnsi="Arial"/>
                  <w:sz w:val="20"/>
                  <w:szCs w:val="20"/>
                  <w:color w:val="0000EE"/>
                </w:rPr>
                <w:t xml:space="preserve">INC. </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REGN</w:t>
              </w:r>
              <w:r>
                <w:rPr>
                  <w:rFonts w:ascii="Arial" w:cs="Arial" w:eastAsia="Arial" w:hAnsi="Arial"/>
                  <w:sz w:val="20"/>
                  <w:szCs w:val="20"/>
                  <w:color w:val="0000EE"/>
                </w:rPr>
                <w:t xml:space="preserve"> </w:t>
              </w:r>
              <w:r>
                <w:rPr>
                  <w:rFonts w:ascii="Arial" w:cs="Arial" w:eastAsia="Arial" w:hAnsi="Arial"/>
                  <w:sz w:val="20"/>
                  <w:szCs w:val="20"/>
                  <w:color w:val="000000"/>
                </w:rPr>
                <w:t>]</w:t>
              </w:r>
            </w:hyperlink>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5"/>
                <w:szCs w:val="5"/>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960" w:type="dxa"/>
            <w:vAlign w:val="bottom"/>
            <w:tcBorders>
              <w:bottom w:val="single" w:sz="8" w:color="9A9A9A"/>
            </w:tcBorders>
          </w:tcPr>
          <w:p>
            <w:pPr>
              <w:spacing w:after="0" w:line="20" w:lineRule="exact"/>
              <w:rPr>
                <w:sz w:val="1"/>
                <w:szCs w:val="1"/>
                <w:color w:val="auto"/>
              </w:rPr>
            </w:pPr>
          </w:p>
        </w:tc>
        <w:tc>
          <w:tcPr>
            <w:tcW w:w="112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vMerge w:val="restart"/>
          </w:tcPr>
          <w:p>
            <w:pPr>
              <w:ind w:left="260"/>
              <w:spacing w:after="0" w:line="162" w:lineRule="exact"/>
              <w:rPr>
                <w:sz w:val="20"/>
                <w:szCs w:val="20"/>
                <w:color w:val="auto"/>
              </w:rPr>
            </w:pPr>
            <w:r>
              <w:rPr>
                <w:rFonts w:ascii="Arial" w:cs="Arial" w:eastAsia="Arial" w:hAnsi="Arial"/>
                <w:sz w:val="16"/>
                <w:szCs w:val="16"/>
                <w:color w:val="0000FF"/>
              </w:rPr>
              <w:t>X</w:t>
            </w:r>
          </w:p>
        </w:tc>
        <w:tc>
          <w:tcPr>
            <w:tcW w:w="20" w:type="dxa"/>
            <w:vAlign w:val="bottom"/>
            <w:vMerge w:val="restart"/>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760" w:type="dxa"/>
            <w:vAlign w:val="bottom"/>
            <w:gridSpan w:val="2"/>
            <w:vMerge w:val="restart"/>
          </w:tcPr>
          <w:p>
            <w:pPr>
              <w:ind w:left="540"/>
              <w:spacing w:after="0"/>
              <w:rPr>
                <w:sz w:val="20"/>
                <w:szCs w:val="20"/>
                <w:color w:val="auto"/>
              </w:rPr>
            </w:pPr>
            <w:r>
              <w:rPr>
                <w:rFonts w:ascii="Arial" w:cs="Arial" w:eastAsia="Arial" w:hAnsi="Arial"/>
                <w:sz w:val="13"/>
                <w:szCs w:val="13"/>
                <w:color w:val="auto"/>
              </w:rPr>
              <w:t>(First)</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20" w:type="dxa"/>
            <w:vAlign w:val="bottom"/>
            <w:gridSpan w:val="8"/>
            <w:vMerge w:val="continue"/>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980" w:type="dxa"/>
            <w:vAlign w:val="bottom"/>
            <w:gridSpan w:val="8"/>
            <w:vMerge w:val="restart"/>
          </w:tcPr>
          <w:p>
            <w:pPr>
              <w:ind w:left="240"/>
              <w:spacing w:after="0"/>
              <w:rPr>
                <w:sz w:val="20"/>
                <w:szCs w:val="20"/>
                <w:color w:val="auto"/>
              </w:rPr>
            </w:pPr>
            <w:r>
              <w:rPr>
                <w:rFonts w:ascii="Arial" w:cs="Arial" w:eastAsia="Arial" w:hAnsi="Arial"/>
                <w:sz w:val="16"/>
                <w:szCs w:val="16"/>
                <w:color w:val="0000FF"/>
              </w:rPr>
              <w:t>President and Chief Scientific</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4"/>
            <w:vMerge w:val="restart"/>
          </w:tcPr>
          <w:p>
            <w:pPr>
              <w:ind w:left="20"/>
              <w:spacing w:after="0"/>
              <w:rPr>
                <w:sz w:val="20"/>
                <w:szCs w:val="20"/>
                <w:color w:val="auto"/>
              </w:rPr>
            </w:pPr>
            <w:r>
              <w:rPr>
                <w:rFonts w:ascii="Arial" w:cs="Arial" w:eastAsia="Arial" w:hAnsi="Arial"/>
                <w:sz w:val="16"/>
                <w:szCs w:val="16"/>
                <w:color w:val="0000FF"/>
              </w:rPr>
              <w:t>777 OLD SAW MILL RIVER ROAD</w:t>
            </w:r>
          </w:p>
        </w:tc>
        <w:tc>
          <w:tcPr>
            <w:tcW w:w="1400" w:type="dxa"/>
            <w:vAlign w:val="bottom"/>
            <w:gridSpan w:val="6"/>
            <w:vMerge w:val="restart"/>
          </w:tcPr>
          <w:p>
            <w:pPr>
              <w:ind w:left="220"/>
              <w:spacing w:after="0"/>
              <w:rPr>
                <w:sz w:val="20"/>
                <w:szCs w:val="20"/>
                <w:color w:val="auto"/>
              </w:rPr>
            </w:pPr>
            <w:r>
              <w:rPr>
                <w:rFonts w:ascii="Arial" w:cs="Arial" w:eastAsia="Arial" w:hAnsi="Arial"/>
                <w:sz w:val="16"/>
                <w:szCs w:val="16"/>
                <w:color w:val="0000FF"/>
              </w:rPr>
              <w:t>12/31/2020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4"/>
            <w:vMerge w:val="continue"/>
          </w:tcPr>
          <w:p>
            <w:pPr>
              <w:spacing w:after="0"/>
              <w:rPr>
                <w:sz w:val="5"/>
                <w:szCs w:val="5"/>
                <w:color w:val="auto"/>
              </w:rPr>
            </w:pPr>
          </w:p>
        </w:tc>
        <w:tc>
          <w:tcPr>
            <w:tcW w:w="1400" w:type="dxa"/>
            <w:vAlign w:val="bottom"/>
            <w:gridSpan w:val="6"/>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gridSpan w:val="4"/>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2860" w:type="dxa"/>
            <w:vAlign w:val="bottom"/>
            <w:tcBorders>
              <w:bottom w:val="single" w:sz="8" w:color="2C2C2C"/>
            </w:tcBorders>
            <w:gridSpan w:val="5"/>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58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gridSpan w:val="10"/>
            <w:vMerge w:val="continue"/>
          </w:tcPr>
          <w:p>
            <w:pPr>
              <w:spacing w:after="0"/>
              <w:rPr>
                <w:sz w:val="10"/>
                <w:szCs w:val="10"/>
                <w:color w:val="auto"/>
              </w:rPr>
            </w:pPr>
          </w:p>
        </w:tc>
        <w:tc>
          <w:tcPr>
            <w:tcW w:w="240" w:type="dxa"/>
            <w:vAlign w:val="bottom"/>
          </w:tcPr>
          <w:p>
            <w:pPr>
              <w:spacing w:after="0"/>
              <w:rPr>
                <w:sz w:val="10"/>
                <w:szCs w:val="10"/>
                <w:color w:val="auto"/>
              </w:rPr>
            </w:pPr>
          </w:p>
        </w:tc>
        <w:tc>
          <w:tcPr>
            <w:tcW w:w="34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tcPr>
          <w:p>
            <w:pPr>
              <w:ind w:left="60"/>
              <w:spacing w:after="0" w:line="144" w:lineRule="exact"/>
              <w:rPr>
                <w:sz w:val="20"/>
                <w:szCs w:val="20"/>
                <w:color w:val="auto"/>
              </w:rPr>
            </w:pPr>
            <w:r>
              <w:rPr>
                <w:rFonts w:ascii="Arial" w:cs="Arial" w:eastAsia="Arial" w:hAnsi="Arial"/>
                <w:sz w:val="13"/>
                <w:szCs w:val="13"/>
                <w:color w:val="auto"/>
              </w:rPr>
              <w:t>Line)</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0000FF"/>
              </w:rPr>
              <w:t>TARRYTOWN   NY</w:t>
            </w: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6"/>
                <w:szCs w:val="16"/>
                <w:color w:val="0000FF"/>
              </w:rPr>
              <w:t>10591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11"/>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298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6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4"/>
          </w:tcPr>
          <w:p>
            <w:pPr>
              <w:spacing w:after="0"/>
              <w:rPr>
                <w:sz w:val="10"/>
                <w:szCs w:val="10"/>
                <w:color w:val="auto"/>
              </w:rPr>
            </w:pPr>
          </w:p>
        </w:tc>
        <w:tc>
          <w:tcPr>
            <w:tcW w:w="1800" w:type="dxa"/>
            <w:vAlign w:val="bottom"/>
            <w:tcBorders>
              <w:bottom w:val="single" w:sz="8" w:color="2C2C2C"/>
            </w:tcBorders>
            <w:gridSpan w:val="3"/>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7140" w:type="dxa"/>
            <w:vAlign w:val="bottom"/>
            <w:tcBorders>
              <w:top w:val="single" w:sz="8" w:color="2C2C2C"/>
            </w:tcBorders>
            <w:gridSpan w:val="19"/>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7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780"/>
              <w:spacing w:after="0" w:line="123"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6"/>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gridSpan w:val="6"/>
          </w:tcPr>
          <w:p>
            <w:pPr>
              <w:ind w:left="7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2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4"/>
          </w:tcPr>
          <w:p>
            <w:pPr>
              <w:spacing w:after="0"/>
              <w:rPr>
                <w:sz w:val="7"/>
                <w:szCs w:val="7"/>
                <w:color w:val="auto"/>
              </w:rPr>
            </w:pPr>
          </w:p>
        </w:tc>
        <w:tc>
          <w:tcPr>
            <w:tcW w:w="1800" w:type="dxa"/>
            <w:vAlign w:val="bottom"/>
            <w:tcBorders>
              <w:bottom w:val="single" w:sz="8" w:color="2C2C2C"/>
            </w:tcBorders>
            <w:gridSpan w:val="3"/>
          </w:tcPr>
          <w:p>
            <w:pPr>
              <w:spacing w:after="0"/>
              <w:rPr>
                <w:sz w:val="7"/>
                <w:szCs w:val="7"/>
                <w:color w:val="auto"/>
              </w:rPr>
            </w:pPr>
          </w:p>
        </w:tc>
        <w:tc>
          <w:tcPr>
            <w:tcW w:w="84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8"/>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gridSpan w:val="16"/>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1"/>
                <w:szCs w:val="11"/>
                <w:b w:val="1"/>
                <w:bCs w:val="1"/>
                <w:color w:val="auto"/>
                <w:w w:val="86"/>
              </w:rPr>
              <w:t>4.</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5"/>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3"/>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w w:val="94"/>
              </w:rPr>
              <w:t>Performance</w:t>
            </w:r>
          </w:p>
        </w:tc>
        <w:tc>
          <w:tcPr>
            <w:tcW w:w="800" w:type="dxa"/>
            <w:vAlign w:val="bottom"/>
          </w:tcPr>
          <w:p>
            <w:pPr>
              <w:ind w:left="320"/>
              <w:spacing w:after="0"/>
              <w:rPr>
                <w:sz w:val="20"/>
                <w:szCs w:val="20"/>
                <w:color w:val="auto"/>
              </w:rPr>
            </w:pPr>
            <w:r>
              <w:rPr>
                <w:rFonts w:ascii="Arial" w:cs="Arial" w:eastAsia="Arial" w:hAnsi="Arial"/>
                <w:sz w:val="11"/>
                <w:szCs w:val="11"/>
                <w:color w:val="008000"/>
              </w:rPr>
              <w:t>(1)</w:t>
            </w:r>
          </w:p>
        </w:tc>
        <w:tc>
          <w:tcPr>
            <w:tcW w:w="960" w:type="dxa"/>
            <w:vAlign w:val="bottom"/>
          </w:tcPr>
          <w:p>
            <w:pPr>
              <w:ind w:left="200"/>
              <w:spacing w:after="0"/>
              <w:rPr>
                <w:sz w:val="20"/>
                <w:szCs w:val="20"/>
                <w:color w:val="auto"/>
              </w:rPr>
            </w:pPr>
            <w:r>
              <w:rPr>
                <w:rFonts w:ascii="Arial" w:cs="Arial" w:eastAsia="Arial" w:hAnsi="Arial"/>
                <w:sz w:val="13"/>
                <w:szCs w:val="13"/>
                <w:color w:val="0000FF"/>
              </w:rPr>
              <w:t>12/31/2020</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4"/>
          </w:tcPr>
          <w:p>
            <w:pPr>
              <w:ind w:left="100"/>
              <w:spacing w:after="0"/>
              <w:rPr>
                <w:sz w:val="20"/>
                <w:szCs w:val="20"/>
                <w:color w:val="auto"/>
              </w:rPr>
            </w:pPr>
            <w:r>
              <w:rPr>
                <w:rFonts w:ascii="Arial" w:cs="Arial" w:eastAsia="Arial" w:hAnsi="Arial"/>
                <w:sz w:val="13"/>
                <w:szCs w:val="13"/>
                <w:color w:val="0000FF"/>
              </w:rPr>
              <w:t>A</w:t>
            </w:r>
          </w:p>
        </w:tc>
        <w:tc>
          <w:tcPr>
            <w:tcW w:w="700" w:type="dxa"/>
            <w:vAlign w:val="bottom"/>
          </w:tcPr>
          <w:p>
            <w:pPr>
              <w:ind w:left="160"/>
              <w:spacing w:after="0"/>
              <w:rPr>
                <w:sz w:val="20"/>
                <w:szCs w:val="20"/>
                <w:color w:val="auto"/>
              </w:rPr>
            </w:pPr>
            <w:r>
              <w:rPr>
                <w:rFonts w:ascii="Arial" w:cs="Arial" w:eastAsia="Arial" w:hAnsi="Arial"/>
                <w:sz w:val="13"/>
                <w:szCs w:val="13"/>
                <w:color w:val="0000FF"/>
              </w:rPr>
              <w:t>620,270</w:t>
            </w:r>
          </w:p>
        </w:tc>
        <w:tc>
          <w:tcPr>
            <w:tcW w:w="26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ind w:left="24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ind w:left="20"/>
              <w:spacing w:after="0"/>
              <w:rPr>
                <w:sz w:val="20"/>
                <w:szCs w:val="20"/>
                <w:color w:val="auto"/>
              </w:rPr>
            </w:pPr>
            <w:r>
              <w:rPr>
                <w:rFonts w:ascii="Arial" w:cs="Arial" w:eastAsia="Arial" w:hAnsi="Arial"/>
                <w:sz w:val="16"/>
                <w:szCs w:val="16"/>
                <w:color w:val="0000FF"/>
              </w:rPr>
              <w:t>620,270</w:t>
            </w:r>
          </w:p>
        </w:tc>
        <w:tc>
          <w:tcPr>
            <w:tcW w:w="40" w:type="dxa"/>
            <w:vAlign w:val="bottom"/>
          </w:tcPr>
          <w:p>
            <w:pPr>
              <w:spacing w:after="0"/>
              <w:rPr>
                <w:sz w:val="20"/>
                <w:szCs w:val="20"/>
                <w:color w:val="auto"/>
              </w:rPr>
            </w:pPr>
          </w:p>
        </w:tc>
        <w:tc>
          <w:tcPr>
            <w:tcW w:w="66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620,270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-2489200</wp:posOffset>
            </wp:positionV>
            <wp:extent cx="7035165" cy="2491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24917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140" w:hanging="1"/>
        <w:spacing w:after="0" w:line="251"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 restricted stock unit ("PSU") represents a contingent right to receive one share of Company stock. The amount reported is the maximum number of PSUs that may be earned upon achievement of certain total shareholder return ("TSR") goals derived from compound annual growth rates of 5.6% to 19.2% over a five-year performance period ending on December 31, 2025 (or in some cases at earlier times). Between 50% and 250% of the target number of 248,108 PSUs may be earned upon achievement of such TSR goals but shall only vest at the end of the five-year performance period if the reporting person's service to the Company continues through such date, except in certain limited cases (such as if service to the Company is terminated by the Company without cause or in case of a change in control ("CIC")). Earned PSUs are subject to a mandatory holding period of three years after vesting, which ends early upon the reporting person's death or disability or a CIC.</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gridSpan w:val="2"/>
          </w:tcPr>
          <w:p>
            <w:pPr>
              <w:spacing w:after="0"/>
              <w:rPr>
                <w:sz w:val="20"/>
                <w:szCs w:val="20"/>
                <w:color w:val="auto"/>
              </w:rPr>
            </w:pPr>
            <w:r>
              <w:rPr>
                <w:rFonts w:ascii="Arial" w:cs="Arial" w:eastAsia="Arial" w:hAnsi="Arial"/>
                <w:sz w:val="16"/>
                <w:szCs w:val="16"/>
                <w:color w:val="0000FF"/>
              </w:rPr>
              <w:t>/s/**George D. Yancopoulos</w:t>
            </w:r>
          </w:p>
        </w:tc>
        <w:tc>
          <w:tcPr>
            <w:tcW w:w="900" w:type="dxa"/>
            <w:vAlign w:val="bottom"/>
            <w:gridSpan w:val="2"/>
          </w:tcPr>
          <w:p>
            <w:pPr>
              <w:ind w:left="160"/>
              <w:spacing w:after="0"/>
              <w:rPr>
                <w:sz w:val="20"/>
                <w:szCs w:val="20"/>
                <w:color w:val="auto"/>
              </w:rPr>
            </w:pPr>
            <w:r>
              <w:rPr>
                <w:rFonts w:ascii="Arial" w:cs="Arial" w:eastAsia="Arial" w:hAnsi="Arial"/>
                <w:sz w:val="16"/>
                <w:szCs w:val="16"/>
                <w:color w:val="0000FF"/>
                <w:w w:val="89"/>
              </w:rPr>
              <w:t>01/05/2021</w:t>
            </w:r>
          </w:p>
        </w:tc>
      </w:tr>
      <w:tr>
        <w:trPr>
          <w:trHeight w:val="20"/>
        </w:trPr>
        <w:tc>
          <w:tcPr>
            <w:tcW w:w="1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1880" w:type="dxa"/>
            <w:vAlign w:val="bottom"/>
          </w:tcPr>
          <w:p>
            <w:pPr>
              <w:spacing w:after="0"/>
              <w:rPr>
                <w:sz w:val="20"/>
                <w:szCs w:val="20"/>
                <w:color w:val="auto"/>
              </w:rPr>
            </w:pPr>
            <w:r>
              <w:rPr>
                <w:rFonts w:ascii="Arial" w:cs="Arial" w:eastAsia="Arial" w:hAnsi="Arial"/>
                <w:sz w:val="13"/>
                <w:szCs w:val="13"/>
                <w:color w:val="auto"/>
                <w:w w:val="98"/>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6690"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2021-01-05T15:06:55Z</dcterms:created>
  <dcterms:modified xsi:type="dcterms:W3CDTF">2021-01-05T15:06:55Z</dcterms:modified>
</cp:coreProperties>
</file>